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D1AA3" w14:textId="586B8D60" w:rsidR="006C0532" w:rsidRPr="005E76F6" w:rsidRDefault="00C927C4" w:rsidP="00C927C4">
      <w:pPr>
        <w:pStyle w:val="Pagedecouverture"/>
        <w:rPr>
          <w:noProof/>
        </w:rPr>
      </w:pPr>
      <w:bookmarkStart w:id="0" w:name="LW_BM_COVERPAGE"/>
      <w:r>
        <w:rPr>
          <w:noProof/>
        </w:rPr>
        <w:pict w14:anchorId="75D08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B5D94D02-820D-478C-966E-99639FBC21FD" style="width:455.25pt;height:351.75pt">
            <v:imagedata r:id="rId8" o:title=""/>
          </v:shape>
        </w:pict>
      </w:r>
    </w:p>
    <w:bookmarkEnd w:id="0"/>
    <w:p w14:paraId="3053A32D" w14:textId="77777777" w:rsidR="006C0532" w:rsidRPr="0018775F" w:rsidRDefault="006C0532" w:rsidP="006C0532">
      <w:pPr>
        <w:rPr>
          <w:rFonts w:ascii="Times New Roman" w:hAnsi="Times New Roman" w:cs="Times New Roman"/>
          <w:noProof/>
          <w:sz w:val="24"/>
          <w:szCs w:val="24"/>
        </w:rPr>
        <w:sectPr w:rsidR="006C0532" w:rsidRPr="0018775F" w:rsidSect="00C927C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noProof/>
          <w:color w:val="auto"/>
          <w:sz w:val="22"/>
          <w:szCs w:val="22"/>
          <w:lang w:val="en-GB"/>
        </w:rPr>
        <w:id w:val="-726152697"/>
        <w:docPartObj>
          <w:docPartGallery w:val="Table of Contents"/>
          <w:docPartUnique/>
        </w:docPartObj>
      </w:sdtPr>
      <w:sdtEndPr>
        <w:rPr>
          <w:b/>
          <w:bCs/>
        </w:rPr>
      </w:sdtEndPr>
      <w:sdtContent>
        <w:p w14:paraId="13A7C586" w14:textId="77777777" w:rsidR="006C0532" w:rsidRPr="00187600" w:rsidRDefault="006C0532" w:rsidP="0021408E">
          <w:pPr>
            <w:pStyle w:val="TOCHeading"/>
            <w:spacing w:after="120"/>
            <w:ind w:left="0" w:firstLine="0"/>
            <w:rPr>
              <w:noProof/>
              <w:lang w:val="en-GB"/>
            </w:rPr>
          </w:pPr>
          <w:r w:rsidRPr="00187600">
            <w:rPr>
              <w:noProof/>
              <w:lang w:val="en-GB"/>
            </w:rPr>
            <w:t>Contents</w:t>
          </w:r>
        </w:p>
        <w:p w14:paraId="53B69EEE" w14:textId="78C18506" w:rsidR="00187600" w:rsidRPr="00187600" w:rsidRDefault="006C0532">
          <w:pPr>
            <w:pStyle w:val="TOC1"/>
            <w:rPr>
              <w:rFonts w:ascii="Times New Roman" w:eastAsiaTheme="minorEastAsia" w:hAnsi="Times New Roman" w:cs="Times New Roman"/>
              <w:noProof/>
              <w:sz w:val="24"/>
              <w:szCs w:val="24"/>
              <w:lang w:val="en-IE" w:eastAsia="en-IE"/>
            </w:rPr>
          </w:pPr>
          <w:r w:rsidRPr="00187600">
            <w:rPr>
              <w:rFonts w:ascii="Times New Roman" w:hAnsi="Times New Roman" w:cs="Times New Roman"/>
              <w:noProof/>
              <w:sz w:val="24"/>
              <w:szCs w:val="24"/>
            </w:rPr>
            <w:fldChar w:fldCharType="begin"/>
          </w:r>
          <w:r w:rsidRPr="00187600">
            <w:rPr>
              <w:rFonts w:ascii="Times New Roman" w:hAnsi="Times New Roman" w:cs="Times New Roman"/>
              <w:noProof/>
              <w:sz w:val="24"/>
              <w:szCs w:val="24"/>
            </w:rPr>
            <w:instrText xml:space="preserve"> TOC \o "1-3" \h \z \u </w:instrText>
          </w:r>
          <w:r w:rsidRPr="00187600">
            <w:rPr>
              <w:rFonts w:ascii="Times New Roman" w:hAnsi="Times New Roman" w:cs="Times New Roman"/>
              <w:noProof/>
              <w:sz w:val="24"/>
              <w:szCs w:val="24"/>
            </w:rPr>
            <w:fldChar w:fldCharType="separate"/>
          </w:r>
          <w:hyperlink w:anchor="_Toc146623383" w:history="1">
            <w:r w:rsidR="00187600" w:rsidRPr="00187600">
              <w:rPr>
                <w:rStyle w:val="Hyperlink"/>
                <w:rFonts w:ascii="Times New Roman" w:hAnsi="Times New Roman" w:cs="Times New Roman"/>
                <w:noProof/>
                <w:sz w:val="24"/>
                <w:szCs w:val="24"/>
              </w:rPr>
              <w:t>1.</w:t>
            </w:r>
            <w:r w:rsidR="00187600" w:rsidRPr="00187600">
              <w:rPr>
                <w:rFonts w:ascii="Times New Roman" w:eastAsiaTheme="minorEastAsia" w:hAnsi="Times New Roman" w:cs="Times New Roman"/>
                <w:noProof/>
                <w:sz w:val="24"/>
                <w:szCs w:val="24"/>
                <w:lang w:val="en-IE" w:eastAsia="en-IE"/>
              </w:rPr>
              <w:tab/>
            </w:r>
            <w:r w:rsidR="00187600" w:rsidRPr="00187600">
              <w:rPr>
                <w:rStyle w:val="Hyperlink"/>
                <w:rFonts w:ascii="Times New Roman" w:hAnsi="Times New Roman" w:cs="Times New Roman"/>
                <w:noProof/>
                <w:sz w:val="24"/>
                <w:szCs w:val="24"/>
              </w:rPr>
              <w:t>Introduction</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_Toc146623383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2</w:t>
            </w:r>
            <w:r w:rsidR="00187600" w:rsidRPr="00187600">
              <w:rPr>
                <w:rFonts w:ascii="Times New Roman" w:hAnsi="Times New Roman" w:cs="Times New Roman"/>
                <w:noProof/>
                <w:webHidden/>
                <w:sz w:val="24"/>
                <w:szCs w:val="24"/>
              </w:rPr>
              <w:fldChar w:fldCharType="end"/>
            </w:r>
          </w:hyperlink>
        </w:p>
        <w:p w14:paraId="1FFC04D4" w14:textId="76A0E5AD"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384" w:history="1">
            <w:r w:rsidR="00187600" w:rsidRPr="00187600">
              <w:rPr>
                <w:rStyle w:val="Hyperlink"/>
                <w:rFonts w:ascii="Times New Roman" w:hAnsi="Times New Roman" w:cs="Times New Roman"/>
                <w:noProof/>
                <w:sz w:val="24"/>
                <w:szCs w:val="24"/>
              </w:rPr>
              <w:t>2.</w:t>
            </w:r>
            <w:r w:rsidR="00187600" w:rsidRPr="00187600">
              <w:rPr>
                <w:rFonts w:ascii="Times New Roman" w:eastAsiaTheme="minorEastAsia" w:hAnsi="Times New Roman" w:cs="Times New Roman"/>
                <w:noProof/>
                <w:sz w:val="24"/>
                <w:szCs w:val="24"/>
                <w:lang w:val="en-IE" w:eastAsia="en-IE"/>
              </w:rPr>
              <w:tab/>
            </w:r>
            <w:r w:rsidR="00187600" w:rsidRPr="00187600">
              <w:rPr>
                <w:rStyle w:val="Hyperlink"/>
                <w:rFonts w:ascii="Times New Roman" w:hAnsi="Times New Roman" w:cs="Times New Roman"/>
                <w:noProof/>
                <w:sz w:val="24"/>
                <w:szCs w:val="24"/>
              </w:rPr>
              <w:t>Activities and results in 2020</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_Toc146623384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3</w:t>
            </w:r>
            <w:r w:rsidR="00187600" w:rsidRPr="00187600">
              <w:rPr>
                <w:rFonts w:ascii="Times New Roman" w:hAnsi="Times New Roman" w:cs="Times New Roman"/>
                <w:noProof/>
                <w:webHidden/>
                <w:sz w:val="24"/>
                <w:szCs w:val="24"/>
              </w:rPr>
              <w:fldChar w:fldCharType="end"/>
            </w:r>
          </w:hyperlink>
        </w:p>
        <w:p w14:paraId="2251EFDE" w14:textId="3DCC47E9" w:rsidR="00187600" w:rsidRPr="00187600" w:rsidRDefault="00C927C4" w:rsidP="00187600">
          <w:pPr>
            <w:pStyle w:val="TOC2"/>
            <w:rPr>
              <w:rFonts w:ascii="Times New Roman" w:eastAsiaTheme="minorEastAsia" w:hAnsi="Times New Roman" w:cs="Times New Roman"/>
              <w:noProof/>
              <w:sz w:val="24"/>
              <w:szCs w:val="24"/>
              <w:lang w:val="en-IE" w:eastAsia="en-IE"/>
            </w:rPr>
          </w:pPr>
          <w:hyperlink w:anchor="_Toc146623385" w:history="1">
            <w:r w:rsidR="00187600" w:rsidRPr="00187600">
              <w:rPr>
                <w:rStyle w:val="Hyperlink"/>
                <w:rFonts w:ascii="Times New Roman" w:hAnsi="Times New Roman" w:cs="Times New Roman"/>
                <w:noProof/>
                <w:sz w:val="24"/>
                <w:szCs w:val="24"/>
              </w:rPr>
              <w:t>2.1 Specific objective A: access to finance</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_Toc146623385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4</w:t>
            </w:r>
            <w:r w:rsidR="00187600" w:rsidRPr="00187600">
              <w:rPr>
                <w:rFonts w:ascii="Times New Roman" w:hAnsi="Times New Roman" w:cs="Times New Roman"/>
                <w:noProof/>
                <w:webHidden/>
                <w:sz w:val="24"/>
                <w:szCs w:val="24"/>
              </w:rPr>
              <w:fldChar w:fldCharType="end"/>
            </w:r>
          </w:hyperlink>
        </w:p>
        <w:p w14:paraId="3C6BC9A0" w14:textId="54448E0B"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86" w:history="1">
            <w:r w:rsidR="00187600" w:rsidRPr="00187600">
              <w:rPr>
                <w:rStyle w:val="Hyperlink"/>
                <w:rFonts w:ascii="Times New Roman" w:hAnsi="Times New Roman" w:cs="Times New Roman"/>
                <w:noProof/>
                <w:sz w:val="24"/>
                <w:szCs w:val="24"/>
              </w:rPr>
              <w:t>The COSME Equity Facility for Growth (EFG)</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_Toc146623386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4</w:t>
            </w:r>
            <w:r w:rsidR="00187600" w:rsidRPr="00187600">
              <w:rPr>
                <w:rFonts w:ascii="Times New Roman" w:hAnsi="Times New Roman" w:cs="Times New Roman"/>
                <w:noProof/>
                <w:webHidden/>
                <w:sz w:val="24"/>
                <w:szCs w:val="24"/>
              </w:rPr>
              <w:fldChar w:fldCharType="end"/>
            </w:r>
          </w:hyperlink>
        </w:p>
        <w:p w14:paraId="0E22DEE3" w14:textId="19375AEC"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87" w:history="1">
            <w:r w:rsidR="00187600" w:rsidRPr="00187600">
              <w:rPr>
                <w:rStyle w:val="Hyperlink"/>
                <w:rFonts w:ascii="Times New Roman" w:hAnsi="Times New Roman" w:cs="Times New Roman"/>
                <w:noProof/>
                <w:sz w:val="24"/>
                <w:szCs w:val="24"/>
              </w:rPr>
              <w:t>The COSME Loan Guarantee Facility</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_Toc146623387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5</w:t>
            </w:r>
            <w:r w:rsidR="00187600" w:rsidRPr="00187600">
              <w:rPr>
                <w:rFonts w:ascii="Times New Roman" w:hAnsi="Times New Roman" w:cs="Times New Roman"/>
                <w:noProof/>
                <w:webHidden/>
                <w:sz w:val="24"/>
                <w:szCs w:val="24"/>
              </w:rPr>
              <w:fldChar w:fldCharType="end"/>
            </w:r>
          </w:hyperlink>
        </w:p>
        <w:p w14:paraId="6ACD632F" w14:textId="3BE9224E"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88" w:history="1">
            <w:r w:rsidR="00187600" w:rsidRPr="00187600">
              <w:rPr>
                <w:rStyle w:val="Hyperlink"/>
                <w:rFonts w:ascii="Times New Roman" w:hAnsi="Times New Roman" w:cs="Times New Roman"/>
                <w:noProof/>
                <w:sz w:val="24"/>
                <w:szCs w:val="24"/>
              </w:rPr>
              <w:t>Accompanying measures (surveys, information tools, communication materials and events)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_Toc146623388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5</w:t>
            </w:r>
            <w:r w:rsidR="00187600" w:rsidRPr="00187600">
              <w:rPr>
                <w:rFonts w:ascii="Times New Roman" w:hAnsi="Times New Roman" w:cs="Times New Roman"/>
                <w:noProof/>
                <w:webHidden/>
                <w:sz w:val="24"/>
                <w:szCs w:val="24"/>
              </w:rPr>
              <w:fldChar w:fldCharType="end"/>
            </w:r>
          </w:hyperlink>
        </w:p>
        <w:p w14:paraId="6462EF2B" w14:textId="7532745A" w:rsidR="00187600" w:rsidRPr="00187600" w:rsidRDefault="00C927C4" w:rsidP="00187600">
          <w:pPr>
            <w:pStyle w:val="TOC2"/>
            <w:rPr>
              <w:rFonts w:ascii="Times New Roman" w:eastAsiaTheme="minorEastAsia" w:hAnsi="Times New Roman" w:cs="Times New Roman"/>
              <w:noProof/>
              <w:sz w:val="24"/>
              <w:szCs w:val="24"/>
              <w:lang w:val="en-IE" w:eastAsia="en-IE"/>
            </w:rPr>
          </w:pPr>
          <w:hyperlink w:anchor="_Toc146623389" w:history="1">
            <w:r w:rsidR="00187600" w:rsidRPr="00187600">
              <w:rPr>
                <w:rStyle w:val="Hyperlink"/>
                <w:rFonts w:ascii="Times New Roman" w:hAnsi="Times New Roman" w:cs="Times New Roman"/>
                <w:noProof/>
                <w:sz w:val="24"/>
                <w:szCs w:val="24"/>
              </w:rPr>
              <w:t>2.2 Specific objective B: access to markets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_Toc146623389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5</w:t>
            </w:r>
            <w:r w:rsidR="00187600" w:rsidRPr="00187600">
              <w:rPr>
                <w:rFonts w:ascii="Times New Roman" w:hAnsi="Times New Roman" w:cs="Times New Roman"/>
                <w:noProof/>
                <w:webHidden/>
                <w:sz w:val="24"/>
                <w:szCs w:val="24"/>
              </w:rPr>
              <w:fldChar w:fldCharType="end"/>
            </w:r>
          </w:hyperlink>
        </w:p>
        <w:p w14:paraId="427E3071" w14:textId="2C94E4CD"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90" w:history="1">
            <w:r w:rsidR="00187600" w:rsidRPr="00187600">
              <w:rPr>
                <w:rStyle w:val="Hyperlink"/>
                <w:rFonts w:ascii="Times New Roman" w:hAnsi="Times New Roman" w:cs="Times New Roman"/>
                <w:noProof/>
                <w:sz w:val="24"/>
                <w:szCs w:val="24"/>
              </w:rPr>
              <w:t>The Enterprise Europe Network</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_Toc146623390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6</w:t>
            </w:r>
            <w:r w:rsidR="00187600" w:rsidRPr="00187600">
              <w:rPr>
                <w:rFonts w:ascii="Times New Roman" w:hAnsi="Times New Roman" w:cs="Times New Roman"/>
                <w:noProof/>
                <w:webHidden/>
                <w:sz w:val="24"/>
                <w:szCs w:val="24"/>
              </w:rPr>
              <w:fldChar w:fldCharType="end"/>
            </w:r>
          </w:hyperlink>
        </w:p>
        <w:p w14:paraId="7E15477F" w14:textId="38EBF8B6"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91" w:history="1">
            <w:r w:rsidR="00187600" w:rsidRPr="00187600">
              <w:rPr>
                <w:rStyle w:val="Hyperlink"/>
                <w:rFonts w:ascii="Times New Roman" w:hAnsi="Times New Roman" w:cs="Times New Roman"/>
                <w:noProof/>
                <w:sz w:val="24"/>
                <w:szCs w:val="24"/>
              </w:rPr>
              <w:t>International IP SME helpdesks (China, South-East Asia, Latin America and India)</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_Toc146623391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6</w:t>
            </w:r>
            <w:r w:rsidR="00187600" w:rsidRPr="00187600">
              <w:rPr>
                <w:rFonts w:ascii="Times New Roman" w:hAnsi="Times New Roman" w:cs="Times New Roman"/>
                <w:noProof/>
                <w:webHidden/>
                <w:sz w:val="24"/>
                <w:szCs w:val="24"/>
              </w:rPr>
              <w:fldChar w:fldCharType="end"/>
            </w:r>
          </w:hyperlink>
        </w:p>
        <w:p w14:paraId="1164DB49" w14:textId="47145D3D"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92" w:history="1">
            <w:r w:rsidR="00187600" w:rsidRPr="00187600">
              <w:rPr>
                <w:rStyle w:val="Hyperlink"/>
                <w:rFonts w:ascii="Times New Roman" w:hAnsi="Times New Roman" w:cs="Times New Roman"/>
                <w:noProof/>
                <w:sz w:val="24"/>
                <w:szCs w:val="24"/>
              </w:rPr>
              <w:t>EU-Japan Centre for Industrial Cooperation</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_Toc146623392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7</w:t>
            </w:r>
            <w:r w:rsidR="00187600" w:rsidRPr="00187600">
              <w:rPr>
                <w:rFonts w:ascii="Times New Roman" w:hAnsi="Times New Roman" w:cs="Times New Roman"/>
                <w:noProof/>
                <w:webHidden/>
                <w:sz w:val="24"/>
                <w:szCs w:val="24"/>
              </w:rPr>
              <w:fldChar w:fldCharType="end"/>
            </w:r>
          </w:hyperlink>
        </w:p>
        <w:p w14:paraId="653D34A4" w14:textId="070AAEE6"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93" w:history="1">
            <w:r w:rsidR="00187600" w:rsidRPr="00187600">
              <w:rPr>
                <w:rStyle w:val="Hyperlink"/>
                <w:rFonts w:ascii="Times New Roman" w:hAnsi="Times New Roman" w:cs="Times New Roman"/>
                <w:noProof/>
                <w:sz w:val="24"/>
                <w:szCs w:val="24"/>
              </w:rPr>
              <w:t>Procurement</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_Toc146623393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7</w:t>
            </w:r>
            <w:r w:rsidR="00187600" w:rsidRPr="00187600">
              <w:rPr>
                <w:rFonts w:ascii="Times New Roman" w:hAnsi="Times New Roman" w:cs="Times New Roman"/>
                <w:noProof/>
                <w:webHidden/>
                <w:sz w:val="24"/>
                <w:szCs w:val="24"/>
              </w:rPr>
              <w:fldChar w:fldCharType="end"/>
            </w:r>
          </w:hyperlink>
        </w:p>
        <w:p w14:paraId="78196F76" w14:textId="2475679A" w:rsidR="00187600" w:rsidRPr="00187600" w:rsidRDefault="00C927C4" w:rsidP="00187600">
          <w:pPr>
            <w:pStyle w:val="TOC2"/>
            <w:rPr>
              <w:rFonts w:ascii="Times New Roman" w:eastAsiaTheme="minorEastAsia" w:hAnsi="Times New Roman" w:cs="Times New Roman"/>
              <w:noProof/>
              <w:sz w:val="24"/>
              <w:szCs w:val="24"/>
              <w:lang w:val="en-IE" w:eastAsia="en-IE"/>
            </w:rPr>
          </w:pPr>
          <w:hyperlink w:anchor="_Toc146623394" w:history="1">
            <w:r w:rsidR="00187600" w:rsidRPr="00187600">
              <w:rPr>
                <w:rStyle w:val="Hyperlink"/>
                <w:rFonts w:ascii="Times New Roman" w:hAnsi="Times New Roman" w:cs="Times New Roman"/>
                <w:noProof/>
                <w:sz w:val="24"/>
                <w:szCs w:val="24"/>
              </w:rPr>
              <w:t>2.3 Specific objective C: improving framework conditions and competitiveness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_Toc146623394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7</w:t>
            </w:r>
            <w:r w:rsidR="00187600" w:rsidRPr="00187600">
              <w:rPr>
                <w:rFonts w:ascii="Times New Roman" w:hAnsi="Times New Roman" w:cs="Times New Roman"/>
                <w:noProof/>
                <w:webHidden/>
                <w:sz w:val="24"/>
                <w:szCs w:val="24"/>
              </w:rPr>
              <w:fldChar w:fldCharType="end"/>
            </w:r>
          </w:hyperlink>
        </w:p>
        <w:p w14:paraId="02D5F3B0" w14:textId="6194CBD2"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95" w:history="1">
            <w:r w:rsidR="00187600" w:rsidRPr="00187600">
              <w:rPr>
                <w:rStyle w:val="Hyperlink"/>
                <w:rFonts w:ascii="Times New Roman" w:hAnsi="Times New Roman" w:cs="Times New Roman"/>
                <w:noProof/>
                <w:sz w:val="24"/>
                <w:szCs w:val="24"/>
              </w:rPr>
              <w:t>Clusters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_Toc146623395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7</w:t>
            </w:r>
            <w:r w:rsidR="00187600" w:rsidRPr="00187600">
              <w:rPr>
                <w:rFonts w:ascii="Times New Roman" w:hAnsi="Times New Roman" w:cs="Times New Roman"/>
                <w:noProof/>
                <w:webHidden/>
                <w:sz w:val="24"/>
                <w:szCs w:val="24"/>
              </w:rPr>
              <w:fldChar w:fldCharType="end"/>
            </w:r>
          </w:hyperlink>
        </w:p>
        <w:p w14:paraId="64F2571D" w14:textId="4318203B"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96" w:history="1">
            <w:r w:rsidR="00187600" w:rsidRPr="00187600">
              <w:rPr>
                <w:rStyle w:val="Hyperlink"/>
                <w:rFonts w:ascii="Times New Roman" w:hAnsi="Times New Roman" w:cs="Times New Roman"/>
                <w:iCs/>
                <w:noProof/>
                <w:sz w:val="24"/>
                <w:szCs w:val="24"/>
              </w:rPr>
              <w:t>SME envoys, SME assembly and online masterclass at Web Summit Lisbon</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_Toc146623396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9</w:t>
            </w:r>
            <w:r w:rsidR="00187600" w:rsidRPr="00187600">
              <w:rPr>
                <w:rFonts w:ascii="Times New Roman" w:hAnsi="Times New Roman" w:cs="Times New Roman"/>
                <w:noProof/>
                <w:webHidden/>
                <w:sz w:val="24"/>
                <w:szCs w:val="24"/>
              </w:rPr>
              <w:fldChar w:fldCharType="end"/>
            </w:r>
          </w:hyperlink>
        </w:p>
        <w:p w14:paraId="4004EBDF" w14:textId="41F998DB" w:rsidR="00187600" w:rsidRPr="00187600" w:rsidRDefault="00C927C4">
          <w:pPr>
            <w:pStyle w:val="TOC3"/>
            <w:rPr>
              <w:rFonts w:ascii="Times New Roman" w:eastAsiaTheme="minorEastAsia" w:hAnsi="Times New Roman" w:cs="Times New Roman"/>
              <w:noProof/>
              <w:sz w:val="24"/>
              <w:szCs w:val="24"/>
              <w:lang w:val="en-IE" w:eastAsia="en-IE"/>
            </w:rPr>
          </w:pPr>
          <w:hyperlink w:anchor="_Toc146623397" w:history="1">
            <w:r w:rsidR="00187600" w:rsidRPr="00187600">
              <w:rPr>
                <w:rStyle w:val="Hyperlink"/>
                <w:rFonts w:ascii="Times New Roman" w:hAnsi="Times New Roman" w:cs="Times New Roman"/>
                <w:noProof/>
                <w:sz w:val="24"/>
                <w:szCs w:val="24"/>
              </w:rPr>
              <w:t xml:space="preserve">EU </w:t>
            </w:r>
            <w:r w:rsidR="00187600" w:rsidRPr="00187600">
              <w:rPr>
                <w:rStyle w:val="Hyperlink"/>
                <w:rFonts w:ascii="Times New Roman" w:hAnsi="Times New Roman" w:cs="Times New Roman"/>
                <w:iCs/>
                <w:noProof/>
                <w:sz w:val="24"/>
                <w:szCs w:val="24"/>
              </w:rPr>
              <w:t>Open for Business</w:t>
            </w:r>
            <w:r w:rsidR="00187600" w:rsidRPr="00187600">
              <w:rPr>
                <w:rStyle w:val="Hyperlink"/>
                <w:rFonts w:ascii="Times New Roman" w:hAnsi="Times New Roman" w:cs="Times New Roman"/>
                <w:noProof/>
                <w:sz w:val="24"/>
                <w:szCs w:val="24"/>
              </w:rPr>
              <w:t xml:space="preserve"> – a new compass for SMEs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_Toc146623397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9</w:t>
            </w:r>
            <w:r w:rsidR="00187600" w:rsidRPr="00187600">
              <w:rPr>
                <w:rFonts w:ascii="Times New Roman" w:hAnsi="Times New Roman" w:cs="Times New Roman"/>
                <w:noProof/>
                <w:webHidden/>
                <w:sz w:val="24"/>
                <w:szCs w:val="24"/>
              </w:rPr>
              <w:fldChar w:fldCharType="end"/>
            </w:r>
          </w:hyperlink>
        </w:p>
        <w:p w14:paraId="17D9AFEB" w14:textId="1A7D6714" w:rsidR="00187600" w:rsidRPr="00187600" w:rsidRDefault="00C927C4" w:rsidP="00187600">
          <w:pPr>
            <w:pStyle w:val="TOC2"/>
            <w:rPr>
              <w:rFonts w:ascii="Times New Roman" w:eastAsiaTheme="minorEastAsia" w:hAnsi="Times New Roman" w:cs="Times New Roman"/>
              <w:noProof/>
              <w:sz w:val="24"/>
              <w:szCs w:val="24"/>
              <w:lang w:val="en-IE" w:eastAsia="en-IE"/>
            </w:rPr>
          </w:pPr>
          <w:hyperlink w:anchor="_Toc146623398" w:history="1">
            <w:r w:rsidR="00187600" w:rsidRPr="00187600">
              <w:rPr>
                <w:rStyle w:val="Hyperlink"/>
                <w:rFonts w:ascii="Times New Roman" w:hAnsi="Times New Roman" w:cs="Times New Roman"/>
                <w:noProof/>
                <w:sz w:val="24"/>
                <w:szCs w:val="24"/>
              </w:rPr>
              <w:t>2.4 Specific objective D: promoting entrepreneurship and entrepreneurial culture</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_Toc146623398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9</w:t>
            </w:r>
            <w:r w:rsidR="00187600" w:rsidRPr="00187600">
              <w:rPr>
                <w:rFonts w:ascii="Times New Roman" w:hAnsi="Times New Roman" w:cs="Times New Roman"/>
                <w:noProof/>
                <w:webHidden/>
                <w:sz w:val="24"/>
                <w:szCs w:val="24"/>
              </w:rPr>
              <w:fldChar w:fldCharType="end"/>
            </w:r>
          </w:hyperlink>
        </w:p>
        <w:p w14:paraId="153E7F0C" w14:textId="2F024D91"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399" w:history="1">
            <w:r w:rsidR="00187600" w:rsidRPr="00187600">
              <w:rPr>
                <w:rStyle w:val="Hyperlink"/>
                <w:rFonts w:ascii="Times New Roman" w:hAnsi="Times New Roman" w:cs="Times New Roman"/>
                <w:noProof/>
                <w:sz w:val="24"/>
                <w:szCs w:val="24"/>
              </w:rPr>
              <w:t>3.</w:t>
            </w:r>
            <w:r w:rsidR="00187600" w:rsidRPr="00187600">
              <w:rPr>
                <w:rFonts w:ascii="Times New Roman" w:eastAsiaTheme="minorEastAsia" w:hAnsi="Times New Roman" w:cs="Times New Roman"/>
                <w:noProof/>
                <w:sz w:val="24"/>
                <w:szCs w:val="24"/>
                <w:lang w:val="en-IE" w:eastAsia="en-IE"/>
              </w:rPr>
              <w:tab/>
            </w:r>
            <w:r w:rsidR="00187600" w:rsidRPr="00187600">
              <w:rPr>
                <w:rStyle w:val="Hyperlink"/>
                <w:rFonts w:ascii="Times New Roman" w:hAnsi="Times New Roman" w:cs="Times New Roman"/>
                <w:noProof/>
                <w:sz w:val="24"/>
                <w:szCs w:val="24"/>
              </w:rPr>
              <w:t>Support measures and administrative expenditure</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_Toc146623399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10</w:t>
            </w:r>
            <w:r w:rsidR="00187600" w:rsidRPr="00187600">
              <w:rPr>
                <w:rFonts w:ascii="Times New Roman" w:hAnsi="Times New Roman" w:cs="Times New Roman"/>
                <w:noProof/>
                <w:webHidden/>
                <w:sz w:val="24"/>
                <w:szCs w:val="24"/>
              </w:rPr>
              <w:fldChar w:fldCharType="end"/>
            </w:r>
          </w:hyperlink>
        </w:p>
        <w:p w14:paraId="199CBD70" w14:textId="20B8C342"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400" w:history="1">
            <w:r w:rsidR="00187600" w:rsidRPr="00187600">
              <w:rPr>
                <w:rStyle w:val="Hyperlink"/>
                <w:rFonts w:ascii="Times New Roman" w:hAnsi="Times New Roman" w:cs="Times New Roman"/>
                <w:noProof/>
                <w:sz w:val="24"/>
                <w:szCs w:val="24"/>
              </w:rPr>
              <w:t>4.</w:t>
            </w:r>
            <w:r w:rsidR="00187600" w:rsidRPr="00187600">
              <w:rPr>
                <w:rFonts w:ascii="Times New Roman" w:eastAsiaTheme="minorEastAsia" w:hAnsi="Times New Roman" w:cs="Times New Roman"/>
                <w:noProof/>
                <w:sz w:val="24"/>
                <w:szCs w:val="24"/>
                <w:lang w:val="en-IE" w:eastAsia="en-IE"/>
              </w:rPr>
              <w:tab/>
            </w:r>
            <w:r w:rsidR="00187600" w:rsidRPr="00187600">
              <w:rPr>
                <w:rStyle w:val="Hyperlink"/>
                <w:rFonts w:ascii="Times New Roman" w:hAnsi="Times New Roman" w:cs="Times New Roman"/>
                <w:noProof/>
                <w:sz w:val="24"/>
                <w:szCs w:val="24"/>
              </w:rPr>
              <w:t>Contribution to climate, sustainable development, digital and gender goals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_Toc146623400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11</w:t>
            </w:r>
            <w:r w:rsidR="00187600" w:rsidRPr="00187600">
              <w:rPr>
                <w:rFonts w:ascii="Times New Roman" w:hAnsi="Times New Roman" w:cs="Times New Roman"/>
                <w:noProof/>
                <w:webHidden/>
                <w:sz w:val="24"/>
                <w:szCs w:val="24"/>
              </w:rPr>
              <w:fldChar w:fldCharType="end"/>
            </w:r>
          </w:hyperlink>
        </w:p>
        <w:p w14:paraId="2D1C2F81" w14:textId="4490950C"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401" w:history="1">
            <w:r w:rsidR="00187600" w:rsidRPr="00187600">
              <w:rPr>
                <w:rStyle w:val="Hyperlink"/>
                <w:rFonts w:ascii="Times New Roman" w:hAnsi="Times New Roman" w:cs="Times New Roman"/>
                <w:noProof/>
                <w:sz w:val="24"/>
                <w:szCs w:val="24"/>
              </w:rPr>
              <w:t>5.</w:t>
            </w:r>
            <w:r w:rsidR="00187600" w:rsidRPr="00187600">
              <w:rPr>
                <w:rFonts w:ascii="Times New Roman" w:eastAsiaTheme="minorEastAsia" w:hAnsi="Times New Roman" w:cs="Times New Roman"/>
                <w:noProof/>
                <w:sz w:val="24"/>
                <w:szCs w:val="24"/>
                <w:lang w:val="en-IE" w:eastAsia="en-IE"/>
              </w:rPr>
              <w:tab/>
            </w:r>
            <w:r w:rsidR="00187600" w:rsidRPr="00187600">
              <w:rPr>
                <w:rStyle w:val="Hyperlink"/>
                <w:rFonts w:ascii="Times New Roman" w:hAnsi="Times New Roman" w:cs="Times New Roman"/>
                <w:noProof/>
                <w:sz w:val="24"/>
                <w:szCs w:val="24"/>
              </w:rPr>
              <w:t>Conclusions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_Toc146623401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12</w:t>
            </w:r>
            <w:r w:rsidR="00187600" w:rsidRPr="00187600">
              <w:rPr>
                <w:rFonts w:ascii="Times New Roman" w:hAnsi="Times New Roman" w:cs="Times New Roman"/>
                <w:noProof/>
                <w:webHidden/>
                <w:sz w:val="24"/>
                <w:szCs w:val="24"/>
              </w:rPr>
              <w:fldChar w:fldCharType="end"/>
            </w:r>
          </w:hyperlink>
        </w:p>
        <w:p w14:paraId="2D573C16" w14:textId="4ED884DB"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402" w:history="1">
            <w:r w:rsidR="00187600" w:rsidRPr="00187600">
              <w:rPr>
                <w:rStyle w:val="Hyperlink"/>
                <w:rFonts w:ascii="Times New Roman" w:hAnsi="Times New Roman" w:cs="Times New Roman"/>
                <w:noProof/>
                <w:sz w:val="24"/>
                <w:szCs w:val="24"/>
              </w:rPr>
              <w:t>Annex 1 – Implementation of the COSME 2020 budget</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_Toc146623402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14</w:t>
            </w:r>
            <w:r w:rsidR="00187600" w:rsidRPr="00187600">
              <w:rPr>
                <w:rFonts w:ascii="Times New Roman" w:hAnsi="Times New Roman" w:cs="Times New Roman"/>
                <w:noProof/>
                <w:webHidden/>
                <w:sz w:val="24"/>
                <w:szCs w:val="24"/>
              </w:rPr>
              <w:fldChar w:fldCharType="end"/>
            </w:r>
          </w:hyperlink>
        </w:p>
        <w:p w14:paraId="06A8D1C4" w14:textId="1175260A"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403" w:history="1">
            <w:r w:rsidR="00187600" w:rsidRPr="00187600">
              <w:rPr>
                <w:rStyle w:val="Hyperlink"/>
                <w:rFonts w:ascii="Times New Roman" w:hAnsi="Times New Roman" w:cs="Times New Roman"/>
                <w:noProof/>
                <w:sz w:val="24"/>
                <w:szCs w:val="24"/>
              </w:rPr>
              <w:t>Annex 2 – Country information</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_Toc146623403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15</w:t>
            </w:r>
            <w:r w:rsidR="00187600" w:rsidRPr="00187600">
              <w:rPr>
                <w:rFonts w:ascii="Times New Roman" w:hAnsi="Times New Roman" w:cs="Times New Roman"/>
                <w:noProof/>
                <w:webHidden/>
                <w:sz w:val="24"/>
                <w:szCs w:val="24"/>
              </w:rPr>
              <w:fldChar w:fldCharType="end"/>
            </w:r>
          </w:hyperlink>
        </w:p>
        <w:p w14:paraId="15840168" w14:textId="25314AFF"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404" w:history="1">
            <w:r w:rsidR="00187600" w:rsidRPr="00187600">
              <w:rPr>
                <w:rStyle w:val="Hyperlink"/>
                <w:rFonts w:ascii="Times New Roman" w:hAnsi="Times New Roman" w:cs="Times New Roman"/>
                <w:noProof/>
                <w:sz w:val="24"/>
                <w:szCs w:val="24"/>
              </w:rPr>
              <w:t>Annex 3 – Examples of projects and success stories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_Toc146623404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19</w:t>
            </w:r>
            <w:r w:rsidR="00187600" w:rsidRPr="00187600">
              <w:rPr>
                <w:rFonts w:ascii="Times New Roman" w:hAnsi="Times New Roman" w:cs="Times New Roman"/>
                <w:noProof/>
                <w:webHidden/>
                <w:sz w:val="24"/>
                <w:szCs w:val="24"/>
              </w:rPr>
              <w:fldChar w:fldCharType="end"/>
            </w:r>
          </w:hyperlink>
        </w:p>
        <w:p w14:paraId="0436A4EA" w14:textId="7AD78B4C" w:rsidR="00187600" w:rsidRPr="00187600" w:rsidRDefault="00C927C4">
          <w:pPr>
            <w:pStyle w:val="TOC1"/>
            <w:rPr>
              <w:rFonts w:ascii="Times New Roman" w:eastAsiaTheme="minorEastAsia" w:hAnsi="Times New Roman" w:cs="Times New Roman"/>
              <w:noProof/>
              <w:sz w:val="24"/>
              <w:szCs w:val="24"/>
              <w:lang w:val="en-IE" w:eastAsia="en-IE"/>
            </w:rPr>
          </w:pPr>
          <w:hyperlink w:anchor="_Toc146623405" w:history="1">
            <w:r w:rsidR="00187600" w:rsidRPr="00187600">
              <w:rPr>
                <w:rStyle w:val="Hyperlink"/>
                <w:rFonts w:ascii="Times New Roman" w:hAnsi="Times New Roman" w:cs="Times New Roman"/>
                <w:noProof/>
                <w:sz w:val="24"/>
                <w:szCs w:val="24"/>
              </w:rPr>
              <w:t xml:space="preserve">Annex 4 </w:t>
            </w:r>
            <w:r w:rsidR="00187600" w:rsidRPr="00187600">
              <w:rPr>
                <w:rStyle w:val="Hyperlink"/>
                <w:rFonts w:ascii="Times New Roman" w:eastAsia="Times New Roman" w:hAnsi="Times New Roman" w:cs="Times New Roman"/>
                <w:b/>
                <w:bCs/>
                <w:i/>
                <w:noProof/>
                <w:sz w:val="24"/>
                <w:szCs w:val="24"/>
                <w:lang w:eastAsia="fr-FR"/>
              </w:rPr>
              <w:t>–</w:t>
            </w:r>
            <w:r w:rsidR="00187600" w:rsidRPr="00187600">
              <w:rPr>
                <w:rStyle w:val="Hyperlink"/>
                <w:rFonts w:ascii="Times New Roman" w:hAnsi="Times New Roman" w:cs="Times New Roman"/>
                <w:noProof/>
                <w:sz w:val="24"/>
                <w:szCs w:val="24"/>
              </w:rPr>
              <w:t xml:space="preserve"> Contribution to climate, sustainability, digitalisation and gender goals</w:t>
            </w:r>
            <w:r w:rsidR="00187600" w:rsidRPr="00187600">
              <w:rPr>
                <w:rFonts w:ascii="Times New Roman" w:hAnsi="Times New Roman" w:cs="Times New Roman"/>
                <w:noProof/>
                <w:webHidden/>
                <w:sz w:val="24"/>
                <w:szCs w:val="24"/>
              </w:rPr>
              <w:tab/>
            </w:r>
            <w:r w:rsidR="00187600" w:rsidRPr="00187600">
              <w:rPr>
                <w:rFonts w:ascii="Times New Roman" w:hAnsi="Times New Roman" w:cs="Times New Roman"/>
                <w:noProof/>
                <w:webHidden/>
                <w:sz w:val="24"/>
                <w:szCs w:val="24"/>
              </w:rPr>
              <w:fldChar w:fldCharType="begin"/>
            </w:r>
            <w:r w:rsidR="00187600" w:rsidRPr="00187600">
              <w:rPr>
                <w:rFonts w:ascii="Times New Roman" w:hAnsi="Times New Roman" w:cs="Times New Roman"/>
                <w:noProof/>
                <w:webHidden/>
                <w:sz w:val="24"/>
                <w:szCs w:val="24"/>
              </w:rPr>
              <w:instrText xml:space="preserve"> PAGEREF _Toc146623405 \h </w:instrText>
            </w:r>
            <w:r w:rsidR="00187600" w:rsidRPr="00187600">
              <w:rPr>
                <w:rFonts w:ascii="Times New Roman" w:hAnsi="Times New Roman" w:cs="Times New Roman"/>
                <w:noProof/>
                <w:webHidden/>
                <w:sz w:val="24"/>
                <w:szCs w:val="24"/>
              </w:rPr>
            </w:r>
            <w:r w:rsidR="00187600" w:rsidRPr="00187600">
              <w:rPr>
                <w:rFonts w:ascii="Times New Roman" w:hAnsi="Times New Roman" w:cs="Times New Roman"/>
                <w:noProof/>
                <w:webHidden/>
                <w:sz w:val="24"/>
                <w:szCs w:val="24"/>
              </w:rPr>
              <w:fldChar w:fldCharType="separate"/>
            </w:r>
            <w:r w:rsidR="00187600" w:rsidRPr="00187600">
              <w:rPr>
                <w:rFonts w:ascii="Times New Roman" w:hAnsi="Times New Roman" w:cs="Times New Roman"/>
                <w:noProof/>
                <w:webHidden/>
                <w:sz w:val="24"/>
                <w:szCs w:val="24"/>
              </w:rPr>
              <w:t>21</w:t>
            </w:r>
            <w:r w:rsidR="00187600" w:rsidRPr="00187600">
              <w:rPr>
                <w:rFonts w:ascii="Times New Roman" w:hAnsi="Times New Roman" w:cs="Times New Roman"/>
                <w:noProof/>
                <w:webHidden/>
                <w:sz w:val="24"/>
                <w:szCs w:val="24"/>
              </w:rPr>
              <w:fldChar w:fldCharType="end"/>
            </w:r>
          </w:hyperlink>
        </w:p>
        <w:p w14:paraId="49C1FBCE" w14:textId="3258DFA8" w:rsidR="006C0532" w:rsidRPr="005E76F6" w:rsidRDefault="006C0532">
          <w:pPr>
            <w:rPr>
              <w:rFonts w:ascii="Times New Roman" w:hAnsi="Times New Roman" w:cs="Times New Roman"/>
              <w:noProof/>
              <w:sz w:val="24"/>
              <w:szCs w:val="24"/>
            </w:rPr>
          </w:pPr>
          <w:r w:rsidRPr="00187600">
            <w:rPr>
              <w:rFonts w:ascii="Times New Roman" w:hAnsi="Times New Roman" w:cs="Times New Roman"/>
              <w:b/>
              <w:bCs/>
              <w:noProof/>
              <w:sz w:val="24"/>
              <w:szCs w:val="24"/>
            </w:rPr>
            <w:fldChar w:fldCharType="end"/>
          </w:r>
        </w:p>
      </w:sdtContent>
    </w:sdt>
    <w:p w14:paraId="31E5FB3C" w14:textId="6928010E" w:rsidR="006C0532" w:rsidRPr="005F1FF6" w:rsidRDefault="00B23304" w:rsidP="005F1FF6">
      <w:pPr>
        <w:spacing w:line="240" w:lineRule="auto"/>
        <w:rPr>
          <w:rFonts w:ascii="Times New Roman" w:eastAsiaTheme="majorEastAsia" w:hAnsi="Times New Roman" w:cs="Times New Roman"/>
          <w:noProof/>
          <w:color w:val="2E74B5" w:themeColor="accent1" w:themeShade="BF"/>
          <w:sz w:val="24"/>
          <w:szCs w:val="24"/>
        </w:rPr>
      </w:pPr>
      <w:r w:rsidRPr="005E76F6">
        <w:rPr>
          <w:rFonts w:ascii="Times New Roman" w:eastAsiaTheme="majorEastAsia" w:hAnsi="Times New Roman" w:cs="Times New Roman"/>
          <w:noProof/>
          <w:color w:val="2E74B5" w:themeColor="accent1" w:themeShade="BF"/>
          <w:sz w:val="24"/>
          <w:szCs w:val="24"/>
        </w:rPr>
        <w:br w:type="column"/>
      </w:r>
    </w:p>
    <w:p w14:paraId="5EE3E7C4" w14:textId="6DEFFA8C" w:rsidR="004C22CA" w:rsidRPr="005F1FF6" w:rsidRDefault="00660BB3" w:rsidP="005F1FF6">
      <w:pPr>
        <w:pStyle w:val="Heading1"/>
        <w:spacing w:line="240" w:lineRule="auto"/>
        <w:rPr>
          <w:noProof/>
        </w:rPr>
      </w:pPr>
      <w:bookmarkStart w:id="2" w:name="_Toc146623383"/>
      <w:r w:rsidRPr="005F1FF6">
        <w:rPr>
          <w:noProof/>
        </w:rPr>
        <w:t>Introduction</w:t>
      </w:r>
      <w:bookmarkEnd w:id="2"/>
    </w:p>
    <w:p w14:paraId="2358A13F" w14:textId="00D768B5" w:rsidR="006C0532" w:rsidRPr="005F1FF6" w:rsidRDefault="006C0532" w:rsidP="005F1FF6">
      <w:pPr>
        <w:spacing w:before="120" w:after="0" w:line="240" w:lineRule="auto"/>
        <w:jc w:val="both"/>
        <w:rPr>
          <w:rFonts w:ascii="Times New Roman" w:eastAsia="Calibri" w:hAnsi="Times New Roman" w:cs="Times New Roman"/>
          <w:noProof/>
          <w:sz w:val="24"/>
          <w:szCs w:val="24"/>
        </w:rPr>
      </w:pPr>
      <w:r w:rsidRPr="005F1FF6">
        <w:rPr>
          <w:rFonts w:ascii="Times New Roman" w:hAnsi="Times New Roman" w:cs="Times New Roman"/>
          <w:bCs/>
          <w:noProof/>
          <w:sz w:val="24"/>
          <w:szCs w:val="24"/>
        </w:rPr>
        <w:t>COSME is an EU programme to improve the competitiveness</w:t>
      </w:r>
      <w:r w:rsidR="00857B57" w:rsidRPr="005F1FF6">
        <w:rPr>
          <w:rFonts w:ascii="Times New Roman" w:hAnsi="Times New Roman" w:cs="Times New Roman"/>
          <w:bCs/>
          <w:noProof/>
          <w:sz w:val="24"/>
          <w:szCs w:val="24"/>
        </w:rPr>
        <w:t xml:space="preserve"> </w:t>
      </w:r>
      <w:r w:rsidRPr="005F1FF6">
        <w:rPr>
          <w:rFonts w:ascii="Times New Roman" w:hAnsi="Times New Roman" w:cs="Times New Roman"/>
          <w:bCs/>
          <w:noProof/>
          <w:sz w:val="24"/>
          <w:szCs w:val="24"/>
        </w:rPr>
        <w:t>of enterprises, especially small and medium-sized enterprises (SMEs)</w:t>
      </w:r>
      <w:r w:rsidR="006475EB" w:rsidRPr="005F1FF6">
        <w:rPr>
          <w:rStyle w:val="FootnoteReference"/>
          <w:rFonts w:ascii="Times New Roman" w:hAnsi="Times New Roman" w:cs="Times New Roman"/>
          <w:bCs/>
          <w:noProof/>
          <w:sz w:val="24"/>
          <w:szCs w:val="24"/>
        </w:rPr>
        <w:footnoteReference w:id="1"/>
      </w:r>
      <w:r w:rsidR="000D44E9" w:rsidRPr="005F1FF6">
        <w:rPr>
          <w:rFonts w:ascii="Times New Roman" w:hAnsi="Times New Roman" w:cs="Times New Roman"/>
          <w:bCs/>
          <w:noProof/>
          <w:sz w:val="24"/>
          <w:szCs w:val="24"/>
        </w:rPr>
        <w:t>.</w:t>
      </w:r>
      <w:r w:rsidR="006475EB" w:rsidRPr="005F1FF6">
        <w:rPr>
          <w:rFonts w:ascii="Times New Roman" w:hAnsi="Times New Roman" w:cs="Times New Roman"/>
          <w:bCs/>
          <w:noProof/>
          <w:sz w:val="24"/>
          <w:szCs w:val="24"/>
        </w:rPr>
        <w:t xml:space="preserve"> It</w:t>
      </w:r>
      <w:r w:rsidRPr="005F1FF6">
        <w:rPr>
          <w:rFonts w:ascii="Times New Roman" w:eastAsia="Calibri" w:hAnsi="Times New Roman" w:cs="Times New Roman"/>
          <w:noProof/>
          <w:sz w:val="24"/>
          <w:szCs w:val="24"/>
        </w:rPr>
        <w:t xml:space="preserve"> adds value by addressing transnational issues and market failures </w:t>
      </w:r>
      <w:r w:rsidR="00857B57" w:rsidRPr="005F1FF6">
        <w:rPr>
          <w:rFonts w:ascii="Times New Roman" w:eastAsia="Calibri" w:hAnsi="Times New Roman" w:cs="Times New Roman"/>
          <w:noProof/>
          <w:sz w:val="24"/>
          <w:szCs w:val="24"/>
        </w:rPr>
        <w:t xml:space="preserve">through </w:t>
      </w:r>
      <w:r w:rsidRPr="005F1FF6">
        <w:rPr>
          <w:rFonts w:ascii="Times New Roman" w:eastAsia="Calibri" w:hAnsi="Times New Roman" w:cs="Times New Roman"/>
          <w:noProof/>
          <w:sz w:val="24"/>
          <w:szCs w:val="24"/>
        </w:rPr>
        <w:t xml:space="preserve">four </w:t>
      </w:r>
      <w:r w:rsidR="00857B57" w:rsidRPr="005F1FF6">
        <w:rPr>
          <w:rFonts w:ascii="Times New Roman" w:eastAsia="Calibri" w:hAnsi="Times New Roman" w:cs="Times New Roman"/>
          <w:noProof/>
          <w:sz w:val="24"/>
          <w:szCs w:val="24"/>
        </w:rPr>
        <w:t>specific objectives</w:t>
      </w:r>
      <w:r w:rsidRPr="005F1FF6">
        <w:rPr>
          <w:rFonts w:ascii="Times New Roman" w:eastAsia="Calibri" w:hAnsi="Times New Roman" w:cs="Times New Roman"/>
          <w:noProof/>
          <w:sz w:val="24"/>
          <w:szCs w:val="24"/>
        </w:rPr>
        <w:t>:</w:t>
      </w:r>
    </w:p>
    <w:p w14:paraId="1A2EB2C0" w14:textId="62D8887F" w:rsidR="006C0532" w:rsidRPr="005F1FF6" w:rsidRDefault="00FE2948" w:rsidP="005F1FF6">
      <w:pPr>
        <w:pStyle w:val="ListParagraph"/>
        <w:widowControl w:val="0"/>
        <w:numPr>
          <w:ilvl w:val="0"/>
          <w:numId w:val="13"/>
        </w:numPr>
        <w:autoSpaceDE w:val="0"/>
        <w:autoSpaceDN w:val="0"/>
        <w:adjustRightInd w:val="0"/>
        <w:spacing w:before="60" w:after="0" w:line="240" w:lineRule="auto"/>
        <w:jc w:val="both"/>
        <w:rPr>
          <w:rFonts w:ascii="Times New Roman" w:eastAsia="Calibri" w:hAnsi="Times New Roman" w:cs="Times New Roman"/>
          <w:noProof/>
          <w:sz w:val="24"/>
          <w:szCs w:val="24"/>
        </w:rPr>
      </w:pPr>
      <w:r w:rsidRPr="005F1FF6">
        <w:rPr>
          <w:rFonts w:ascii="Times New Roman" w:eastAsia="Calibri" w:hAnsi="Times New Roman" w:cs="Times New Roman"/>
          <w:noProof/>
          <w:sz w:val="24"/>
          <w:szCs w:val="24"/>
        </w:rPr>
        <w:t>i</w:t>
      </w:r>
      <w:r w:rsidR="006C0532" w:rsidRPr="005F1FF6">
        <w:rPr>
          <w:rFonts w:ascii="Times New Roman" w:eastAsia="Calibri" w:hAnsi="Times New Roman" w:cs="Times New Roman"/>
          <w:noProof/>
          <w:sz w:val="24"/>
          <w:szCs w:val="24"/>
        </w:rPr>
        <w:t>mproving</w:t>
      </w:r>
      <w:r w:rsidR="006C0532" w:rsidRPr="005F1FF6">
        <w:rPr>
          <w:rFonts w:ascii="Times New Roman" w:eastAsia="Calibri" w:hAnsi="Times New Roman" w:cs="Times New Roman"/>
          <w:b/>
          <w:noProof/>
          <w:sz w:val="24"/>
          <w:szCs w:val="24"/>
        </w:rPr>
        <w:t xml:space="preserve"> access to finance</w:t>
      </w:r>
      <w:r w:rsidR="006C0532" w:rsidRPr="005F1FF6">
        <w:rPr>
          <w:rFonts w:ascii="Times New Roman" w:eastAsia="Calibri" w:hAnsi="Times New Roman" w:cs="Times New Roman"/>
          <w:noProof/>
          <w:sz w:val="24"/>
          <w:szCs w:val="24"/>
        </w:rPr>
        <w:t xml:space="preserve"> for SMEs in the form of equity and debt (at least 60% of the total budget</w:t>
      </w:r>
      <w:r w:rsidR="00EC01A5" w:rsidRPr="005F1FF6">
        <w:rPr>
          <w:rFonts w:ascii="Times New Roman" w:eastAsia="Calibri" w:hAnsi="Times New Roman" w:cs="Times New Roman"/>
          <w:noProof/>
          <w:sz w:val="24"/>
          <w:szCs w:val="24"/>
        </w:rPr>
        <w:t xml:space="preserve"> </w:t>
      </w:r>
      <w:r w:rsidR="00EC01A5" w:rsidRPr="005F1FF6">
        <w:rPr>
          <w:rFonts w:ascii="Times New Roman" w:hAnsi="Times New Roman" w:cs="Times New Roman"/>
          <w:noProof/>
          <w:sz w:val="24"/>
          <w:szCs w:val="24"/>
        </w:rPr>
        <w:t>for 2014-2020</w:t>
      </w:r>
      <w:r w:rsidR="006C0532" w:rsidRPr="005F1FF6">
        <w:rPr>
          <w:rFonts w:ascii="Times New Roman" w:eastAsia="Calibri" w:hAnsi="Times New Roman" w:cs="Times New Roman"/>
          <w:noProof/>
          <w:sz w:val="24"/>
          <w:szCs w:val="24"/>
        </w:rPr>
        <w:t>);</w:t>
      </w:r>
    </w:p>
    <w:p w14:paraId="0C8C2075" w14:textId="27F95871" w:rsidR="006C0532" w:rsidRPr="005F1FF6" w:rsidRDefault="00FE2948" w:rsidP="005F1FF6">
      <w:pPr>
        <w:pStyle w:val="ListParagraph"/>
        <w:widowControl w:val="0"/>
        <w:numPr>
          <w:ilvl w:val="0"/>
          <w:numId w:val="13"/>
        </w:numPr>
        <w:autoSpaceDE w:val="0"/>
        <w:autoSpaceDN w:val="0"/>
        <w:adjustRightInd w:val="0"/>
        <w:spacing w:before="120" w:after="0" w:line="240" w:lineRule="auto"/>
        <w:jc w:val="both"/>
        <w:rPr>
          <w:rFonts w:ascii="Times New Roman" w:eastAsia="Calibri" w:hAnsi="Times New Roman" w:cs="Times New Roman"/>
          <w:noProof/>
          <w:sz w:val="24"/>
          <w:szCs w:val="24"/>
        </w:rPr>
      </w:pPr>
      <w:r w:rsidRPr="005F1FF6">
        <w:rPr>
          <w:rFonts w:ascii="Times New Roman" w:eastAsia="Calibri" w:hAnsi="Times New Roman" w:cs="Times New Roman"/>
          <w:noProof/>
          <w:sz w:val="24"/>
          <w:szCs w:val="24"/>
        </w:rPr>
        <w:t>i</w:t>
      </w:r>
      <w:r w:rsidR="006C0532" w:rsidRPr="005F1FF6">
        <w:rPr>
          <w:rFonts w:ascii="Times New Roman" w:eastAsia="Calibri" w:hAnsi="Times New Roman" w:cs="Times New Roman"/>
          <w:noProof/>
          <w:sz w:val="24"/>
          <w:szCs w:val="24"/>
        </w:rPr>
        <w:t xml:space="preserve">mproving </w:t>
      </w:r>
      <w:r w:rsidR="006C0532" w:rsidRPr="005F1FF6">
        <w:rPr>
          <w:rFonts w:ascii="Times New Roman" w:eastAsia="Calibri" w:hAnsi="Times New Roman" w:cs="Times New Roman"/>
          <w:b/>
          <w:noProof/>
          <w:sz w:val="24"/>
          <w:szCs w:val="24"/>
        </w:rPr>
        <w:t>access to markets</w:t>
      </w:r>
      <w:r w:rsidR="006C0532" w:rsidRPr="005F1FF6">
        <w:rPr>
          <w:rFonts w:ascii="Times New Roman" w:eastAsia="Calibri" w:hAnsi="Times New Roman" w:cs="Times New Roman"/>
          <w:noProof/>
          <w:sz w:val="24"/>
          <w:szCs w:val="24"/>
        </w:rPr>
        <w:t xml:space="preserve"> inside and outside the EU (21.5%);</w:t>
      </w:r>
    </w:p>
    <w:p w14:paraId="76C5DE86" w14:textId="23C2A000" w:rsidR="006C0532" w:rsidRPr="005F1FF6" w:rsidRDefault="00FE2948" w:rsidP="005F1FF6">
      <w:pPr>
        <w:pStyle w:val="ListParagraph"/>
        <w:widowControl w:val="0"/>
        <w:numPr>
          <w:ilvl w:val="0"/>
          <w:numId w:val="13"/>
        </w:numPr>
        <w:autoSpaceDE w:val="0"/>
        <w:autoSpaceDN w:val="0"/>
        <w:adjustRightInd w:val="0"/>
        <w:spacing w:before="120" w:after="0" w:line="240" w:lineRule="auto"/>
        <w:jc w:val="both"/>
        <w:rPr>
          <w:rFonts w:ascii="Times New Roman" w:eastAsia="Calibri" w:hAnsi="Times New Roman" w:cs="Times New Roman"/>
          <w:noProof/>
          <w:sz w:val="24"/>
          <w:szCs w:val="24"/>
        </w:rPr>
      </w:pPr>
      <w:r w:rsidRPr="005F1FF6">
        <w:rPr>
          <w:rFonts w:ascii="Times New Roman" w:eastAsia="Calibri" w:hAnsi="Times New Roman" w:cs="Times New Roman"/>
          <w:noProof/>
          <w:sz w:val="24"/>
          <w:szCs w:val="24"/>
        </w:rPr>
        <w:t>i</w:t>
      </w:r>
      <w:r w:rsidR="006C0532" w:rsidRPr="005F1FF6">
        <w:rPr>
          <w:rFonts w:ascii="Times New Roman" w:eastAsia="Calibri" w:hAnsi="Times New Roman" w:cs="Times New Roman"/>
          <w:noProof/>
          <w:sz w:val="24"/>
          <w:szCs w:val="24"/>
        </w:rPr>
        <w:t>mproving</w:t>
      </w:r>
      <w:r w:rsidR="00676DFD" w:rsidRPr="005F1FF6">
        <w:rPr>
          <w:rFonts w:ascii="Times New Roman" w:eastAsia="Calibri" w:hAnsi="Times New Roman" w:cs="Times New Roman"/>
          <w:b/>
          <w:noProof/>
          <w:sz w:val="24"/>
          <w:szCs w:val="24"/>
        </w:rPr>
        <w:t xml:space="preserve"> </w:t>
      </w:r>
      <w:r w:rsidR="006C0532" w:rsidRPr="005F1FF6">
        <w:rPr>
          <w:rFonts w:ascii="Times New Roman" w:eastAsia="Calibri" w:hAnsi="Times New Roman" w:cs="Times New Roman"/>
          <w:b/>
          <w:noProof/>
          <w:sz w:val="24"/>
          <w:szCs w:val="24"/>
        </w:rPr>
        <w:t>framework conditions</w:t>
      </w:r>
      <w:r w:rsidR="006C0532" w:rsidRPr="005F1FF6">
        <w:rPr>
          <w:rFonts w:ascii="Times New Roman" w:eastAsia="Calibri" w:hAnsi="Times New Roman" w:cs="Times New Roman"/>
          <w:noProof/>
          <w:sz w:val="24"/>
          <w:szCs w:val="24"/>
        </w:rPr>
        <w:t xml:space="preserve"> and </w:t>
      </w:r>
      <w:r w:rsidR="006C0532" w:rsidRPr="005F1FF6">
        <w:rPr>
          <w:rFonts w:ascii="Times New Roman" w:eastAsia="Calibri" w:hAnsi="Times New Roman" w:cs="Times New Roman"/>
          <w:b/>
          <w:noProof/>
          <w:sz w:val="24"/>
          <w:szCs w:val="24"/>
        </w:rPr>
        <w:t xml:space="preserve">competitiveness </w:t>
      </w:r>
      <w:r w:rsidR="006C0532" w:rsidRPr="005F1FF6">
        <w:rPr>
          <w:rFonts w:ascii="Times New Roman" w:eastAsia="Calibri" w:hAnsi="Times New Roman" w:cs="Times New Roman"/>
          <w:noProof/>
          <w:sz w:val="24"/>
          <w:szCs w:val="24"/>
        </w:rPr>
        <w:t>for businesses, including SMEs (11%);</w:t>
      </w:r>
    </w:p>
    <w:p w14:paraId="1FF6B976" w14:textId="7C80D545" w:rsidR="00814553" w:rsidRPr="005F1FF6" w:rsidRDefault="00FE2948" w:rsidP="005F1FF6">
      <w:pPr>
        <w:pStyle w:val="ListParagraph"/>
        <w:widowControl w:val="0"/>
        <w:numPr>
          <w:ilvl w:val="0"/>
          <w:numId w:val="13"/>
        </w:numPr>
        <w:autoSpaceDE w:val="0"/>
        <w:autoSpaceDN w:val="0"/>
        <w:adjustRightInd w:val="0"/>
        <w:spacing w:before="120" w:after="0" w:line="240" w:lineRule="auto"/>
        <w:jc w:val="both"/>
        <w:rPr>
          <w:rFonts w:ascii="Times New Roman" w:eastAsia="Calibri" w:hAnsi="Times New Roman" w:cs="Times New Roman"/>
          <w:b/>
          <w:noProof/>
          <w:sz w:val="24"/>
          <w:szCs w:val="24"/>
        </w:rPr>
      </w:pPr>
      <w:r w:rsidRPr="005F1FF6">
        <w:rPr>
          <w:rFonts w:ascii="Times New Roman" w:eastAsia="Calibri" w:hAnsi="Times New Roman" w:cs="Times New Roman"/>
          <w:noProof/>
          <w:sz w:val="24"/>
          <w:szCs w:val="24"/>
        </w:rPr>
        <w:t>p</w:t>
      </w:r>
      <w:r w:rsidR="006C0532" w:rsidRPr="005F1FF6">
        <w:rPr>
          <w:rFonts w:ascii="Times New Roman" w:eastAsia="Calibri" w:hAnsi="Times New Roman" w:cs="Times New Roman"/>
          <w:noProof/>
          <w:sz w:val="24"/>
          <w:szCs w:val="24"/>
        </w:rPr>
        <w:t>romoting</w:t>
      </w:r>
      <w:r w:rsidR="006C0532" w:rsidRPr="005F1FF6">
        <w:rPr>
          <w:rFonts w:ascii="Times New Roman" w:eastAsia="Calibri" w:hAnsi="Times New Roman" w:cs="Times New Roman"/>
          <w:b/>
          <w:noProof/>
          <w:sz w:val="24"/>
          <w:szCs w:val="24"/>
        </w:rPr>
        <w:t xml:space="preserve"> entrepreneurship</w:t>
      </w:r>
      <w:r w:rsidR="006C0532" w:rsidRPr="005F1FF6">
        <w:rPr>
          <w:rFonts w:ascii="Times New Roman" w:eastAsia="Calibri" w:hAnsi="Times New Roman" w:cs="Times New Roman"/>
          <w:noProof/>
          <w:sz w:val="24"/>
          <w:szCs w:val="24"/>
        </w:rPr>
        <w:t xml:space="preserve"> (2.5%).</w:t>
      </w:r>
    </w:p>
    <w:p w14:paraId="5FBBE040" w14:textId="7582BDE3" w:rsidR="000B4733" w:rsidRPr="005F1FF6" w:rsidRDefault="00F46F9E" w:rsidP="005F1FF6">
      <w:pPr>
        <w:spacing w:before="120" w:after="0" w:line="240" w:lineRule="auto"/>
        <w:jc w:val="both"/>
        <w:rPr>
          <w:rFonts w:ascii="Times New Roman" w:hAnsi="Times New Roman" w:cs="Times New Roman"/>
          <w:bCs/>
          <w:noProof/>
          <w:color w:val="000000" w:themeColor="text1"/>
          <w:sz w:val="24"/>
          <w:szCs w:val="24"/>
        </w:rPr>
      </w:pPr>
      <w:r w:rsidRPr="005F1FF6">
        <w:rPr>
          <w:rFonts w:ascii="Times New Roman" w:hAnsi="Times New Roman" w:cs="Times New Roman"/>
          <w:bCs/>
          <w:noProof/>
          <w:color w:val="000000" w:themeColor="text1"/>
          <w:sz w:val="24"/>
          <w:szCs w:val="24"/>
        </w:rPr>
        <w:t xml:space="preserve">The COSME programme also paid attention to </w:t>
      </w:r>
      <w:r w:rsidR="000F7481" w:rsidRPr="005F1FF6">
        <w:rPr>
          <w:rFonts w:ascii="Times New Roman" w:hAnsi="Times New Roman" w:cs="Times New Roman"/>
          <w:bCs/>
          <w:noProof/>
          <w:color w:val="000000" w:themeColor="text1"/>
          <w:sz w:val="24"/>
          <w:szCs w:val="24"/>
        </w:rPr>
        <w:t>other</w:t>
      </w:r>
      <w:r w:rsidRPr="005F1FF6">
        <w:rPr>
          <w:rFonts w:ascii="Times New Roman" w:hAnsi="Times New Roman" w:cs="Times New Roman"/>
          <w:bCs/>
          <w:noProof/>
          <w:color w:val="000000" w:themeColor="text1"/>
          <w:sz w:val="24"/>
          <w:szCs w:val="24"/>
        </w:rPr>
        <w:t xml:space="preserve"> Europe 2020 </w:t>
      </w:r>
      <w:r w:rsidR="005B321D" w:rsidRPr="005F1FF6">
        <w:rPr>
          <w:rFonts w:ascii="Times New Roman" w:hAnsi="Times New Roman" w:cs="Times New Roman"/>
          <w:bCs/>
          <w:noProof/>
          <w:color w:val="000000" w:themeColor="text1"/>
          <w:sz w:val="24"/>
          <w:szCs w:val="24"/>
        </w:rPr>
        <w:t>Strategy</w:t>
      </w:r>
      <w:r w:rsidR="000F7481" w:rsidRPr="005F1FF6">
        <w:rPr>
          <w:rFonts w:ascii="Times New Roman" w:hAnsi="Times New Roman" w:cs="Times New Roman"/>
          <w:bCs/>
          <w:noProof/>
          <w:color w:val="000000" w:themeColor="text1"/>
          <w:sz w:val="24"/>
          <w:szCs w:val="24"/>
        </w:rPr>
        <w:t xml:space="preserve"> priorities</w:t>
      </w:r>
      <w:r w:rsidR="005B321D" w:rsidRPr="005F1FF6">
        <w:rPr>
          <w:rStyle w:val="FootnoteReference"/>
          <w:rFonts w:ascii="Times New Roman" w:hAnsi="Times New Roman" w:cs="Times New Roman"/>
          <w:noProof/>
          <w:sz w:val="24"/>
          <w:szCs w:val="24"/>
        </w:rPr>
        <w:footnoteReference w:id="2"/>
      </w:r>
      <w:r w:rsidRPr="005F1FF6">
        <w:rPr>
          <w:rFonts w:ascii="Times New Roman" w:hAnsi="Times New Roman" w:cs="Times New Roman"/>
          <w:bCs/>
          <w:noProof/>
          <w:color w:val="000000" w:themeColor="text1"/>
          <w:sz w:val="24"/>
          <w:szCs w:val="24"/>
          <w:vertAlign w:val="superscript"/>
        </w:rPr>
        <w:t xml:space="preserve"> </w:t>
      </w:r>
      <w:r w:rsidRPr="005F1FF6">
        <w:rPr>
          <w:rFonts w:ascii="Times New Roman" w:hAnsi="Times New Roman" w:cs="Times New Roman"/>
          <w:bCs/>
          <w:noProof/>
          <w:color w:val="000000" w:themeColor="text1"/>
          <w:sz w:val="24"/>
          <w:szCs w:val="24"/>
        </w:rPr>
        <w:t>such as helping SMEs to benefit from innovation, access to skills and training, and the role that SMEs can play in social cohesion</w:t>
      </w:r>
      <w:r w:rsidR="000F7481" w:rsidRPr="005F1FF6">
        <w:rPr>
          <w:rFonts w:ascii="Times New Roman" w:hAnsi="Times New Roman" w:cs="Times New Roman"/>
          <w:bCs/>
          <w:noProof/>
          <w:color w:val="000000" w:themeColor="text1"/>
          <w:sz w:val="24"/>
          <w:szCs w:val="24"/>
        </w:rPr>
        <w:t xml:space="preserve"> (</w:t>
      </w:r>
      <w:r w:rsidR="00007BBE" w:rsidRPr="005F1FF6">
        <w:rPr>
          <w:rFonts w:ascii="Times New Roman" w:hAnsi="Times New Roman" w:cs="Times New Roman"/>
          <w:bCs/>
          <w:noProof/>
          <w:color w:val="000000" w:themeColor="text1"/>
          <w:sz w:val="24"/>
          <w:szCs w:val="24"/>
        </w:rPr>
        <w:t>by supporting</w:t>
      </w:r>
      <w:r w:rsidRPr="005F1FF6">
        <w:rPr>
          <w:rFonts w:ascii="Times New Roman" w:hAnsi="Times New Roman" w:cs="Times New Roman"/>
          <w:bCs/>
          <w:noProof/>
          <w:color w:val="000000" w:themeColor="text1"/>
          <w:sz w:val="24"/>
          <w:szCs w:val="24"/>
        </w:rPr>
        <w:t xml:space="preserve"> </w:t>
      </w:r>
      <w:r w:rsidR="005B321D" w:rsidRPr="005F1FF6">
        <w:rPr>
          <w:rFonts w:ascii="Times New Roman" w:hAnsi="Times New Roman" w:cs="Times New Roman"/>
          <w:bCs/>
          <w:noProof/>
          <w:color w:val="000000" w:themeColor="text1"/>
          <w:sz w:val="24"/>
          <w:szCs w:val="24"/>
        </w:rPr>
        <w:t xml:space="preserve">social economy </w:t>
      </w:r>
      <w:r w:rsidRPr="005F1FF6">
        <w:rPr>
          <w:rFonts w:ascii="Times New Roman" w:hAnsi="Times New Roman" w:cs="Times New Roman"/>
          <w:bCs/>
          <w:noProof/>
          <w:color w:val="000000" w:themeColor="text1"/>
          <w:sz w:val="24"/>
          <w:szCs w:val="24"/>
        </w:rPr>
        <w:t xml:space="preserve">and </w:t>
      </w:r>
      <w:r w:rsidR="000F7481" w:rsidRPr="005F1FF6">
        <w:rPr>
          <w:rFonts w:ascii="Times New Roman" w:hAnsi="Times New Roman" w:cs="Times New Roman"/>
          <w:bCs/>
          <w:noProof/>
          <w:color w:val="000000" w:themeColor="text1"/>
          <w:sz w:val="24"/>
          <w:szCs w:val="24"/>
        </w:rPr>
        <w:t>young and female entrepreneurs)</w:t>
      </w:r>
      <w:r w:rsidRPr="005F1FF6">
        <w:rPr>
          <w:rFonts w:ascii="Times New Roman" w:hAnsi="Times New Roman" w:cs="Times New Roman"/>
          <w:bCs/>
          <w:noProof/>
          <w:color w:val="000000" w:themeColor="text1"/>
          <w:sz w:val="24"/>
          <w:szCs w:val="24"/>
        </w:rPr>
        <w:t>.</w:t>
      </w:r>
    </w:p>
    <w:p w14:paraId="270255DC" w14:textId="7FF34FDE" w:rsidR="000D0736" w:rsidRPr="005F1FF6" w:rsidRDefault="00B04C3C" w:rsidP="005F1FF6">
      <w:pPr>
        <w:spacing w:before="120" w:after="0" w:line="240" w:lineRule="auto"/>
        <w:jc w:val="both"/>
        <w:rPr>
          <w:rFonts w:ascii="Times New Roman" w:hAnsi="Times New Roman" w:cs="Times New Roman"/>
          <w:bCs/>
          <w:iCs/>
          <w:noProof/>
          <w:color w:val="000000" w:themeColor="text1"/>
          <w:sz w:val="24"/>
          <w:szCs w:val="24"/>
          <w:lang w:eastAsia="fr-FR"/>
        </w:rPr>
      </w:pPr>
      <w:r w:rsidRPr="005F1FF6">
        <w:rPr>
          <w:rFonts w:ascii="Times New Roman" w:hAnsi="Times New Roman" w:cs="Times New Roman"/>
          <w:bCs/>
          <w:noProof/>
          <w:color w:val="000000" w:themeColor="text1"/>
          <w:sz w:val="24"/>
          <w:szCs w:val="24"/>
        </w:rPr>
        <w:t xml:space="preserve">Many </w:t>
      </w:r>
      <w:r w:rsidRPr="005F1FF6">
        <w:rPr>
          <w:rFonts w:ascii="Times New Roman" w:hAnsi="Times New Roman" w:cs="Times New Roman"/>
          <w:b/>
          <w:bCs/>
          <w:noProof/>
          <w:color w:val="000000" w:themeColor="text1"/>
          <w:sz w:val="24"/>
          <w:szCs w:val="24"/>
        </w:rPr>
        <w:t>s</w:t>
      </w:r>
      <w:r w:rsidR="000B4733" w:rsidRPr="005F1FF6">
        <w:rPr>
          <w:rFonts w:ascii="Times New Roman" w:hAnsi="Times New Roman" w:cs="Times New Roman"/>
          <w:b/>
          <w:bCs/>
          <w:noProof/>
          <w:color w:val="000000" w:themeColor="text1"/>
          <w:sz w:val="24"/>
          <w:szCs w:val="24"/>
        </w:rPr>
        <w:t>ynergies</w:t>
      </w:r>
      <w:r w:rsidR="000B4733" w:rsidRPr="005F1FF6">
        <w:rPr>
          <w:rFonts w:ascii="Times New Roman" w:hAnsi="Times New Roman" w:cs="Times New Roman"/>
          <w:bCs/>
          <w:noProof/>
          <w:color w:val="000000" w:themeColor="text1"/>
          <w:sz w:val="24"/>
          <w:szCs w:val="24"/>
        </w:rPr>
        <w:t xml:space="preserve"> were developed </w:t>
      </w:r>
      <w:r w:rsidR="000B4733" w:rsidRPr="005F1FF6">
        <w:rPr>
          <w:rFonts w:ascii="Times New Roman" w:hAnsi="Times New Roman" w:cs="Times New Roman"/>
          <w:b/>
          <w:bCs/>
          <w:noProof/>
          <w:color w:val="000000" w:themeColor="text1"/>
          <w:sz w:val="24"/>
          <w:szCs w:val="24"/>
        </w:rPr>
        <w:t>between COSME and other</w:t>
      </w:r>
      <w:r w:rsidR="00804F60" w:rsidRPr="005F1FF6">
        <w:rPr>
          <w:rFonts w:ascii="Times New Roman" w:hAnsi="Times New Roman" w:cs="Times New Roman"/>
          <w:b/>
          <w:noProof/>
          <w:color w:val="000000" w:themeColor="text1"/>
          <w:sz w:val="24"/>
          <w:szCs w:val="24"/>
        </w:rPr>
        <w:t xml:space="preserve"> EU programmes relevant to SMEs</w:t>
      </w:r>
      <w:r w:rsidR="006C5C40"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One</w:t>
      </w:r>
      <w:r w:rsidR="006C5C40" w:rsidRPr="005F1FF6">
        <w:rPr>
          <w:rFonts w:ascii="Times New Roman" w:hAnsi="Times New Roman" w:cs="Times New Roman"/>
          <w:noProof/>
          <w:color w:val="000000" w:themeColor="text1"/>
          <w:sz w:val="24"/>
          <w:szCs w:val="24"/>
        </w:rPr>
        <w:t xml:space="preserve"> example</w:t>
      </w:r>
      <w:r w:rsidRPr="005F1FF6">
        <w:rPr>
          <w:rFonts w:ascii="Times New Roman" w:hAnsi="Times New Roman" w:cs="Times New Roman"/>
          <w:noProof/>
          <w:color w:val="000000" w:themeColor="text1"/>
          <w:sz w:val="24"/>
          <w:szCs w:val="24"/>
        </w:rPr>
        <w:t xml:space="preserve"> is </w:t>
      </w:r>
      <w:r w:rsidR="006C5C40" w:rsidRPr="005F1FF6">
        <w:rPr>
          <w:rFonts w:ascii="Times New Roman" w:hAnsi="Times New Roman" w:cs="Times New Roman"/>
          <w:noProof/>
          <w:color w:val="000000" w:themeColor="text1"/>
          <w:sz w:val="24"/>
          <w:szCs w:val="24"/>
        </w:rPr>
        <w:t xml:space="preserve">the </w:t>
      </w:r>
      <w:r w:rsidR="00BD0576" w:rsidRPr="005F1FF6">
        <w:rPr>
          <w:rFonts w:ascii="Times New Roman" w:hAnsi="Times New Roman" w:cs="Times New Roman"/>
          <w:noProof/>
          <w:color w:val="000000" w:themeColor="text1"/>
          <w:sz w:val="24"/>
          <w:szCs w:val="24"/>
        </w:rPr>
        <w:t xml:space="preserve">COSME </w:t>
      </w:r>
      <w:r w:rsidR="006C5C40" w:rsidRPr="005F1FF6">
        <w:rPr>
          <w:rFonts w:ascii="Times New Roman" w:hAnsi="Times New Roman" w:cs="Times New Roman"/>
          <w:noProof/>
          <w:color w:val="000000" w:themeColor="text1"/>
          <w:sz w:val="24"/>
          <w:szCs w:val="24"/>
        </w:rPr>
        <w:t>financial instruments</w:t>
      </w:r>
      <w:r w:rsidR="00BD0576"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that were r</w:t>
      </w:r>
      <w:r w:rsidR="00FE2948" w:rsidRPr="005F1FF6">
        <w:rPr>
          <w:rFonts w:ascii="Times New Roman" w:hAnsi="Times New Roman" w:cs="Times New Roman"/>
          <w:noProof/>
          <w:color w:val="000000" w:themeColor="text1"/>
          <w:sz w:val="24"/>
          <w:szCs w:val="24"/>
        </w:rPr>
        <w:t>u</w:t>
      </w:r>
      <w:r w:rsidRPr="005F1FF6">
        <w:rPr>
          <w:rFonts w:ascii="Times New Roman" w:hAnsi="Times New Roman" w:cs="Times New Roman"/>
          <w:noProof/>
          <w:color w:val="000000" w:themeColor="text1"/>
          <w:sz w:val="24"/>
          <w:szCs w:val="24"/>
        </w:rPr>
        <w:t>n in close cooperation with the</w:t>
      </w:r>
      <w:r w:rsidR="00BD0576" w:rsidRPr="005F1FF6">
        <w:rPr>
          <w:rFonts w:ascii="Times New Roman" w:hAnsi="Times New Roman" w:cs="Times New Roman"/>
          <w:noProof/>
          <w:color w:val="000000" w:themeColor="text1"/>
          <w:sz w:val="24"/>
          <w:szCs w:val="24"/>
        </w:rPr>
        <w:t xml:space="preserve"> European Fund for Strategic Investments (EFSI)</w:t>
      </w:r>
      <w:r w:rsidR="00BD0576" w:rsidRPr="005F1FF6">
        <w:rPr>
          <w:rStyle w:val="FootnoteReference"/>
          <w:rFonts w:ascii="Times New Roman" w:hAnsi="Times New Roman" w:cs="Times New Roman"/>
          <w:noProof/>
          <w:color w:val="000000" w:themeColor="text1"/>
          <w:sz w:val="24"/>
          <w:szCs w:val="24"/>
        </w:rPr>
        <w:footnoteReference w:id="3"/>
      </w:r>
      <w:r w:rsidR="000B4733" w:rsidRPr="005F1FF6">
        <w:rPr>
          <w:rFonts w:ascii="Times New Roman" w:hAnsi="Times New Roman" w:cs="Times New Roman"/>
          <w:noProof/>
          <w:color w:val="000000" w:themeColor="text1"/>
          <w:sz w:val="24"/>
          <w:szCs w:val="24"/>
        </w:rPr>
        <w:t xml:space="preserve"> </w:t>
      </w:r>
      <w:r w:rsidR="00BD0576" w:rsidRPr="005F1FF6">
        <w:rPr>
          <w:rFonts w:ascii="Times New Roman" w:hAnsi="Times New Roman" w:cs="Times New Roman"/>
          <w:noProof/>
          <w:color w:val="000000" w:themeColor="text1"/>
          <w:sz w:val="24"/>
          <w:szCs w:val="24"/>
        </w:rPr>
        <w:t>and the</w:t>
      </w:r>
      <w:r w:rsidR="006C5C40" w:rsidRPr="005F1FF6">
        <w:rPr>
          <w:rFonts w:ascii="Times New Roman" w:hAnsi="Times New Roman" w:cs="Times New Roman"/>
          <w:noProof/>
          <w:color w:val="000000" w:themeColor="text1"/>
          <w:sz w:val="24"/>
          <w:szCs w:val="24"/>
        </w:rPr>
        <w:t xml:space="preserve"> Horizon 2020</w:t>
      </w:r>
      <w:r w:rsidR="00BD0576" w:rsidRPr="005F1FF6">
        <w:rPr>
          <w:rFonts w:ascii="Times New Roman" w:hAnsi="Times New Roman" w:cs="Times New Roman"/>
          <w:noProof/>
          <w:color w:val="000000" w:themeColor="text1"/>
          <w:sz w:val="24"/>
          <w:szCs w:val="24"/>
        </w:rPr>
        <w:t xml:space="preserve"> financial instruments</w:t>
      </w:r>
      <w:r w:rsidR="00FE2948" w:rsidRPr="005F1FF6">
        <w:rPr>
          <w:rFonts w:ascii="Times New Roman" w:hAnsi="Times New Roman" w:cs="Times New Roman"/>
          <w:noProof/>
          <w:color w:val="000000" w:themeColor="text1"/>
          <w:sz w:val="24"/>
          <w:szCs w:val="24"/>
        </w:rPr>
        <w:t>)</w:t>
      </w:r>
      <w:r w:rsidR="006C5C40" w:rsidRPr="005F1FF6">
        <w:rPr>
          <w:rStyle w:val="FootnoteReference"/>
          <w:rFonts w:ascii="Times New Roman" w:hAnsi="Times New Roman" w:cs="Times New Roman"/>
          <w:noProof/>
          <w:color w:val="000000" w:themeColor="text1"/>
          <w:sz w:val="24"/>
          <w:szCs w:val="24"/>
        </w:rPr>
        <w:footnoteReference w:id="4"/>
      </w:r>
      <w:r w:rsidR="006C5C40" w:rsidRPr="005F1FF6">
        <w:rPr>
          <w:rFonts w:ascii="Times New Roman" w:hAnsi="Times New Roman" w:cs="Times New Roman"/>
          <w:noProof/>
          <w:color w:val="000000" w:themeColor="text1"/>
          <w:sz w:val="24"/>
          <w:szCs w:val="24"/>
        </w:rPr>
        <w:t>.</w:t>
      </w:r>
      <w:r w:rsidR="000D0736" w:rsidRPr="005F1FF6">
        <w:rPr>
          <w:rFonts w:ascii="Times New Roman" w:hAnsi="Times New Roman" w:cs="Times New Roman"/>
          <w:noProof/>
          <w:color w:val="000000" w:themeColor="text1"/>
          <w:sz w:val="24"/>
          <w:szCs w:val="24"/>
        </w:rPr>
        <w:t xml:space="preserve"> </w:t>
      </w:r>
      <w:r w:rsidR="000B4733" w:rsidRPr="005F1FF6">
        <w:rPr>
          <w:rFonts w:ascii="Times New Roman" w:hAnsi="Times New Roman" w:cs="Times New Roman"/>
          <w:noProof/>
          <w:color w:val="000000" w:themeColor="text1"/>
          <w:sz w:val="24"/>
          <w:szCs w:val="24"/>
        </w:rPr>
        <w:t>T</w:t>
      </w:r>
      <w:r w:rsidR="000D0736" w:rsidRPr="005F1FF6">
        <w:rPr>
          <w:rFonts w:ascii="Times New Roman" w:hAnsi="Times New Roman" w:cs="Times New Roman"/>
          <w:noProof/>
          <w:color w:val="000000" w:themeColor="text1"/>
          <w:sz w:val="24"/>
          <w:szCs w:val="24"/>
        </w:rPr>
        <w:t>he Enterprise Europe Network ha</w:t>
      </w:r>
      <w:r w:rsidR="000B4733" w:rsidRPr="005F1FF6">
        <w:rPr>
          <w:rFonts w:ascii="Times New Roman" w:hAnsi="Times New Roman" w:cs="Times New Roman"/>
          <w:noProof/>
          <w:color w:val="000000" w:themeColor="text1"/>
          <w:sz w:val="24"/>
          <w:szCs w:val="24"/>
        </w:rPr>
        <w:t>s</w:t>
      </w:r>
      <w:r w:rsidR="000D0736" w:rsidRPr="005F1FF6">
        <w:rPr>
          <w:rFonts w:ascii="Times New Roman" w:hAnsi="Times New Roman" w:cs="Times New Roman"/>
          <w:noProof/>
          <w:color w:val="000000" w:themeColor="text1"/>
          <w:sz w:val="24"/>
          <w:szCs w:val="24"/>
        </w:rPr>
        <w:t xml:space="preserve"> developed synergies with various EU programmes including Horizon 2020</w:t>
      </w:r>
      <w:r w:rsidRPr="005F1FF6">
        <w:rPr>
          <w:rFonts w:ascii="Times New Roman" w:hAnsi="Times New Roman" w:cs="Times New Roman"/>
          <w:noProof/>
          <w:color w:val="000000" w:themeColor="text1"/>
          <w:sz w:val="24"/>
          <w:szCs w:val="24"/>
        </w:rPr>
        <w:t xml:space="preserve"> for service delivery and for training the network</w:t>
      </w:r>
      <w:r w:rsidR="000B4733"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There is also</w:t>
      </w:r>
      <w:r w:rsidR="000B4733" w:rsidRPr="005F1FF6">
        <w:rPr>
          <w:rFonts w:ascii="Times New Roman" w:hAnsi="Times New Roman" w:cs="Times New Roman"/>
          <w:noProof/>
          <w:color w:val="000000" w:themeColor="text1"/>
          <w:sz w:val="24"/>
          <w:szCs w:val="24"/>
        </w:rPr>
        <w:t xml:space="preserve"> good cooperation between the </w:t>
      </w:r>
      <w:r w:rsidR="00792565" w:rsidRPr="005F1FF6">
        <w:rPr>
          <w:rFonts w:ascii="Times New Roman" w:hAnsi="Times New Roman" w:cs="Times New Roman"/>
          <w:noProof/>
          <w:color w:val="000000" w:themeColor="text1"/>
          <w:sz w:val="24"/>
          <w:szCs w:val="24"/>
        </w:rPr>
        <w:t>i</w:t>
      </w:r>
      <w:r w:rsidR="00007BBE" w:rsidRPr="005F1FF6">
        <w:rPr>
          <w:rFonts w:ascii="Times New Roman" w:hAnsi="Times New Roman" w:cs="Times New Roman"/>
          <w:noProof/>
          <w:color w:val="000000" w:themeColor="text1"/>
          <w:sz w:val="24"/>
          <w:szCs w:val="24"/>
        </w:rPr>
        <w:t xml:space="preserve">nternational IP </w:t>
      </w:r>
      <w:r w:rsidR="00792565" w:rsidRPr="005F1FF6">
        <w:rPr>
          <w:rFonts w:ascii="Times New Roman" w:hAnsi="Times New Roman" w:cs="Times New Roman"/>
          <w:noProof/>
          <w:color w:val="000000" w:themeColor="text1"/>
          <w:sz w:val="24"/>
          <w:szCs w:val="24"/>
        </w:rPr>
        <w:t>h</w:t>
      </w:r>
      <w:r w:rsidR="00007BBE" w:rsidRPr="005F1FF6">
        <w:rPr>
          <w:rFonts w:ascii="Times New Roman" w:hAnsi="Times New Roman" w:cs="Times New Roman"/>
          <w:noProof/>
          <w:color w:val="000000" w:themeColor="text1"/>
          <w:sz w:val="24"/>
          <w:szCs w:val="24"/>
        </w:rPr>
        <w:t xml:space="preserve">elpdesks </w:t>
      </w:r>
      <w:r w:rsidR="000B4733" w:rsidRPr="005F1FF6">
        <w:rPr>
          <w:rFonts w:ascii="Times New Roman" w:hAnsi="Times New Roman" w:cs="Times New Roman"/>
          <w:noProof/>
          <w:color w:val="000000" w:themeColor="text1"/>
          <w:sz w:val="24"/>
          <w:szCs w:val="24"/>
        </w:rPr>
        <w:t>and</w:t>
      </w:r>
      <w:r w:rsidR="00007BBE" w:rsidRPr="005F1FF6">
        <w:rPr>
          <w:rFonts w:ascii="Times New Roman" w:hAnsi="Times New Roman" w:cs="Times New Roman"/>
          <w:noProof/>
          <w:color w:val="000000" w:themeColor="text1"/>
          <w:sz w:val="24"/>
          <w:szCs w:val="24"/>
        </w:rPr>
        <w:t xml:space="preserve"> IP </w:t>
      </w:r>
      <w:r w:rsidR="00792565" w:rsidRPr="005F1FF6">
        <w:rPr>
          <w:rFonts w:ascii="Times New Roman" w:hAnsi="Times New Roman" w:cs="Times New Roman"/>
          <w:noProof/>
          <w:color w:val="000000" w:themeColor="text1"/>
          <w:sz w:val="24"/>
          <w:szCs w:val="24"/>
        </w:rPr>
        <w:t>h</w:t>
      </w:r>
      <w:r w:rsidR="00007BBE" w:rsidRPr="005F1FF6">
        <w:rPr>
          <w:rFonts w:ascii="Times New Roman" w:hAnsi="Times New Roman" w:cs="Times New Roman"/>
          <w:noProof/>
          <w:color w:val="000000" w:themeColor="text1"/>
          <w:sz w:val="24"/>
          <w:szCs w:val="24"/>
        </w:rPr>
        <w:t>elpdesks supported under other EU programmes</w:t>
      </w:r>
      <w:r w:rsidR="000D0736" w:rsidRPr="005F1FF6">
        <w:rPr>
          <w:rFonts w:ascii="Times New Roman" w:hAnsi="Times New Roman" w:cs="Times New Roman"/>
          <w:noProof/>
          <w:color w:val="000000" w:themeColor="text1"/>
          <w:sz w:val="24"/>
          <w:szCs w:val="24"/>
        </w:rPr>
        <w:t>.</w:t>
      </w:r>
      <w:r w:rsidR="00EF313A"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Another example is t</w:t>
      </w:r>
      <w:r w:rsidR="000B4733" w:rsidRPr="005F1FF6">
        <w:rPr>
          <w:rFonts w:ascii="Times New Roman" w:hAnsi="Times New Roman" w:cs="Times New Roman"/>
          <w:noProof/>
          <w:color w:val="000000" w:themeColor="text1"/>
          <w:sz w:val="24"/>
          <w:szCs w:val="24"/>
        </w:rPr>
        <w:t>he</w:t>
      </w:r>
      <w:r w:rsidRPr="005F1FF6">
        <w:rPr>
          <w:rFonts w:ascii="Times New Roman" w:hAnsi="Times New Roman" w:cs="Times New Roman"/>
          <w:noProof/>
          <w:color w:val="000000" w:themeColor="text1"/>
          <w:sz w:val="24"/>
          <w:szCs w:val="24"/>
        </w:rPr>
        <w:t xml:space="preserve"> monitoring tool developed under </w:t>
      </w:r>
      <w:r w:rsidR="00FE2948" w:rsidRPr="005F1FF6">
        <w:rPr>
          <w:rFonts w:ascii="Times New Roman" w:hAnsi="Times New Roman" w:cs="Times New Roman"/>
          <w:noProof/>
          <w:color w:val="000000" w:themeColor="text1"/>
          <w:sz w:val="24"/>
          <w:szCs w:val="24"/>
        </w:rPr>
        <w:t>‘</w:t>
      </w:r>
      <w:r w:rsidR="007D21B6" w:rsidRPr="005F1FF6">
        <w:rPr>
          <w:rFonts w:ascii="Times New Roman" w:hAnsi="Times New Roman" w:cs="Times New Roman"/>
          <w:noProof/>
          <w:color w:val="000000" w:themeColor="text1"/>
          <w:sz w:val="24"/>
          <w:szCs w:val="24"/>
        </w:rPr>
        <w:t xml:space="preserve">Initiatives for a Built </w:t>
      </w:r>
      <w:r w:rsidR="004614B7" w:rsidRPr="005F1FF6">
        <w:rPr>
          <w:rFonts w:ascii="Times New Roman" w:hAnsi="Times New Roman" w:cs="Times New Roman"/>
          <w:noProof/>
          <w:color w:val="000000" w:themeColor="text1"/>
          <w:sz w:val="24"/>
          <w:szCs w:val="24"/>
        </w:rPr>
        <w:t>E</w:t>
      </w:r>
      <w:r w:rsidR="007D21B6" w:rsidRPr="005F1FF6">
        <w:rPr>
          <w:rFonts w:ascii="Times New Roman" w:hAnsi="Times New Roman" w:cs="Times New Roman"/>
          <w:noProof/>
          <w:color w:val="000000" w:themeColor="text1"/>
          <w:sz w:val="24"/>
          <w:szCs w:val="24"/>
        </w:rPr>
        <w:t>nvironment</w:t>
      </w:r>
      <w:r w:rsidR="00FE2948" w:rsidRPr="005F1FF6">
        <w:rPr>
          <w:rFonts w:ascii="Times New Roman" w:hAnsi="Times New Roman" w:cs="Times New Roman"/>
          <w:noProof/>
          <w:color w:val="000000" w:themeColor="text1"/>
          <w:sz w:val="24"/>
          <w:szCs w:val="24"/>
        </w:rPr>
        <w:t>’</w:t>
      </w:r>
      <w:r w:rsidR="000B4733" w:rsidRPr="005F1FF6">
        <w:rPr>
          <w:rFonts w:ascii="Times New Roman" w:hAnsi="Times New Roman" w:cs="Times New Roman"/>
          <w:noProof/>
          <w:color w:val="000000" w:themeColor="text1"/>
          <w:sz w:val="24"/>
          <w:szCs w:val="24"/>
        </w:rPr>
        <w:t xml:space="preserve"> </w:t>
      </w:r>
      <w:r w:rsidR="009A60E8" w:rsidRPr="005F1FF6">
        <w:rPr>
          <w:rFonts w:ascii="Times New Roman" w:hAnsi="Times New Roman" w:cs="Times New Roman"/>
          <w:noProof/>
          <w:color w:val="000000" w:themeColor="text1"/>
          <w:sz w:val="24"/>
          <w:szCs w:val="24"/>
        </w:rPr>
        <w:t xml:space="preserve">that </w:t>
      </w:r>
      <w:r w:rsidR="000B4733" w:rsidRPr="005F1FF6">
        <w:rPr>
          <w:rFonts w:ascii="Times New Roman" w:hAnsi="Times New Roman" w:cs="Times New Roman"/>
          <w:noProof/>
          <w:color w:val="000000" w:themeColor="text1"/>
          <w:sz w:val="24"/>
          <w:szCs w:val="24"/>
        </w:rPr>
        <w:t xml:space="preserve">facilitates the monitoring of construction actions in </w:t>
      </w:r>
      <w:r w:rsidR="00972745" w:rsidRPr="005F1FF6">
        <w:rPr>
          <w:rFonts w:ascii="Times New Roman" w:hAnsi="Times New Roman" w:cs="Times New Roman"/>
          <w:noProof/>
          <w:color w:val="000000" w:themeColor="text1"/>
          <w:sz w:val="24"/>
          <w:szCs w:val="24"/>
        </w:rPr>
        <w:t>n</w:t>
      </w:r>
      <w:r w:rsidR="000B4733" w:rsidRPr="005F1FF6">
        <w:rPr>
          <w:rFonts w:ascii="Times New Roman" w:hAnsi="Times New Roman" w:cs="Times New Roman"/>
          <w:noProof/>
          <w:color w:val="000000" w:themeColor="text1"/>
          <w:sz w:val="24"/>
          <w:szCs w:val="24"/>
        </w:rPr>
        <w:t xml:space="preserve">ational </w:t>
      </w:r>
      <w:r w:rsidR="00972745" w:rsidRPr="005F1FF6">
        <w:rPr>
          <w:rFonts w:ascii="Times New Roman" w:hAnsi="Times New Roman" w:cs="Times New Roman"/>
          <w:noProof/>
          <w:color w:val="000000" w:themeColor="text1"/>
          <w:sz w:val="24"/>
          <w:szCs w:val="24"/>
        </w:rPr>
        <w:t>r</w:t>
      </w:r>
      <w:r w:rsidR="000B4733" w:rsidRPr="005F1FF6">
        <w:rPr>
          <w:rFonts w:ascii="Times New Roman" w:hAnsi="Times New Roman" w:cs="Times New Roman"/>
          <w:noProof/>
          <w:color w:val="000000" w:themeColor="text1"/>
          <w:sz w:val="24"/>
          <w:szCs w:val="24"/>
        </w:rPr>
        <w:t xml:space="preserve">ecovery and </w:t>
      </w:r>
      <w:r w:rsidR="00972745" w:rsidRPr="005F1FF6">
        <w:rPr>
          <w:rFonts w:ascii="Times New Roman" w:hAnsi="Times New Roman" w:cs="Times New Roman"/>
          <w:noProof/>
          <w:color w:val="000000" w:themeColor="text1"/>
          <w:sz w:val="24"/>
          <w:szCs w:val="24"/>
        </w:rPr>
        <w:t>r</w:t>
      </w:r>
      <w:r w:rsidR="000B4733" w:rsidRPr="005F1FF6">
        <w:rPr>
          <w:rFonts w:ascii="Times New Roman" w:hAnsi="Times New Roman" w:cs="Times New Roman"/>
          <w:noProof/>
          <w:color w:val="000000" w:themeColor="text1"/>
          <w:sz w:val="24"/>
          <w:szCs w:val="24"/>
        </w:rPr>
        <w:t xml:space="preserve">esilience </w:t>
      </w:r>
      <w:r w:rsidR="00972745" w:rsidRPr="005F1FF6">
        <w:rPr>
          <w:rFonts w:ascii="Times New Roman" w:hAnsi="Times New Roman" w:cs="Times New Roman"/>
          <w:noProof/>
          <w:color w:val="000000" w:themeColor="text1"/>
          <w:sz w:val="24"/>
          <w:szCs w:val="24"/>
        </w:rPr>
        <w:t>p</w:t>
      </w:r>
      <w:r w:rsidR="000B4733" w:rsidRPr="005F1FF6">
        <w:rPr>
          <w:rFonts w:ascii="Times New Roman" w:hAnsi="Times New Roman" w:cs="Times New Roman"/>
          <w:noProof/>
          <w:color w:val="000000" w:themeColor="text1"/>
          <w:sz w:val="24"/>
          <w:szCs w:val="24"/>
        </w:rPr>
        <w:t>lans</w:t>
      </w:r>
      <w:r w:rsidR="00EF313A" w:rsidRPr="005F1FF6">
        <w:rPr>
          <w:rFonts w:ascii="Times New Roman" w:hAnsi="Times New Roman" w:cs="Times New Roman"/>
          <w:noProof/>
          <w:color w:val="000000" w:themeColor="text1"/>
          <w:sz w:val="24"/>
          <w:szCs w:val="24"/>
        </w:rPr>
        <w:t>.</w:t>
      </w:r>
    </w:p>
    <w:p w14:paraId="5735A43B" w14:textId="13DE81BC" w:rsidR="00814553" w:rsidRPr="005F1FF6" w:rsidRDefault="00814553" w:rsidP="005F1FF6">
      <w:pPr>
        <w:spacing w:before="120" w:after="0" w:line="240" w:lineRule="auto"/>
        <w:jc w:val="both"/>
        <w:rPr>
          <w:rFonts w:ascii="Times New Roman" w:hAnsi="Times New Roman" w:cs="Times New Roman"/>
          <w:bCs/>
          <w:noProof/>
          <w:color w:val="000000" w:themeColor="text1"/>
          <w:sz w:val="24"/>
          <w:szCs w:val="24"/>
        </w:rPr>
      </w:pPr>
      <w:r w:rsidRPr="005F1FF6">
        <w:rPr>
          <w:rFonts w:ascii="Times New Roman" w:hAnsi="Times New Roman" w:cs="Times New Roman"/>
          <w:bCs/>
          <w:noProof/>
          <w:color w:val="000000" w:themeColor="text1"/>
          <w:sz w:val="24"/>
          <w:szCs w:val="24"/>
        </w:rPr>
        <w:t xml:space="preserve">The </w:t>
      </w:r>
      <w:r w:rsidR="00744631" w:rsidRPr="005F1FF6">
        <w:rPr>
          <w:rFonts w:ascii="Times New Roman" w:hAnsi="Times New Roman" w:cs="Times New Roman"/>
          <w:bCs/>
          <w:noProof/>
          <w:color w:val="000000" w:themeColor="text1"/>
          <w:sz w:val="24"/>
          <w:szCs w:val="24"/>
        </w:rPr>
        <w:t>20</w:t>
      </w:r>
      <w:r w:rsidR="006314BD" w:rsidRPr="005F1FF6">
        <w:rPr>
          <w:rFonts w:ascii="Times New Roman" w:hAnsi="Times New Roman" w:cs="Times New Roman"/>
          <w:bCs/>
          <w:noProof/>
          <w:color w:val="000000" w:themeColor="text1"/>
          <w:sz w:val="24"/>
          <w:szCs w:val="24"/>
        </w:rPr>
        <w:t>20</w:t>
      </w:r>
      <w:r w:rsidR="00744631" w:rsidRPr="005F1FF6">
        <w:rPr>
          <w:rFonts w:ascii="Times New Roman" w:hAnsi="Times New Roman" w:cs="Times New Roman"/>
          <w:bCs/>
          <w:noProof/>
          <w:color w:val="000000" w:themeColor="text1"/>
          <w:sz w:val="24"/>
          <w:szCs w:val="24"/>
        </w:rPr>
        <w:t xml:space="preserve"> </w:t>
      </w:r>
      <w:r w:rsidRPr="005F1FF6">
        <w:rPr>
          <w:rFonts w:ascii="Times New Roman" w:hAnsi="Times New Roman" w:cs="Times New Roman"/>
          <w:bCs/>
          <w:noProof/>
          <w:color w:val="000000" w:themeColor="text1"/>
          <w:sz w:val="24"/>
          <w:szCs w:val="24"/>
        </w:rPr>
        <w:t xml:space="preserve">work programme </w:t>
      </w:r>
      <w:r w:rsidR="005811F0" w:rsidRPr="005F1FF6">
        <w:rPr>
          <w:rFonts w:ascii="Times New Roman" w:hAnsi="Times New Roman" w:cs="Times New Roman"/>
          <w:bCs/>
          <w:noProof/>
          <w:color w:val="000000" w:themeColor="text1"/>
          <w:sz w:val="24"/>
          <w:szCs w:val="24"/>
        </w:rPr>
        <w:t>made</w:t>
      </w:r>
      <w:r w:rsidR="00275DCA" w:rsidRPr="005F1FF6">
        <w:rPr>
          <w:rFonts w:ascii="Times New Roman" w:hAnsi="Times New Roman" w:cs="Times New Roman"/>
          <w:bCs/>
          <w:noProof/>
          <w:color w:val="000000" w:themeColor="text1"/>
          <w:sz w:val="24"/>
          <w:szCs w:val="24"/>
        </w:rPr>
        <w:t xml:space="preserve"> </w:t>
      </w:r>
      <w:r w:rsidR="005811F0" w:rsidRPr="005F1FF6">
        <w:rPr>
          <w:rFonts w:ascii="Times New Roman" w:hAnsi="Times New Roman" w:cs="Times New Roman"/>
          <w:bCs/>
          <w:noProof/>
          <w:color w:val="000000" w:themeColor="text1"/>
          <w:sz w:val="24"/>
          <w:szCs w:val="24"/>
        </w:rPr>
        <w:t xml:space="preserve">progress in </w:t>
      </w:r>
      <w:r w:rsidRPr="005F1FF6">
        <w:rPr>
          <w:rFonts w:ascii="Times New Roman" w:hAnsi="Times New Roman" w:cs="Times New Roman"/>
          <w:bCs/>
          <w:noProof/>
          <w:color w:val="000000" w:themeColor="text1"/>
          <w:sz w:val="24"/>
          <w:szCs w:val="24"/>
        </w:rPr>
        <w:t>implement</w:t>
      </w:r>
      <w:r w:rsidR="005811F0" w:rsidRPr="005F1FF6">
        <w:rPr>
          <w:rFonts w:ascii="Times New Roman" w:hAnsi="Times New Roman" w:cs="Times New Roman"/>
          <w:bCs/>
          <w:noProof/>
          <w:color w:val="000000" w:themeColor="text1"/>
          <w:sz w:val="24"/>
          <w:szCs w:val="24"/>
        </w:rPr>
        <w:t>ing</w:t>
      </w:r>
      <w:r w:rsidRPr="005F1FF6">
        <w:rPr>
          <w:rFonts w:ascii="Times New Roman" w:hAnsi="Times New Roman" w:cs="Times New Roman"/>
          <w:bCs/>
          <w:noProof/>
          <w:color w:val="000000" w:themeColor="text1"/>
          <w:sz w:val="24"/>
          <w:szCs w:val="24"/>
        </w:rPr>
        <w:t xml:space="preserve"> one of the main recommendations stemming from th</w:t>
      </w:r>
      <w:r w:rsidR="00804F60" w:rsidRPr="005F1FF6">
        <w:rPr>
          <w:rFonts w:ascii="Times New Roman" w:hAnsi="Times New Roman" w:cs="Times New Roman"/>
          <w:bCs/>
          <w:noProof/>
          <w:color w:val="000000" w:themeColor="text1"/>
          <w:sz w:val="24"/>
          <w:szCs w:val="24"/>
        </w:rPr>
        <w:t>e interim evaluation</w:t>
      </w:r>
      <w:r w:rsidR="00804F60" w:rsidRPr="005F1FF6">
        <w:rPr>
          <w:rStyle w:val="FootnoteReference"/>
          <w:rFonts w:ascii="Times New Roman" w:hAnsi="Times New Roman" w:cs="Times New Roman"/>
          <w:noProof/>
          <w:sz w:val="24"/>
          <w:szCs w:val="24"/>
        </w:rPr>
        <w:footnoteReference w:id="5"/>
      </w:r>
      <w:r w:rsidR="00804F60" w:rsidRPr="005F1FF6">
        <w:rPr>
          <w:rFonts w:ascii="Times New Roman" w:hAnsi="Times New Roman" w:cs="Times New Roman"/>
          <w:bCs/>
          <w:noProof/>
          <w:color w:val="000000" w:themeColor="text1"/>
          <w:sz w:val="24"/>
          <w:szCs w:val="24"/>
        </w:rPr>
        <w:t xml:space="preserve"> of the COSME programme</w:t>
      </w:r>
      <w:r w:rsidRPr="005F1FF6">
        <w:rPr>
          <w:rFonts w:ascii="Times New Roman" w:hAnsi="Times New Roman" w:cs="Times New Roman"/>
          <w:bCs/>
          <w:noProof/>
          <w:color w:val="000000" w:themeColor="text1"/>
          <w:sz w:val="24"/>
          <w:szCs w:val="24"/>
        </w:rPr>
        <w:t xml:space="preserve">: the need to focus on bigger, strategic </w:t>
      </w:r>
      <w:r w:rsidR="00AB52BF" w:rsidRPr="005F1FF6">
        <w:rPr>
          <w:rFonts w:ascii="Times New Roman" w:hAnsi="Times New Roman" w:cs="Times New Roman"/>
          <w:bCs/>
          <w:noProof/>
          <w:color w:val="000000" w:themeColor="text1"/>
          <w:sz w:val="24"/>
          <w:szCs w:val="24"/>
        </w:rPr>
        <w:t>measures</w:t>
      </w:r>
      <w:r w:rsidRPr="005F1FF6">
        <w:rPr>
          <w:rFonts w:ascii="Times New Roman" w:hAnsi="Times New Roman" w:cs="Times New Roman"/>
          <w:bCs/>
          <w:noProof/>
          <w:color w:val="000000" w:themeColor="text1"/>
          <w:sz w:val="24"/>
          <w:szCs w:val="24"/>
        </w:rPr>
        <w:t xml:space="preserve"> while keeping </w:t>
      </w:r>
      <w:r w:rsidR="00630651" w:rsidRPr="005F1FF6">
        <w:rPr>
          <w:rFonts w:ascii="Times New Roman" w:hAnsi="Times New Roman" w:cs="Times New Roman"/>
          <w:bCs/>
          <w:noProof/>
          <w:color w:val="000000" w:themeColor="text1"/>
          <w:sz w:val="24"/>
          <w:szCs w:val="24"/>
        </w:rPr>
        <w:t>some</w:t>
      </w:r>
      <w:r w:rsidRPr="005F1FF6">
        <w:rPr>
          <w:rFonts w:ascii="Times New Roman" w:hAnsi="Times New Roman" w:cs="Times New Roman"/>
          <w:bCs/>
          <w:noProof/>
          <w:color w:val="000000" w:themeColor="text1"/>
          <w:sz w:val="24"/>
          <w:szCs w:val="24"/>
        </w:rPr>
        <w:t xml:space="preserve"> flexibility </w:t>
      </w:r>
      <w:r w:rsidR="00630651" w:rsidRPr="005F1FF6">
        <w:rPr>
          <w:rFonts w:ascii="Times New Roman" w:hAnsi="Times New Roman" w:cs="Times New Roman"/>
          <w:bCs/>
          <w:noProof/>
          <w:color w:val="000000" w:themeColor="text1"/>
          <w:sz w:val="24"/>
          <w:szCs w:val="24"/>
        </w:rPr>
        <w:t>in</w:t>
      </w:r>
      <w:r w:rsidRPr="005F1FF6">
        <w:rPr>
          <w:rFonts w:ascii="Times New Roman" w:hAnsi="Times New Roman" w:cs="Times New Roman"/>
          <w:bCs/>
          <w:noProof/>
          <w:color w:val="000000" w:themeColor="text1"/>
          <w:sz w:val="24"/>
          <w:szCs w:val="24"/>
        </w:rPr>
        <w:t xml:space="preserve"> the programme to test new ideas.</w:t>
      </w:r>
      <w:r w:rsidR="00D26736" w:rsidRPr="005F1FF6">
        <w:rPr>
          <w:rFonts w:ascii="Times New Roman" w:hAnsi="Times New Roman" w:cs="Times New Roman"/>
          <w:bCs/>
          <w:noProof/>
          <w:color w:val="000000" w:themeColor="text1"/>
          <w:sz w:val="24"/>
          <w:szCs w:val="24"/>
        </w:rPr>
        <w:t xml:space="preserve"> </w:t>
      </w:r>
      <w:bookmarkStart w:id="3" w:name="_Hlk143768870"/>
      <w:r w:rsidR="00D26736" w:rsidRPr="005F1FF6">
        <w:rPr>
          <w:rFonts w:ascii="Times New Roman" w:hAnsi="Times New Roman" w:cs="Times New Roman"/>
          <w:bCs/>
          <w:noProof/>
          <w:color w:val="000000" w:themeColor="text1"/>
          <w:sz w:val="24"/>
          <w:szCs w:val="24"/>
        </w:rPr>
        <w:t>In particular</w:t>
      </w:r>
      <w:r w:rsidR="00EC01A5" w:rsidRPr="005F1FF6">
        <w:rPr>
          <w:rFonts w:ascii="Times New Roman" w:hAnsi="Times New Roman" w:cs="Times New Roman"/>
          <w:bCs/>
          <w:noProof/>
          <w:color w:val="000000" w:themeColor="text1"/>
          <w:sz w:val="24"/>
          <w:szCs w:val="24"/>
        </w:rPr>
        <w:t>,</w:t>
      </w:r>
      <w:r w:rsidR="00D26736" w:rsidRPr="005F1FF6">
        <w:rPr>
          <w:rFonts w:ascii="Times New Roman" w:hAnsi="Times New Roman" w:cs="Times New Roman"/>
          <w:bCs/>
          <w:noProof/>
          <w:color w:val="000000" w:themeColor="text1"/>
          <w:sz w:val="24"/>
          <w:szCs w:val="24"/>
        </w:rPr>
        <w:t xml:space="preserve"> several larger actions for clusters are supported under </w:t>
      </w:r>
      <w:r w:rsidR="00B76F53" w:rsidRPr="005F1FF6">
        <w:rPr>
          <w:rFonts w:ascii="Times New Roman" w:hAnsi="Times New Roman" w:cs="Times New Roman"/>
          <w:bCs/>
          <w:noProof/>
          <w:color w:val="000000" w:themeColor="text1"/>
          <w:sz w:val="24"/>
          <w:szCs w:val="24"/>
        </w:rPr>
        <w:t xml:space="preserve">the </w:t>
      </w:r>
      <w:r w:rsidR="00D26736" w:rsidRPr="005F1FF6">
        <w:rPr>
          <w:rFonts w:ascii="Times New Roman" w:hAnsi="Times New Roman" w:cs="Times New Roman"/>
          <w:bCs/>
          <w:noProof/>
          <w:color w:val="000000" w:themeColor="text1"/>
          <w:sz w:val="24"/>
          <w:szCs w:val="24"/>
        </w:rPr>
        <w:t>2020 budget.</w:t>
      </w:r>
      <w:bookmarkEnd w:id="3"/>
    </w:p>
    <w:p w14:paraId="3FEA4666" w14:textId="584DA741" w:rsidR="006C0532" w:rsidRPr="005F1FF6" w:rsidRDefault="006C0532" w:rsidP="005F1FF6">
      <w:pPr>
        <w:spacing w:before="120" w:after="0" w:line="240" w:lineRule="auto"/>
        <w:jc w:val="both"/>
        <w:rPr>
          <w:rFonts w:ascii="Times New Roman" w:hAnsi="Times New Roman" w:cs="Times New Roman"/>
          <w:bCs/>
          <w:noProof/>
          <w:sz w:val="24"/>
          <w:szCs w:val="24"/>
          <w:highlight w:val="yellow"/>
        </w:rPr>
      </w:pPr>
      <w:r w:rsidRPr="005F1FF6">
        <w:rPr>
          <w:rFonts w:ascii="Times New Roman" w:hAnsi="Times New Roman" w:cs="Times New Roman"/>
          <w:bCs/>
          <w:noProof/>
          <w:sz w:val="24"/>
          <w:szCs w:val="24"/>
        </w:rPr>
        <w:t>In addition to the</w:t>
      </w:r>
      <w:r w:rsidR="00BE6E40" w:rsidRPr="005F1FF6">
        <w:rPr>
          <w:rFonts w:ascii="Times New Roman" w:hAnsi="Times New Roman" w:cs="Times New Roman"/>
          <w:bCs/>
          <w:noProof/>
          <w:sz w:val="24"/>
          <w:szCs w:val="24"/>
        </w:rPr>
        <w:t xml:space="preserve"> 2</w:t>
      </w:r>
      <w:r w:rsidR="00EB33C9" w:rsidRPr="005F1FF6">
        <w:rPr>
          <w:rFonts w:ascii="Times New Roman" w:hAnsi="Times New Roman" w:cs="Times New Roman"/>
          <w:bCs/>
          <w:noProof/>
          <w:sz w:val="24"/>
          <w:szCs w:val="24"/>
        </w:rPr>
        <w:t>7</w:t>
      </w:r>
      <w:r w:rsidR="00BE6E40" w:rsidRPr="005F1FF6">
        <w:rPr>
          <w:rStyle w:val="FootnoteReference"/>
          <w:rFonts w:ascii="Times New Roman" w:hAnsi="Times New Roman" w:cs="Times New Roman"/>
          <w:bCs/>
          <w:noProof/>
          <w:sz w:val="24"/>
          <w:szCs w:val="24"/>
        </w:rPr>
        <w:footnoteReference w:id="6"/>
      </w:r>
      <w:r w:rsidR="00BE6E40" w:rsidRPr="005F1FF6">
        <w:rPr>
          <w:rFonts w:ascii="Times New Roman" w:hAnsi="Times New Roman" w:cs="Times New Roman"/>
          <w:bCs/>
          <w:noProof/>
          <w:sz w:val="24"/>
          <w:szCs w:val="24"/>
        </w:rPr>
        <w:t xml:space="preserve"> EU Member States, </w:t>
      </w:r>
      <w:r w:rsidRPr="005F1FF6">
        <w:rPr>
          <w:rFonts w:ascii="Times New Roman" w:hAnsi="Times New Roman" w:cs="Times New Roman"/>
          <w:bCs/>
          <w:noProof/>
          <w:sz w:val="24"/>
          <w:szCs w:val="24"/>
        </w:rPr>
        <w:t>the following countries participated in COSME in 20</w:t>
      </w:r>
      <w:r w:rsidR="00804F60" w:rsidRPr="005F1FF6">
        <w:rPr>
          <w:rFonts w:ascii="Times New Roman" w:hAnsi="Times New Roman" w:cs="Times New Roman"/>
          <w:bCs/>
          <w:noProof/>
          <w:sz w:val="24"/>
          <w:szCs w:val="24"/>
        </w:rPr>
        <w:t>20</w:t>
      </w:r>
      <w:r w:rsidRPr="005F1FF6">
        <w:rPr>
          <w:rFonts w:ascii="Times New Roman" w:hAnsi="Times New Roman" w:cs="Times New Roman"/>
          <w:bCs/>
          <w:noProof/>
          <w:sz w:val="24"/>
          <w:szCs w:val="24"/>
        </w:rPr>
        <w:t xml:space="preserve">: Albania, </w:t>
      </w:r>
      <w:r w:rsidR="00811CEA" w:rsidRPr="005F1FF6">
        <w:rPr>
          <w:rFonts w:ascii="Times New Roman" w:hAnsi="Times New Roman" w:cs="Times New Roman"/>
          <w:bCs/>
          <w:noProof/>
          <w:sz w:val="24"/>
          <w:szCs w:val="24"/>
        </w:rPr>
        <w:t xml:space="preserve">Armenia, </w:t>
      </w:r>
      <w:r w:rsidRPr="005F1FF6">
        <w:rPr>
          <w:rFonts w:ascii="Times New Roman" w:hAnsi="Times New Roman" w:cs="Times New Roman"/>
          <w:bCs/>
          <w:noProof/>
          <w:sz w:val="24"/>
          <w:szCs w:val="24"/>
        </w:rPr>
        <w:t xml:space="preserve">Bosnia </w:t>
      </w:r>
      <w:r w:rsidR="00744631" w:rsidRPr="005F1FF6">
        <w:rPr>
          <w:rFonts w:ascii="Times New Roman" w:hAnsi="Times New Roman" w:cs="Times New Roman"/>
          <w:bCs/>
          <w:noProof/>
          <w:sz w:val="24"/>
          <w:szCs w:val="24"/>
        </w:rPr>
        <w:t>and</w:t>
      </w:r>
      <w:r w:rsidRPr="005F1FF6">
        <w:rPr>
          <w:rFonts w:ascii="Times New Roman" w:hAnsi="Times New Roman" w:cs="Times New Roman"/>
          <w:bCs/>
          <w:noProof/>
          <w:sz w:val="24"/>
          <w:szCs w:val="24"/>
        </w:rPr>
        <w:t xml:space="preserve"> Herzegovina, </w:t>
      </w:r>
      <w:r w:rsidR="00811CEA" w:rsidRPr="005F1FF6">
        <w:rPr>
          <w:rFonts w:ascii="Times New Roman" w:hAnsi="Times New Roman" w:cs="Times New Roman"/>
          <w:bCs/>
          <w:noProof/>
          <w:sz w:val="24"/>
          <w:szCs w:val="24"/>
        </w:rPr>
        <w:t xml:space="preserve">Iceland, </w:t>
      </w:r>
      <w:r w:rsidRPr="005F1FF6">
        <w:rPr>
          <w:rFonts w:ascii="Times New Roman" w:hAnsi="Times New Roman" w:cs="Times New Roman"/>
          <w:bCs/>
          <w:noProof/>
          <w:sz w:val="24"/>
          <w:szCs w:val="24"/>
        </w:rPr>
        <w:t>Kosovo</w:t>
      </w:r>
      <w:r w:rsidR="00B23EC8" w:rsidRPr="005F1FF6">
        <w:rPr>
          <w:rStyle w:val="FootnoteReference"/>
          <w:rFonts w:ascii="Times New Roman" w:hAnsi="Times New Roman" w:cs="Times New Roman"/>
          <w:bCs/>
          <w:noProof/>
          <w:sz w:val="24"/>
          <w:szCs w:val="24"/>
        </w:rPr>
        <w:footnoteReference w:id="7"/>
      </w:r>
      <w:r w:rsidRPr="005F1FF6">
        <w:rPr>
          <w:rFonts w:ascii="Times New Roman" w:hAnsi="Times New Roman" w:cs="Times New Roman"/>
          <w:bCs/>
          <w:noProof/>
          <w:sz w:val="24"/>
          <w:szCs w:val="24"/>
        </w:rPr>
        <w:t xml:space="preserve">, </w:t>
      </w:r>
      <w:r w:rsidR="00811CEA" w:rsidRPr="005F1FF6">
        <w:rPr>
          <w:rFonts w:ascii="Times New Roman" w:hAnsi="Times New Roman" w:cs="Times New Roman"/>
          <w:bCs/>
          <w:noProof/>
          <w:sz w:val="24"/>
          <w:szCs w:val="24"/>
        </w:rPr>
        <w:t xml:space="preserve">Moldova, </w:t>
      </w:r>
      <w:r w:rsidRPr="005F1FF6">
        <w:rPr>
          <w:rFonts w:ascii="Times New Roman" w:hAnsi="Times New Roman" w:cs="Times New Roman"/>
          <w:bCs/>
          <w:noProof/>
          <w:sz w:val="24"/>
          <w:szCs w:val="24"/>
        </w:rPr>
        <w:t xml:space="preserve">Montenegro, North Macedonia, Serbia, </w:t>
      </w:r>
      <w:r w:rsidR="00ED63E3" w:rsidRPr="005F1FF6">
        <w:rPr>
          <w:rFonts w:ascii="Times New Roman" w:hAnsi="Times New Roman" w:cs="Times New Roman"/>
          <w:bCs/>
          <w:noProof/>
          <w:sz w:val="24"/>
          <w:szCs w:val="24"/>
        </w:rPr>
        <w:t>Türkiye</w:t>
      </w:r>
      <w:r w:rsidRPr="005F1FF6">
        <w:rPr>
          <w:rFonts w:ascii="Times New Roman" w:hAnsi="Times New Roman" w:cs="Times New Roman"/>
          <w:bCs/>
          <w:noProof/>
          <w:sz w:val="24"/>
          <w:szCs w:val="24"/>
        </w:rPr>
        <w:t xml:space="preserve"> and Ukraine</w:t>
      </w:r>
      <w:r w:rsidR="00272FA7" w:rsidRPr="005F1FF6">
        <w:rPr>
          <w:rStyle w:val="FootnoteReference"/>
          <w:rFonts w:ascii="Times New Roman" w:hAnsi="Times New Roman" w:cs="Times New Roman"/>
          <w:bCs/>
          <w:noProof/>
          <w:sz w:val="24"/>
          <w:szCs w:val="24"/>
        </w:rPr>
        <w:footnoteReference w:id="8"/>
      </w:r>
      <w:r w:rsidRPr="005F1FF6">
        <w:rPr>
          <w:rFonts w:ascii="Times New Roman" w:hAnsi="Times New Roman" w:cs="Times New Roman"/>
          <w:bCs/>
          <w:noProof/>
          <w:sz w:val="24"/>
          <w:szCs w:val="24"/>
        </w:rPr>
        <w:t>.</w:t>
      </w:r>
    </w:p>
    <w:p w14:paraId="199B7E2A" w14:textId="143CA025" w:rsidR="006C0532" w:rsidRPr="005F1FF6" w:rsidRDefault="004B08E0" w:rsidP="005F1FF6">
      <w:pPr>
        <w:spacing w:before="120" w:after="120" w:line="240" w:lineRule="auto"/>
        <w:jc w:val="both"/>
        <w:rPr>
          <w:rFonts w:ascii="Times New Roman" w:hAnsi="Times New Roman" w:cs="Times New Roman"/>
          <w:bCs/>
          <w:noProof/>
          <w:sz w:val="24"/>
          <w:szCs w:val="24"/>
        </w:rPr>
      </w:pPr>
      <w:r w:rsidRPr="005F1FF6">
        <w:rPr>
          <w:rFonts w:ascii="Times New Roman" w:hAnsi="Times New Roman" w:cs="Times New Roman"/>
          <w:bCs/>
          <w:noProof/>
          <w:sz w:val="24"/>
          <w:szCs w:val="24"/>
        </w:rPr>
        <w:t xml:space="preserve">This report gives an </w:t>
      </w:r>
      <w:r w:rsidRPr="005F1FF6">
        <w:rPr>
          <w:rFonts w:ascii="Times New Roman" w:hAnsi="Times New Roman" w:cs="Times New Roman"/>
          <w:bCs/>
          <w:noProof/>
          <w:color w:val="000000" w:themeColor="text1"/>
          <w:sz w:val="24"/>
          <w:szCs w:val="24"/>
        </w:rPr>
        <w:t>overview of the</w:t>
      </w:r>
      <w:r w:rsidR="000E1E6F" w:rsidRPr="005F1FF6">
        <w:rPr>
          <w:rFonts w:ascii="Times New Roman" w:hAnsi="Times New Roman" w:cs="Times New Roman"/>
          <w:bCs/>
          <w:noProof/>
          <w:color w:val="000000" w:themeColor="text1"/>
          <w:sz w:val="24"/>
          <w:szCs w:val="24"/>
        </w:rPr>
        <w:t xml:space="preserve"> implementation of </w:t>
      </w:r>
      <w:r w:rsidRPr="005F1FF6">
        <w:rPr>
          <w:rFonts w:ascii="Times New Roman" w:hAnsi="Times New Roman" w:cs="Times New Roman"/>
          <w:bCs/>
          <w:noProof/>
          <w:color w:val="000000" w:themeColor="text1"/>
          <w:sz w:val="24"/>
          <w:szCs w:val="24"/>
        </w:rPr>
        <w:t xml:space="preserve">COSME </w:t>
      </w:r>
      <w:r w:rsidR="00EA3F25" w:rsidRPr="005F1FF6">
        <w:rPr>
          <w:rFonts w:ascii="Times New Roman" w:hAnsi="Times New Roman" w:cs="Times New Roman"/>
          <w:bCs/>
          <w:noProof/>
          <w:color w:val="000000" w:themeColor="text1"/>
          <w:sz w:val="24"/>
          <w:szCs w:val="24"/>
        </w:rPr>
        <w:t xml:space="preserve">actions </w:t>
      </w:r>
      <w:r w:rsidR="000F49C0" w:rsidRPr="005F1FF6">
        <w:rPr>
          <w:rFonts w:ascii="Times New Roman" w:hAnsi="Times New Roman" w:cs="Times New Roman"/>
          <w:bCs/>
          <w:noProof/>
          <w:color w:val="000000" w:themeColor="text1"/>
          <w:sz w:val="24"/>
          <w:szCs w:val="24"/>
        </w:rPr>
        <w:t>funded under the EU budget for 2020</w:t>
      </w:r>
      <w:r w:rsidRPr="005F1FF6">
        <w:rPr>
          <w:rFonts w:ascii="Times New Roman" w:hAnsi="Times New Roman" w:cs="Times New Roman"/>
          <w:bCs/>
          <w:noProof/>
          <w:color w:val="000000" w:themeColor="text1"/>
          <w:sz w:val="24"/>
          <w:szCs w:val="24"/>
        </w:rPr>
        <w:t xml:space="preserve">, as required by the COSME Regulation. </w:t>
      </w:r>
      <w:r w:rsidR="0051668F" w:rsidRPr="005F1FF6">
        <w:rPr>
          <w:rFonts w:ascii="Times New Roman" w:hAnsi="Times New Roman" w:cs="Times New Roman"/>
          <w:bCs/>
          <w:noProof/>
          <w:color w:val="000000" w:themeColor="text1"/>
          <w:sz w:val="24"/>
          <w:szCs w:val="24"/>
        </w:rPr>
        <w:t>It</w:t>
      </w:r>
      <w:r w:rsidRPr="005F1FF6">
        <w:rPr>
          <w:rFonts w:ascii="Times New Roman" w:hAnsi="Times New Roman" w:cs="Times New Roman"/>
          <w:bCs/>
          <w:noProof/>
          <w:color w:val="000000" w:themeColor="text1"/>
          <w:sz w:val="24"/>
          <w:szCs w:val="24"/>
        </w:rPr>
        <w:t xml:space="preserve"> also covers support measures and administrative expenses</w:t>
      </w:r>
      <w:r w:rsidR="00EA3F25" w:rsidRPr="005F1FF6">
        <w:rPr>
          <w:rFonts w:ascii="Times New Roman" w:hAnsi="Times New Roman" w:cs="Times New Roman"/>
          <w:bCs/>
          <w:noProof/>
          <w:color w:val="000000" w:themeColor="text1"/>
          <w:sz w:val="24"/>
          <w:szCs w:val="24"/>
        </w:rPr>
        <w:t xml:space="preserve"> </w:t>
      </w:r>
      <w:r w:rsidR="000F49C0" w:rsidRPr="005F1FF6">
        <w:rPr>
          <w:rFonts w:ascii="Times New Roman" w:hAnsi="Times New Roman" w:cs="Times New Roman"/>
          <w:bCs/>
          <w:noProof/>
          <w:color w:val="000000" w:themeColor="text1"/>
          <w:sz w:val="24"/>
          <w:szCs w:val="24"/>
        </w:rPr>
        <w:t>for SME policy funded by the 2020 budget</w:t>
      </w:r>
      <w:r w:rsidRPr="005F1FF6">
        <w:rPr>
          <w:rFonts w:ascii="Times New Roman" w:hAnsi="Times New Roman" w:cs="Times New Roman"/>
          <w:bCs/>
          <w:noProof/>
          <w:color w:val="000000" w:themeColor="text1"/>
          <w:sz w:val="24"/>
          <w:szCs w:val="24"/>
        </w:rPr>
        <w:t>.</w:t>
      </w:r>
      <w:r w:rsidR="0051668F" w:rsidRPr="005F1FF6">
        <w:rPr>
          <w:rFonts w:ascii="Times New Roman" w:hAnsi="Times New Roman" w:cs="Times New Roman"/>
          <w:bCs/>
          <w:noProof/>
          <w:color w:val="000000" w:themeColor="text1"/>
          <w:sz w:val="24"/>
          <w:szCs w:val="24"/>
        </w:rPr>
        <w:t xml:space="preserve"> This is the last formal monitoring report for COSME, but internal monitoring of ongoing actions will continue.</w:t>
      </w:r>
      <w:r w:rsidR="0088195D" w:rsidRPr="005F1FF6">
        <w:rPr>
          <w:rFonts w:ascii="Times New Roman" w:hAnsi="Times New Roman" w:cs="Times New Roman"/>
          <w:bCs/>
          <w:noProof/>
          <w:color w:val="000000" w:themeColor="text1"/>
          <w:sz w:val="24"/>
          <w:szCs w:val="24"/>
        </w:rPr>
        <w:t xml:space="preserve"> </w:t>
      </w:r>
      <w:r w:rsidR="006C0532" w:rsidRPr="005F1FF6">
        <w:rPr>
          <w:rFonts w:ascii="Times New Roman" w:hAnsi="Times New Roman" w:cs="Times New Roman"/>
          <w:bCs/>
          <w:noProof/>
          <w:sz w:val="24"/>
          <w:szCs w:val="24"/>
        </w:rPr>
        <w:t xml:space="preserve">The Commission is responsible for the overall </w:t>
      </w:r>
      <w:r w:rsidR="006C0532" w:rsidRPr="005F1FF6">
        <w:rPr>
          <w:rFonts w:ascii="Times New Roman" w:hAnsi="Times New Roman" w:cs="Times New Roman"/>
          <w:bCs/>
          <w:noProof/>
          <w:color w:val="000000" w:themeColor="text1"/>
          <w:sz w:val="24"/>
          <w:szCs w:val="24"/>
        </w:rPr>
        <w:t xml:space="preserve">implementation of COSME. </w:t>
      </w:r>
      <w:r w:rsidR="00804F60" w:rsidRPr="005F1FF6">
        <w:rPr>
          <w:rFonts w:ascii="Times New Roman" w:hAnsi="Times New Roman" w:cs="Times New Roman"/>
          <w:bCs/>
          <w:noProof/>
          <w:color w:val="000000" w:themeColor="text1"/>
          <w:sz w:val="24"/>
          <w:szCs w:val="24"/>
        </w:rPr>
        <w:t>It</w:t>
      </w:r>
      <w:r w:rsidR="00AB52BF" w:rsidRPr="005F1FF6">
        <w:rPr>
          <w:rFonts w:ascii="Times New Roman" w:hAnsi="Times New Roman" w:cs="Times New Roman"/>
          <w:bCs/>
          <w:noProof/>
          <w:color w:val="000000" w:themeColor="text1"/>
          <w:sz w:val="24"/>
          <w:szCs w:val="24"/>
        </w:rPr>
        <w:t xml:space="preserve"> </w:t>
      </w:r>
      <w:r w:rsidR="002729F6" w:rsidRPr="005F1FF6">
        <w:rPr>
          <w:rFonts w:ascii="Times New Roman" w:hAnsi="Times New Roman" w:cs="Times New Roman"/>
          <w:bCs/>
          <w:noProof/>
          <w:color w:val="000000" w:themeColor="text1"/>
          <w:sz w:val="24"/>
          <w:szCs w:val="24"/>
        </w:rPr>
        <w:t>delegat</w:t>
      </w:r>
      <w:r w:rsidR="006C0532" w:rsidRPr="005F1FF6">
        <w:rPr>
          <w:rFonts w:ascii="Times New Roman" w:hAnsi="Times New Roman" w:cs="Times New Roman"/>
          <w:bCs/>
          <w:noProof/>
          <w:color w:val="000000" w:themeColor="text1"/>
          <w:sz w:val="24"/>
          <w:szCs w:val="24"/>
        </w:rPr>
        <w:t xml:space="preserve">ed </w:t>
      </w:r>
      <w:r w:rsidR="00AB52BF" w:rsidRPr="005F1FF6">
        <w:rPr>
          <w:rFonts w:ascii="Times New Roman" w:hAnsi="Times New Roman" w:cs="Times New Roman"/>
          <w:bCs/>
          <w:noProof/>
          <w:color w:val="000000" w:themeColor="text1"/>
          <w:sz w:val="24"/>
          <w:szCs w:val="24"/>
        </w:rPr>
        <w:t>the management of the</w:t>
      </w:r>
      <w:r w:rsidR="00804F60" w:rsidRPr="005F1FF6">
        <w:rPr>
          <w:rFonts w:ascii="Times New Roman" w:hAnsi="Times New Roman" w:cs="Times New Roman"/>
          <w:bCs/>
          <w:noProof/>
          <w:color w:val="000000" w:themeColor="text1"/>
          <w:sz w:val="24"/>
          <w:szCs w:val="24"/>
        </w:rPr>
        <w:t xml:space="preserve"> financial instruments (under specific objective 1)</w:t>
      </w:r>
      <w:r w:rsidR="00AB52BF" w:rsidRPr="005F1FF6">
        <w:rPr>
          <w:rFonts w:ascii="Times New Roman" w:hAnsi="Times New Roman" w:cs="Times New Roman"/>
          <w:bCs/>
          <w:noProof/>
          <w:color w:val="000000" w:themeColor="text1"/>
          <w:sz w:val="24"/>
          <w:szCs w:val="24"/>
        </w:rPr>
        <w:t xml:space="preserve"> </w:t>
      </w:r>
      <w:r w:rsidR="006C0532" w:rsidRPr="005F1FF6">
        <w:rPr>
          <w:rFonts w:ascii="Times New Roman" w:hAnsi="Times New Roman" w:cs="Times New Roman"/>
          <w:bCs/>
          <w:noProof/>
          <w:color w:val="000000" w:themeColor="text1"/>
          <w:sz w:val="24"/>
          <w:szCs w:val="24"/>
        </w:rPr>
        <w:t>to the European Investment Fund (EIF).</w:t>
      </w:r>
      <w:r w:rsidR="00D13690" w:rsidRPr="005F1FF6">
        <w:rPr>
          <w:rFonts w:ascii="Times New Roman" w:hAnsi="Times New Roman" w:cs="Times New Roman"/>
          <w:bCs/>
          <w:noProof/>
          <w:color w:val="000000" w:themeColor="text1"/>
          <w:sz w:val="24"/>
          <w:szCs w:val="24"/>
        </w:rPr>
        <w:t xml:space="preserve"> </w:t>
      </w:r>
      <w:r w:rsidR="00AB52BF" w:rsidRPr="005F1FF6">
        <w:rPr>
          <w:rFonts w:ascii="Times New Roman" w:hAnsi="Times New Roman" w:cs="Times New Roman"/>
          <w:bCs/>
          <w:noProof/>
          <w:color w:val="000000" w:themeColor="text1"/>
          <w:sz w:val="24"/>
          <w:szCs w:val="24"/>
        </w:rPr>
        <w:t>Measure</w:t>
      </w:r>
      <w:r w:rsidR="00661F85" w:rsidRPr="005F1FF6">
        <w:rPr>
          <w:rFonts w:ascii="Times New Roman" w:hAnsi="Times New Roman" w:cs="Times New Roman"/>
          <w:bCs/>
          <w:noProof/>
          <w:color w:val="000000" w:themeColor="text1"/>
          <w:sz w:val="24"/>
          <w:szCs w:val="24"/>
        </w:rPr>
        <w:t>s</w:t>
      </w:r>
      <w:r w:rsidR="006C0532" w:rsidRPr="005F1FF6">
        <w:rPr>
          <w:rFonts w:ascii="Times New Roman" w:hAnsi="Times New Roman" w:cs="Times New Roman"/>
          <w:bCs/>
          <w:noProof/>
          <w:color w:val="000000" w:themeColor="text1"/>
          <w:sz w:val="24"/>
          <w:szCs w:val="24"/>
        </w:rPr>
        <w:t xml:space="preserve"> under </w:t>
      </w:r>
      <w:r w:rsidR="00811CEA" w:rsidRPr="005F1FF6">
        <w:rPr>
          <w:rFonts w:ascii="Times New Roman" w:hAnsi="Times New Roman" w:cs="Times New Roman"/>
          <w:bCs/>
          <w:noProof/>
          <w:color w:val="000000" w:themeColor="text1"/>
          <w:sz w:val="24"/>
          <w:szCs w:val="24"/>
        </w:rPr>
        <w:t>the programme’s specific o</w:t>
      </w:r>
      <w:r w:rsidR="006C0532" w:rsidRPr="005F1FF6">
        <w:rPr>
          <w:rFonts w:ascii="Times New Roman" w:hAnsi="Times New Roman" w:cs="Times New Roman"/>
          <w:bCs/>
          <w:noProof/>
          <w:color w:val="000000" w:themeColor="text1"/>
          <w:sz w:val="24"/>
          <w:szCs w:val="24"/>
        </w:rPr>
        <w:t xml:space="preserve">bjectives 2, 3 and 4 </w:t>
      </w:r>
      <w:r w:rsidR="00FC3C79" w:rsidRPr="005F1FF6">
        <w:rPr>
          <w:rFonts w:ascii="Times New Roman" w:hAnsi="Times New Roman" w:cs="Times New Roman"/>
          <w:bCs/>
          <w:noProof/>
          <w:color w:val="000000" w:themeColor="text1"/>
          <w:sz w:val="24"/>
          <w:szCs w:val="24"/>
        </w:rPr>
        <w:t>w</w:t>
      </w:r>
      <w:r w:rsidR="00661F85" w:rsidRPr="005F1FF6">
        <w:rPr>
          <w:rFonts w:ascii="Times New Roman" w:hAnsi="Times New Roman" w:cs="Times New Roman"/>
          <w:bCs/>
          <w:noProof/>
          <w:color w:val="000000" w:themeColor="text1"/>
          <w:sz w:val="24"/>
          <w:szCs w:val="24"/>
        </w:rPr>
        <w:t>ere</w:t>
      </w:r>
      <w:r w:rsidR="004E77EA" w:rsidRPr="005F1FF6">
        <w:rPr>
          <w:rFonts w:ascii="Times New Roman" w:hAnsi="Times New Roman" w:cs="Times New Roman"/>
          <w:bCs/>
          <w:noProof/>
          <w:color w:val="000000" w:themeColor="text1"/>
          <w:sz w:val="24"/>
          <w:szCs w:val="24"/>
        </w:rPr>
        <w:t xml:space="preserve"> </w:t>
      </w:r>
      <w:r w:rsidR="003769BE" w:rsidRPr="005F1FF6">
        <w:rPr>
          <w:rFonts w:ascii="Times New Roman" w:hAnsi="Times New Roman" w:cs="Times New Roman"/>
          <w:bCs/>
          <w:noProof/>
          <w:color w:val="000000" w:themeColor="text1"/>
          <w:sz w:val="24"/>
          <w:szCs w:val="24"/>
        </w:rPr>
        <w:t>mainl</w:t>
      </w:r>
      <w:r w:rsidR="006C0532" w:rsidRPr="005F1FF6">
        <w:rPr>
          <w:rFonts w:ascii="Times New Roman" w:hAnsi="Times New Roman" w:cs="Times New Roman"/>
          <w:bCs/>
          <w:noProof/>
          <w:color w:val="000000" w:themeColor="text1"/>
          <w:sz w:val="24"/>
          <w:szCs w:val="24"/>
        </w:rPr>
        <w:t xml:space="preserve">y delegated to </w:t>
      </w:r>
      <w:r w:rsidR="004E77EA" w:rsidRPr="005F1FF6">
        <w:rPr>
          <w:rFonts w:ascii="Times New Roman" w:hAnsi="Times New Roman" w:cs="Times New Roman"/>
          <w:bCs/>
          <w:noProof/>
          <w:color w:val="000000" w:themeColor="text1"/>
          <w:sz w:val="24"/>
          <w:szCs w:val="24"/>
        </w:rPr>
        <w:t>t</w:t>
      </w:r>
      <w:r w:rsidR="004E77EA" w:rsidRPr="005F1FF6">
        <w:rPr>
          <w:rFonts w:ascii="Times New Roman" w:hAnsi="Times New Roman" w:cs="Times New Roman"/>
          <w:noProof/>
          <w:sz w:val="24"/>
          <w:szCs w:val="24"/>
        </w:rPr>
        <w:t>he</w:t>
      </w:r>
      <w:r w:rsidR="000F7481" w:rsidRPr="005F1FF6">
        <w:rPr>
          <w:rFonts w:ascii="Times New Roman" w:hAnsi="Times New Roman" w:cs="Times New Roman"/>
          <w:noProof/>
          <w:sz w:val="24"/>
          <w:szCs w:val="24"/>
        </w:rPr>
        <w:t xml:space="preserve"> </w:t>
      </w:r>
      <w:r w:rsidR="000F7481" w:rsidRPr="005F1FF6">
        <w:rPr>
          <w:rFonts w:ascii="Times New Roman" w:hAnsi="Times New Roman" w:cs="Times New Roman"/>
          <w:noProof/>
          <w:color w:val="000000" w:themeColor="text1"/>
          <w:sz w:val="24"/>
          <w:szCs w:val="24"/>
        </w:rPr>
        <w:t>Executive Agency for Small and Medium-sized Enterprises</w:t>
      </w:r>
      <w:r w:rsidR="000F7481" w:rsidRPr="005F1FF6">
        <w:rPr>
          <w:rFonts w:ascii="Times New Roman" w:hAnsi="Times New Roman" w:cs="Times New Roman"/>
          <w:noProof/>
          <w:sz w:val="24"/>
          <w:szCs w:val="24"/>
        </w:rPr>
        <w:t xml:space="preserve"> (EASME)</w:t>
      </w:r>
      <w:r w:rsidR="004E77EA" w:rsidRPr="005F1FF6">
        <w:rPr>
          <w:rStyle w:val="FootnoteReference"/>
          <w:rFonts w:ascii="Times New Roman" w:hAnsi="Times New Roman" w:cs="Times New Roman"/>
          <w:bCs/>
          <w:noProof/>
          <w:color w:val="000000" w:themeColor="text1"/>
          <w:sz w:val="24"/>
          <w:szCs w:val="24"/>
        </w:rPr>
        <w:footnoteReference w:id="9"/>
      </w:r>
      <w:r w:rsidR="00FE2948" w:rsidRPr="005F1FF6">
        <w:rPr>
          <w:rFonts w:ascii="Times New Roman" w:hAnsi="Times New Roman" w:cs="Times New Roman"/>
          <w:bCs/>
          <w:noProof/>
          <w:color w:val="000000" w:themeColor="text1"/>
          <w:sz w:val="24"/>
          <w:szCs w:val="24"/>
        </w:rPr>
        <w:t>.</w:t>
      </w:r>
      <w:r w:rsidR="00D13690" w:rsidRPr="005F1FF6">
        <w:rPr>
          <w:rFonts w:ascii="Times New Roman" w:hAnsi="Times New Roman" w:cs="Times New Roman"/>
          <w:bCs/>
          <w:noProof/>
          <w:color w:val="000000" w:themeColor="text1"/>
          <w:sz w:val="24"/>
          <w:szCs w:val="24"/>
        </w:rPr>
        <w:t xml:space="preserve"> </w:t>
      </w:r>
      <w:r w:rsidR="009134F1" w:rsidRPr="005F1FF6">
        <w:rPr>
          <w:rFonts w:ascii="Times New Roman" w:hAnsi="Times New Roman" w:cs="Times New Roman"/>
          <w:bCs/>
          <w:noProof/>
          <w:color w:val="000000" w:themeColor="text1"/>
          <w:sz w:val="24"/>
          <w:szCs w:val="24"/>
        </w:rPr>
        <w:t xml:space="preserve">Certain analytical and benchmarking activities </w:t>
      </w:r>
      <w:r w:rsidR="00FC3C79" w:rsidRPr="005F1FF6">
        <w:rPr>
          <w:rFonts w:ascii="Times New Roman" w:hAnsi="Times New Roman" w:cs="Times New Roman"/>
          <w:bCs/>
          <w:noProof/>
          <w:color w:val="000000" w:themeColor="text1"/>
          <w:sz w:val="24"/>
          <w:szCs w:val="24"/>
        </w:rPr>
        <w:t>were</w:t>
      </w:r>
      <w:r w:rsidR="009134F1" w:rsidRPr="005F1FF6">
        <w:rPr>
          <w:rFonts w:ascii="Times New Roman" w:hAnsi="Times New Roman" w:cs="Times New Roman"/>
          <w:bCs/>
          <w:noProof/>
          <w:color w:val="000000" w:themeColor="text1"/>
          <w:sz w:val="24"/>
          <w:szCs w:val="24"/>
        </w:rPr>
        <w:t xml:space="preserve"> also i</w:t>
      </w:r>
      <w:r w:rsidR="006C0532" w:rsidRPr="005F1FF6">
        <w:rPr>
          <w:rFonts w:ascii="Times New Roman" w:hAnsi="Times New Roman" w:cs="Times New Roman"/>
          <w:bCs/>
          <w:noProof/>
          <w:color w:val="000000" w:themeColor="text1"/>
          <w:sz w:val="24"/>
          <w:szCs w:val="24"/>
        </w:rPr>
        <w:t>ndirect</w:t>
      </w:r>
      <w:r w:rsidR="00681ADF" w:rsidRPr="005F1FF6">
        <w:rPr>
          <w:rFonts w:ascii="Times New Roman" w:hAnsi="Times New Roman" w:cs="Times New Roman"/>
          <w:bCs/>
          <w:noProof/>
          <w:color w:val="000000" w:themeColor="text1"/>
          <w:sz w:val="24"/>
          <w:szCs w:val="24"/>
        </w:rPr>
        <w:t>ly</w:t>
      </w:r>
      <w:r w:rsidR="006C0532" w:rsidRPr="005F1FF6">
        <w:rPr>
          <w:rFonts w:ascii="Times New Roman" w:hAnsi="Times New Roman" w:cs="Times New Roman"/>
          <w:bCs/>
          <w:noProof/>
          <w:color w:val="000000" w:themeColor="text1"/>
          <w:sz w:val="24"/>
          <w:szCs w:val="24"/>
        </w:rPr>
        <w:t xml:space="preserve"> manage</w:t>
      </w:r>
      <w:r w:rsidR="009134F1" w:rsidRPr="005F1FF6">
        <w:rPr>
          <w:rFonts w:ascii="Times New Roman" w:hAnsi="Times New Roman" w:cs="Times New Roman"/>
          <w:bCs/>
          <w:noProof/>
          <w:color w:val="000000" w:themeColor="text1"/>
          <w:sz w:val="24"/>
          <w:szCs w:val="24"/>
        </w:rPr>
        <w:t>d</w:t>
      </w:r>
      <w:r w:rsidR="006C0532" w:rsidRPr="005F1FF6">
        <w:rPr>
          <w:rFonts w:ascii="Times New Roman" w:hAnsi="Times New Roman" w:cs="Times New Roman"/>
          <w:bCs/>
          <w:noProof/>
          <w:color w:val="000000" w:themeColor="text1"/>
          <w:sz w:val="24"/>
          <w:szCs w:val="24"/>
        </w:rPr>
        <w:t xml:space="preserve"> by international organisations</w:t>
      </w:r>
      <w:r w:rsidR="006C0532" w:rsidRPr="005F1FF6">
        <w:rPr>
          <w:rFonts w:ascii="Times New Roman" w:hAnsi="Times New Roman" w:cs="Times New Roman"/>
          <w:bCs/>
          <w:noProof/>
          <w:sz w:val="24"/>
          <w:szCs w:val="24"/>
        </w:rPr>
        <w:t>.</w:t>
      </w:r>
    </w:p>
    <w:p w14:paraId="5A7BC0FC" w14:textId="478056C3" w:rsidR="004B08E0" w:rsidRPr="005F1FF6" w:rsidRDefault="004B08E0" w:rsidP="005F1FF6">
      <w:pPr>
        <w:spacing w:before="120" w:after="0" w:line="240" w:lineRule="auto"/>
        <w:jc w:val="both"/>
        <w:rPr>
          <w:rFonts w:ascii="Times New Roman" w:hAnsi="Times New Roman" w:cs="Times New Roman"/>
          <w:bCs/>
          <w:noProof/>
          <w:sz w:val="24"/>
          <w:szCs w:val="24"/>
        </w:rPr>
      </w:pPr>
      <w:r w:rsidRPr="005F1FF6">
        <w:rPr>
          <w:rFonts w:ascii="Times New Roman" w:hAnsi="Times New Roman" w:cs="Times New Roman"/>
          <w:noProof/>
          <w:sz w:val="24"/>
          <w:szCs w:val="24"/>
        </w:rPr>
        <w:t xml:space="preserve">Many projects </w:t>
      </w:r>
      <w:r w:rsidR="000F49C0" w:rsidRPr="005F1FF6">
        <w:rPr>
          <w:rFonts w:ascii="Times New Roman" w:hAnsi="Times New Roman" w:cs="Times New Roman"/>
          <w:noProof/>
          <w:sz w:val="24"/>
          <w:szCs w:val="24"/>
        </w:rPr>
        <w:t xml:space="preserve">from this financial year </w:t>
      </w:r>
      <w:r w:rsidRPr="005F1FF6">
        <w:rPr>
          <w:rFonts w:ascii="Times New Roman" w:hAnsi="Times New Roman" w:cs="Times New Roman"/>
          <w:noProof/>
          <w:sz w:val="24"/>
          <w:szCs w:val="24"/>
        </w:rPr>
        <w:t xml:space="preserve">were affected to some extent by the </w:t>
      </w:r>
      <w:r w:rsidRPr="005F1FF6">
        <w:rPr>
          <w:rFonts w:ascii="Times New Roman" w:hAnsi="Times New Roman" w:cs="Times New Roman"/>
          <w:b/>
          <w:noProof/>
          <w:sz w:val="24"/>
          <w:szCs w:val="24"/>
        </w:rPr>
        <w:t>COVID-19 crisis</w:t>
      </w:r>
      <w:r w:rsidRPr="005F1FF6">
        <w:rPr>
          <w:rFonts w:ascii="Times New Roman" w:hAnsi="Times New Roman" w:cs="Times New Roman"/>
          <w:noProof/>
          <w:sz w:val="24"/>
          <w:szCs w:val="24"/>
        </w:rPr>
        <w:t>. Projects involving events and face</w:t>
      </w:r>
      <w:r w:rsidR="00972745" w:rsidRPr="005F1FF6">
        <w:rPr>
          <w:rFonts w:ascii="Times New Roman" w:hAnsi="Times New Roman" w:cs="Times New Roman"/>
          <w:noProof/>
          <w:sz w:val="24"/>
          <w:szCs w:val="24"/>
        </w:rPr>
        <w:t>-</w:t>
      </w:r>
      <w:r w:rsidRPr="005F1FF6">
        <w:rPr>
          <w:rFonts w:ascii="Times New Roman" w:hAnsi="Times New Roman" w:cs="Times New Roman"/>
          <w:noProof/>
          <w:sz w:val="24"/>
          <w:szCs w:val="24"/>
        </w:rPr>
        <w:t>to</w:t>
      </w:r>
      <w:r w:rsidR="00972745" w:rsidRPr="005F1FF6">
        <w:rPr>
          <w:rFonts w:ascii="Times New Roman" w:hAnsi="Times New Roman" w:cs="Times New Roman"/>
          <w:noProof/>
          <w:sz w:val="24"/>
          <w:szCs w:val="24"/>
        </w:rPr>
        <w:t>-</w:t>
      </w:r>
      <w:r w:rsidRPr="005F1FF6">
        <w:rPr>
          <w:rFonts w:ascii="Times New Roman" w:hAnsi="Times New Roman" w:cs="Times New Roman"/>
          <w:noProof/>
          <w:sz w:val="24"/>
          <w:szCs w:val="24"/>
        </w:rPr>
        <w:t xml:space="preserve">face cooperation switched to </w:t>
      </w:r>
      <w:r w:rsidR="00FE2948" w:rsidRPr="005F1FF6">
        <w:rPr>
          <w:rFonts w:ascii="Times New Roman" w:hAnsi="Times New Roman" w:cs="Times New Roman"/>
          <w:noProof/>
          <w:sz w:val="24"/>
          <w:szCs w:val="24"/>
        </w:rPr>
        <w:t>online</w:t>
      </w:r>
      <w:r w:rsidRPr="005F1FF6">
        <w:rPr>
          <w:rFonts w:ascii="Times New Roman" w:hAnsi="Times New Roman" w:cs="Times New Roman"/>
          <w:noProof/>
          <w:sz w:val="24"/>
          <w:szCs w:val="24"/>
        </w:rPr>
        <w:t xml:space="preserve"> communication channels wherever possible</w:t>
      </w:r>
      <w:r w:rsidR="007D285B" w:rsidRPr="005F1FF6">
        <w:rPr>
          <w:rFonts w:ascii="Times New Roman" w:hAnsi="Times New Roman" w:cs="Times New Roman"/>
          <w:noProof/>
          <w:sz w:val="24"/>
          <w:szCs w:val="24"/>
        </w:rPr>
        <w:t xml:space="preserve"> and some events and activities were cancelled or postponed</w:t>
      </w:r>
      <w:r w:rsidR="007D285B" w:rsidRPr="005F1FF6">
        <w:rPr>
          <w:rStyle w:val="FootnoteReference"/>
          <w:rFonts w:ascii="Times New Roman" w:hAnsi="Times New Roman" w:cs="Times New Roman"/>
          <w:noProof/>
          <w:sz w:val="24"/>
          <w:szCs w:val="24"/>
        </w:rPr>
        <w:footnoteReference w:id="10"/>
      </w:r>
      <w:r w:rsidRPr="005F1FF6">
        <w:rPr>
          <w:rFonts w:ascii="Times New Roman" w:hAnsi="Times New Roman" w:cs="Times New Roman"/>
          <w:noProof/>
          <w:sz w:val="24"/>
          <w:szCs w:val="24"/>
        </w:rPr>
        <w:t>. In many cases th</w:t>
      </w:r>
      <w:r w:rsidR="007D285B" w:rsidRPr="005F1FF6">
        <w:rPr>
          <w:rFonts w:ascii="Times New Roman" w:hAnsi="Times New Roman" w:cs="Times New Roman"/>
          <w:noProof/>
          <w:sz w:val="24"/>
          <w:szCs w:val="24"/>
        </w:rPr>
        <w:t>e</w:t>
      </w:r>
      <w:r w:rsidR="002A7774" w:rsidRPr="005F1FF6">
        <w:rPr>
          <w:rFonts w:ascii="Times New Roman" w:hAnsi="Times New Roman" w:cs="Times New Roman"/>
          <w:noProof/>
          <w:sz w:val="24"/>
          <w:szCs w:val="24"/>
        </w:rPr>
        <w:t xml:space="preserve"> </w:t>
      </w:r>
      <w:r w:rsidR="007D285B" w:rsidRPr="005F1FF6">
        <w:rPr>
          <w:rFonts w:ascii="Times New Roman" w:hAnsi="Times New Roman" w:cs="Times New Roman"/>
          <w:noProof/>
          <w:sz w:val="24"/>
          <w:szCs w:val="24"/>
        </w:rPr>
        <w:t>switch to virtual events</w:t>
      </w:r>
      <w:r w:rsidRPr="005F1FF6">
        <w:rPr>
          <w:rFonts w:ascii="Times New Roman" w:hAnsi="Times New Roman" w:cs="Times New Roman"/>
          <w:noProof/>
          <w:sz w:val="24"/>
          <w:szCs w:val="24"/>
        </w:rPr>
        <w:t xml:space="preserve"> worked well and </w:t>
      </w:r>
      <w:r w:rsidR="00046143" w:rsidRPr="005F1FF6">
        <w:rPr>
          <w:rFonts w:ascii="Times New Roman" w:hAnsi="Times New Roman" w:cs="Times New Roman"/>
          <w:noProof/>
          <w:sz w:val="24"/>
          <w:szCs w:val="24"/>
        </w:rPr>
        <w:t>was continued in</w:t>
      </w:r>
      <w:r w:rsidRPr="005F1FF6">
        <w:rPr>
          <w:rFonts w:ascii="Times New Roman" w:hAnsi="Times New Roman" w:cs="Times New Roman"/>
          <w:noProof/>
          <w:sz w:val="24"/>
          <w:szCs w:val="24"/>
        </w:rPr>
        <w:t xml:space="preserve"> future actions. </w:t>
      </w:r>
      <w:r w:rsidR="007D285B" w:rsidRPr="005F1FF6">
        <w:rPr>
          <w:rFonts w:ascii="Times New Roman" w:hAnsi="Times New Roman" w:cs="Times New Roman"/>
          <w:noProof/>
          <w:sz w:val="24"/>
          <w:szCs w:val="24"/>
        </w:rPr>
        <w:t>However, i</w:t>
      </w:r>
      <w:r w:rsidRPr="005F1FF6">
        <w:rPr>
          <w:rFonts w:ascii="Times New Roman" w:hAnsi="Times New Roman" w:cs="Times New Roman"/>
          <w:noProof/>
          <w:sz w:val="24"/>
          <w:szCs w:val="24"/>
        </w:rPr>
        <w:t xml:space="preserve">n some cases, </w:t>
      </w:r>
      <w:r w:rsidR="00FE2948" w:rsidRPr="005F1FF6">
        <w:rPr>
          <w:rFonts w:ascii="Times New Roman" w:hAnsi="Times New Roman" w:cs="Times New Roman"/>
          <w:noProof/>
          <w:sz w:val="24"/>
          <w:szCs w:val="24"/>
        </w:rPr>
        <w:t>online</w:t>
      </w:r>
      <w:r w:rsidRPr="005F1FF6">
        <w:rPr>
          <w:rFonts w:ascii="Times New Roman" w:hAnsi="Times New Roman" w:cs="Times New Roman"/>
          <w:noProof/>
          <w:sz w:val="24"/>
          <w:szCs w:val="24"/>
        </w:rPr>
        <w:t xml:space="preserve"> </w:t>
      </w:r>
      <w:r w:rsidR="002A7774" w:rsidRPr="005F1FF6">
        <w:rPr>
          <w:rFonts w:ascii="Times New Roman" w:hAnsi="Times New Roman" w:cs="Times New Roman"/>
          <w:noProof/>
          <w:sz w:val="24"/>
          <w:szCs w:val="24"/>
        </w:rPr>
        <w:t xml:space="preserve">events and </w:t>
      </w:r>
      <w:r w:rsidRPr="005F1FF6">
        <w:rPr>
          <w:rFonts w:ascii="Times New Roman" w:hAnsi="Times New Roman" w:cs="Times New Roman"/>
          <w:noProof/>
          <w:sz w:val="24"/>
          <w:szCs w:val="24"/>
        </w:rPr>
        <w:t xml:space="preserve">communication </w:t>
      </w:r>
      <w:r w:rsidR="002A7774" w:rsidRPr="005F1FF6">
        <w:rPr>
          <w:rFonts w:ascii="Times New Roman" w:hAnsi="Times New Roman" w:cs="Times New Roman"/>
          <w:noProof/>
          <w:sz w:val="24"/>
          <w:szCs w:val="24"/>
        </w:rPr>
        <w:t xml:space="preserve">channels </w:t>
      </w:r>
      <w:r w:rsidR="007D285B" w:rsidRPr="005F1FF6">
        <w:rPr>
          <w:rFonts w:ascii="Times New Roman" w:hAnsi="Times New Roman" w:cs="Times New Roman"/>
          <w:noProof/>
          <w:sz w:val="24"/>
          <w:szCs w:val="24"/>
        </w:rPr>
        <w:t>limited</w:t>
      </w:r>
      <w:r w:rsidRPr="005F1FF6">
        <w:rPr>
          <w:rFonts w:ascii="Times New Roman" w:hAnsi="Times New Roman" w:cs="Times New Roman"/>
          <w:noProof/>
          <w:sz w:val="24"/>
          <w:szCs w:val="24"/>
        </w:rPr>
        <w:t xml:space="preserve"> more in-depth cooperation</w:t>
      </w:r>
      <w:r w:rsidRPr="005F1FF6">
        <w:rPr>
          <w:rStyle w:val="FootnoteReference"/>
          <w:rFonts w:ascii="Times New Roman" w:hAnsi="Times New Roman" w:cs="Times New Roman"/>
          <w:noProof/>
          <w:sz w:val="24"/>
          <w:szCs w:val="24"/>
        </w:rPr>
        <w:footnoteReference w:id="11"/>
      </w:r>
      <w:r w:rsidRPr="005F1FF6">
        <w:rPr>
          <w:rFonts w:ascii="Times New Roman" w:hAnsi="Times New Roman" w:cs="Times New Roman"/>
          <w:noProof/>
          <w:sz w:val="24"/>
          <w:szCs w:val="24"/>
        </w:rPr>
        <w:t>.</w:t>
      </w:r>
    </w:p>
    <w:p w14:paraId="2E09F903" w14:textId="286A0E88" w:rsidR="006C0532" w:rsidRPr="005F1FF6" w:rsidRDefault="006C0532" w:rsidP="005F1FF6">
      <w:pPr>
        <w:pStyle w:val="Heading1"/>
        <w:spacing w:line="240" w:lineRule="auto"/>
        <w:jc w:val="both"/>
        <w:rPr>
          <w:noProof/>
        </w:rPr>
      </w:pPr>
      <w:bookmarkStart w:id="5" w:name="_Toc82175589"/>
      <w:bookmarkStart w:id="6" w:name="_Toc146623384"/>
      <w:r w:rsidRPr="005F1FF6">
        <w:rPr>
          <w:noProof/>
        </w:rPr>
        <w:t xml:space="preserve">Activities and results </w:t>
      </w:r>
      <w:r w:rsidR="00C94B2F" w:rsidRPr="005F1FF6">
        <w:rPr>
          <w:noProof/>
        </w:rPr>
        <w:t xml:space="preserve">in </w:t>
      </w:r>
      <w:bookmarkEnd w:id="5"/>
      <w:r w:rsidR="00ED63E3" w:rsidRPr="005F1FF6">
        <w:rPr>
          <w:noProof/>
        </w:rPr>
        <w:t>2020</w:t>
      </w:r>
      <w:bookmarkEnd w:id="6"/>
    </w:p>
    <w:p w14:paraId="4FA2A575" w14:textId="44AF99A8" w:rsidR="006C0532" w:rsidRPr="005F1FF6" w:rsidRDefault="006C0532" w:rsidP="005F1FF6">
      <w:pPr>
        <w:spacing w:before="120" w:after="0" w:line="240" w:lineRule="auto"/>
        <w:jc w:val="both"/>
        <w:rPr>
          <w:rFonts w:ascii="Times New Roman" w:hAnsi="Times New Roman" w:cs="Times New Roman"/>
          <w:bCs/>
          <w:noProof/>
          <w:sz w:val="24"/>
          <w:szCs w:val="24"/>
        </w:rPr>
      </w:pPr>
      <w:r w:rsidRPr="005F1FF6">
        <w:rPr>
          <w:rFonts w:ascii="Times New Roman" w:hAnsi="Times New Roman" w:cs="Times New Roman"/>
          <w:bCs/>
          <w:noProof/>
          <w:sz w:val="24"/>
          <w:szCs w:val="24"/>
        </w:rPr>
        <w:t>The overall planned budget for COSME in 2014-2020</w:t>
      </w:r>
      <w:r w:rsidR="00C47396" w:rsidRPr="005F1FF6">
        <w:rPr>
          <w:rFonts w:ascii="Times New Roman" w:hAnsi="Times New Roman" w:cs="Times New Roman"/>
          <w:bCs/>
          <w:noProof/>
          <w:sz w:val="24"/>
          <w:szCs w:val="24"/>
        </w:rPr>
        <w:t xml:space="preserve"> </w:t>
      </w:r>
      <w:r w:rsidRPr="005F1FF6">
        <w:rPr>
          <w:rFonts w:ascii="Times New Roman" w:hAnsi="Times New Roman" w:cs="Times New Roman"/>
          <w:bCs/>
          <w:noProof/>
          <w:sz w:val="24"/>
          <w:szCs w:val="24"/>
        </w:rPr>
        <w:t>(7</w:t>
      </w:r>
      <w:r w:rsidR="00684D35" w:rsidRPr="005F1FF6">
        <w:rPr>
          <w:rFonts w:ascii="Times New Roman" w:hAnsi="Times New Roman" w:cs="Times New Roman"/>
          <w:bCs/>
          <w:noProof/>
          <w:sz w:val="24"/>
          <w:szCs w:val="24"/>
        </w:rPr>
        <w:t> </w:t>
      </w:r>
      <w:r w:rsidRPr="005F1FF6">
        <w:rPr>
          <w:rFonts w:ascii="Times New Roman" w:hAnsi="Times New Roman" w:cs="Times New Roman"/>
          <w:bCs/>
          <w:noProof/>
          <w:sz w:val="24"/>
          <w:szCs w:val="24"/>
        </w:rPr>
        <w:t xml:space="preserve">years) </w:t>
      </w:r>
      <w:r w:rsidR="005A4DB4" w:rsidRPr="005F1FF6">
        <w:rPr>
          <w:rFonts w:ascii="Times New Roman" w:hAnsi="Times New Roman" w:cs="Times New Roman"/>
          <w:bCs/>
          <w:noProof/>
          <w:sz w:val="24"/>
          <w:szCs w:val="24"/>
        </w:rPr>
        <w:t>wa</w:t>
      </w:r>
      <w:r w:rsidRPr="005F1FF6">
        <w:rPr>
          <w:rFonts w:ascii="Times New Roman" w:hAnsi="Times New Roman" w:cs="Times New Roman"/>
          <w:bCs/>
          <w:noProof/>
          <w:sz w:val="24"/>
          <w:szCs w:val="24"/>
        </w:rPr>
        <w:t>s EUR</w:t>
      </w:r>
      <w:r w:rsidR="00684D35" w:rsidRPr="005F1FF6">
        <w:rPr>
          <w:rFonts w:ascii="Times New Roman" w:hAnsi="Times New Roman" w:cs="Times New Roman"/>
          <w:bCs/>
          <w:noProof/>
          <w:sz w:val="24"/>
          <w:szCs w:val="24"/>
        </w:rPr>
        <w:t> </w:t>
      </w:r>
      <w:r w:rsidRPr="005F1FF6">
        <w:rPr>
          <w:rFonts w:ascii="Times New Roman" w:hAnsi="Times New Roman" w:cs="Times New Roman"/>
          <w:bCs/>
          <w:noProof/>
          <w:sz w:val="24"/>
          <w:szCs w:val="24"/>
        </w:rPr>
        <w:t>2.3</w:t>
      </w:r>
      <w:r w:rsidR="00684D35" w:rsidRPr="005F1FF6">
        <w:rPr>
          <w:rFonts w:ascii="Times New Roman" w:hAnsi="Times New Roman" w:cs="Times New Roman"/>
          <w:bCs/>
          <w:noProof/>
          <w:sz w:val="24"/>
          <w:szCs w:val="24"/>
        </w:rPr>
        <w:t> </w:t>
      </w:r>
      <w:r w:rsidRPr="005F1FF6">
        <w:rPr>
          <w:rFonts w:ascii="Times New Roman" w:hAnsi="Times New Roman" w:cs="Times New Roman"/>
          <w:bCs/>
          <w:noProof/>
          <w:sz w:val="24"/>
          <w:szCs w:val="24"/>
        </w:rPr>
        <w:t>billion</w:t>
      </w:r>
      <w:r w:rsidR="00001524" w:rsidRPr="005F1FF6">
        <w:rPr>
          <w:rFonts w:ascii="Times New Roman" w:hAnsi="Times New Roman" w:cs="Times New Roman"/>
          <w:bCs/>
          <w:noProof/>
          <w:sz w:val="24"/>
          <w:szCs w:val="24"/>
        </w:rPr>
        <w:t>,</w:t>
      </w:r>
      <w:r w:rsidRPr="005F1FF6">
        <w:rPr>
          <w:rFonts w:ascii="Times New Roman" w:hAnsi="Times New Roman" w:cs="Times New Roman"/>
          <w:bCs/>
          <w:noProof/>
          <w:sz w:val="24"/>
          <w:szCs w:val="24"/>
        </w:rPr>
        <w:t xml:space="preserve"> including administrative costs. The financial commitments </w:t>
      </w:r>
      <w:r w:rsidR="005A4DB4" w:rsidRPr="005F1FF6">
        <w:rPr>
          <w:rFonts w:ascii="Times New Roman" w:hAnsi="Times New Roman" w:cs="Times New Roman"/>
          <w:bCs/>
          <w:noProof/>
          <w:sz w:val="24"/>
          <w:szCs w:val="24"/>
        </w:rPr>
        <w:t xml:space="preserve">were </w:t>
      </w:r>
      <w:r w:rsidRPr="005F1FF6">
        <w:rPr>
          <w:rFonts w:ascii="Times New Roman" w:hAnsi="Times New Roman" w:cs="Times New Roman"/>
          <w:bCs/>
          <w:noProof/>
          <w:sz w:val="24"/>
          <w:szCs w:val="24"/>
        </w:rPr>
        <w:t>planned to increase progressively up to 2020</w:t>
      </w:r>
      <w:r w:rsidR="00C47396" w:rsidRPr="005F1FF6">
        <w:rPr>
          <w:rFonts w:ascii="Times New Roman" w:hAnsi="Times New Roman" w:cs="Times New Roman"/>
          <w:bCs/>
          <w:noProof/>
          <w:sz w:val="24"/>
          <w:szCs w:val="24"/>
        </w:rPr>
        <w:t>,</w:t>
      </w:r>
      <w:r w:rsidR="00ED63E3" w:rsidRPr="005F1FF6">
        <w:rPr>
          <w:rFonts w:ascii="Times New Roman" w:hAnsi="Times New Roman" w:cs="Times New Roman"/>
          <w:bCs/>
          <w:noProof/>
          <w:sz w:val="24"/>
          <w:szCs w:val="24"/>
        </w:rPr>
        <w:t xml:space="preserve"> which </w:t>
      </w:r>
      <w:r w:rsidR="00EA3F25" w:rsidRPr="005F1FF6">
        <w:rPr>
          <w:rFonts w:ascii="Times New Roman" w:hAnsi="Times New Roman" w:cs="Times New Roman"/>
          <w:bCs/>
          <w:noProof/>
          <w:sz w:val="24"/>
          <w:szCs w:val="24"/>
        </w:rPr>
        <w:t xml:space="preserve">was </w:t>
      </w:r>
      <w:r w:rsidR="00ED63E3" w:rsidRPr="005F1FF6">
        <w:rPr>
          <w:rFonts w:ascii="Times New Roman" w:hAnsi="Times New Roman" w:cs="Times New Roman"/>
          <w:bCs/>
          <w:noProof/>
          <w:sz w:val="24"/>
          <w:szCs w:val="24"/>
        </w:rPr>
        <w:t xml:space="preserve">the </w:t>
      </w:r>
      <w:r w:rsidR="00C47396" w:rsidRPr="005F1FF6">
        <w:rPr>
          <w:rFonts w:ascii="Times New Roman" w:hAnsi="Times New Roman" w:cs="Times New Roman"/>
          <w:bCs/>
          <w:noProof/>
          <w:sz w:val="24"/>
          <w:szCs w:val="24"/>
        </w:rPr>
        <w:t>programme</w:t>
      </w:r>
      <w:r w:rsidR="00E24433" w:rsidRPr="005F1FF6">
        <w:rPr>
          <w:rFonts w:ascii="Times New Roman" w:hAnsi="Times New Roman" w:cs="Times New Roman"/>
          <w:bCs/>
          <w:noProof/>
          <w:sz w:val="24"/>
          <w:szCs w:val="24"/>
        </w:rPr>
        <w:t>’</w:t>
      </w:r>
      <w:r w:rsidR="00C47396" w:rsidRPr="005F1FF6">
        <w:rPr>
          <w:rFonts w:ascii="Times New Roman" w:hAnsi="Times New Roman" w:cs="Times New Roman"/>
          <w:bCs/>
          <w:noProof/>
          <w:sz w:val="24"/>
          <w:szCs w:val="24"/>
        </w:rPr>
        <w:t xml:space="preserve">s </w:t>
      </w:r>
      <w:r w:rsidR="00ED63E3" w:rsidRPr="005F1FF6">
        <w:rPr>
          <w:rFonts w:ascii="Times New Roman" w:hAnsi="Times New Roman" w:cs="Times New Roman"/>
          <w:bCs/>
          <w:noProof/>
          <w:sz w:val="24"/>
          <w:szCs w:val="24"/>
        </w:rPr>
        <w:t>final year</w:t>
      </w:r>
      <w:r w:rsidRPr="005F1FF6">
        <w:rPr>
          <w:rFonts w:ascii="Times New Roman" w:hAnsi="Times New Roman" w:cs="Times New Roman"/>
          <w:bCs/>
          <w:noProof/>
          <w:sz w:val="24"/>
          <w:szCs w:val="24"/>
        </w:rPr>
        <w:t xml:space="preserve">. An annual work programme with accompanying support measures </w:t>
      </w:r>
      <w:r w:rsidR="005A4DB4" w:rsidRPr="005F1FF6">
        <w:rPr>
          <w:rFonts w:ascii="Times New Roman" w:hAnsi="Times New Roman" w:cs="Times New Roman"/>
          <w:bCs/>
          <w:noProof/>
          <w:sz w:val="24"/>
          <w:szCs w:val="24"/>
        </w:rPr>
        <w:t>wa</w:t>
      </w:r>
      <w:r w:rsidRPr="005F1FF6">
        <w:rPr>
          <w:rFonts w:ascii="Times New Roman" w:hAnsi="Times New Roman" w:cs="Times New Roman"/>
          <w:bCs/>
          <w:noProof/>
          <w:sz w:val="24"/>
          <w:szCs w:val="24"/>
        </w:rPr>
        <w:t xml:space="preserve">s </w:t>
      </w:r>
      <w:r w:rsidR="00D50AC3" w:rsidRPr="005F1FF6">
        <w:rPr>
          <w:rFonts w:ascii="Times New Roman" w:hAnsi="Times New Roman" w:cs="Times New Roman"/>
          <w:bCs/>
          <w:noProof/>
          <w:sz w:val="24"/>
          <w:szCs w:val="24"/>
        </w:rPr>
        <w:t>adopted by the Commission</w:t>
      </w:r>
      <w:r w:rsidRPr="005F1FF6">
        <w:rPr>
          <w:rFonts w:ascii="Times New Roman" w:hAnsi="Times New Roman" w:cs="Times New Roman"/>
          <w:bCs/>
          <w:noProof/>
          <w:sz w:val="24"/>
          <w:szCs w:val="24"/>
        </w:rPr>
        <w:t xml:space="preserve"> each year.</w:t>
      </w:r>
    </w:p>
    <w:p w14:paraId="2DB24A47" w14:textId="08A2B406" w:rsidR="006C0532" w:rsidRPr="005F1FF6" w:rsidRDefault="006C0532" w:rsidP="005F1FF6">
      <w:pPr>
        <w:autoSpaceDE w:val="0"/>
        <w:autoSpaceDN w:val="0"/>
        <w:adjustRightInd w:val="0"/>
        <w:spacing w:before="120" w:after="0" w:line="240" w:lineRule="auto"/>
        <w:jc w:val="both"/>
        <w:rPr>
          <w:rFonts w:ascii="Times New Roman" w:hAnsi="Times New Roman" w:cs="Times New Roman"/>
          <w:bCs/>
          <w:noProof/>
          <w:sz w:val="24"/>
          <w:szCs w:val="24"/>
        </w:rPr>
      </w:pPr>
      <w:r w:rsidRPr="005F1FF6">
        <w:rPr>
          <w:rFonts w:ascii="Times New Roman" w:hAnsi="Times New Roman" w:cs="Times New Roman"/>
          <w:bCs/>
          <w:noProof/>
          <w:sz w:val="24"/>
          <w:szCs w:val="24"/>
        </w:rPr>
        <w:t xml:space="preserve">The COSME budget </w:t>
      </w:r>
      <w:r w:rsidR="005A4DB4" w:rsidRPr="005F1FF6">
        <w:rPr>
          <w:rFonts w:ascii="Times New Roman" w:hAnsi="Times New Roman" w:cs="Times New Roman"/>
          <w:bCs/>
          <w:noProof/>
          <w:sz w:val="24"/>
          <w:szCs w:val="24"/>
        </w:rPr>
        <w:t>wa</w:t>
      </w:r>
      <w:r w:rsidRPr="005F1FF6">
        <w:rPr>
          <w:rFonts w:ascii="Times New Roman" w:hAnsi="Times New Roman" w:cs="Times New Roman"/>
          <w:bCs/>
          <w:noProof/>
          <w:sz w:val="24"/>
          <w:szCs w:val="24"/>
        </w:rPr>
        <w:t xml:space="preserve">s implemented through four budget lines with appropriations specified by the </w:t>
      </w:r>
      <w:r w:rsidRPr="005F1FF6">
        <w:rPr>
          <w:rFonts w:ascii="Times New Roman" w:hAnsi="Times New Roman" w:cs="Times New Roman"/>
          <w:bCs/>
          <w:noProof/>
          <w:color w:val="000000" w:themeColor="text1"/>
          <w:sz w:val="24"/>
          <w:szCs w:val="24"/>
        </w:rPr>
        <w:t>corresponding revised financing decision for 20</w:t>
      </w:r>
      <w:r w:rsidR="00AE6B85" w:rsidRPr="005F1FF6">
        <w:rPr>
          <w:rFonts w:ascii="Times New Roman" w:hAnsi="Times New Roman" w:cs="Times New Roman"/>
          <w:bCs/>
          <w:noProof/>
          <w:color w:val="000000" w:themeColor="text1"/>
          <w:sz w:val="24"/>
          <w:szCs w:val="24"/>
        </w:rPr>
        <w:t>20</w:t>
      </w:r>
      <w:r w:rsidRPr="005F1FF6">
        <w:rPr>
          <w:rStyle w:val="FootnoteReference"/>
          <w:rFonts w:ascii="Times New Roman" w:hAnsi="Times New Roman" w:cs="Times New Roman"/>
          <w:bCs/>
          <w:noProof/>
          <w:color w:val="000000" w:themeColor="text1"/>
          <w:sz w:val="24"/>
          <w:szCs w:val="24"/>
        </w:rPr>
        <w:footnoteReference w:id="12"/>
      </w:r>
      <w:r w:rsidRPr="005F1FF6">
        <w:rPr>
          <w:rFonts w:ascii="Times New Roman" w:hAnsi="Times New Roman" w:cs="Times New Roman"/>
          <w:bCs/>
          <w:noProof/>
          <w:color w:val="000000" w:themeColor="text1"/>
          <w:sz w:val="24"/>
          <w:szCs w:val="24"/>
        </w:rPr>
        <w:t xml:space="preserve"> and the financing decision for support measures</w:t>
      </w:r>
      <w:r w:rsidRPr="005F1FF6">
        <w:rPr>
          <w:rStyle w:val="FootnoteReference"/>
          <w:rFonts w:ascii="Times New Roman" w:hAnsi="Times New Roman" w:cs="Times New Roman"/>
          <w:bCs/>
          <w:noProof/>
          <w:color w:val="000000" w:themeColor="text1"/>
          <w:sz w:val="24"/>
          <w:szCs w:val="24"/>
        </w:rPr>
        <w:footnoteReference w:id="13"/>
      </w:r>
      <w:r w:rsidRPr="005F1FF6">
        <w:rPr>
          <w:rFonts w:ascii="Times New Roman" w:hAnsi="Times New Roman" w:cs="Times New Roman"/>
          <w:bCs/>
          <w:noProof/>
          <w:color w:val="000000" w:themeColor="text1"/>
          <w:sz w:val="24"/>
          <w:szCs w:val="24"/>
        </w:rPr>
        <w:t xml:space="preserve">. After adding contributions from </w:t>
      </w:r>
      <w:r w:rsidR="00001524" w:rsidRPr="005F1FF6">
        <w:rPr>
          <w:rFonts w:ascii="Times New Roman" w:hAnsi="Times New Roman" w:cs="Times New Roman"/>
          <w:bCs/>
          <w:noProof/>
          <w:color w:val="000000" w:themeColor="text1"/>
          <w:sz w:val="24"/>
          <w:szCs w:val="24"/>
        </w:rPr>
        <w:t xml:space="preserve">non-EU </w:t>
      </w:r>
      <w:r w:rsidRPr="005F1FF6">
        <w:rPr>
          <w:rFonts w:ascii="Times New Roman" w:hAnsi="Times New Roman" w:cs="Times New Roman"/>
          <w:bCs/>
          <w:noProof/>
          <w:color w:val="000000" w:themeColor="text1"/>
          <w:sz w:val="24"/>
          <w:szCs w:val="24"/>
        </w:rPr>
        <w:t>countries, unused appropriations from the previous programming period and miscellaneous transfers, the budget available for 20</w:t>
      </w:r>
      <w:r w:rsidR="00B8409B" w:rsidRPr="005F1FF6">
        <w:rPr>
          <w:rFonts w:ascii="Times New Roman" w:hAnsi="Times New Roman" w:cs="Times New Roman"/>
          <w:bCs/>
          <w:noProof/>
          <w:color w:val="000000" w:themeColor="text1"/>
          <w:sz w:val="24"/>
          <w:szCs w:val="24"/>
        </w:rPr>
        <w:t>20</w:t>
      </w:r>
      <w:r w:rsidRPr="005F1FF6">
        <w:rPr>
          <w:rFonts w:ascii="Times New Roman" w:hAnsi="Times New Roman" w:cs="Times New Roman"/>
          <w:bCs/>
          <w:noProof/>
          <w:color w:val="000000" w:themeColor="text1"/>
          <w:sz w:val="24"/>
          <w:szCs w:val="24"/>
        </w:rPr>
        <w:t xml:space="preserve"> was</w:t>
      </w:r>
      <w:r w:rsidR="00087CC7" w:rsidRPr="005F1FF6">
        <w:rPr>
          <w:rFonts w:ascii="Times New Roman" w:hAnsi="Times New Roman" w:cs="Times New Roman"/>
          <w:bCs/>
          <w:noProof/>
          <w:color w:val="000000" w:themeColor="text1"/>
          <w:sz w:val="24"/>
          <w:szCs w:val="24"/>
        </w:rPr>
        <w:t xml:space="preserve"> as </w:t>
      </w:r>
      <w:r w:rsidR="00087CC7" w:rsidRPr="005F1FF6">
        <w:rPr>
          <w:rFonts w:ascii="Times New Roman" w:hAnsi="Times New Roman" w:cs="Times New Roman"/>
          <w:bCs/>
          <w:noProof/>
          <w:sz w:val="24"/>
          <w:szCs w:val="24"/>
        </w:rPr>
        <w:t>follows</w:t>
      </w:r>
      <w:r w:rsidRPr="005F1FF6">
        <w:rPr>
          <w:rFonts w:ascii="Times New Roman" w:hAnsi="Times New Roman" w:cs="Times New Roman"/>
          <w:bCs/>
          <w:noProof/>
          <w:sz w:val="24"/>
          <w:szCs w:val="24"/>
        </w:rPr>
        <w:t>:</w:t>
      </w:r>
    </w:p>
    <w:p w14:paraId="2BD8584A" w14:textId="244AE068" w:rsidR="006C0532" w:rsidRPr="005F1FF6" w:rsidRDefault="006C0532" w:rsidP="005F1FF6">
      <w:pPr>
        <w:autoSpaceDE w:val="0"/>
        <w:autoSpaceDN w:val="0"/>
        <w:adjustRightInd w:val="0"/>
        <w:spacing w:before="6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 xml:space="preserve">(a) </w:t>
      </w:r>
      <w:r w:rsidR="00C47396" w:rsidRPr="005F1FF6">
        <w:rPr>
          <w:rFonts w:ascii="Times New Roman" w:hAnsi="Times New Roman" w:cs="Times New Roman"/>
          <w:noProof/>
          <w:sz w:val="24"/>
          <w:szCs w:val="24"/>
        </w:rPr>
        <w:t>b</w:t>
      </w:r>
      <w:r w:rsidRPr="005F1FF6">
        <w:rPr>
          <w:rFonts w:ascii="Times New Roman" w:hAnsi="Times New Roman" w:cs="Times New Roman"/>
          <w:noProof/>
          <w:sz w:val="24"/>
          <w:szCs w:val="24"/>
        </w:rPr>
        <w:t>udget line</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01</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04</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01 for administrative expenditure: EUR</w:t>
      </w:r>
      <w:r w:rsidR="00684D35" w:rsidRPr="005F1FF6">
        <w:rPr>
          <w:rFonts w:ascii="Times New Roman" w:hAnsi="Times New Roman" w:cs="Times New Roman"/>
          <w:noProof/>
          <w:sz w:val="24"/>
          <w:szCs w:val="24"/>
        </w:rPr>
        <w:t> </w:t>
      </w:r>
      <w:r w:rsidR="005321E4" w:rsidRPr="005F1FF6">
        <w:rPr>
          <w:rFonts w:ascii="Times New Roman" w:hAnsi="Times New Roman" w:cs="Times New Roman"/>
          <w:noProof/>
          <w:sz w:val="24"/>
          <w:szCs w:val="24"/>
        </w:rPr>
        <w:t>3</w:t>
      </w:r>
      <w:r w:rsidR="00FE2948" w:rsidRPr="005F1FF6">
        <w:rPr>
          <w:rFonts w:ascii="Times New Roman" w:hAnsi="Times New Roman" w:cs="Times New Roman"/>
          <w:noProof/>
          <w:sz w:val="24"/>
          <w:szCs w:val="24"/>
        </w:rPr>
        <w:t> </w:t>
      </w:r>
      <w:r w:rsidR="005321E4" w:rsidRPr="005F1FF6">
        <w:rPr>
          <w:rFonts w:ascii="Times New Roman" w:hAnsi="Times New Roman" w:cs="Times New Roman"/>
          <w:noProof/>
          <w:sz w:val="24"/>
          <w:szCs w:val="24"/>
        </w:rPr>
        <w:t>619 04</w:t>
      </w:r>
      <w:r w:rsidR="003060BA" w:rsidRPr="005F1FF6">
        <w:rPr>
          <w:rFonts w:ascii="Times New Roman" w:hAnsi="Times New Roman" w:cs="Times New Roman"/>
          <w:noProof/>
          <w:sz w:val="24"/>
          <w:szCs w:val="24"/>
        </w:rPr>
        <w:t>6</w:t>
      </w:r>
      <w:r w:rsidR="00A902FC" w:rsidRPr="005F1FF6">
        <w:rPr>
          <w:rFonts w:ascii="Times New Roman" w:hAnsi="Times New Roman" w:cs="Times New Roman"/>
          <w:noProof/>
          <w:sz w:val="24"/>
          <w:szCs w:val="24"/>
        </w:rPr>
        <w:t>;</w:t>
      </w:r>
    </w:p>
    <w:p w14:paraId="25BFE833" w14:textId="59114D60" w:rsidR="006C0532" w:rsidRPr="005F1FF6" w:rsidRDefault="006C0532" w:rsidP="005F1FF6">
      <w:pPr>
        <w:autoSpaceDE w:val="0"/>
        <w:autoSpaceDN w:val="0"/>
        <w:adjustRightInd w:val="0"/>
        <w:spacing w:before="120" w:after="0" w:line="240" w:lineRule="auto"/>
        <w:contextualSpacing/>
        <w:jc w:val="both"/>
        <w:rPr>
          <w:rFonts w:ascii="Times New Roman" w:hAnsi="Times New Roman" w:cs="Times New Roman"/>
          <w:noProof/>
          <w:sz w:val="24"/>
          <w:szCs w:val="24"/>
        </w:rPr>
      </w:pPr>
      <w:r w:rsidRPr="005F1FF6">
        <w:rPr>
          <w:rFonts w:ascii="Times New Roman" w:hAnsi="Times New Roman" w:cs="Times New Roman"/>
          <w:noProof/>
          <w:sz w:val="24"/>
          <w:szCs w:val="24"/>
        </w:rPr>
        <w:t xml:space="preserve">(b) </w:t>
      </w:r>
      <w:r w:rsidR="00C47396" w:rsidRPr="005F1FF6">
        <w:rPr>
          <w:rFonts w:ascii="Times New Roman" w:hAnsi="Times New Roman" w:cs="Times New Roman"/>
          <w:noProof/>
          <w:sz w:val="24"/>
          <w:szCs w:val="24"/>
        </w:rPr>
        <w:t>b</w:t>
      </w:r>
      <w:r w:rsidRPr="005F1FF6">
        <w:rPr>
          <w:rFonts w:ascii="Times New Roman" w:hAnsi="Times New Roman" w:cs="Times New Roman"/>
          <w:noProof/>
          <w:sz w:val="24"/>
          <w:szCs w:val="24"/>
        </w:rPr>
        <w:t>udget line</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01</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06</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01 for the functioning of the E</w:t>
      </w:r>
      <w:r w:rsidR="004219E0" w:rsidRPr="005F1FF6">
        <w:rPr>
          <w:rFonts w:ascii="Times New Roman" w:hAnsi="Times New Roman" w:cs="Times New Roman"/>
          <w:noProof/>
          <w:sz w:val="24"/>
          <w:szCs w:val="24"/>
        </w:rPr>
        <w:t>ASME</w:t>
      </w:r>
      <w:r w:rsidRPr="005F1FF6">
        <w:rPr>
          <w:rFonts w:ascii="Times New Roman" w:hAnsi="Times New Roman" w:cs="Times New Roman"/>
          <w:noProof/>
          <w:sz w:val="24"/>
          <w:szCs w:val="24"/>
        </w:rPr>
        <w:t xml:space="preserve"> agency: EUR</w:t>
      </w:r>
      <w:r w:rsidR="00684D35" w:rsidRPr="005F1FF6">
        <w:rPr>
          <w:rFonts w:ascii="Times New Roman" w:hAnsi="Times New Roman" w:cs="Times New Roman"/>
          <w:noProof/>
          <w:sz w:val="24"/>
          <w:szCs w:val="24"/>
        </w:rPr>
        <w:t> </w:t>
      </w:r>
      <w:r w:rsidR="005321E4" w:rsidRPr="005F1FF6">
        <w:rPr>
          <w:rFonts w:ascii="Times New Roman" w:hAnsi="Times New Roman" w:cs="Times New Roman"/>
          <w:noProof/>
          <w:sz w:val="24"/>
          <w:szCs w:val="24"/>
        </w:rPr>
        <w:t>10</w:t>
      </w:r>
      <w:r w:rsidR="00FE2948" w:rsidRPr="005F1FF6">
        <w:rPr>
          <w:rFonts w:ascii="Times New Roman" w:hAnsi="Times New Roman" w:cs="Times New Roman"/>
          <w:noProof/>
          <w:sz w:val="24"/>
          <w:szCs w:val="24"/>
        </w:rPr>
        <w:t> </w:t>
      </w:r>
      <w:r w:rsidR="005321E4" w:rsidRPr="005F1FF6">
        <w:rPr>
          <w:rFonts w:ascii="Times New Roman" w:hAnsi="Times New Roman" w:cs="Times New Roman"/>
          <w:noProof/>
          <w:sz w:val="24"/>
          <w:szCs w:val="24"/>
        </w:rPr>
        <w:t>330 544</w:t>
      </w:r>
      <w:r w:rsidR="00087CC7" w:rsidRPr="005F1FF6">
        <w:rPr>
          <w:rFonts w:ascii="Times New Roman" w:hAnsi="Times New Roman" w:cs="Times New Roman"/>
          <w:noProof/>
          <w:sz w:val="24"/>
          <w:szCs w:val="24"/>
        </w:rPr>
        <w:t>;</w:t>
      </w:r>
    </w:p>
    <w:p w14:paraId="4E3BB3C9" w14:textId="27B0F027" w:rsidR="006C0532" w:rsidRPr="005F1FF6" w:rsidRDefault="006C0532" w:rsidP="005F1FF6">
      <w:pPr>
        <w:autoSpaceDE w:val="0"/>
        <w:autoSpaceDN w:val="0"/>
        <w:adjustRightInd w:val="0"/>
        <w:spacing w:before="120" w:after="0" w:line="240" w:lineRule="auto"/>
        <w:contextualSpacing/>
        <w:jc w:val="both"/>
        <w:rPr>
          <w:rFonts w:ascii="Times New Roman" w:hAnsi="Times New Roman" w:cs="Times New Roman"/>
          <w:noProof/>
          <w:sz w:val="24"/>
          <w:szCs w:val="24"/>
        </w:rPr>
      </w:pPr>
      <w:r w:rsidRPr="005F1FF6">
        <w:rPr>
          <w:rFonts w:ascii="Times New Roman" w:hAnsi="Times New Roman" w:cs="Times New Roman"/>
          <w:noProof/>
          <w:sz w:val="24"/>
          <w:szCs w:val="24"/>
        </w:rPr>
        <w:t xml:space="preserve">(c) </w:t>
      </w:r>
      <w:r w:rsidR="00C47396" w:rsidRPr="005F1FF6">
        <w:rPr>
          <w:rFonts w:ascii="Times New Roman" w:hAnsi="Times New Roman" w:cs="Times New Roman"/>
          <w:noProof/>
          <w:sz w:val="24"/>
          <w:szCs w:val="24"/>
        </w:rPr>
        <w:t>b</w:t>
      </w:r>
      <w:r w:rsidRPr="005F1FF6">
        <w:rPr>
          <w:rFonts w:ascii="Times New Roman" w:hAnsi="Times New Roman" w:cs="Times New Roman"/>
          <w:noProof/>
          <w:sz w:val="24"/>
          <w:szCs w:val="24"/>
        </w:rPr>
        <w:t>udget line</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01 for all other operational expenditure: EUR</w:t>
      </w:r>
      <w:r w:rsidR="00684D35" w:rsidRPr="005F1FF6">
        <w:rPr>
          <w:rFonts w:ascii="Times New Roman" w:hAnsi="Times New Roman" w:cs="Times New Roman"/>
          <w:noProof/>
          <w:sz w:val="24"/>
          <w:szCs w:val="24"/>
        </w:rPr>
        <w:t> </w:t>
      </w:r>
      <w:r w:rsidR="005321E4" w:rsidRPr="005F1FF6">
        <w:rPr>
          <w:rFonts w:ascii="Times New Roman" w:hAnsi="Times New Roman" w:cs="Times New Roman"/>
          <w:noProof/>
          <w:sz w:val="24"/>
          <w:szCs w:val="24"/>
        </w:rPr>
        <w:t>1</w:t>
      </w:r>
      <w:r w:rsidR="003060BA" w:rsidRPr="005F1FF6">
        <w:rPr>
          <w:rFonts w:ascii="Times New Roman" w:hAnsi="Times New Roman" w:cs="Times New Roman"/>
          <w:noProof/>
          <w:sz w:val="24"/>
          <w:szCs w:val="24"/>
        </w:rPr>
        <w:t>36</w:t>
      </w:r>
      <w:r w:rsidR="00FE2948" w:rsidRPr="005F1FF6">
        <w:rPr>
          <w:rFonts w:ascii="Times New Roman" w:hAnsi="Times New Roman" w:cs="Times New Roman"/>
          <w:noProof/>
          <w:sz w:val="24"/>
          <w:szCs w:val="24"/>
        </w:rPr>
        <w:t> </w:t>
      </w:r>
      <w:r w:rsidR="005321E4" w:rsidRPr="005F1FF6">
        <w:rPr>
          <w:rFonts w:ascii="Times New Roman" w:hAnsi="Times New Roman" w:cs="Times New Roman"/>
          <w:noProof/>
          <w:sz w:val="24"/>
          <w:szCs w:val="24"/>
        </w:rPr>
        <w:t>5</w:t>
      </w:r>
      <w:r w:rsidR="003060BA" w:rsidRPr="005F1FF6">
        <w:rPr>
          <w:rFonts w:ascii="Times New Roman" w:hAnsi="Times New Roman" w:cs="Times New Roman"/>
          <w:noProof/>
          <w:sz w:val="24"/>
          <w:szCs w:val="24"/>
        </w:rPr>
        <w:t>38</w:t>
      </w:r>
      <w:r w:rsidR="005321E4" w:rsidRPr="005F1FF6">
        <w:rPr>
          <w:rFonts w:ascii="Times New Roman" w:hAnsi="Times New Roman" w:cs="Times New Roman"/>
          <w:noProof/>
          <w:sz w:val="24"/>
          <w:szCs w:val="24"/>
        </w:rPr>
        <w:t xml:space="preserve"> </w:t>
      </w:r>
      <w:r w:rsidR="003060BA" w:rsidRPr="005F1FF6">
        <w:rPr>
          <w:rFonts w:ascii="Times New Roman" w:hAnsi="Times New Roman" w:cs="Times New Roman"/>
          <w:noProof/>
          <w:sz w:val="24"/>
          <w:szCs w:val="24"/>
        </w:rPr>
        <w:t>959</w:t>
      </w:r>
      <w:r w:rsidR="00087CC7" w:rsidRPr="005F1FF6">
        <w:rPr>
          <w:rFonts w:ascii="Times New Roman" w:hAnsi="Times New Roman" w:cs="Times New Roman"/>
          <w:noProof/>
          <w:sz w:val="24"/>
          <w:szCs w:val="24"/>
        </w:rPr>
        <w:t>;</w:t>
      </w:r>
    </w:p>
    <w:p w14:paraId="636CF5E4" w14:textId="0FA897B3" w:rsidR="006C0532" w:rsidRPr="005F1FF6" w:rsidRDefault="006C0532" w:rsidP="005F1FF6">
      <w:pPr>
        <w:spacing w:before="120" w:after="0" w:line="240" w:lineRule="auto"/>
        <w:contextualSpacing/>
        <w:jc w:val="both"/>
        <w:rPr>
          <w:rFonts w:ascii="Times New Roman" w:hAnsi="Times New Roman" w:cs="Times New Roman"/>
          <w:noProof/>
          <w:sz w:val="24"/>
          <w:szCs w:val="24"/>
        </w:rPr>
      </w:pPr>
      <w:r w:rsidRPr="005F1FF6">
        <w:rPr>
          <w:rFonts w:ascii="Times New Roman" w:hAnsi="Times New Roman" w:cs="Times New Roman"/>
          <w:noProof/>
          <w:sz w:val="24"/>
          <w:szCs w:val="24"/>
        </w:rPr>
        <w:t xml:space="preserve">(d) </w:t>
      </w:r>
      <w:r w:rsidR="00C47396" w:rsidRPr="005F1FF6">
        <w:rPr>
          <w:rFonts w:ascii="Times New Roman" w:hAnsi="Times New Roman" w:cs="Times New Roman"/>
          <w:noProof/>
          <w:sz w:val="24"/>
          <w:szCs w:val="24"/>
        </w:rPr>
        <w:t>b</w:t>
      </w:r>
      <w:r w:rsidRPr="005F1FF6">
        <w:rPr>
          <w:rFonts w:ascii="Times New Roman" w:hAnsi="Times New Roman" w:cs="Times New Roman"/>
          <w:noProof/>
          <w:sz w:val="24"/>
          <w:szCs w:val="24"/>
        </w:rPr>
        <w:t>udget line</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 for access to finance operational expenditure: EUR</w:t>
      </w:r>
      <w:r w:rsidR="00684D35" w:rsidRPr="005F1FF6">
        <w:rPr>
          <w:rFonts w:ascii="Times New Roman" w:hAnsi="Times New Roman" w:cs="Times New Roman"/>
          <w:noProof/>
          <w:sz w:val="24"/>
          <w:szCs w:val="24"/>
        </w:rPr>
        <w:t> </w:t>
      </w:r>
      <w:r w:rsidR="003060BA" w:rsidRPr="005F1FF6">
        <w:rPr>
          <w:rFonts w:ascii="Times New Roman" w:hAnsi="Times New Roman" w:cs="Times New Roman"/>
          <w:noProof/>
          <w:sz w:val="24"/>
          <w:szCs w:val="24"/>
        </w:rPr>
        <w:t>290</w:t>
      </w:r>
      <w:r w:rsidR="00FE2948" w:rsidRPr="005F1FF6">
        <w:rPr>
          <w:rFonts w:ascii="Times New Roman" w:hAnsi="Times New Roman" w:cs="Times New Roman"/>
          <w:noProof/>
          <w:sz w:val="24"/>
          <w:szCs w:val="24"/>
        </w:rPr>
        <w:t> </w:t>
      </w:r>
      <w:r w:rsidR="003060BA" w:rsidRPr="005F1FF6">
        <w:rPr>
          <w:rFonts w:ascii="Times New Roman" w:hAnsi="Times New Roman" w:cs="Times New Roman"/>
          <w:noProof/>
          <w:sz w:val="24"/>
          <w:szCs w:val="24"/>
        </w:rPr>
        <w:t>041</w:t>
      </w:r>
      <w:r w:rsidR="005321E4" w:rsidRPr="005F1FF6">
        <w:rPr>
          <w:rFonts w:ascii="Times New Roman" w:hAnsi="Times New Roman" w:cs="Times New Roman"/>
          <w:noProof/>
          <w:sz w:val="24"/>
          <w:szCs w:val="24"/>
        </w:rPr>
        <w:t xml:space="preserve"> </w:t>
      </w:r>
      <w:r w:rsidR="003060BA" w:rsidRPr="005F1FF6">
        <w:rPr>
          <w:rFonts w:ascii="Times New Roman" w:hAnsi="Times New Roman" w:cs="Times New Roman"/>
          <w:noProof/>
          <w:sz w:val="24"/>
          <w:szCs w:val="24"/>
        </w:rPr>
        <w:t>750</w:t>
      </w:r>
      <w:r w:rsidR="00087CC7" w:rsidRPr="005F1FF6">
        <w:rPr>
          <w:rFonts w:ascii="Times New Roman" w:hAnsi="Times New Roman" w:cs="Times New Roman"/>
          <w:noProof/>
          <w:sz w:val="24"/>
          <w:szCs w:val="24"/>
        </w:rPr>
        <w:t>.</w:t>
      </w:r>
    </w:p>
    <w:p w14:paraId="66221DCB" w14:textId="51D060E7" w:rsidR="006C0532" w:rsidRPr="005F1FF6" w:rsidRDefault="006C0532"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The financing decision for support measures provide</w:t>
      </w:r>
      <w:r w:rsidR="00FC3C79" w:rsidRPr="005F1FF6">
        <w:rPr>
          <w:rFonts w:ascii="Times New Roman" w:hAnsi="Times New Roman" w:cs="Times New Roman"/>
          <w:noProof/>
          <w:sz w:val="24"/>
          <w:szCs w:val="24"/>
        </w:rPr>
        <w:t>d</w:t>
      </w:r>
      <w:r w:rsidRPr="005F1FF6">
        <w:rPr>
          <w:rFonts w:ascii="Times New Roman" w:hAnsi="Times New Roman" w:cs="Times New Roman"/>
          <w:noProof/>
          <w:sz w:val="24"/>
          <w:szCs w:val="24"/>
        </w:rPr>
        <w:t xml:space="preserve"> for a contribution of EUR</w:t>
      </w:r>
      <w:r w:rsidR="00684D35" w:rsidRPr="005F1FF6">
        <w:rPr>
          <w:rFonts w:ascii="Times New Roman" w:hAnsi="Times New Roman" w:cs="Times New Roman"/>
          <w:noProof/>
          <w:sz w:val="24"/>
          <w:szCs w:val="24"/>
        </w:rPr>
        <w:t> </w:t>
      </w:r>
      <w:r w:rsidR="005321E4" w:rsidRPr="005F1FF6">
        <w:rPr>
          <w:rFonts w:ascii="Times New Roman" w:hAnsi="Times New Roman" w:cs="Times New Roman"/>
          <w:noProof/>
          <w:sz w:val="24"/>
          <w:szCs w:val="24"/>
        </w:rPr>
        <w:t>8 000 000</w:t>
      </w:r>
      <w:r w:rsidRPr="005F1FF6">
        <w:rPr>
          <w:rFonts w:ascii="Times New Roman" w:hAnsi="Times New Roman" w:cs="Times New Roman"/>
          <w:noProof/>
          <w:sz w:val="24"/>
          <w:szCs w:val="24"/>
        </w:rPr>
        <w:t xml:space="preserve">, </w:t>
      </w:r>
      <w:r w:rsidR="00F44E6F" w:rsidRPr="005F1FF6">
        <w:rPr>
          <w:rFonts w:ascii="Times New Roman" w:hAnsi="Times New Roman" w:cs="Times New Roman"/>
          <w:noProof/>
          <w:sz w:val="24"/>
          <w:szCs w:val="24"/>
        </w:rPr>
        <w:t xml:space="preserve">which </w:t>
      </w:r>
      <w:r w:rsidR="00FC3C79" w:rsidRPr="005F1FF6">
        <w:rPr>
          <w:rFonts w:ascii="Times New Roman" w:hAnsi="Times New Roman" w:cs="Times New Roman"/>
          <w:noProof/>
          <w:sz w:val="24"/>
          <w:szCs w:val="24"/>
        </w:rPr>
        <w:t>wa</w:t>
      </w:r>
      <w:r w:rsidR="00F44E6F" w:rsidRPr="005F1FF6">
        <w:rPr>
          <w:rFonts w:ascii="Times New Roman" w:hAnsi="Times New Roman" w:cs="Times New Roman"/>
          <w:noProof/>
          <w:sz w:val="24"/>
          <w:szCs w:val="24"/>
        </w:rPr>
        <w:t xml:space="preserve">s </w:t>
      </w:r>
      <w:r w:rsidRPr="005F1FF6">
        <w:rPr>
          <w:rFonts w:ascii="Times New Roman" w:hAnsi="Times New Roman" w:cs="Times New Roman"/>
          <w:noProof/>
          <w:sz w:val="24"/>
          <w:szCs w:val="24"/>
        </w:rPr>
        <w:t>included in budget line 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02</w:t>
      </w:r>
      <w:r w:rsidR="00684D35" w:rsidRPr="005F1FF6">
        <w:rPr>
          <w:rFonts w:ascii="Times New Roman" w:hAnsi="Times New Roman" w:cs="Times New Roman"/>
          <w:noProof/>
          <w:sz w:val="24"/>
          <w:szCs w:val="24"/>
        </w:rPr>
        <w:t> </w:t>
      </w:r>
      <w:r w:rsidRPr="005F1FF6">
        <w:rPr>
          <w:rFonts w:ascii="Times New Roman" w:hAnsi="Times New Roman" w:cs="Times New Roman"/>
          <w:noProof/>
          <w:sz w:val="24"/>
          <w:szCs w:val="24"/>
        </w:rPr>
        <w:t>01 of the EU’s general budget for 20</w:t>
      </w:r>
      <w:r w:rsidR="00B8409B" w:rsidRPr="005F1FF6">
        <w:rPr>
          <w:rFonts w:ascii="Times New Roman" w:hAnsi="Times New Roman" w:cs="Times New Roman"/>
          <w:noProof/>
          <w:sz w:val="24"/>
          <w:szCs w:val="24"/>
        </w:rPr>
        <w:t>20</w:t>
      </w:r>
      <w:r w:rsidRPr="005F1FF6">
        <w:rPr>
          <w:rFonts w:ascii="Times New Roman" w:hAnsi="Times New Roman" w:cs="Times New Roman"/>
          <w:noProof/>
          <w:sz w:val="24"/>
          <w:szCs w:val="24"/>
        </w:rPr>
        <w:t>.</w:t>
      </w:r>
    </w:p>
    <w:p w14:paraId="45DDD926" w14:textId="3240AA78" w:rsidR="006C0532" w:rsidRPr="005F1FF6" w:rsidRDefault="006C0532"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 xml:space="preserve">On average, </w:t>
      </w:r>
      <w:r w:rsidR="00E40EF1" w:rsidRPr="005F1FF6">
        <w:rPr>
          <w:rFonts w:ascii="Times New Roman" w:hAnsi="Times New Roman" w:cs="Times New Roman"/>
          <w:noProof/>
          <w:sz w:val="24"/>
          <w:szCs w:val="24"/>
        </w:rPr>
        <w:t xml:space="preserve">25% </w:t>
      </w:r>
      <w:r w:rsidRPr="005F1FF6">
        <w:rPr>
          <w:rFonts w:ascii="Times New Roman" w:hAnsi="Times New Roman" w:cs="Times New Roman"/>
          <w:noProof/>
          <w:sz w:val="24"/>
          <w:szCs w:val="24"/>
        </w:rPr>
        <w:t>of COSME’s activities under the operational budget were delegated to EASME</w:t>
      </w:r>
      <w:r w:rsidRPr="005F1FF6">
        <w:rPr>
          <w:rStyle w:val="FootnoteReference"/>
          <w:rFonts w:ascii="Times New Roman" w:hAnsi="Times New Roman" w:cs="Times New Roman"/>
          <w:noProof/>
          <w:sz w:val="24"/>
          <w:szCs w:val="24"/>
        </w:rPr>
        <w:footnoteReference w:id="14"/>
      </w:r>
      <w:r w:rsidRPr="005F1FF6">
        <w:rPr>
          <w:rFonts w:ascii="Times New Roman" w:hAnsi="Times New Roman" w:cs="Times New Roman"/>
          <w:noProof/>
          <w:sz w:val="24"/>
          <w:szCs w:val="24"/>
        </w:rPr>
        <w:t>.</w:t>
      </w:r>
      <w:r w:rsidR="00632095" w:rsidRPr="005F1FF6">
        <w:rPr>
          <w:rFonts w:ascii="Times New Roman" w:hAnsi="Times New Roman" w:cs="Times New Roman"/>
          <w:noProof/>
          <w:sz w:val="24"/>
          <w:szCs w:val="24"/>
        </w:rPr>
        <w:t xml:space="preserve"> Implementation of the financial instruments </w:t>
      </w:r>
      <w:r w:rsidR="00FC3C79" w:rsidRPr="005F1FF6">
        <w:rPr>
          <w:rFonts w:ascii="Times New Roman" w:hAnsi="Times New Roman" w:cs="Times New Roman"/>
          <w:noProof/>
          <w:sz w:val="24"/>
          <w:szCs w:val="24"/>
        </w:rPr>
        <w:t>wa</w:t>
      </w:r>
      <w:r w:rsidR="00632095" w:rsidRPr="005F1FF6">
        <w:rPr>
          <w:rFonts w:ascii="Times New Roman" w:hAnsi="Times New Roman" w:cs="Times New Roman"/>
          <w:noProof/>
          <w:sz w:val="24"/>
          <w:szCs w:val="24"/>
        </w:rPr>
        <w:t xml:space="preserve">s delegated to the </w:t>
      </w:r>
      <w:r w:rsidR="00583B8D" w:rsidRPr="005F1FF6">
        <w:rPr>
          <w:rFonts w:ascii="Times New Roman" w:hAnsi="Times New Roman" w:cs="Times New Roman"/>
          <w:noProof/>
          <w:sz w:val="24"/>
          <w:szCs w:val="24"/>
        </w:rPr>
        <w:t>EIF</w:t>
      </w:r>
      <w:r w:rsidR="00632095" w:rsidRPr="005F1FF6">
        <w:rPr>
          <w:rFonts w:ascii="Times New Roman" w:hAnsi="Times New Roman" w:cs="Times New Roman"/>
          <w:noProof/>
          <w:sz w:val="24"/>
          <w:szCs w:val="24"/>
        </w:rPr>
        <w:t xml:space="preserve"> (see below)</w:t>
      </w:r>
      <w:r w:rsidR="005F220A" w:rsidRPr="005F1FF6">
        <w:rPr>
          <w:rFonts w:ascii="Times New Roman" w:hAnsi="Times New Roman" w:cs="Times New Roman"/>
          <w:noProof/>
          <w:sz w:val="24"/>
          <w:szCs w:val="24"/>
        </w:rPr>
        <w:t>.</w:t>
      </w:r>
    </w:p>
    <w:p w14:paraId="6AE06FED" w14:textId="42226492" w:rsidR="006C0532" w:rsidRPr="005F1FF6" w:rsidRDefault="007D5B92" w:rsidP="005F1FF6">
      <w:pPr>
        <w:spacing w:before="120" w:after="0" w:line="240" w:lineRule="auto"/>
        <w:jc w:val="both"/>
        <w:rPr>
          <w:rFonts w:ascii="Times New Roman" w:hAnsi="Times New Roman" w:cs="Times New Roman"/>
          <w:noProof/>
          <w:sz w:val="24"/>
          <w:szCs w:val="24"/>
          <w:lang w:eastAsia="de-DE"/>
        </w:rPr>
      </w:pPr>
      <w:r w:rsidRPr="005F1FF6">
        <w:rPr>
          <w:rFonts w:ascii="Times New Roman" w:hAnsi="Times New Roman" w:cs="Times New Roman"/>
          <w:noProof/>
          <w:sz w:val="24"/>
          <w:szCs w:val="24"/>
          <w:lang w:eastAsia="de-DE"/>
        </w:rPr>
        <w:t>The annual budget for the COSME programme in 20</w:t>
      </w:r>
      <w:r w:rsidR="00B8409B" w:rsidRPr="005F1FF6">
        <w:rPr>
          <w:rFonts w:ascii="Times New Roman" w:hAnsi="Times New Roman" w:cs="Times New Roman"/>
          <w:noProof/>
          <w:sz w:val="24"/>
          <w:szCs w:val="24"/>
          <w:lang w:eastAsia="de-DE"/>
        </w:rPr>
        <w:t>20</w:t>
      </w:r>
      <w:r w:rsidRPr="005F1FF6">
        <w:rPr>
          <w:rFonts w:ascii="Times New Roman" w:hAnsi="Times New Roman" w:cs="Times New Roman"/>
          <w:noProof/>
          <w:sz w:val="24"/>
          <w:szCs w:val="24"/>
          <w:lang w:eastAsia="de-DE"/>
        </w:rPr>
        <w:t xml:space="preserve"> was</w:t>
      </w:r>
      <w:r w:rsidR="006C0532" w:rsidRPr="005F1FF6">
        <w:rPr>
          <w:rFonts w:ascii="Times New Roman" w:hAnsi="Times New Roman" w:cs="Times New Roman"/>
          <w:noProof/>
          <w:sz w:val="24"/>
          <w:szCs w:val="24"/>
          <w:lang w:eastAsia="de-DE"/>
        </w:rPr>
        <w:t xml:space="preserve"> EUR</w:t>
      </w:r>
      <w:r w:rsidR="00684D35" w:rsidRPr="005F1FF6">
        <w:rPr>
          <w:rFonts w:ascii="Times New Roman" w:hAnsi="Times New Roman" w:cs="Times New Roman"/>
          <w:noProof/>
          <w:sz w:val="24"/>
          <w:szCs w:val="24"/>
          <w:lang w:eastAsia="de-DE"/>
        </w:rPr>
        <w:t> </w:t>
      </w:r>
      <w:r w:rsidR="00E40EF1" w:rsidRPr="005F1FF6">
        <w:rPr>
          <w:rFonts w:ascii="Times New Roman" w:hAnsi="Times New Roman" w:cs="Times New Roman"/>
          <w:noProof/>
          <w:sz w:val="24"/>
          <w:szCs w:val="24"/>
          <w:lang w:eastAsia="de-DE"/>
        </w:rPr>
        <w:t>4</w:t>
      </w:r>
      <w:r w:rsidR="003718DE" w:rsidRPr="005F1FF6">
        <w:rPr>
          <w:rFonts w:ascii="Times New Roman" w:hAnsi="Times New Roman" w:cs="Times New Roman"/>
          <w:noProof/>
          <w:sz w:val="24"/>
          <w:szCs w:val="24"/>
          <w:lang w:eastAsia="de-DE"/>
        </w:rPr>
        <w:t>40</w:t>
      </w:r>
      <w:r w:rsidR="00684D35" w:rsidRPr="005F1FF6">
        <w:rPr>
          <w:rFonts w:ascii="Times New Roman" w:hAnsi="Times New Roman" w:cs="Times New Roman"/>
          <w:noProof/>
          <w:sz w:val="24"/>
          <w:szCs w:val="24"/>
          <w:lang w:eastAsia="de-DE"/>
        </w:rPr>
        <w:t> </w:t>
      </w:r>
      <w:r w:rsidR="003718DE" w:rsidRPr="005F1FF6">
        <w:rPr>
          <w:rFonts w:ascii="Times New Roman" w:hAnsi="Times New Roman" w:cs="Times New Roman"/>
          <w:noProof/>
          <w:sz w:val="24"/>
          <w:szCs w:val="24"/>
          <w:lang w:eastAsia="de-DE"/>
        </w:rPr>
        <w:t>530</w:t>
      </w:r>
      <w:r w:rsidR="00684D35" w:rsidRPr="005F1FF6">
        <w:rPr>
          <w:rFonts w:ascii="Times New Roman" w:hAnsi="Times New Roman" w:cs="Times New Roman"/>
          <w:noProof/>
          <w:sz w:val="24"/>
          <w:szCs w:val="24"/>
          <w:lang w:eastAsia="de-DE"/>
        </w:rPr>
        <w:t> </w:t>
      </w:r>
      <w:r w:rsidR="003718DE" w:rsidRPr="005F1FF6">
        <w:rPr>
          <w:rFonts w:ascii="Times New Roman" w:hAnsi="Times New Roman" w:cs="Times New Roman"/>
          <w:noProof/>
          <w:sz w:val="24"/>
          <w:szCs w:val="24"/>
          <w:lang w:eastAsia="de-DE"/>
        </w:rPr>
        <w:t>299</w:t>
      </w:r>
      <w:r w:rsidRPr="005F1FF6">
        <w:rPr>
          <w:rFonts w:ascii="Times New Roman" w:hAnsi="Times New Roman" w:cs="Times New Roman"/>
          <w:noProof/>
          <w:sz w:val="24"/>
          <w:szCs w:val="24"/>
          <w:lang w:eastAsia="de-DE"/>
        </w:rPr>
        <w:t xml:space="preserve">. </w:t>
      </w:r>
      <w:r w:rsidRPr="005F1FF6">
        <w:rPr>
          <w:rFonts w:ascii="Times New Roman" w:hAnsi="Times New Roman" w:cs="Times New Roman"/>
          <w:noProof/>
          <w:sz w:val="24"/>
          <w:szCs w:val="24"/>
        </w:rPr>
        <w:t>In total, 9</w:t>
      </w:r>
      <w:r w:rsidR="003638EF" w:rsidRPr="005F1FF6">
        <w:rPr>
          <w:rFonts w:ascii="Times New Roman" w:hAnsi="Times New Roman" w:cs="Times New Roman"/>
          <w:noProof/>
          <w:sz w:val="24"/>
          <w:szCs w:val="24"/>
        </w:rPr>
        <w:t>9</w:t>
      </w:r>
      <w:r w:rsidRPr="005F1FF6">
        <w:rPr>
          <w:rFonts w:ascii="Times New Roman" w:hAnsi="Times New Roman" w:cs="Times New Roman"/>
          <w:noProof/>
          <w:sz w:val="24"/>
          <w:szCs w:val="24"/>
          <w:lang w:eastAsia="de-DE"/>
        </w:rPr>
        <w:t xml:space="preserve">% of this budget </w:t>
      </w:r>
      <w:r w:rsidR="00F44E6F" w:rsidRPr="005F1FF6">
        <w:rPr>
          <w:rFonts w:ascii="Times New Roman" w:hAnsi="Times New Roman" w:cs="Times New Roman"/>
          <w:noProof/>
          <w:sz w:val="24"/>
          <w:szCs w:val="24"/>
          <w:lang w:eastAsia="de-DE"/>
        </w:rPr>
        <w:t xml:space="preserve">was </w:t>
      </w:r>
      <w:r w:rsidR="006C0532" w:rsidRPr="005F1FF6">
        <w:rPr>
          <w:rFonts w:ascii="Times New Roman" w:hAnsi="Times New Roman" w:cs="Times New Roman"/>
          <w:noProof/>
          <w:sz w:val="24"/>
          <w:szCs w:val="24"/>
          <w:lang w:eastAsia="de-DE"/>
        </w:rPr>
        <w:t>committed</w:t>
      </w:r>
      <w:r w:rsidR="00B23F16" w:rsidRPr="005F1FF6">
        <w:rPr>
          <w:rFonts w:ascii="Times New Roman" w:hAnsi="Times New Roman" w:cs="Times New Roman"/>
          <w:noProof/>
          <w:sz w:val="24"/>
          <w:szCs w:val="24"/>
          <w:lang w:eastAsia="de-DE"/>
        </w:rPr>
        <w:t xml:space="preserve"> and the implementation rate f</w:t>
      </w:r>
      <w:r w:rsidR="006C0532" w:rsidRPr="005F1FF6">
        <w:rPr>
          <w:rFonts w:ascii="Times New Roman" w:hAnsi="Times New Roman" w:cs="Times New Roman"/>
          <w:noProof/>
          <w:sz w:val="24"/>
          <w:szCs w:val="24"/>
          <w:lang w:eastAsia="de-DE"/>
        </w:rPr>
        <w:t xml:space="preserve">or payments was on average </w:t>
      </w:r>
      <w:r w:rsidR="00074BF0" w:rsidRPr="005F1FF6">
        <w:rPr>
          <w:rFonts w:ascii="Times New Roman" w:hAnsi="Times New Roman" w:cs="Times New Roman"/>
          <w:noProof/>
          <w:sz w:val="24"/>
          <w:szCs w:val="24"/>
          <w:lang w:eastAsia="de-DE"/>
        </w:rPr>
        <w:t>9</w:t>
      </w:r>
      <w:r w:rsidR="003638EF" w:rsidRPr="005F1FF6">
        <w:rPr>
          <w:rFonts w:ascii="Times New Roman" w:hAnsi="Times New Roman" w:cs="Times New Roman"/>
          <w:noProof/>
          <w:sz w:val="24"/>
          <w:szCs w:val="24"/>
          <w:lang w:eastAsia="de-DE"/>
        </w:rPr>
        <w:t>8</w:t>
      </w:r>
      <w:r w:rsidR="006C0532" w:rsidRPr="005F1FF6">
        <w:rPr>
          <w:rFonts w:ascii="Times New Roman" w:hAnsi="Times New Roman" w:cs="Times New Roman"/>
          <w:noProof/>
          <w:sz w:val="24"/>
          <w:szCs w:val="24"/>
          <w:lang w:eastAsia="de-DE"/>
        </w:rPr>
        <w:t>%.</w:t>
      </w:r>
    </w:p>
    <w:p w14:paraId="3F32D13B" w14:textId="4759D79E" w:rsidR="006C0532" w:rsidRPr="005F1FF6" w:rsidRDefault="006C0532" w:rsidP="005F1FF6">
      <w:pPr>
        <w:pStyle w:val="Heading2"/>
        <w:numPr>
          <w:ilvl w:val="0"/>
          <w:numId w:val="0"/>
        </w:numPr>
        <w:spacing w:before="240" w:after="120" w:line="240" w:lineRule="auto"/>
        <w:ind w:left="357" w:hanging="357"/>
        <w:rPr>
          <w:rFonts w:ascii="Times New Roman" w:hAnsi="Times New Roman" w:cs="Times New Roman"/>
          <w:noProof/>
          <w:lang w:val="en-GB"/>
        </w:rPr>
      </w:pPr>
      <w:bookmarkStart w:id="7" w:name="_Toc82175590"/>
      <w:bookmarkStart w:id="8" w:name="_Toc146623385"/>
      <w:r w:rsidRPr="005F1FF6">
        <w:rPr>
          <w:rFonts w:ascii="Times New Roman" w:hAnsi="Times New Roman" w:cs="Times New Roman"/>
          <w:noProof/>
          <w:lang w:val="en-GB"/>
        </w:rPr>
        <w:t xml:space="preserve">2.1 </w:t>
      </w:r>
      <w:r w:rsidR="00767F1E" w:rsidRPr="005F1FF6">
        <w:rPr>
          <w:rFonts w:ascii="Times New Roman" w:hAnsi="Times New Roman" w:cs="Times New Roman"/>
          <w:noProof/>
          <w:lang w:val="en-GB"/>
        </w:rPr>
        <w:t>Specific o</w:t>
      </w:r>
      <w:r w:rsidRPr="005F1FF6">
        <w:rPr>
          <w:rFonts w:ascii="Times New Roman" w:hAnsi="Times New Roman" w:cs="Times New Roman"/>
          <w:noProof/>
          <w:lang w:val="en-GB"/>
        </w:rPr>
        <w:t xml:space="preserve">bjective A: </w:t>
      </w:r>
      <w:r w:rsidR="000A05F1" w:rsidRPr="005F1FF6">
        <w:rPr>
          <w:rFonts w:ascii="Times New Roman" w:hAnsi="Times New Roman" w:cs="Times New Roman"/>
          <w:noProof/>
          <w:lang w:val="en-GB"/>
        </w:rPr>
        <w:t>a</w:t>
      </w:r>
      <w:r w:rsidRPr="005F1FF6">
        <w:rPr>
          <w:rFonts w:ascii="Times New Roman" w:hAnsi="Times New Roman" w:cs="Times New Roman"/>
          <w:noProof/>
          <w:lang w:val="en-GB"/>
        </w:rPr>
        <w:t>ccess to finance</w:t>
      </w:r>
      <w:bookmarkEnd w:id="7"/>
      <w:bookmarkEnd w:id="8"/>
    </w:p>
    <w:p w14:paraId="592949DD" w14:textId="3C790909" w:rsidR="005E4F34" w:rsidRPr="005F1FF6" w:rsidRDefault="005E4F34" w:rsidP="005F1FF6">
      <w:pPr>
        <w:spacing w:before="120" w:after="0" w:line="240" w:lineRule="auto"/>
        <w:jc w:val="both"/>
        <w:rPr>
          <w:rFonts w:ascii="Times New Roman" w:hAnsi="Times New Roman" w:cs="Times New Roman"/>
          <w:b/>
          <w:bCs/>
          <w:noProof/>
          <w:sz w:val="24"/>
          <w:szCs w:val="24"/>
        </w:rPr>
      </w:pPr>
      <w:r w:rsidRPr="005F1FF6">
        <w:rPr>
          <w:rFonts w:ascii="Times New Roman" w:hAnsi="Times New Roman" w:cs="Times New Roman"/>
          <w:b/>
          <w:bCs/>
          <w:noProof/>
          <w:sz w:val="24"/>
          <w:szCs w:val="24"/>
        </w:rPr>
        <w:t>The COSME Regulation specifie</w:t>
      </w:r>
      <w:r w:rsidR="00FC3C79" w:rsidRPr="005F1FF6">
        <w:rPr>
          <w:rFonts w:ascii="Times New Roman" w:hAnsi="Times New Roman" w:cs="Times New Roman"/>
          <w:b/>
          <w:bCs/>
          <w:noProof/>
          <w:sz w:val="24"/>
          <w:szCs w:val="24"/>
        </w:rPr>
        <w:t>d</w:t>
      </w:r>
      <w:r w:rsidRPr="005F1FF6">
        <w:rPr>
          <w:rFonts w:ascii="Times New Roman" w:hAnsi="Times New Roman" w:cs="Times New Roman"/>
          <w:b/>
          <w:bCs/>
          <w:noProof/>
          <w:sz w:val="24"/>
          <w:szCs w:val="24"/>
        </w:rPr>
        <w:t xml:space="preserve"> that at least 60% of the total budget </w:t>
      </w:r>
      <w:r w:rsidR="00D50AC3" w:rsidRPr="005F1FF6">
        <w:rPr>
          <w:rFonts w:ascii="Times New Roman" w:hAnsi="Times New Roman" w:cs="Times New Roman"/>
          <w:b/>
          <w:bCs/>
          <w:noProof/>
          <w:sz w:val="24"/>
          <w:szCs w:val="24"/>
        </w:rPr>
        <w:t xml:space="preserve">for the programme </w:t>
      </w:r>
      <w:r w:rsidRPr="005F1FF6">
        <w:rPr>
          <w:rFonts w:ascii="Times New Roman" w:hAnsi="Times New Roman" w:cs="Times New Roman"/>
          <w:b/>
          <w:bCs/>
          <w:noProof/>
          <w:sz w:val="24"/>
          <w:szCs w:val="24"/>
        </w:rPr>
        <w:t>should be allocated to the financial instruments for 2014-2020. EUR</w:t>
      </w:r>
      <w:r w:rsidR="00684D35" w:rsidRPr="005F1FF6">
        <w:rPr>
          <w:rFonts w:ascii="Times New Roman" w:hAnsi="Times New Roman" w:cs="Times New Roman"/>
          <w:b/>
          <w:bCs/>
          <w:noProof/>
          <w:sz w:val="24"/>
          <w:szCs w:val="24"/>
        </w:rPr>
        <w:t> </w:t>
      </w:r>
      <w:r w:rsidRPr="005F1FF6">
        <w:rPr>
          <w:rFonts w:ascii="Times New Roman" w:hAnsi="Times New Roman" w:cs="Times New Roman"/>
          <w:b/>
          <w:bCs/>
          <w:noProof/>
          <w:sz w:val="24"/>
          <w:szCs w:val="24"/>
        </w:rPr>
        <w:t>1.6</w:t>
      </w:r>
      <w:r w:rsidR="00684D35" w:rsidRPr="005F1FF6">
        <w:rPr>
          <w:rFonts w:ascii="Times New Roman" w:hAnsi="Times New Roman" w:cs="Times New Roman"/>
          <w:b/>
          <w:bCs/>
          <w:noProof/>
          <w:sz w:val="24"/>
          <w:szCs w:val="24"/>
        </w:rPr>
        <w:t> </w:t>
      </w:r>
      <w:r w:rsidRPr="005F1FF6">
        <w:rPr>
          <w:rFonts w:ascii="Times New Roman" w:hAnsi="Times New Roman" w:cs="Times New Roman"/>
          <w:b/>
          <w:bCs/>
          <w:noProof/>
          <w:sz w:val="24"/>
          <w:szCs w:val="24"/>
        </w:rPr>
        <w:t xml:space="preserve">billion were committed overall </w:t>
      </w:r>
      <w:r w:rsidR="00595B29" w:rsidRPr="005F1FF6">
        <w:rPr>
          <w:rFonts w:ascii="Times New Roman" w:hAnsi="Times New Roman" w:cs="Times New Roman"/>
          <w:b/>
          <w:bCs/>
          <w:noProof/>
          <w:sz w:val="24"/>
          <w:szCs w:val="24"/>
        </w:rPr>
        <w:t xml:space="preserve">to the financial instruments </w:t>
      </w:r>
      <w:r w:rsidRPr="005F1FF6">
        <w:rPr>
          <w:rFonts w:ascii="Times New Roman" w:hAnsi="Times New Roman" w:cs="Times New Roman"/>
          <w:b/>
          <w:bCs/>
          <w:noProof/>
          <w:sz w:val="24"/>
          <w:szCs w:val="24"/>
        </w:rPr>
        <w:t>for the</w:t>
      </w:r>
      <w:r w:rsidR="00DC0951" w:rsidRPr="005F1FF6">
        <w:rPr>
          <w:rFonts w:ascii="Times New Roman" w:hAnsi="Times New Roman" w:cs="Times New Roman"/>
          <w:b/>
          <w:bCs/>
          <w:noProof/>
          <w:sz w:val="24"/>
          <w:szCs w:val="24"/>
        </w:rPr>
        <w:t xml:space="preserve"> 2014-2020</w:t>
      </w:r>
      <w:r w:rsidRPr="005F1FF6">
        <w:rPr>
          <w:rFonts w:ascii="Times New Roman" w:hAnsi="Times New Roman" w:cs="Times New Roman"/>
          <w:b/>
          <w:bCs/>
          <w:noProof/>
          <w:sz w:val="24"/>
          <w:szCs w:val="24"/>
        </w:rPr>
        <w:t xml:space="preserve"> programming period, which is slightly </w:t>
      </w:r>
      <w:r w:rsidRPr="005F1FF6">
        <w:rPr>
          <w:rFonts w:ascii="Times New Roman" w:hAnsi="Times New Roman" w:cs="Times New Roman"/>
          <w:b/>
          <w:bCs/>
          <w:noProof/>
          <w:color w:val="000000" w:themeColor="text1"/>
          <w:sz w:val="24"/>
          <w:szCs w:val="24"/>
        </w:rPr>
        <w:t>above 60%</w:t>
      </w:r>
      <w:r w:rsidR="00595B29" w:rsidRPr="005F1FF6">
        <w:rPr>
          <w:rFonts w:ascii="Times New Roman" w:hAnsi="Times New Roman" w:cs="Times New Roman"/>
          <w:b/>
          <w:bCs/>
          <w:noProof/>
          <w:color w:val="000000" w:themeColor="text1"/>
          <w:sz w:val="24"/>
          <w:szCs w:val="24"/>
        </w:rPr>
        <w:t xml:space="preserve"> </w:t>
      </w:r>
      <w:r w:rsidR="00595B29" w:rsidRPr="005F1FF6">
        <w:rPr>
          <w:rFonts w:ascii="Times New Roman" w:hAnsi="Times New Roman" w:cs="Times New Roman"/>
          <w:b/>
          <w:bCs/>
          <w:noProof/>
          <w:sz w:val="24"/>
          <w:szCs w:val="24"/>
        </w:rPr>
        <w:t xml:space="preserve">of the total COSME </w:t>
      </w:r>
      <w:r w:rsidR="009F6F58" w:rsidRPr="005F1FF6">
        <w:rPr>
          <w:rFonts w:ascii="Times New Roman" w:hAnsi="Times New Roman" w:cs="Times New Roman"/>
          <w:b/>
          <w:bCs/>
          <w:noProof/>
          <w:sz w:val="24"/>
          <w:szCs w:val="24"/>
        </w:rPr>
        <w:t>b</w:t>
      </w:r>
      <w:r w:rsidR="00595B29" w:rsidRPr="005F1FF6">
        <w:rPr>
          <w:rFonts w:ascii="Times New Roman" w:hAnsi="Times New Roman" w:cs="Times New Roman"/>
          <w:b/>
          <w:bCs/>
          <w:noProof/>
          <w:sz w:val="24"/>
          <w:szCs w:val="24"/>
        </w:rPr>
        <w:t>udget</w:t>
      </w:r>
      <w:r w:rsidR="009F6F58" w:rsidRPr="005F1FF6">
        <w:rPr>
          <w:rFonts w:ascii="Times New Roman" w:hAnsi="Times New Roman" w:cs="Times New Roman"/>
          <w:b/>
          <w:bCs/>
          <w:noProof/>
          <w:sz w:val="24"/>
          <w:szCs w:val="24"/>
        </w:rPr>
        <w:t>.</w:t>
      </w:r>
    </w:p>
    <w:p w14:paraId="4AE62A51" w14:textId="2BC844E0" w:rsidR="00AE6B85" w:rsidRPr="005F1FF6" w:rsidRDefault="006C0532" w:rsidP="005F1FF6">
      <w:pPr>
        <w:spacing w:before="120" w:after="0" w:line="240" w:lineRule="auto"/>
        <w:jc w:val="both"/>
        <w:rPr>
          <w:rFonts w:ascii="Times New Roman" w:hAnsi="Times New Roman" w:cs="Times New Roman"/>
          <w:bCs/>
          <w:noProof/>
          <w:sz w:val="24"/>
          <w:szCs w:val="24"/>
        </w:rPr>
      </w:pPr>
      <w:r w:rsidRPr="005F1FF6">
        <w:rPr>
          <w:rFonts w:ascii="Times New Roman" w:hAnsi="Times New Roman" w:cs="Times New Roman"/>
          <w:bCs/>
          <w:noProof/>
          <w:sz w:val="24"/>
          <w:szCs w:val="24"/>
        </w:rPr>
        <w:t>EUR</w:t>
      </w:r>
      <w:r w:rsidR="00684D35"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290</w:t>
      </w:r>
      <w:r w:rsidR="00FE0469"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041</w:t>
      </w:r>
      <w:r w:rsidR="00FE0469"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750</w:t>
      </w:r>
      <w:r w:rsidR="00437113" w:rsidRPr="005F1FF6">
        <w:rPr>
          <w:rFonts w:ascii="Times New Roman" w:hAnsi="Times New Roman" w:cs="Times New Roman"/>
          <w:bCs/>
          <w:noProof/>
          <w:sz w:val="24"/>
          <w:szCs w:val="24"/>
        </w:rPr>
        <w:t xml:space="preserve"> </w:t>
      </w:r>
      <w:r w:rsidR="009F6F58" w:rsidRPr="005F1FF6">
        <w:rPr>
          <w:rFonts w:ascii="Times New Roman" w:hAnsi="Times New Roman" w:cs="Times New Roman"/>
          <w:bCs/>
          <w:noProof/>
          <w:sz w:val="24"/>
          <w:szCs w:val="24"/>
        </w:rPr>
        <w:t xml:space="preserve">were </w:t>
      </w:r>
      <w:r w:rsidR="005E4F34" w:rsidRPr="005F1FF6">
        <w:rPr>
          <w:rFonts w:ascii="Times New Roman" w:hAnsi="Times New Roman" w:cs="Times New Roman"/>
          <w:bCs/>
          <w:noProof/>
          <w:sz w:val="24"/>
          <w:szCs w:val="24"/>
        </w:rPr>
        <w:t xml:space="preserve">committed </w:t>
      </w:r>
      <w:r w:rsidR="005F220A" w:rsidRPr="005F1FF6">
        <w:rPr>
          <w:rFonts w:ascii="Times New Roman" w:hAnsi="Times New Roman" w:cs="Times New Roman"/>
          <w:bCs/>
          <w:noProof/>
          <w:sz w:val="24"/>
          <w:szCs w:val="24"/>
        </w:rPr>
        <w:t>in 20</w:t>
      </w:r>
      <w:r w:rsidR="00CC6EBF" w:rsidRPr="005F1FF6">
        <w:rPr>
          <w:rFonts w:ascii="Times New Roman" w:hAnsi="Times New Roman" w:cs="Times New Roman"/>
          <w:bCs/>
          <w:noProof/>
          <w:sz w:val="24"/>
          <w:szCs w:val="24"/>
        </w:rPr>
        <w:t>20</w:t>
      </w:r>
      <w:r w:rsidRPr="005F1FF6">
        <w:rPr>
          <w:rFonts w:ascii="Times New Roman" w:hAnsi="Times New Roman" w:cs="Times New Roman"/>
          <w:bCs/>
          <w:noProof/>
          <w:sz w:val="24"/>
          <w:szCs w:val="24"/>
        </w:rPr>
        <w:t xml:space="preserve"> for the financial instruments and accompanying </w:t>
      </w:r>
      <w:r w:rsidR="00AB52BF" w:rsidRPr="005F1FF6">
        <w:rPr>
          <w:rFonts w:ascii="Times New Roman" w:hAnsi="Times New Roman" w:cs="Times New Roman"/>
          <w:bCs/>
          <w:noProof/>
          <w:sz w:val="24"/>
          <w:szCs w:val="24"/>
        </w:rPr>
        <w:t>measure</w:t>
      </w:r>
      <w:r w:rsidRPr="005F1FF6">
        <w:rPr>
          <w:rFonts w:ascii="Times New Roman" w:hAnsi="Times New Roman" w:cs="Times New Roman"/>
          <w:bCs/>
          <w:noProof/>
          <w:sz w:val="24"/>
          <w:szCs w:val="24"/>
        </w:rPr>
        <w:t>s, including EFTA and</w:t>
      </w:r>
      <w:r w:rsidR="007F0799" w:rsidRPr="005F1FF6">
        <w:rPr>
          <w:rFonts w:ascii="Times New Roman" w:hAnsi="Times New Roman" w:cs="Times New Roman"/>
          <w:bCs/>
          <w:noProof/>
          <w:sz w:val="24"/>
          <w:szCs w:val="24"/>
        </w:rPr>
        <w:t xml:space="preserve"> other</w:t>
      </w:r>
      <w:r w:rsidRPr="005F1FF6">
        <w:rPr>
          <w:rFonts w:ascii="Times New Roman" w:hAnsi="Times New Roman" w:cs="Times New Roman"/>
          <w:bCs/>
          <w:noProof/>
          <w:sz w:val="24"/>
          <w:szCs w:val="24"/>
        </w:rPr>
        <w:t xml:space="preserve"> </w:t>
      </w:r>
      <w:r w:rsidR="00FC3C79" w:rsidRPr="005F1FF6">
        <w:rPr>
          <w:rFonts w:ascii="Times New Roman" w:hAnsi="Times New Roman" w:cs="Times New Roman"/>
          <w:bCs/>
          <w:noProof/>
          <w:sz w:val="24"/>
          <w:szCs w:val="24"/>
        </w:rPr>
        <w:t xml:space="preserve">non-EU </w:t>
      </w:r>
      <w:r w:rsidRPr="005F1FF6">
        <w:rPr>
          <w:rFonts w:ascii="Times New Roman" w:hAnsi="Times New Roman" w:cs="Times New Roman"/>
          <w:bCs/>
          <w:noProof/>
          <w:sz w:val="24"/>
          <w:szCs w:val="24"/>
        </w:rPr>
        <w:t>countries’ participation.</w:t>
      </w:r>
    </w:p>
    <w:p w14:paraId="634A8B13" w14:textId="4058C19B" w:rsidR="006C0532" w:rsidRPr="005F1FF6" w:rsidRDefault="006C0532" w:rsidP="005F1FF6">
      <w:pPr>
        <w:spacing w:before="120" w:after="0" w:line="240" w:lineRule="auto"/>
        <w:jc w:val="both"/>
        <w:rPr>
          <w:rFonts w:ascii="Times New Roman" w:hAnsi="Times New Roman" w:cs="Times New Roman"/>
          <w:bCs/>
          <w:noProof/>
          <w:sz w:val="24"/>
          <w:szCs w:val="24"/>
        </w:rPr>
      </w:pPr>
      <w:bookmarkStart w:id="9" w:name="_Hlk143796017"/>
      <w:r w:rsidRPr="005F1FF6">
        <w:rPr>
          <w:rFonts w:ascii="Times New Roman" w:hAnsi="Times New Roman" w:cs="Times New Roman"/>
          <w:bCs/>
          <w:noProof/>
          <w:sz w:val="24"/>
          <w:szCs w:val="24"/>
        </w:rPr>
        <w:t>EUR</w:t>
      </w:r>
      <w:r w:rsidR="00684D35"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275</w:t>
      </w:r>
      <w:r w:rsidR="00FE0469"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952</w:t>
      </w:r>
      <w:r w:rsidR="00FE0469"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 xml:space="preserve">802 </w:t>
      </w:r>
      <w:r w:rsidR="009F6F58" w:rsidRPr="005F1FF6">
        <w:rPr>
          <w:rFonts w:ascii="Times New Roman" w:hAnsi="Times New Roman" w:cs="Times New Roman"/>
          <w:bCs/>
          <w:noProof/>
          <w:sz w:val="24"/>
          <w:szCs w:val="24"/>
        </w:rPr>
        <w:t xml:space="preserve">were </w:t>
      </w:r>
      <w:r w:rsidRPr="005F1FF6">
        <w:rPr>
          <w:rFonts w:ascii="Times New Roman" w:hAnsi="Times New Roman" w:cs="Times New Roman"/>
          <w:bCs/>
          <w:noProof/>
          <w:sz w:val="24"/>
          <w:szCs w:val="24"/>
        </w:rPr>
        <w:t>committed for the Loan Guarantee Facility (LGF) and EUR</w:t>
      </w:r>
      <w:r w:rsidR="00684D35"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13</w:t>
      </w:r>
      <w:r w:rsidR="00FE0469"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100</w:t>
      </w:r>
      <w:r w:rsidR="00FE0469" w:rsidRPr="005F1FF6">
        <w:rPr>
          <w:rFonts w:ascii="Times New Roman" w:hAnsi="Times New Roman" w:cs="Times New Roman"/>
          <w:bCs/>
          <w:noProof/>
          <w:sz w:val="24"/>
          <w:szCs w:val="24"/>
        </w:rPr>
        <w:t> </w:t>
      </w:r>
      <w:r w:rsidR="002C76C0" w:rsidRPr="005F1FF6">
        <w:rPr>
          <w:rFonts w:ascii="Times New Roman" w:hAnsi="Times New Roman" w:cs="Times New Roman"/>
          <w:bCs/>
          <w:noProof/>
          <w:sz w:val="24"/>
          <w:szCs w:val="24"/>
        </w:rPr>
        <w:t xml:space="preserve">000 </w:t>
      </w:r>
      <w:r w:rsidRPr="005F1FF6">
        <w:rPr>
          <w:rFonts w:ascii="Times New Roman" w:hAnsi="Times New Roman" w:cs="Times New Roman"/>
          <w:bCs/>
          <w:noProof/>
          <w:sz w:val="24"/>
          <w:szCs w:val="24"/>
        </w:rPr>
        <w:t>for the Equity Facility for Growth (EFG).</w:t>
      </w:r>
      <w:r w:rsidR="00322ABA" w:rsidRPr="005F1FF6">
        <w:rPr>
          <w:rFonts w:ascii="Times New Roman" w:hAnsi="Times New Roman" w:cs="Times New Roman"/>
          <w:bCs/>
          <w:noProof/>
          <w:sz w:val="24"/>
          <w:szCs w:val="24"/>
        </w:rPr>
        <w:t xml:space="preserve"> This amounts to 66% of the COSME budget in 2020.</w:t>
      </w:r>
    </w:p>
    <w:p w14:paraId="7CF55810" w14:textId="0E26C701" w:rsidR="00F04BE7" w:rsidRPr="005F1FF6" w:rsidRDefault="00D659AA" w:rsidP="005F1FF6">
      <w:pPr>
        <w:pStyle w:val="Heading3"/>
        <w:spacing w:before="240" w:line="240" w:lineRule="auto"/>
        <w:rPr>
          <w:rFonts w:ascii="Times New Roman" w:hAnsi="Times New Roman" w:cs="Times New Roman"/>
          <w:noProof/>
        </w:rPr>
      </w:pPr>
      <w:bookmarkStart w:id="10" w:name="_Toc72162099"/>
      <w:bookmarkStart w:id="11" w:name="_Toc146623386"/>
      <w:bookmarkEnd w:id="10"/>
      <w:bookmarkEnd w:id="9"/>
      <w:r w:rsidRPr="005F1FF6">
        <w:rPr>
          <w:rFonts w:ascii="Times New Roman" w:hAnsi="Times New Roman" w:cs="Times New Roman"/>
          <w:noProof/>
        </w:rPr>
        <w:t>The COSME E</w:t>
      </w:r>
      <w:r w:rsidR="00F04BE7" w:rsidRPr="005F1FF6">
        <w:rPr>
          <w:rFonts w:ascii="Times New Roman" w:hAnsi="Times New Roman" w:cs="Times New Roman"/>
          <w:noProof/>
        </w:rPr>
        <w:t>quity Facility for Growth</w:t>
      </w:r>
      <w:r w:rsidR="005F220A" w:rsidRPr="005F1FF6">
        <w:rPr>
          <w:rFonts w:ascii="Times New Roman" w:hAnsi="Times New Roman" w:cs="Times New Roman"/>
          <w:noProof/>
        </w:rPr>
        <w:t xml:space="preserve"> (EFG)</w:t>
      </w:r>
      <w:bookmarkEnd w:id="11"/>
    </w:p>
    <w:p w14:paraId="1DFF5259" w14:textId="2CC5135B" w:rsidR="00890C01" w:rsidRPr="005F1FF6" w:rsidRDefault="00A013DB" w:rsidP="005F1FF6">
      <w:pPr>
        <w:spacing w:before="120" w:after="60" w:line="240" w:lineRule="auto"/>
        <w:jc w:val="both"/>
        <w:rPr>
          <w:rFonts w:ascii="Times New Roman" w:eastAsia="Times New Roman" w:hAnsi="Times New Roman" w:cs="Times New Roman"/>
          <w:bCs/>
          <w:iCs/>
          <w:noProof/>
          <w:sz w:val="24"/>
          <w:szCs w:val="24"/>
          <w:lang w:eastAsia="fr-FR"/>
        </w:rPr>
      </w:pPr>
      <w:r w:rsidRPr="005F1FF6">
        <w:rPr>
          <w:rFonts w:ascii="Times New Roman" w:eastAsia="Times New Roman" w:hAnsi="Times New Roman" w:cs="Times New Roman"/>
          <w:bCs/>
          <w:noProof/>
          <w:sz w:val="24"/>
          <w:szCs w:val="24"/>
          <w:lang w:eastAsia="fr-FR"/>
        </w:rPr>
        <w:t>The COSME EFG is dedicated to investments in risk</w:t>
      </w:r>
      <w:r w:rsidR="00BF2558" w:rsidRPr="005F1FF6">
        <w:rPr>
          <w:rFonts w:ascii="Times New Roman" w:eastAsia="Times New Roman" w:hAnsi="Times New Roman" w:cs="Times New Roman"/>
          <w:bCs/>
          <w:noProof/>
          <w:sz w:val="24"/>
          <w:szCs w:val="24"/>
          <w:lang w:eastAsia="fr-FR"/>
        </w:rPr>
        <w:t xml:space="preserve"> </w:t>
      </w:r>
      <w:r w:rsidRPr="005F1FF6">
        <w:rPr>
          <w:rFonts w:ascii="Times New Roman" w:eastAsia="Times New Roman" w:hAnsi="Times New Roman" w:cs="Times New Roman"/>
          <w:bCs/>
          <w:noProof/>
          <w:sz w:val="24"/>
          <w:szCs w:val="24"/>
          <w:lang w:eastAsia="fr-FR"/>
        </w:rPr>
        <w:t xml:space="preserve">capital funds that provide venture capital and mezzanine finance to expansion and growth-stage SMEs. </w:t>
      </w:r>
      <w:r w:rsidR="006E7B4A" w:rsidRPr="005F1FF6">
        <w:rPr>
          <w:rFonts w:ascii="Times New Roman" w:eastAsia="Times New Roman" w:hAnsi="Times New Roman" w:cs="Times New Roman"/>
          <w:bCs/>
          <w:noProof/>
          <w:sz w:val="24"/>
          <w:szCs w:val="24"/>
          <w:lang w:eastAsia="fr-FR"/>
        </w:rPr>
        <w:t>The total amount committed for the EFG on 2020 budget amounted to EUR</w:t>
      </w:r>
      <w:r w:rsidR="00FE0469" w:rsidRPr="005F1FF6">
        <w:rPr>
          <w:rFonts w:ascii="Times New Roman" w:eastAsia="Times New Roman" w:hAnsi="Times New Roman" w:cs="Times New Roman"/>
          <w:bCs/>
          <w:noProof/>
          <w:sz w:val="24"/>
          <w:szCs w:val="24"/>
          <w:lang w:eastAsia="fr-FR"/>
        </w:rPr>
        <w:t> </w:t>
      </w:r>
      <w:r w:rsidR="006E7B4A" w:rsidRPr="005F1FF6">
        <w:rPr>
          <w:rFonts w:ascii="Times New Roman" w:eastAsia="Times New Roman" w:hAnsi="Times New Roman" w:cs="Times New Roman"/>
          <w:bCs/>
          <w:noProof/>
          <w:sz w:val="24"/>
          <w:szCs w:val="24"/>
          <w:lang w:eastAsia="fr-FR"/>
        </w:rPr>
        <w:t>13.1</w:t>
      </w:r>
      <w:r w:rsidR="00FE0469" w:rsidRPr="005F1FF6">
        <w:rPr>
          <w:rFonts w:ascii="Times New Roman" w:eastAsia="Times New Roman" w:hAnsi="Times New Roman" w:cs="Times New Roman"/>
          <w:bCs/>
          <w:noProof/>
          <w:sz w:val="24"/>
          <w:szCs w:val="24"/>
          <w:lang w:eastAsia="fr-FR"/>
        </w:rPr>
        <w:t> </w:t>
      </w:r>
      <w:r w:rsidR="006E7B4A" w:rsidRPr="005F1FF6">
        <w:rPr>
          <w:rFonts w:ascii="Times New Roman" w:eastAsia="Times New Roman" w:hAnsi="Times New Roman" w:cs="Times New Roman"/>
          <w:bCs/>
          <w:noProof/>
          <w:sz w:val="24"/>
          <w:szCs w:val="24"/>
          <w:lang w:eastAsia="fr-FR"/>
        </w:rPr>
        <w:t xml:space="preserve">million. </w:t>
      </w:r>
      <w:r w:rsidR="00890C01" w:rsidRPr="005F1FF6">
        <w:rPr>
          <w:rFonts w:ascii="Times New Roman" w:eastAsia="Times New Roman" w:hAnsi="Times New Roman" w:cs="Times New Roman"/>
          <w:bCs/>
          <w:iCs/>
          <w:noProof/>
          <w:sz w:val="24"/>
          <w:szCs w:val="24"/>
          <w:lang w:eastAsia="fr-FR"/>
        </w:rPr>
        <w:t xml:space="preserve">At the end of 2021, </w:t>
      </w:r>
      <w:r w:rsidR="00493174" w:rsidRPr="005F1FF6">
        <w:rPr>
          <w:rFonts w:ascii="Times New Roman" w:eastAsia="Times New Roman" w:hAnsi="Times New Roman" w:cs="Times New Roman"/>
          <w:bCs/>
          <w:iCs/>
          <w:noProof/>
          <w:sz w:val="24"/>
          <w:szCs w:val="24"/>
          <w:lang w:eastAsia="fr-FR"/>
        </w:rPr>
        <w:t>a</w:t>
      </w:r>
      <w:r w:rsidR="00890C01" w:rsidRPr="005F1FF6">
        <w:rPr>
          <w:rFonts w:ascii="Times New Roman" w:eastAsia="Times New Roman" w:hAnsi="Times New Roman" w:cs="Times New Roman"/>
          <w:bCs/>
          <w:iCs/>
          <w:noProof/>
          <w:sz w:val="24"/>
          <w:szCs w:val="24"/>
          <w:lang w:eastAsia="fr-FR"/>
        </w:rPr>
        <w:t xml:space="preserve"> total of </w:t>
      </w:r>
      <w:r w:rsidR="00493174" w:rsidRPr="005F1FF6">
        <w:rPr>
          <w:rFonts w:ascii="Times New Roman" w:eastAsia="Times New Roman" w:hAnsi="Times New Roman" w:cs="Times New Roman"/>
          <w:bCs/>
          <w:iCs/>
          <w:noProof/>
          <w:sz w:val="24"/>
          <w:szCs w:val="24"/>
          <w:lang w:eastAsia="fr-FR"/>
        </w:rPr>
        <w:t xml:space="preserve">23 COSME EFG </w:t>
      </w:r>
      <w:r w:rsidR="00890C01" w:rsidRPr="005F1FF6">
        <w:rPr>
          <w:rFonts w:ascii="Times New Roman" w:eastAsia="Times New Roman" w:hAnsi="Times New Roman" w:cs="Times New Roman"/>
          <w:bCs/>
          <w:iCs/>
          <w:noProof/>
          <w:sz w:val="24"/>
          <w:szCs w:val="24"/>
          <w:lang w:eastAsia="fr-FR"/>
        </w:rPr>
        <w:t>fund agreements</w:t>
      </w:r>
      <w:r w:rsidR="00493174" w:rsidRPr="005F1FF6">
        <w:rPr>
          <w:rFonts w:ascii="Times New Roman" w:eastAsia="Times New Roman" w:hAnsi="Times New Roman" w:cs="Times New Roman"/>
          <w:bCs/>
          <w:iCs/>
          <w:noProof/>
          <w:sz w:val="24"/>
          <w:szCs w:val="24"/>
          <w:lang w:eastAsia="fr-FR"/>
        </w:rPr>
        <w:t xml:space="preserve"> had been signed</w:t>
      </w:r>
      <w:r w:rsidR="007B03F4" w:rsidRPr="005F1FF6">
        <w:rPr>
          <w:rStyle w:val="FootnoteReference"/>
          <w:rFonts w:ascii="Times New Roman" w:eastAsia="Times New Roman" w:hAnsi="Times New Roman" w:cs="Times New Roman"/>
          <w:bCs/>
          <w:iCs/>
          <w:noProof/>
          <w:sz w:val="24"/>
          <w:szCs w:val="24"/>
          <w:lang w:eastAsia="fr-FR"/>
        </w:rPr>
        <w:footnoteReference w:id="15"/>
      </w:r>
      <w:r w:rsidR="00890C01" w:rsidRPr="005F1FF6">
        <w:rPr>
          <w:rFonts w:ascii="Times New Roman" w:eastAsia="Times New Roman" w:hAnsi="Times New Roman" w:cs="Times New Roman"/>
          <w:bCs/>
          <w:iCs/>
          <w:noProof/>
          <w:sz w:val="24"/>
          <w:szCs w:val="24"/>
          <w:lang w:eastAsia="fr-FR"/>
        </w:rPr>
        <w:t xml:space="preserve"> </w:t>
      </w:r>
      <w:r w:rsidR="00493174" w:rsidRPr="005F1FF6">
        <w:rPr>
          <w:rFonts w:ascii="Times New Roman" w:eastAsia="Times New Roman" w:hAnsi="Times New Roman" w:cs="Times New Roman"/>
          <w:bCs/>
          <w:iCs/>
          <w:noProof/>
          <w:sz w:val="24"/>
          <w:szCs w:val="24"/>
          <w:lang w:eastAsia="fr-FR"/>
        </w:rPr>
        <w:t>and the overall</w:t>
      </w:r>
      <w:r w:rsidR="00890C01" w:rsidRPr="005F1FF6">
        <w:rPr>
          <w:rFonts w:ascii="Times New Roman" w:eastAsia="Times New Roman" w:hAnsi="Times New Roman" w:cs="Times New Roman"/>
          <w:bCs/>
          <w:iCs/>
          <w:noProof/>
          <w:sz w:val="24"/>
          <w:szCs w:val="24"/>
          <w:lang w:eastAsia="fr-FR"/>
        </w:rPr>
        <w:t xml:space="preserve"> EU contribution </w:t>
      </w:r>
      <w:r w:rsidR="005F5C84" w:rsidRPr="005F1FF6">
        <w:rPr>
          <w:rFonts w:ascii="Times New Roman" w:eastAsia="Times New Roman" w:hAnsi="Times New Roman" w:cs="Times New Roman"/>
          <w:bCs/>
          <w:iCs/>
          <w:noProof/>
          <w:sz w:val="24"/>
          <w:szCs w:val="24"/>
          <w:lang w:eastAsia="fr-FR"/>
        </w:rPr>
        <w:t xml:space="preserve">committed </w:t>
      </w:r>
      <w:r w:rsidR="00890C01" w:rsidRPr="005F1FF6">
        <w:rPr>
          <w:rFonts w:ascii="Times New Roman" w:eastAsia="Times New Roman" w:hAnsi="Times New Roman" w:cs="Times New Roman"/>
          <w:bCs/>
          <w:iCs/>
          <w:noProof/>
          <w:sz w:val="24"/>
          <w:szCs w:val="24"/>
          <w:lang w:eastAsia="fr-FR"/>
        </w:rPr>
        <w:t xml:space="preserve">to financial intermediaries </w:t>
      </w:r>
      <w:r w:rsidR="00493174" w:rsidRPr="005F1FF6">
        <w:rPr>
          <w:rFonts w:ascii="Times New Roman" w:eastAsia="Times New Roman" w:hAnsi="Times New Roman" w:cs="Times New Roman"/>
          <w:bCs/>
          <w:iCs/>
          <w:noProof/>
          <w:sz w:val="24"/>
          <w:szCs w:val="24"/>
          <w:lang w:eastAsia="fr-FR"/>
        </w:rPr>
        <w:t xml:space="preserve">on </w:t>
      </w:r>
      <w:r w:rsidR="00BF2558" w:rsidRPr="005F1FF6">
        <w:rPr>
          <w:rFonts w:ascii="Times New Roman" w:eastAsia="Times New Roman" w:hAnsi="Times New Roman" w:cs="Times New Roman"/>
          <w:bCs/>
          <w:iCs/>
          <w:noProof/>
          <w:sz w:val="24"/>
          <w:szCs w:val="24"/>
          <w:lang w:eastAsia="fr-FR"/>
        </w:rPr>
        <w:t xml:space="preserve">the </w:t>
      </w:r>
      <w:r w:rsidR="00493174" w:rsidRPr="005F1FF6">
        <w:rPr>
          <w:rFonts w:ascii="Times New Roman" w:eastAsia="Times New Roman" w:hAnsi="Times New Roman" w:cs="Times New Roman"/>
          <w:bCs/>
          <w:iCs/>
          <w:noProof/>
          <w:sz w:val="24"/>
          <w:szCs w:val="24"/>
          <w:lang w:eastAsia="fr-FR"/>
        </w:rPr>
        <w:t>COSME 2014-2020 budget was</w:t>
      </w:r>
      <w:r w:rsidR="00890C01" w:rsidRPr="005F1FF6">
        <w:rPr>
          <w:rFonts w:ascii="Times New Roman" w:eastAsia="Times New Roman" w:hAnsi="Times New Roman" w:cs="Times New Roman"/>
          <w:bCs/>
          <w:iCs/>
          <w:noProof/>
          <w:sz w:val="24"/>
          <w:szCs w:val="24"/>
          <w:lang w:eastAsia="fr-FR"/>
        </w:rPr>
        <w:t xml:space="preserve"> EUR</w:t>
      </w:r>
      <w:r w:rsidR="00FE0469" w:rsidRPr="005F1FF6">
        <w:rPr>
          <w:rFonts w:ascii="Times New Roman" w:eastAsia="Times New Roman" w:hAnsi="Times New Roman" w:cs="Times New Roman"/>
          <w:bCs/>
          <w:iCs/>
          <w:noProof/>
          <w:sz w:val="24"/>
          <w:szCs w:val="24"/>
          <w:lang w:eastAsia="fr-FR"/>
        </w:rPr>
        <w:t> </w:t>
      </w:r>
      <w:r w:rsidR="00890C01" w:rsidRPr="005F1FF6">
        <w:rPr>
          <w:rFonts w:ascii="Times New Roman" w:eastAsia="Times New Roman" w:hAnsi="Times New Roman" w:cs="Times New Roman"/>
          <w:bCs/>
          <w:iCs/>
          <w:noProof/>
          <w:sz w:val="24"/>
          <w:szCs w:val="24"/>
          <w:lang w:eastAsia="fr-FR"/>
        </w:rPr>
        <w:t>323</w:t>
      </w:r>
      <w:r w:rsidR="00FE0469" w:rsidRPr="005F1FF6">
        <w:rPr>
          <w:rFonts w:ascii="Times New Roman" w:eastAsia="Times New Roman" w:hAnsi="Times New Roman" w:cs="Times New Roman"/>
          <w:bCs/>
          <w:iCs/>
          <w:noProof/>
          <w:sz w:val="24"/>
          <w:szCs w:val="24"/>
          <w:lang w:eastAsia="fr-FR"/>
        </w:rPr>
        <w:t> </w:t>
      </w:r>
      <w:r w:rsidR="00890C01" w:rsidRPr="005F1FF6">
        <w:rPr>
          <w:rFonts w:ascii="Times New Roman" w:eastAsia="Times New Roman" w:hAnsi="Times New Roman" w:cs="Times New Roman"/>
          <w:bCs/>
          <w:iCs/>
          <w:noProof/>
          <w:sz w:val="24"/>
          <w:szCs w:val="24"/>
          <w:lang w:eastAsia="fr-FR"/>
        </w:rPr>
        <w:t xml:space="preserve">million. Under these agreements, the COSME EFG helped </w:t>
      </w:r>
      <w:r w:rsidR="009F6F58" w:rsidRPr="005F1FF6">
        <w:rPr>
          <w:rFonts w:ascii="Times New Roman" w:eastAsia="Times New Roman" w:hAnsi="Times New Roman" w:cs="Times New Roman"/>
          <w:bCs/>
          <w:iCs/>
          <w:noProof/>
          <w:sz w:val="24"/>
          <w:szCs w:val="24"/>
          <w:lang w:eastAsia="fr-FR"/>
        </w:rPr>
        <w:t xml:space="preserve">provide </w:t>
      </w:r>
      <w:r w:rsidR="00890C01" w:rsidRPr="005F1FF6">
        <w:rPr>
          <w:rFonts w:ascii="Times New Roman" w:eastAsia="Times New Roman" w:hAnsi="Times New Roman" w:cs="Times New Roman"/>
          <w:bCs/>
          <w:iCs/>
          <w:noProof/>
          <w:sz w:val="24"/>
          <w:szCs w:val="24"/>
          <w:lang w:eastAsia="fr-FR"/>
        </w:rPr>
        <w:t>investments of EUR</w:t>
      </w:r>
      <w:r w:rsidR="00FE2948" w:rsidRPr="005F1FF6">
        <w:rPr>
          <w:rFonts w:ascii="Times New Roman" w:eastAsia="Times New Roman" w:hAnsi="Times New Roman" w:cs="Times New Roman"/>
          <w:bCs/>
          <w:iCs/>
          <w:noProof/>
          <w:sz w:val="24"/>
          <w:szCs w:val="24"/>
          <w:lang w:eastAsia="fr-FR"/>
        </w:rPr>
        <w:t> </w:t>
      </w:r>
      <w:r w:rsidR="00890C01" w:rsidRPr="005F1FF6">
        <w:rPr>
          <w:rFonts w:ascii="Times New Roman" w:eastAsia="Times New Roman" w:hAnsi="Times New Roman" w:cs="Times New Roman"/>
          <w:bCs/>
          <w:iCs/>
          <w:noProof/>
          <w:sz w:val="24"/>
          <w:szCs w:val="24"/>
          <w:lang w:eastAsia="fr-FR"/>
        </w:rPr>
        <w:t>2.6 billion</w:t>
      </w:r>
      <w:r w:rsidR="003003C0" w:rsidRPr="005F1FF6">
        <w:rPr>
          <w:rStyle w:val="FootnoteReference"/>
          <w:rFonts w:ascii="Times New Roman" w:eastAsia="Times New Roman" w:hAnsi="Times New Roman" w:cs="Times New Roman"/>
          <w:bCs/>
          <w:iCs/>
          <w:noProof/>
          <w:sz w:val="24"/>
          <w:szCs w:val="24"/>
          <w:lang w:eastAsia="fr-FR"/>
        </w:rPr>
        <w:footnoteReference w:id="16"/>
      </w:r>
      <w:r w:rsidR="00396ECA" w:rsidRPr="005F1FF6">
        <w:rPr>
          <w:rFonts w:ascii="Times New Roman" w:eastAsia="Times New Roman" w:hAnsi="Times New Roman" w:cs="Times New Roman"/>
          <w:bCs/>
          <w:iCs/>
          <w:noProof/>
          <w:sz w:val="24"/>
          <w:szCs w:val="24"/>
          <w:lang w:eastAsia="fr-FR"/>
        </w:rPr>
        <w:t xml:space="preserve"> </w:t>
      </w:r>
      <w:r w:rsidR="00824E41" w:rsidRPr="005F1FF6">
        <w:rPr>
          <w:rStyle w:val="FootnoteReference"/>
          <w:rFonts w:ascii="Times New Roman" w:eastAsia="Times New Roman" w:hAnsi="Times New Roman" w:cs="Times New Roman"/>
          <w:bCs/>
          <w:iCs/>
          <w:noProof/>
          <w:sz w:val="24"/>
          <w:szCs w:val="24"/>
          <w:lang w:eastAsia="fr-FR"/>
        </w:rPr>
        <w:footnoteReference w:id="17"/>
      </w:r>
      <w:r w:rsidR="000D6595" w:rsidRPr="005F1FF6">
        <w:rPr>
          <w:rFonts w:ascii="Times New Roman" w:eastAsia="Times New Roman" w:hAnsi="Times New Roman" w:cs="Times New Roman"/>
          <w:bCs/>
          <w:iCs/>
          <w:noProof/>
          <w:sz w:val="24"/>
          <w:szCs w:val="24"/>
          <w:lang w:eastAsia="fr-FR"/>
        </w:rPr>
        <w:t xml:space="preserve"> </w:t>
      </w:r>
      <w:r w:rsidR="00636B4B" w:rsidRPr="005F1FF6">
        <w:rPr>
          <w:rFonts w:ascii="Times New Roman" w:eastAsia="Times New Roman" w:hAnsi="Times New Roman" w:cs="Times New Roman"/>
          <w:bCs/>
          <w:iCs/>
          <w:noProof/>
          <w:sz w:val="24"/>
          <w:szCs w:val="24"/>
          <w:lang w:eastAsia="fr-FR"/>
        </w:rPr>
        <w:t>in</w:t>
      </w:r>
      <w:r w:rsidR="00890C01" w:rsidRPr="005F1FF6">
        <w:rPr>
          <w:rFonts w:ascii="Times New Roman" w:eastAsia="Times New Roman" w:hAnsi="Times New Roman" w:cs="Times New Roman"/>
          <w:bCs/>
          <w:iCs/>
          <w:noProof/>
          <w:sz w:val="24"/>
          <w:szCs w:val="24"/>
          <w:lang w:eastAsia="fr-FR"/>
        </w:rPr>
        <w:t xml:space="preserve"> 346 eligible SMEs in their expansion and growth stage, leading to an estimated EUR</w:t>
      </w:r>
      <w:r w:rsidR="00FE0469" w:rsidRPr="005F1FF6">
        <w:rPr>
          <w:rFonts w:ascii="Times New Roman" w:eastAsia="Times New Roman" w:hAnsi="Times New Roman" w:cs="Times New Roman"/>
          <w:bCs/>
          <w:iCs/>
          <w:noProof/>
          <w:sz w:val="24"/>
          <w:szCs w:val="24"/>
          <w:lang w:eastAsia="fr-FR"/>
        </w:rPr>
        <w:t> </w:t>
      </w:r>
      <w:r w:rsidR="00890C01" w:rsidRPr="005F1FF6">
        <w:rPr>
          <w:rFonts w:ascii="Times New Roman" w:eastAsia="Times New Roman" w:hAnsi="Times New Roman" w:cs="Times New Roman"/>
          <w:bCs/>
          <w:iCs/>
          <w:noProof/>
          <w:sz w:val="24"/>
          <w:szCs w:val="24"/>
          <w:lang w:eastAsia="fr-FR"/>
        </w:rPr>
        <w:t>4.9</w:t>
      </w:r>
      <w:r w:rsidR="00FE0469" w:rsidRPr="005F1FF6">
        <w:rPr>
          <w:rFonts w:ascii="Times New Roman" w:eastAsia="Times New Roman" w:hAnsi="Times New Roman" w:cs="Times New Roman"/>
          <w:bCs/>
          <w:iCs/>
          <w:noProof/>
          <w:sz w:val="24"/>
          <w:szCs w:val="24"/>
          <w:lang w:eastAsia="fr-FR"/>
        </w:rPr>
        <w:t> </w:t>
      </w:r>
      <w:r w:rsidR="00890C01" w:rsidRPr="005F1FF6">
        <w:rPr>
          <w:rFonts w:ascii="Times New Roman" w:eastAsia="Times New Roman" w:hAnsi="Times New Roman" w:cs="Times New Roman"/>
          <w:bCs/>
          <w:iCs/>
          <w:noProof/>
          <w:sz w:val="24"/>
          <w:szCs w:val="24"/>
          <w:lang w:eastAsia="fr-FR"/>
        </w:rPr>
        <w:t xml:space="preserve">billion </w:t>
      </w:r>
      <w:r w:rsidR="009F6F58" w:rsidRPr="005F1FF6">
        <w:rPr>
          <w:rFonts w:ascii="Times New Roman" w:eastAsia="Times New Roman" w:hAnsi="Times New Roman" w:cs="Times New Roman"/>
          <w:bCs/>
          <w:iCs/>
          <w:noProof/>
          <w:sz w:val="24"/>
          <w:szCs w:val="24"/>
          <w:lang w:eastAsia="fr-FR"/>
        </w:rPr>
        <w:t xml:space="preserve">in </w:t>
      </w:r>
      <w:r w:rsidR="00890C01" w:rsidRPr="005F1FF6">
        <w:rPr>
          <w:rFonts w:ascii="Times New Roman" w:eastAsia="Times New Roman" w:hAnsi="Times New Roman" w:cs="Times New Roman"/>
          <w:bCs/>
          <w:iCs/>
          <w:noProof/>
          <w:sz w:val="24"/>
          <w:szCs w:val="24"/>
          <w:lang w:eastAsia="fr-FR"/>
        </w:rPr>
        <w:t>overall investments.</w:t>
      </w:r>
    </w:p>
    <w:p w14:paraId="193FFD4C" w14:textId="3968DBC6" w:rsidR="00890C01" w:rsidRPr="005F1FF6" w:rsidRDefault="009F6F58" w:rsidP="005F1FF6">
      <w:pPr>
        <w:spacing w:before="120" w:after="0" w:line="240" w:lineRule="auto"/>
        <w:jc w:val="both"/>
        <w:rPr>
          <w:rFonts w:ascii="Times New Roman" w:eastAsia="Times New Roman" w:hAnsi="Times New Roman" w:cs="Times New Roman"/>
          <w:bCs/>
          <w:noProof/>
          <w:sz w:val="24"/>
          <w:szCs w:val="24"/>
          <w:highlight w:val="yellow"/>
          <w:lang w:eastAsia="fr-FR"/>
        </w:rPr>
      </w:pPr>
      <w:r w:rsidRPr="005F1FF6">
        <w:rPr>
          <w:rFonts w:ascii="Times New Roman" w:eastAsia="Times New Roman" w:hAnsi="Times New Roman" w:cs="Times New Roman"/>
          <w:bCs/>
          <w:iCs/>
          <w:noProof/>
          <w:sz w:val="24"/>
          <w:szCs w:val="24"/>
          <w:lang w:eastAsia="fr-FR"/>
        </w:rPr>
        <w:t xml:space="preserve">By </w:t>
      </w:r>
      <w:r w:rsidR="00890C01" w:rsidRPr="005F1FF6">
        <w:rPr>
          <w:rFonts w:ascii="Times New Roman" w:eastAsia="Times New Roman" w:hAnsi="Times New Roman" w:cs="Times New Roman"/>
          <w:bCs/>
          <w:iCs/>
          <w:noProof/>
          <w:sz w:val="24"/>
          <w:szCs w:val="24"/>
          <w:lang w:eastAsia="fr-FR"/>
        </w:rPr>
        <w:t>the end of 2021, from the overall investments of EUR</w:t>
      </w:r>
      <w:r w:rsidR="00FE2948" w:rsidRPr="005F1FF6">
        <w:rPr>
          <w:rFonts w:ascii="Times New Roman" w:eastAsia="Times New Roman" w:hAnsi="Times New Roman" w:cs="Times New Roman"/>
          <w:bCs/>
          <w:iCs/>
          <w:noProof/>
          <w:sz w:val="24"/>
          <w:szCs w:val="24"/>
          <w:lang w:eastAsia="fr-FR"/>
        </w:rPr>
        <w:t> </w:t>
      </w:r>
      <w:r w:rsidR="00890C01" w:rsidRPr="005F1FF6">
        <w:rPr>
          <w:rFonts w:ascii="Times New Roman" w:eastAsia="Times New Roman" w:hAnsi="Times New Roman" w:cs="Times New Roman"/>
          <w:bCs/>
          <w:iCs/>
          <w:noProof/>
          <w:sz w:val="24"/>
          <w:szCs w:val="24"/>
          <w:lang w:eastAsia="fr-FR"/>
        </w:rPr>
        <w:t>2.6 billion provided in 28 countries</w:t>
      </w:r>
      <w:r w:rsidR="00493174" w:rsidRPr="005F1FF6">
        <w:rPr>
          <w:rFonts w:ascii="Times New Roman" w:eastAsia="Times New Roman" w:hAnsi="Times New Roman" w:cs="Times New Roman"/>
          <w:bCs/>
          <w:iCs/>
          <w:noProof/>
          <w:sz w:val="24"/>
          <w:szCs w:val="24"/>
          <w:lang w:eastAsia="fr-FR"/>
        </w:rPr>
        <w:t xml:space="preserve"> from </w:t>
      </w:r>
      <w:r w:rsidRPr="005F1FF6">
        <w:rPr>
          <w:rFonts w:ascii="Times New Roman" w:eastAsia="Times New Roman" w:hAnsi="Times New Roman" w:cs="Times New Roman"/>
          <w:bCs/>
          <w:iCs/>
          <w:noProof/>
          <w:sz w:val="24"/>
          <w:szCs w:val="24"/>
          <w:lang w:eastAsia="fr-FR"/>
        </w:rPr>
        <w:t xml:space="preserve">the </w:t>
      </w:r>
      <w:r w:rsidR="00493174" w:rsidRPr="005F1FF6">
        <w:rPr>
          <w:rFonts w:ascii="Times New Roman" w:eastAsia="Times New Roman" w:hAnsi="Times New Roman" w:cs="Times New Roman"/>
          <w:bCs/>
          <w:iCs/>
          <w:noProof/>
          <w:sz w:val="24"/>
          <w:szCs w:val="24"/>
          <w:lang w:eastAsia="fr-FR"/>
        </w:rPr>
        <w:t xml:space="preserve">COSME 2014-2020 </w:t>
      </w:r>
      <w:r w:rsidRPr="005F1FF6">
        <w:rPr>
          <w:rFonts w:ascii="Times New Roman" w:eastAsia="Times New Roman" w:hAnsi="Times New Roman" w:cs="Times New Roman"/>
          <w:bCs/>
          <w:iCs/>
          <w:noProof/>
          <w:sz w:val="24"/>
          <w:szCs w:val="24"/>
          <w:lang w:eastAsia="fr-FR"/>
        </w:rPr>
        <w:t>b</w:t>
      </w:r>
      <w:r w:rsidR="00493174" w:rsidRPr="005F1FF6">
        <w:rPr>
          <w:rFonts w:ascii="Times New Roman" w:eastAsia="Times New Roman" w:hAnsi="Times New Roman" w:cs="Times New Roman"/>
          <w:bCs/>
          <w:iCs/>
          <w:noProof/>
          <w:sz w:val="24"/>
          <w:szCs w:val="24"/>
          <w:lang w:eastAsia="fr-FR"/>
        </w:rPr>
        <w:t>udget</w:t>
      </w:r>
      <w:r w:rsidR="00890C01" w:rsidRPr="005F1FF6">
        <w:rPr>
          <w:rFonts w:ascii="Times New Roman" w:eastAsia="Times New Roman" w:hAnsi="Times New Roman" w:cs="Times New Roman"/>
          <w:bCs/>
          <w:iCs/>
          <w:noProof/>
          <w:sz w:val="24"/>
          <w:szCs w:val="24"/>
          <w:lang w:eastAsia="fr-FR"/>
        </w:rPr>
        <w:t>, 25% ha</w:t>
      </w:r>
      <w:r w:rsidRPr="005F1FF6">
        <w:rPr>
          <w:rFonts w:ascii="Times New Roman" w:eastAsia="Times New Roman" w:hAnsi="Times New Roman" w:cs="Times New Roman"/>
          <w:bCs/>
          <w:iCs/>
          <w:noProof/>
          <w:sz w:val="24"/>
          <w:szCs w:val="24"/>
          <w:lang w:eastAsia="fr-FR"/>
        </w:rPr>
        <w:t>d</w:t>
      </w:r>
      <w:r w:rsidR="00890C01" w:rsidRPr="005F1FF6">
        <w:rPr>
          <w:rFonts w:ascii="Times New Roman" w:eastAsia="Times New Roman" w:hAnsi="Times New Roman" w:cs="Times New Roman"/>
          <w:bCs/>
          <w:iCs/>
          <w:noProof/>
          <w:sz w:val="24"/>
          <w:szCs w:val="24"/>
          <w:lang w:eastAsia="fr-FR"/>
        </w:rPr>
        <w:t xml:space="preserve"> been invested in Germany, followed by 19% in France and 15% in </w:t>
      </w:r>
      <w:r w:rsidRPr="005F1FF6">
        <w:rPr>
          <w:rFonts w:ascii="Times New Roman" w:eastAsia="Times New Roman" w:hAnsi="Times New Roman" w:cs="Times New Roman"/>
          <w:bCs/>
          <w:iCs/>
          <w:noProof/>
          <w:sz w:val="24"/>
          <w:szCs w:val="24"/>
          <w:lang w:eastAsia="fr-FR"/>
        </w:rPr>
        <w:t xml:space="preserve">the </w:t>
      </w:r>
      <w:r w:rsidR="00890C01" w:rsidRPr="005F1FF6">
        <w:rPr>
          <w:rFonts w:ascii="Times New Roman" w:eastAsia="Times New Roman" w:hAnsi="Times New Roman" w:cs="Times New Roman"/>
          <w:bCs/>
          <w:iCs/>
          <w:noProof/>
          <w:sz w:val="24"/>
          <w:szCs w:val="24"/>
          <w:lang w:eastAsia="fr-FR"/>
        </w:rPr>
        <w:t>United Kingdom</w:t>
      </w:r>
    </w:p>
    <w:p w14:paraId="1AA00E8C" w14:textId="2BFE93FF" w:rsidR="00FF5E71" w:rsidRPr="005F1FF6" w:rsidRDefault="00FF5E71" w:rsidP="005F1FF6">
      <w:pPr>
        <w:spacing w:before="120" w:after="0" w:line="240" w:lineRule="auto"/>
        <w:jc w:val="both"/>
        <w:rPr>
          <w:rFonts w:ascii="Times New Roman" w:eastAsia="Times New Roman" w:hAnsi="Times New Roman" w:cs="Times New Roman"/>
          <w:bCs/>
          <w:noProof/>
          <w:sz w:val="24"/>
          <w:szCs w:val="24"/>
          <w:lang w:eastAsia="fr-FR"/>
        </w:rPr>
      </w:pPr>
      <w:r w:rsidRPr="005F1FF6">
        <w:rPr>
          <w:rFonts w:ascii="Times New Roman" w:eastAsia="Times New Roman" w:hAnsi="Times New Roman" w:cs="Times New Roman"/>
          <w:bCs/>
          <w:noProof/>
          <w:sz w:val="24"/>
          <w:szCs w:val="24"/>
          <w:lang w:eastAsia="fr-FR"/>
        </w:rPr>
        <w:t xml:space="preserve">The COSME EFG also contributed to the </w:t>
      </w:r>
      <w:r w:rsidR="00104394" w:rsidRPr="005F1FF6">
        <w:rPr>
          <w:rFonts w:ascii="Times New Roman" w:eastAsia="Times New Roman" w:hAnsi="Times New Roman" w:cs="Times New Roman"/>
          <w:bCs/>
          <w:noProof/>
          <w:sz w:val="24"/>
          <w:szCs w:val="24"/>
          <w:lang w:eastAsia="fr-FR"/>
        </w:rPr>
        <w:t>p</w:t>
      </w:r>
      <w:r w:rsidRPr="005F1FF6">
        <w:rPr>
          <w:rFonts w:ascii="Times New Roman" w:eastAsia="Times New Roman" w:hAnsi="Times New Roman" w:cs="Times New Roman"/>
          <w:bCs/>
          <w:noProof/>
          <w:sz w:val="24"/>
          <w:szCs w:val="24"/>
          <w:lang w:eastAsia="fr-FR"/>
        </w:rPr>
        <w:t xml:space="preserve">an-European </w:t>
      </w:r>
      <w:r w:rsidR="00104394" w:rsidRPr="005F1FF6">
        <w:rPr>
          <w:rFonts w:ascii="Times New Roman" w:eastAsia="Times New Roman" w:hAnsi="Times New Roman" w:cs="Times New Roman"/>
          <w:bCs/>
          <w:noProof/>
          <w:sz w:val="24"/>
          <w:szCs w:val="24"/>
          <w:lang w:eastAsia="fr-FR"/>
        </w:rPr>
        <w:t>v</w:t>
      </w:r>
      <w:r w:rsidRPr="005F1FF6">
        <w:rPr>
          <w:rFonts w:ascii="Times New Roman" w:eastAsia="Times New Roman" w:hAnsi="Times New Roman" w:cs="Times New Roman"/>
          <w:bCs/>
          <w:noProof/>
          <w:sz w:val="24"/>
          <w:szCs w:val="24"/>
          <w:lang w:eastAsia="fr-FR"/>
        </w:rPr>
        <w:t xml:space="preserve">enture </w:t>
      </w:r>
      <w:r w:rsidR="00104394" w:rsidRPr="005F1FF6">
        <w:rPr>
          <w:rFonts w:ascii="Times New Roman" w:eastAsia="Times New Roman" w:hAnsi="Times New Roman" w:cs="Times New Roman"/>
          <w:bCs/>
          <w:noProof/>
          <w:sz w:val="24"/>
          <w:szCs w:val="24"/>
          <w:lang w:eastAsia="fr-FR"/>
        </w:rPr>
        <w:t>c</w:t>
      </w:r>
      <w:r w:rsidRPr="005F1FF6">
        <w:rPr>
          <w:rFonts w:ascii="Times New Roman" w:eastAsia="Times New Roman" w:hAnsi="Times New Roman" w:cs="Times New Roman"/>
          <w:bCs/>
          <w:noProof/>
          <w:sz w:val="24"/>
          <w:szCs w:val="24"/>
          <w:lang w:eastAsia="fr-FR"/>
        </w:rPr>
        <w:t xml:space="preserve">apital </w:t>
      </w:r>
      <w:r w:rsidR="00104394" w:rsidRPr="005F1FF6">
        <w:rPr>
          <w:rFonts w:ascii="Times New Roman" w:eastAsia="Times New Roman" w:hAnsi="Times New Roman" w:cs="Times New Roman"/>
          <w:bCs/>
          <w:noProof/>
          <w:sz w:val="24"/>
          <w:szCs w:val="24"/>
          <w:lang w:eastAsia="fr-FR"/>
        </w:rPr>
        <w:t>f</w:t>
      </w:r>
      <w:r w:rsidRPr="005F1FF6">
        <w:rPr>
          <w:rFonts w:ascii="Times New Roman" w:eastAsia="Times New Roman" w:hAnsi="Times New Roman" w:cs="Times New Roman"/>
          <w:bCs/>
          <w:noProof/>
          <w:sz w:val="24"/>
          <w:szCs w:val="24"/>
          <w:lang w:eastAsia="fr-FR"/>
        </w:rPr>
        <w:t>und-of-</w:t>
      </w:r>
      <w:r w:rsidR="00104394" w:rsidRPr="005F1FF6">
        <w:rPr>
          <w:rFonts w:ascii="Times New Roman" w:eastAsia="Times New Roman" w:hAnsi="Times New Roman" w:cs="Times New Roman"/>
          <w:bCs/>
          <w:noProof/>
          <w:sz w:val="24"/>
          <w:szCs w:val="24"/>
          <w:lang w:eastAsia="fr-FR"/>
        </w:rPr>
        <w:t>f</w:t>
      </w:r>
      <w:r w:rsidRPr="005F1FF6">
        <w:rPr>
          <w:rFonts w:ascii="Times New Roman" w:eastAsia="Times New Roman" w:hAnsi="Times New Roman" w:cs="Times New Roman"/>
          <w:bCs/>
          <w:noProof/>
          <w:sz w:val="24"/>
          <w:szCs w:val="24"/>
          <w:lang w:eastAsia="fr-FR"/>
        </w:rPr>
        <w:t>unds programme (VentureEU) launched in 2017 to</w:t>
      </w:r>
      <w:r w:rsidR="00C85FD4" w:rsidRPr="005F1FF6">
        <w:rPr>
          <w:rFonts w:ascii="Times New Roman" w:eastAsia="Times New Roman" w:hAnsi="Times New Roman" w:cs="Times New Roman"/>
          <w:bCs/>
          <w:noProof/>
          <w:sz w:val="24"/>
          <w:szCs w:val="24"/>
          <w:lang w:eastAsia="fr-FR"/>
        </w:rPr>
        <w:t xml:space="preserve"> reduce </w:t>
      </w:r>
      <w:r w:rsidRPr="005F1FF6">
        <w:rPr>
          <w:rFonts w:ascii="Times New Roman" w:eastAsia="Times New Roman" w:hAnsi="Times New Roman" w:cs="Times New Roman"/>
          <w:bCs/>
          <w:noProof/>
          <w:sz w:val="24"/>
          <w:szCs w:val="24"/>
          <w:lang w:eastAsia="fr-FR"/>
        </w:rPr>
        <w:t xml:space="preserve">bottlenecks in </w:t>
      </w:r>
      <w:r w:rsidR="00104394" w:rsidRPr="005F1FF6">
        <w:rPr>
          <w:rFonts w:ascii="Times New Roman" w:eastAsia="Times New Roman" w:hAnsi="Times New Roman" w:cs="Times New Roman"/>
          <w:bCs/>
          <w:noProof/>
          <w:sz w:val="24"/>
          <w:szCs w:val="24"/>
          <w:lang w:eastAsia="fr-FR"/>
        </w:rPr>
        <w:t>v</w:t>
      </w:r>
      <w:r w:rsidRPr="005F1FF6">
        <w:rPr>
          <w:rFonts w:ascii="Times New Roman" w:eastAsia="Times New Roman" w:hAnsi="Times New Roman" w:cs="Times New Roman"/>
          <w:bCs/>
          <w:noProof/>
          <w:sz w:val="24"/>
          <w:szCs w:val="24"/>
          <w:lang w:eastAsia="fr-FR"/>
        </w:rPr>
        <w:t xml:space="preserve">enture </w:t>
      </w:r>
      <w:r w:rsidR="00104394" w:rsidRPr="005F1FF6">
        <w:rPr>
          <w:rFonts w:ascii="Times New Roman" w:eastAsia="Times New Roman" w:hAnsi="Times New Roman" w:cs="Times New Roman"/>
          <w:bCs/>
          <w:noProof/>
          <w:sz w:val="24"/>
          <w:szCs w:val="24"/>
          <w:lang w:eastAsia="fr-FR"/>
        </w:rPr>
        <w:t>c</w:t>
      </w:r>
      <w:r w:rsidRPr="005F1FF6">
        <w:rPr>
          <w:rFonts w:ascii="Times New Roman" w:eastAsia="Times New Roman" w:hAnsi="Times New Roman" w:cs="Times New Roman"/>
          <w:bCs/>
          <w:noProof/>
          <w:sz w:val="24"/>
          <w:szCs w:val="24"/>
          <w:lang w:eastAsia="fr-FR"/>
        </w:rPr>
        <w:t xml:space="preserve">apital financing in </w:t>
      </w:r>
      <w:r w:rsidR="005F220A" w:rsidRPr="005F1FF6">
        <w:rPr>
          <w:rFonts w:ascii="Times New Roman" w:eastAsia="Times New Roman" w:hAnsi="Times New Roman" w:cs="Times New Roman"/>
          <w:bCs/>
          <w:noProof/>
          <w:sz w:val="24"/>
          <w:szCs w:val="24"/>
          <w:lang w:eastAsia="fr-FR"/>
        </w:rPr>
        <w:t xml:space="preserve">the </w:t>
      </w:r>
      <w:r w:rsidR="005A5537" w:rsidRPr="005F1FF6">
        <w:rPr>
          <w:rFonts w:ascii="Times New Roman" w:eastAsia="Times New Roman" w:hAnsi="Times New Roman" w:cs="Times New Roman"/>
          <w:bCs/>
          <w:noProof/>
          <w:sz w:val="24"/>
          <w:szCs w:val="24"/>
          <w:lang w:eastAsia="fr-FR"/>
        </w:rPr>
        <w:t>EU.</w:t>
      </w:r>
    </w:p>
    <w:p w14:paraId="57291E19" w14:textId="387D4048" w:rsidR="001E40AB" w:rsidRPr="005F1FF6" w:rsidRDefault="00FE0880" w:rsidP="005F1FF6">
      <w:pPr>
        <w:pStyle w:val="Heading3"/>
        <w:spacing w:before="240" w:line="240" w:lineRule="auto"/>
        <w:rPr>
          <w:rFonts w:ascii="Times New Roman" w:hAnsi="Times New Roman" w:cs="Times New Roman"/>
          <w:noProof/>
        </w:rPr>
      </w:pPr>
      <w:bookmarkStart w:id="12" w:name="_Toc103541325"/>
      <w:bookmarkStart w:id="13" w:name="_Toc146623387"/>
      <w:r w:rsidRPr="005F1FF6">
        <w:rPr>
          <w:rFonts w:ascii="Times New Roman" w:hAnsi="Times New Roman" w:cs="Times New Roman"/>
          <w:noProof/>
        </w:rPr>
        <w:t xml:space="preserve">The COSME </w:t>
      </w:r>
      <w:r w:rsidR="001E40AB" w:rsidRPr="005F1FF6">
        <w:rPr>
          <w:rFonts w:ascii="Times New Roman" w:hAnsi="Times New Roman" w:cs="Times New Roman"/>
          <w:noProof/>
        </w:rPr>
        <w:t>Loan Guarantee Facility</w:t>
      </w:r>
      <w:bookmarkEnd w:id="12"/>
      <w:bookmarkEnd w:id="13"/>
    </w:p>
    <w:p w14:paraId="1D0B16C3" w14:textId="376B120C" w:rsidR="006B2F6E" w:rsidRPr="005F1FF6" w:rsidRDefault="004A59C9" w:rsidP="005F1FF6">
      <w:pPr>
        <w:spacing w:before="120" w:after="60" w:line="240" w:lineRule="auto"/>
        <w:jc w:val="both"/>
        <w:rPr>
          <w:rFonts w:ascii="Times New Roman" w:eastAsia="Times New Roman" w:hAnsi="Times New Roman" w:cs="Times New Roman"/>
          <w:bCs/>
          <w:iCs/>
          <w:noProof/>
          <w:sz w:val="24"/>
          <w:szCs w:val="24"/>
          <w:lang w:eastAsia="fr-FR"/>
        </w:rPr>
      </w:pPr>
      <w:r w:rsidRPr="005F1FF6">
        <w:rPr>
          <w:rFonts w:ascii="Times New Roman" w:eastAsia="Times New Roman" w:hAnsi="Times New Roman" w:cs="Times New Roman"/>
          <w:bCs/>
          <w:iCs/>
          <w:noProof/>
          <w:color w:val="000000" w:themeColor="text1"/>
          <w:sz w:val="24"/>
          <w:szCs w:val="24"/>
          <w:lang w:eastAsia="fr-FR"/>
        </w:rPr>
        <w:t xml:space="preserve">Due to continuous high market demand, the available COSME LGF budget envelope (which is more than EUR 1.2 billion for 2014-2020) was increased with several top-ups from the European Fund for Strategic Investments’ (EFSI) SME Window. All top-ups total nearly EUR 1.5 billion for 2014-2022. This meant that the accelerated roll-out of EU-guaranteed financing of higher-risk SME transactions could continue. </w:t>
      </w:r>
      <w:r w:rsidR="006B2F6E" w:rsidRPr="005F1FF6">
        <w:rPr>
          <w:rFonts w:ascii="Times New Roman" w:eastAsia="Times New Roman" w:hAnsi="Times New Roman" w:cs="Times New Roman"/>
          <w:bCs/>
          <w:iCs/>
          <w:noProof/>
          <w:color w:val="000000" w:themeColor="text1"/>
          <w:sz w:val="24"/>
          <w:szCs w:val="24"/>
          <w:lang w:eastAsia="fr-FR"/>
        </w:rPr>
        <w:t xml:space="preserve">The EFSI top-up supported </w:t>
      </w:r>
      <w:r w:rsidR="006B2F6E" w:rsidRPr="005F1FF6">
        <w:rPr>
          <w:rFonts w:ascii="Times New Roman" w:eastAsia="Times New Roman" w:hAnsi="Times New Roman" w:cs="Times New Roman"/>
          <w:bCs/>
          <w:iCs/>
          <w:noProof/>
          <w:sz w:val="24"/>
          <w:szCs w:val="24"/>
          <w:lang w:eastAsia="fr-FR"/>
        </w:rPr>
        <w:t xml:space="preserve">transactions related to the </w:t>
      </w:r>
      <w:r w:rsidR="00826234" w:rsidRPr="005F1FF6">
        <w:rPr>
          <w:rFonts w:ascii="Times New Roman" w:eastAsia="Times New Roman" w:hAnsi="Times New Roman" w:cs="Times New Roman"/>
          <w:bCs/>
          <w:iCs/>
          <w:noProof/>
          <w:sz w:val="24"/>
          <w:szCs w:val="24"/>
          <w:lang w:eastAsia="fr-FR"/>
        </w:rPr>
        <w:t xml:space="preserve">continuation of the </w:t>
      </w:r>
      <w:r w:rsidR="006B2F6E" w:rsidRPr="005F1FF6">
        <w:rPr>
          <w:rFonts w:ascii="Times New Roman" w:eastAsia="Times New Roman" w:hAnsi="Times New Roman" w:cs="Times New Roman"/>
          <w:bCs/>
          <w:iCs/>
          <w:noProof/>
          <w:sz w:val="24"/>
          <w:szCs w:val="24"/>
          <w:lang w:eastAsia="fr-FR"/>
        </w:rPr>
        <w:t xml:space="preserve">digitalisation pilot launched in 2019 </w:t>
      </w:r>
      <w:r w:rsidR="006B2F6E" w:rsidRPr="005F1FF6">
        <w:rPr>
          <w:rFonts w:ascii="Times New Roman" w:eastAsia="Times New Roman" w:hAnsi="Times New Roman" w:cs="Times New Roman"/>
          <w:bCs/>
          <w:noProof/>
          <w:sz w:val="24"/>
          <w:szCs w:val="24"/>
          <w:lang w:eastAsia="fr-FR"/>
        </w:rPr>
        <w:t>to enable financial intermediaries to provide broader and more comprehensive debt support to SMEs for digital transformation. This top-up also supported</w:t>
      </w:r>
      <w:r w:rsidR="006B2F6E" w:rsidRPr="005F1FF6">
        <w:rPr>
          <w:rFonts w:ascii="Times New Roman" w:eastAsia="Times New Roman" w:hAnsi="Times New Roman" w:cs="Times New Roman"/>
          <w:bCs/>
          <w:iCs/>
          <w:noProof/>
          <w:sz w:val="24"/>
          <w:szCs w:val="24"/>
          <w:lang w:eastAsia="fr-FR"/>
        </w:rPr>
        <w:t xml:space="preserve"> a response to the COVID-19 virus outbreak and its economic impact in 2020 and beyond.</w:t>
      </w:r>
    </w:p>
    <w:p w14:paraId="4D7509B6" w14:textId="242D9DBD" w:rsidR="006B2F6E" w:rsidRPr="005F1FF6" w:rsidRDefault="006B2F6E" w:rsidP="005F1FF6">
      <w:pPr>
        <w:spacing w:after="60" w:line="240" w:lineRule="auto"/>
        <w:jc w:val="both"/>
        <w:rPr>
          <w:rFonts w:ascii="Times New Roman" w:eastAsia="Times New Roman" w:hAnsi="Times New Roman" w:cs="Times New Roman"/>
          <w:bCs/>
          <w:iCs/>
          <w:noProof/>
          <w:sz w:val="24"/>
          <w:szCs w:val="24"/>
          <w:lang w:eastAsia="fr-FR"/>
        </w:rPr>
      </w:pPr>
      <w:r w:rsidRPr="005F1FF6">
        <w:rPr>
          <w:rFonts w:ascii="Times New Roman" w:eastAsia="Times New Roman" w:hAnsi="Times New Roman" w:cs="Times New Roman"/>
          <w:bCs/>
          <w:iCs/>
          <w:noProof/>
          <w:sz w:val="24"/>
          <w:szCs w:val="24"/>
          <w:lang w:eastAsia="fr-FR"/>
        </w:rPr>
        <w:t>By the end of 2021, 154 (counter-)guarantee agreements had been signed with 128 financial intermediaries (promotional institutes, guarantee societies, commercial banks and leasing companies)</w:t>
      </w:r>
      <w:r w:rsidR="009F6F58" w:rsidRPr="005F1FF6">
        <w:rPr>
          <w:rFonts w:ascii="Times New Roman" w:eastAsia="Times New Roman" w:hAnsi="Times New Roman" w:cs="Times New Roman"/>
          <w:bCs/>
          <w:iCs/>
          <w:noProof/>
          <w:sz w:val="24"/>
          <w:szCs w:val="24"/>
          <w:lang w:eastAsia="fr-FR"/>
        </w:rPr>
        <w:t>. These amounted to</w:t>
      </w:r>
      <w:r w:rsidRPr="005F1FF6">
        <w:rPr>
          <w:rFonts w:ascii="Times New Roman" w:eastAsia="Times New Roman" w:hAnsi="Times New Roman" w:cs="Times New Roman"/>
          <w:bCs/>
          <w:iCs/>
          <w:noProof/>
          <w:sz w:val="24"/>
          <w:szCs w:val="24"/>
          <w:lang w:eastAsia="fr-FR"/>
        </w:rPr>
        <w:t xml:space="preserve"> an EU contribution of nearly EUR</w:t>
      </w:r>
      <w:r w:rsidR="00FE0469" w:rsidRPr="005F1FF6">
        <w:rPr>
          <w:rFonts w:ascii="Times New Roman" w:eastAsia="Times New Roman" w:hAnsi="Times New Roman" w:cs="Times New Roman"/>
          <w:bCs/>
          <w:iCs/>
          <w:noProof/>
          <w:sz w:val="24"/>
          <w:szCs w:val="24"/>
          <w:lang w:eastAsia="fr-FR"/>
        </w:rPr>
        <w:t> </w:t>
      </w:r>
      <w:r w:rsidRPr="005F1FF6">
        <w:rPr>
          <w:rFonts w:ascii="Times New Roman" w:eastAsia="Times New Roman" w:hAnsi="Times New Roman" w:cs="Times New Roman"/>
          <w:bCs/>
          <w:iCs/>
          <w:noProof/>
          <w:sz w:val="24"/>
          <w:szCs w:val="24"/>
          <w:lang w:eastAsia="fr-FR"/>
        </w:rPr>
        <w:t>2.6</w:t>
      </w:r>
      <w:r w:rsidR="00FE0469" w:rsidRPr="005F1FF6">
        <w:rPr>
          <w:rFonts w:ascii="Times New Roman" w:eastAsia="Times New Roman" w:hAnsi="Times New Roman" w:cs="Times New Roman"/>
          <w:bCs/>
          <w:iCs/>
          <w:noProof/>
          <w:sz w:val="24"/>
          <w:szCs w:val="24"/>
          <w:lang w:eastAsia="fr-FR"/>
        </w:rPr>
        <w:t> </w:t>
      </w:r>
      <w:r w:rsidRPr="005F1FF6">
        <w:rPr>
          <w:rFonts w:ascii="Times New Roman" w:eastAsia="Times New Roman" w:hAnsi="Times New Roman" w:cs="Times New Roman"/>
          <w:bCs/>
          <w:iCs/>
          <w:noProof/>
          <w:sz w:val="24"/>
          <w:szCs w:val="24"/>
          <w:lang w:eastAsia="fr-FR"/>
        </w:rPr>
        <w:t>billion, of which EUR</w:t>
      </w:r>
      <w:r w:rsidR="00FE0469" w:rsidRPr="005F1FF6">
        <w:rPr>
          <w:rFonts w:ascii="Times New Roman" w:eastAsia="Times New Roman" w:hAnsi="Times New Roman" w:cs="Times New Roman"/>
          <w:bCs/>
          <w:iCs/>
          <w:noProof/>
          <w:sz w:val="24"/>
          <w:szCs w:val="24"/>
          <w:lang w:eastAsia="fr-FR"/>
        </w:rPr>
        <w:t> </w:t>
      </w:r>
      <w:r w:rsidRPr="005F1FF6">
        <w:rPr>
          <w:rFonts w:ascii="Times New Roman" w:eastAsia="Times New Roman" w:hAnsi="Times New Roman" w:cs="Times New Roman"/>
          <w:bCs/>
          <w:iCs/>
          <w:noProof/>
          <w:sz w:val="24"/>
          <w:szCs w:val="24"/>
          <w:lang w:eastAsia="fr-FR"/>
        </w:rPr>
        <w:t>2.5</w:t>
      </w:r>
      <w:r w:rsidR="00FE0469" w:rsidRPr="005F1FF6">
        <w:rPr>
          <w:rFonts w:ascii="Times New Roman" w:eastAsia="Times New Roman" w:hAnsi="Times New Roman" w:cs="Times New Roman"/>
          <w:bCs/>
          <w:iCs/>
          <w:noProof/>
          <w:sz w:val="24"/>
          <w:szCs w:val="24"/>
          <w:lang w:eastAsia="fr-FR"/>
        </w:rPr>
        <w:t> </w:t>
      </w:r>
      <w:r w:rsidRPr="005F1FF6">
        <w:rPr>
          <w:rFonts w:ascii="Times New Roman" w:eastAsia="Times New Roman" w:hAnsi="Times New Roman" w:cs="Times New Roman"/>
          <w:bCs/>
          <w:iCs/>
          <w:noProof/>
          <w:sz w:val="24"/>
          <w:szCs w:val="24"/>
          <w:lang w:eastAsia="fr-FR"/>
        </w:rPr>
        <w:t xml:space="preserve">billion </w:t>
      </w:r>
      <w:r w:rsidR="009F6F58" w:rsidRPr="005F1FF6">
        <w:rPr>
          <w:rFonts w:ascii="Times New Roman" w:eastAsia="Times New Roman" w:hAnsi="Times New Roman" w:cs="Times New Roman"/>
          <w:bCs/>
          <w:iCs/>
          <w:noProof/>
          <w:sz w:val="24"/>
          <w:szCs w:val="24"/>
          <w:lang w:eastAsia="fr-FR"/>
        </w:rPr>
        <w:t xml:space="preserve">were </w:t>
      </w:r>
      <w:r w:rsidRPr="005F1FF6">
        <w:rPr>
          <w:rFonts w:ascii="Times New Roman" w:eastAsia="Times New Roman" w:hAnsi="Times New Roman" w:cs="Times New Roman"/>
          <w:bCs/>
          <w:iCs/>
          <w:noProof/>
          <w:sz w:val="24"/>
          <w:szCs w:val="24"/>
          <w:lang w:eastAsia="fr-FR"/>
        </w:rPr>
        <w:t>thanks to combined COSME/EFSI resources.</w:t>
      </w:r>
    </w:p>
    <w:p w14:paraId="36E52CAF" w14:textId="2EFA127D" w:rsidR="00222504" w:rsidRPr="005F1FF6" w:rsidRDefault="006B2F6E" w:rsidP="005F1FF6">
      <w:pPr>
        <w:spacing w:after="60" w:line="240" w:lineRule="auto"/>
        <w:jc w:val="both"/>
        <w:rPr>
          <w:rFonts w:ascii="Times New Roman" w:eastAsia="Times New Roman" w:hAnsi="Times New Roman" w:cs="Times New Roman"/>
          <w:bCs/>
          <w:iCs/>
          <w:noProof/>
          <w:sz w:val="24"/>
          <w:szCs w:val="24"/>
          <w:lang w:eastAsia="fr-FR"/>
        </w:rPr>
      </w:pPr>
      <w:r w:rsidRPr="005F1FF6">
        <w:rPr>
          <w:rFonts w:ascii="Times New Roman" w:eastAsia="Times New Roman" w:hAnsi="Times New Roman" w:cs="Times New Roman"/>
          <w:bCs/>
          <w:iCs/>
          <w:noProof/>
          <w:sz w:val="24"/>
          <w:szCs w:val="24"/>
          <w:lang w:eastAsia="fr-FR"/>
        </w:rPr>
        <w:t xml:space="preserve">Under </w:t>
      </w:r>
      <w:r w:rsidR="00B10E33">
        <w:rPr>
          <w:rFonts w:ascii="Times New Roman" w:eastAsia="Times New Roman" w:hAnsi="Times New Roman" w:cs="Times New Roman"/>
          <w:bCs/>
          <w:iCs/>
          <w:noProof/>
          <w:sz w:val="24"/>
          <w:szCs w:val="24"/>
          <w:lang w:eastAsia="fr-FR"/>
        </w:rPr>
        <w:t>those</w:t>
      </w:r>
      <w:r w:rsidRPr="005F1FF6">
        <w:rPr>
          <w:rFonts w:ascii="Times New Roman" w:eastAsia="Times New Roman" w:hAnsi="Times New Roman" w:cs="Times New Roman"/>
          <w:bCs/>
          <w:iCs/>
          <w:noProof/>
          <w:sz w:val="24"/>
          <w:szCs w:val="24"/>
          <w:lang w:eastAsia="fr-FR"/>
        </w:rPr>
        <w:t xml:space="preserve"> agreement</w:t>
      </w:r>
      <w:r w:rsidR="00E43F2A" w:rsidRPr="005F1FF6">
        <w:rPr>
          <w:rFonts w:ascii="Times New Roman" w:eastAsia="Times New Roman" w:hAnsi="Times New Roman" w:cs="Times New Roman"/>
          <w:bCs/>
          <w:iCs/>
          <w:noProof/>
          <w:sz w:val="24"/>
          <w:szCs w:val="24"/>
          <w:lang w:eastAsia="fr-FR"/>
        </w:rPr>
        <w:t xml:space="preserve">s </w:t>
      </w:r>
      <w:r w:rsidRPr="005F1FF6">
        <w:rPr>
          <w:rFonts w:ascii="Times New Roman" w:eastAsia="Times New Roman" w:hAnsi="Times New Roman" w:cs="Times New Roman"/>
          <w:bCs/>
          <w:iCs/>
          <w:noProof/>
          <w:sz w:val="24"/>
          <w:szCs w:val="24"/>
          <w:lang w:eastAsia="fr-FR"/>
        </w:rPr>
        <w:t xml:space="preserve">the COSME LGF provided guarantees and counter-guarantees to financial intermediaries in 33 countries (26 Member States and 7 </w:t>
      </w:r>
      <w:r w:rsidR="00FE1F58" w:rsidRPr="005F1FF6">
        <w:rPr>
          <w:rFonts w:ascii="Times New Roman" w:eastAsia="Times New Roman" w:hAnsi="Times New Roman" w:cs="Times New Roman"/>
          <w:bCs/>
          <w:iCs/>
          <w:noProof/>
          <w:sz w:val="24"/>
          <w:szCs w:val="24"/>
          <w:lang w:eastAsia="fr-FR"/>
        </w:rPr>
        <w:t xml:space="preserve">other </w:t>
      </w:r>
      <w:r w:rsidRPr="005F1FF6">
        <w:rPr>
          <w:rFonts w:ascii="Times New Roman" w:eastAsia="Times New Roman" w:hAnsi="Times New Roman" w:cs="Times New Roman"/>
          <w:bCs/>
          <w:iCs/>
          <w:noProof/>
          <w:sz w:val="24"/>
          <w:szCs w:val="24"/>
          <w:lang w:eastAsia="fr-FR"/>
        </w:rPr>
        <w:t>countries participating in COSME). This supported the provision of EUR</w:t>
      </w:r>
      <w:r w:rsidR="00322B31" w:rsidRPr="005F1FF6">
        <w:rPr>
          <w:rFonts w:ascii="Times New Roman" w:eastAsia="Times New Roman" w:hAnsi="Times New Roman" w:cs="Times New Roman"/>
          <w:bCs/>
          <w:iCs/>
          <w:noProof/>
          <w:sz w:val="24"/>
          <w:szCs w:val="24"/>
          <w:lang w:eastAsia="fr-FR"/>
        </w:rPr>
        <w:t> </w:t>
      </w:r>
      <w:r w:rsidRPr="005F1FF6">
        <w:rPr>
          <w:rFonts w:ascii="Times New Roman" w:eastAsia="Times New Roman" w:hAnsi="Times New Roman" w:cs="Times New Roman"/>
          <w:bCs/>
          <w:iCs/>
          <w:noProof/>
          <w:sz w:val="24"/>
          <w:szCs w:val="24"/>
          <w:lang w:eastAsia="fr-FR"/>
        </w:rPr>
        <w:t>50</w:t>
      </w:r>
      <w:r w:rsidR="00322B31" w:rsidRPr="005F1FF6">
        <w:rPr>
          <w:rFonts w:ascii="Times New Roman" w:eastAsia="Times New Roman" w:hAnsi="Times New Roman" w:cs="Times New Roman"/>
          <w:bCs/>
          <w:iCs/>
          <w:noProof/>
          <w:sz w:val="24"/>
          <w:szCs w:val="24"/>
          <w:lang w:eastAsia="fr-FR"/>
        </w:rPr>
        <w:t> </w:t>
      </w:r>
      <w:r w:rsidRPr="005F1FF6">
        <w:rPr>
          <w:rFonts w:ascii="Times New Roman" w:eastAsia="Times New Roman" w:hAnsi="Times New Roman" w:cs="Times New Roman"/>
          <w:bCs/>
          <w:iCs/>
          <w:noProof/>
          <w:sz w:val="24"/>
          <w:szCs w:val="24"/>
          <w:lang w:eastAsia="fr-FR"/>
        </w:rPr>
        <w:t xml:space="preserve">billion </w:t>
      </w:r>
      <w:r w:rsidR="0080553B" w:rsidRPr="005F1FF6">
        <w:rPr>
          <w:rFonts w:ascii="Times New Roman" w:eastAsia="Times New Roman" w:hAnsi="Times New Roman" w:cs="Times New Roman"/>
          <w:bCs/>
          <w:iCs/>
          <w:noProof/>
          <w:sz w:val="24"/>
          <w:szCs w:val="24"/>
          <w:lang w:eastAsia="fr-FR"/>
        </w:rPr>
        <w:t xml:space="preserve">in </w:t>
      </w:r>
      <w:r w:rsidRPr="005F1FF6">
        <w:rPr>
          <w:rFonts w:ascii="Times New Roman" w:eastAsia="Times New Roman" w:hAnsi="Times New Roman" w:cs="Times New Roman"/>
          <w:bCs/>
          <w:iCs/>
          <w:noProof/>
          <w:sz w:val="24"/>
          <w:szCs w:val="24"/>
          <w:lang w:eastAsia="fr-FR"/>
        </w:rPr>
        <w:t>financial support to more than 800</w:t>
      </w:r>
      <w:r w:rsidR="00FE2948" w:rsidRPr="005F1FF6">
        <w:rPr>
          <w:rFonts w:ascii="Times New Roman" w:eastAsia="Times New Roman" w:hAnsi="Times New Roman" w:cs="Times New Roman"/>
          <w:bCs/>
          <w:iCs/>
          <w:noProof/>
          <w:sz w:val="24"/>
          <w:szCs w:val="24"/>
          <w:lang w:eastAsia="fr-FR"/>
        </w:rPr>
        <w:t> </w:t>
      </w:r>
      <w:r w:rsidRPr="005F1FF6">
        <w:rPr>
          <w:rFonts w:ascii="Times New Roman" w:eastAsia="Times New Roman" w:hAnsi="Times New Roman" w:cs="Times New Roman"/>
          <w:bCs/>
          <w:iCs/>
          <w:noProof/>
          <w:sz w:val="24"/>
          <w:szCs w:val="24"/>
          <w:lang w:eastAsia="fr-FR"/>
        </w:rPr>
        <w:t xml:space="preserve">000 SMEs in </w:t>
      </w:r>
      <w:r w:rsidR="00FE1F58" w:rsidRPr="005F1FF6">
        <w:rPr>
          <w:rFonts w:ascii="Times New Roman" w:eastAsia="Times New Roman" w:hAnsi="Times New Roman" w:cs="Times New Roman"/>
          <w:bCs/>
          <w:iCs/>
          <w:noProof/>
          <w:sz w:val="24"/>
          <w:szCs w:val="24"/>
          <w:lang w:eastAsia="fr-FR"/>
        </w:rPr>
        <w:t>these</w:t>
      </w:r>
      <w:r w:rsidRPr="005F1FF6">
        <w:rPr>
          <w:rFonts w:ascii="Times New Roman" w:eastAsia="Times New Roman" w:hAnsi="Times New Roman" w:cs="Times New Roman"/>
          <w:bCs/>
          <w:iCs/>
          <w:noProof/>
          <w:sz w:val="24"/>
          <w:szCs w:val="24"/>
          <w:lang w:eastAsia="fr-FR"/>
        </w:rPr>
        <w:t xml:space="preserve"> countries</w:t>
      </w:r>
      <w:r w:rsidR="00FE1F58" w:rsidRPr="005F1FF6">
        <w:rPr>
          <w:rFonts w:ascii="Times New Roman" w:eastAsia="Times New Roman" w:hAnsi="Times New Roman" w:cs="Times New Roman"/>
          <w:bCs/>
          <w:iCs/>
          <w:noProof/>
          <w:sz w:val="24"/>
          <w:szCs w:val="24"/>
          <w:lang w:eastAsia="fr-FR"/>
        </w:rPr>
        <w:t xml:space="preserve"> (See </w:t>
      </w:r>
      <w:r w:rsidR="009F6F58" w:rsidRPr="005F1FF6">
        <w:rPr>
          <w:rFonts w:ascii="Times New Roman" w:eastAsia="Times New Roman" w:hAnsi="Times New Roman" w:cs="Times New Roman"/>
          <w:bCs/>
          <w:iCs/>
          <w:noProof/>
          <w:sz w:val="24"/>
          <w:szCs w:val="24"/>
          <w:lang w:eastAsia="fr-FR"/>
        </w:rPr>
        <w:t>A</w:t>
      </w:r>
      <w:r w:rsidR="00FE1F58" w:rsidRPr="005F1FF6">
        <w:rPr>
          <w:rFonts w:ascii="Times New Roman" w:eastAsia="Times New Roman" w:hAnsi="Times New Roman" w:cs="Times New Roman"/>
          <w:bCs/>
          <w:iCs/>
          <w:noProof/>
          <w:sz w:val="24"/>
          <w:szCs w:val="24"/>
          <w:lang w:eastAsia="fr-FR"/>
        </w:rPr>
        <w:t>nnex 2)</w:t>
      </w:r>
      <w:r w:rsidRPr="005F1FF6">
        <w:rPr>
          <w:rFonts w:ascii="Times New Roman" w:eastAsia="Times New Roman" w:hAnsi="Times New Roman" w:cs="Times New Roman"/>
          <w:bCs/>
          <w:iCs/>
          <w:noProof/>
          <w:sz w:val="24"/>
          <w:szCs w:val="24"/>
          <w:lang w:eastAsia="fr-FR"/>
        </w:rPr>
        <w:t>.</w:t>
      </w:r>
    </w:p>
    <w:p w14:paraId="42D62589" w14:textId="50832172" w:rsidR="003F69C5" w:rsidRPr="005F1FF6" w:rsidRDefault="003F69C5" w:rsidP="005F1FF6">
      <w:pPr>
        <w:pStyle w:val="Heading3"/>
        <w:spacing w:before="240" w:line="240" w:lineRule="auto"/>
        <w:rPr>
          <w:rFonts w:ascii="Times New Roman" w:hAnsi="Times New Roman" w:cs="Times New Roman"/>
          <w:noProof/>
          <w:color w:val="auto"/>
        </w:rPr>
      </w:pPr>
      <w:bookmarkStart w:id="14" w:name="_Toc146623388"/>
      <w:r w:rsidRPr="005F1FF6">
        <w:rPr>
          <w:rFonts w:ascii="Times New Roman" w:hAnsi="Times New Roman" w:cs="Times New Roman"/>
          <w:noProof/>
          <w:color w:val="auto"/>
        </w:rPr>
        <w:t xml:space="preserve">Accompanying </w:t>
      </w:r>
      <w:r w:rsidR="00AB52BF" w:rsidRPr="005F1FF6">
        <w:rPr>
          <w:rFonts w:ascii="Times New Roman" w:hAnsi="Times New Roman" w:cs="Times New Roman"/>
          <w:noProof/>
          <w:color w:val="auto"/>
        </w:rPr>
        <w:t>measure</w:t>
      </w:r>
      <w:r w:rsidRPr="005F1FF6">
        <w:rPr>
          <w:rFonts w:ascii="Times New Roman" w:hAnsi="Times New Roman" w:cs="Times New Roman"/>
          <w:noProof/>
          <w:color w:val="auto"/>
        </w:rPr>
        <w:t>s</w:t>
      </w:r>
      <w:r w:rsidR="00CB4C17" w:rsidRPr="005F1FF6">
        <w:rPr>
          <w:rFonts w:ascii="Times New Roman" w:hAnsi="Times New Roman" w:cs="Times New Roman"/>
          <w:noProof/>
          <w:color w:val="auto"/>
        </w:rPr>
        <w:t xml:space="preserve"> (surveys, information tools, communication materials and events)</w:t>
      </w:r>
      <w:bookmarkEnd w:id="14"/>
    </w:p>
    <w:p w14:paraId="514014C5" w14:textId="1A40D355" w:rsidR="009D0FAB" w:rsidRPr="005F1FF6" w:rsidRDefault="00684BA3" w:rsidP="005F1FF6">
      <w:pPr>
        <w:spacing w:before="120" w:after="0" w:line="240" w:lineRule="auto"/>
        <w:jc w:val="both"/>
        <w:rPr>
          <w:rFonts w:ascii="Times New Roman" w:eastAsia="Times New Roman" w:hAnsi="Times New Roman" w:cs="Times New Roman"/>
          <w:bCs/>
          <w:noProof/>
          <w:sz w:val="24"/>
          <w:szCs w:val="24"/>
          <w:lang w:eastAsia="fr-FR"/>
        </w:rPr>
      </w:pPr>
      <w:r w:rsidRPr="005F1FF6">
        <w:rPr>
          <w:rFonts w:ascii="Times New Roman" w:eastAsia="Times New Roman" w:hAnsi="Times New Roman" w:cs="Times New Roman"/>
          <w:bCs/>
          <w:noProof/>
          <w:sz w:val="24"/>
          <w:szCs w:val="24"/>
          <w:lang w:eastAsia="fr-FR"/>
        </w:rPr>
        <w:t>A total of EUR</w:t>
      </w:r>
      <w:r w:rsidR="00FE2948" w:rsidRPr="005F1FF6">
        <w:rPr>
          <w:rFonts w:ascii="Times New Roman" w:eastAsia="Times New Roman" w:hAnsi="Times New Roman" w:cs="Times New Roman"/>
          <w:bCs/>
          <w:noProof/>
          <w:sz w:val="24"/>
          <w:szCs w:val="24"/>
          <w:lang w:eastAsia="fr-FR"/>
        </w:rPr>
        <w:t> </w:t>
      </w:r>
      <w:r w:rsidR="00757726" w:rsidRPr="005F1FF6">
        <w:rPr>
          <w:rFonts w:ascii="Times New Roman" w:eastAsia="Times New Roman" w:hAnsi="Times New Roman" w:cs="Times New Roman"/>
          <w:bCs/>
          <w:noProof/>
          <w:sz w:val="24"/>
          <w:szCs w:val="24"/>
          <w:lang w:eastAsia="fr-FR"/>
        </w:rPr>
        <w:t>0</w:t>
      </w:r>
      <w:r w:rsidR="000D32CF" w:rsidRPr="005F1FF6">
        <w:rPr>
          <w:rFonts w:ascii="Times New Roman" w:eastAsia="Times New Roman" w:hAnsi="Times New Roman" w:cs="Times New Roman"/>
          <w:bCs/>
          <w:noProof/>
          <w:sz w:val="24"/>
          <w:szCs w:val="24"/>
          <w:lang w:eastAsia="fr-FR"/>
        </w:rPr>
        <w:t>.</w:t>
      </w:r>
      <w:r w:rsidR="00757726" w:rsidRPr="005F1FF6">
        <w:rPr>
          <w:rFonts w:ascii="Times New Roman" w:eastAsia="Times New Roman" w:hAnsi="Times New Roman" w:cs="Times New Roman"/>
          <w:bCs/>
          <w:noProof/>
          <w:sz w:val="24"/>
          <w:szCs w:val="24"/>
          <w:lang w:eastAsia="fr-FR"/>
        </w:rPr>
        <w:t>8 million</w:t>
      </w:r>
      <w:r w:rsidRPr="005F1FF6">
        <w:rPr>
          <w:rFonts w:ascii="Times New Roman" w:eastAsia="Times New Roman" w:hAnsi="Times New Roman" w:cs="Times New Roman"/>
          <w:bCs/>
          <w:noProof/>
          <w:sz w:val="24"/>
          <w:szCs w:val="24"/>
          <w:lang w:eastAsia="fr-FR"/>
        </w:rPr>
        <w:t xml:space="preserve"> was committed for accompanying measures. </w:t>
      </w:r>
      <w:r w:rsidR="00BC7B5D" w:rsidRPr="005F1FF6">
        <w:rPr>
          <w:rFonts w:ascii="Times New Roman" w:eastAsia="Times New Roman" w:hAnsi="Times New Roman" w:cs="Times New Roman"/>
          <w:bCs/>
          <w:noProof/>
          <w:sz w:val="24"/>
          <w:szCs w:val="24"/>
          <w:lang w:eastAsia="fr-FR"/>
        </w:rPr>
        <w:t xml:space="preserve">These included </w:t>
      </w:r>
      <w:r w:rsidRPr="005F1FF6">
        <w:rPr>
          <w:rFonts w:ascii="Times New Roman" w:eastAsia="Times New Roman" w:hAnsi="Times New Roman" w:cs="Times New Roman"/>
          <w:bCs/>
          <w:noProof/>
          <w:sz w:val="24"/>
          <w:szCs w:val="24"/>
          <w:lang w:eastAsia="fr-FR"/>
        </w:rPr>
        <w:t xml:space="preserve">promotion and communication activities as well as the SAFE survey. </w:t>
      </w:r>
      <w:r w:rsidR="009D0FAB" w:rsidRPr="005F1FF6">
        <w:rPr>
          <w:rFonts w:ascii="Times New Roman" w:eastAsia="Times New Roman" w:hAnsi="Times New Roman" w:cs="Times New Roman"/>
          <w:bCs/>
          <w:noProof/>
          <w:sz w:val="24"/>
          <w:szCs w:val="24"/>
          <w:lang w:eastAsia="fr-FR"/>
        </w:rPr>
        <w:t xml:space="preserve">The </w:t>
      </w:r>
      <w:r w:rsidR="00000F5C" w:rsidRPr="005F1FF6">
        <w:rPr>
          <w:rFonts w:ascii="Times New Roman" w:eastAsia="Times New Roman" w:hAnsi="Times New Roman" w:cs="Times New Roman"/>
          <w:b/>
          <w:bCs/>
          <w:noProof/>
          <w:sz w:val="24"/>
          <w:szCs w:val="24"/>
          <w:lang w:eastAsia="fr-FR"/>
        </w:rPr>
        <w:t xml:space="preserve">SAFE </w:t>
      </w:r>
      <w:r w:rsidR="009D0FAB" w:rsidRPr="005F1FF6">
        <w:rPr>
          <w:rFonts w:ascii="Times New Roman" w:eastAsia="Times New Roman" w:hAnsi="Times New Roman" w:cs="Times New Roman"/>
          <w:b/>
          <w:bCs/>
          <w:noProof/>
          <w:sz w:val="24"/>
          <w:szCs w:val="24"/>
          <w:lang w:eastAsia="fr-FR"/>
        </w:rPr>
        <w:t>survey on access to finance</w:t>
      </w:r>
      <w:r w:rsidR="009D0FAB" w:rsidRPr="005F1FF6">
        <w:rPr>
          <w:rFonts w:ascii="Times New Roman" w:eastAsia="Times New Roman" w:hAnsi="Times New Roman" w:cs="Times New Roman"/>
          <w:bCs/>
          <w:noProof/>
          <w:sz w:val="24"/>
          <w:szCs w:val="24"/>
          <w:lang w:eastAsia="fr-FR"/>
        </w:rPr>
        <w:t xml:space="preserve"> </w:t>
      </w:r>
      <w:r w:rsidR="00000F5C" w:rsidRPr="005F1FF6">
        <w:rPr>
          <w:rFonts w:ascii="Times New Roman" w:eastAsia="Times New Roman" w:hAnsi="Times New Roman" w:cs="Times New Roman"/>
          <w:bCs/>
          <w:noProof/>
          <w:sz w:val="24"/>
          <w:szCs w:val="24"/>
          <w:lang w:eastAsia="fr-FR"/>
        </w:rPr>
        <w:t>for</w:t>
      </w:r>
      <w:r w:rsidR="009D0FAB" w:rsidRPr="005F1FF6">
        <w:rPr>
          <w:rFonts w:ascii="Times New Roman" w:eastAsia="Times New Roman" w:hAnsi="Times New Roman" w:cs="Times New Roman"/>
          <w:bCs/>
          <w:noProof/>
          <w:sz w:val="24"/>
          <w:szCs w:val="24"/>
          <w:lang w:eastAsia="fr-FR"/>
        </w:rPr>
        <w:t xml:space="preserve"> enterprises provides information on </w:t>
      </w:r>
      <w:r w:rsidR="009F6F58" w:rsidRPr="005F1FF6">
        <w:rPr>
          <w:rFonts w:ascii="Times New Roman" w:eastAsia="Times New Roman" w:hAnsi="Times New Roman" w:cs="Times New Roman"/>
          <w:bCs/>
          <w:noProof/>
          <w:sz w:val="24"/>
          <w:szCs w:val="24"/>
          <w:lang w:eastAsia="fr-FR"/>
        </w:rPr>
        <w:t xml:space="preserve">SMEs’ </w:t>
      </w:r>
      <w:r w:rsidR="009D0FAB" w:rsidRPr="005F1FF6">
        <w:rPr>
          <w:rFonts w:ascii="Times New Roman" w:eastAsia="Times New Roman" w:hAnsi="Times New Roman" w:cs="Times New Roman"/>
          <w:bCs/>
          <w:noProof/>
          <w:sz w:val="24"/>
          <w:szCs w:val="24"/>
          <w:lang w:eastAsia="fr-FR"/>
        </w:rPr>
        <w:t xml:space="preserve">financial situation, financing needs, access to finance and expectations. It is highly useful for evidence-based policymaking at EU level </w:t>
      </w:r>
      <w:r w:rsidR="00322B31" w:rsidRPr="005F1FF6">
        <w:rPr>
          <w:rFonts w:ascii="Times New Roman" w:eastAsia="Times New Roman" w:hAnsi="Times New Roman" w:cs="Times New Roman"/>
          <w:bCs/>
          <w:noProof/>
          <w:sz w:val="24"/>
          <w:szCs w:val="24"/>
          <w:lang w:eastAsia="fr-FR"/>
        </w:rPr>
        <w:t>and</w:t>
      </w:r>
      <w:r w:rsidR="009D0FAB" w:rsidRPr="005F1FF6">
        <w:rPr>
          <w:rFonts w:ascii="Times New Roman" w:eastAsia="Times New Roman" w:hAnsi="Times New Roman" w:cs="Times New Roman"/>
          <w:bCs/>
          <w:noProof/>
          <w:sz w:val="24"/>
          <w:szCs w:val="24"/>
          <w:lang w:eastAsia="fr-FR"/>
        </w:rPr>
        <w:t xml:space="preserve"> </w:t>
      </w:r>
      <w:r w:rsidR="009F6F58" w:rsidRPr="005F1FF6">
        <w:rPr>
          <w:rFonts w:ascii="Times New Roman" w:eastAsia="Times New Roman" w:hAnsi="Times New Roman" w:cs="Times New Roman"/>
          <w:bCs/>
          <w:noProof/>
          <w:sz w:val="24"/>
          <w:szCs w:val="24"/>
          <w:lang w:eastAsia="fr-FR"/>
        </w:rPr>
        <w:t xml:space="preserve">is </w:t>
      </w:r>
      <w:r w:rsidR="00000F5C" w:rsidRPr="005F1FF6">
        <w:rPr>
          <w:rFonts w:ascii="Times New Roman" w:eastAsia="Times New Roman" w:hAnsi="Times New Roman" w:cs="Times New Roman"/>
          <w:bCs/>
          <w:noProof/>
          <w:sz w:val="24"/>
          <w:szCs w:val="24"/>
          <w:lang w:eastAsia="fr-FR"/>
        </w:rPr>
        <w:t>used by</w:t>
      </w:r>
      <w:r w:rsidR="009D0FAB" w:rsidRPr="005F1FF6">
        <w:rPr>
          <w:rFonts w:ascii="Times New Roman" w:eastAsia="Times New Roman" w:hAnsi="Times New Roman" w:cs="Times New Roman"/>
          <w:bCs/>
          <w:noProof/>
          <w:sz w:val="24"/>
          <w:szCs w:val="24"/>
          <w:lang w:eastAsia="fr-FR"/>
        </w:rPr>
        <w:t xml:space="preserve"> Member States, analysts, academia and others. A</w:t>
      </w:r>
      <w:r w:rsidR="00222504" w:rsidRPr="005F1FF6">
        <w:rPr>
          <w:rFonts w:ascii="Times New Roman" w:eastAsia="Times New Roman" w:hAnsi="Times New Roman" w:cs="Times New Roman"/>
          <w:bCs/>
          <w:noProof/>
          <w:sz w:val="24"/>
          <w:szCs w:val="24"/>
          <w:lang w:eastAsia="fr-FR"/>
        </w:rPr>
        <w:t>lmost 17</w:t>
      </w:r>
      <w:r w:rsidR="00FE2948" w:rsidRPr="005F1FF6">
        <w:rPr>
          <w:rFonts w:ascii="Times New Roman" w:eastAsia="Times New Roman" w:hAnsi="Times New Roman" w:cs="Times New Roman"/>
          <w:bCs/>
          <w:noProof/>
          <w:sz w:val="24"/>
          <w:szCs w:val="24"/>
          <w:lang w:eastAsia="fr-FR"/>
        </w:rPr>
        <w:t> </w:t>
      </w:r>
      <w:r w:rsidR="00222504" w:rsidRPr="005F1FF6">
        <w:rPr>
          <w:rFonts w:ascii="Times New Roman" w:eastAsia="Times New Roman" w:hAnsi="Times New Roman" w:cs="Times New Roman"/>
          <w:bCs/>
          <w:noProof/>
          <w:sz w:val="24"/>
          <w:szCs w:val="24"/>
          <w:lang w:eastAsia="fr-FR"/>
        </w:rPr>
        <w:t xml:space="preserve">000 </w:t>
      </w:r>
      <w:r w:rsidR="009D0FAB" w:rsidRPr="005F1FF6">
        <w:rPr>
          <w:rFonts w:ascii="Times New Roman" w:eastAsia="Times New Roman" w:hAnsi="Times New Roman" w:cs="Times New Roman"/>
          <w:bCs/>
          <w:noProof/>
          <w:sz w:val="24"/>
          <w:szCs w:val="24"/>
          <w:lang w:eastAsia="fr-FR"/>
        </w:rPr>
        <w:t xml:space="preserve">firms across 36 countries were surveyed in </w:t>
      </w:r>
      <w:hyperlink r:id="rId15" w:history="1">
        <w:r w:rsidR="009D0FAB" w:rsidRPr="005F1FF6">
          <w:rPr>
            <w:rFonts w:ascii="Times New Roman" w:eastAsia="Times New Roman" w:hAnsi="Times New Roman" w:cs="Times New Roman"/>
            <w:bCs/>
            <w:noProof/>
            <w:sz w:val="24"/>
            <w:szCs w:val="24"/>
            <w:lang w:eastAsia="fr-FR"/>
          </w:rPr>
          <w:t>20</w:t>
        </w:r>
        <w:r w:rsidR="00222504" w:rsidRPr="005F1FF6">
          <w:rPr>
            <w:rFonts w:ascii="Times New Roman" w:eastAsia="Times New Roman" w:hAnsi="Times New Roman" w:cs="Times New Roman"/>
            <w:bCs/>
            <w:noProof/>
            <w:sz w:val="24"/>
            <w:szCs w:val="24"/>
            <w:lang w:eastAsia="fr-FR"/>
          </w:rPr>
          <w:t>20</w:t>
        </w:r>
      </w:hyperlink>
      <w:r w:rsidR="00E07A8E" w:rsidRPr="005F1FF6">
        <w:rPr>
          <w:rStyle w:val="FootnoteReference"/>
          <w:rFonts w:ascii="Times New Roman" w:eastAsia="Times New Roman" w:hAnsi="Times New Roman" w:cs="Times New Roman"/>
          <w:bCs/>
          <w:noProof/>
          <w:sz w:val="24"/>
          <w:szCs w:val="24"/>
          <w:lang w:eastAsia="fr-FR"/>
        </w:rPr>
        <w:footnoteReference w:id="18"/>
      </w:r>
      <w:r w:rsidR="00000F5C" w:rsidRPr="005F1FF6">
        <w:rPr>
          <w:rStyle w:val="Hyperlink"/>
          <w:rFonts w:ascii="Times New Roman" w:hAnsi="Times New Roman" w:cs="Times New Roman"/>
          <w:noProof/>
          <w:color w:val="auto"/>
          <w:sz w:val="24"/>
          <w:szCs w:val="24"/>
        </w:rPr>
        <w:t>.</w:t>
      </w:r>
    </w:p>
    <w:p w14:paraId="557CB552" w14:textId="55EEF816" w:rsidR="00975D47" w:rsidRPr="005F1FF6" w:rsidRDefault="00767F1E" w:rsidP="005F1FF6">
      <w:pPr>
        <w:pStyle w:val="Heading2"/>
        <w:numPr>
          <w:ilvl w:val="0"/>
          <w:numId w:val="0"/>
        </w:numPr>
        <w:spacing w:before="240" w:after="120" w:line="240" w:lineRule="auto"/>
        <w:ind w:left="357" w:hanging="357"/>
        <w:rPr>
          <w:rFonts w:ascii="Times New Roman" w:hAnsi="Times New Roman" w:cs="Times New Roman"/>
          <w:noProof/>
          <w:lang w:val="en-GB"/>
        </w:rPr>
      </w:pPr>
      <w:bookmarkStart w:id="15" w:name="_Toc146623389"/>
      <w:r w:rsidRPr="005F1FF6">
        <w:rPr>
          <w:rFonts w:ascii="Times New Roman" w:hAnsi="Times New Roman" w:cs="Times New Roman"/>
          <w:noProof/>
          <w:lang w:val="en-GB"/>
        </w:rPr>
        <w:t>2.2 Specific o</w:t>
      </w:r>
      <w:r w:rsidR="00975D47" w:rsidRPr="005F1FF6">
        <w:rPr>
          <w:rFonts w:ascii="Times New Roman" w:hAnsi="Times New Roman" w:cs="Times New Roman"/>
          <w:noProof/>
          <w:lang w:val="en-GB"/>
        </w:rPr>
        <w:t xml:space="preserve">bjective B: </w:t>
      </w:r>
      <w:r w:rsidR="000A05F1" w:rsidRPr="005F1FF6">
        <w:rPr>
          <w:rFonts w:ascii="Times New Roman" w:hAnsi="Times New Roman" w:cs="Times New Roman"/>
          <w:noProof/>
          <w:lang w:val="en-GB"/>
        </w:rPr>
        <w:t>a</w:t>
      </w:r>
      <w:r w:rsidR="00975D47" w:rsidRPr="005F1FF6">
        <w:rPr>
          <w:rFonts w:ascii="Times New Roman" w:hAnsi="Times New Roman" w:cs="Times New Roman"/>
          <w:noProof/>
          <w:lang w:val="en-GB"/>
        </w:rPr>
        <w:t>ccess to markets</w:t>
      </w:r>
      <w:bookmarkEnd w:id="15"/>
    </w:p>
    <w:p w14:paraId="5494BC0E" w14:textId="649BA86A" w:rsidR="001B3BF8" w:rsidRPr="005F1FF6" w:rsidRDefault="00975D47" w:rsidP="005F1FF6">
      <w:pPr>
        <w:spacing w:before="120" w:after="240" w:line="240" w:lineRule="auto"/>
        <w:jc w:val="both"/>
        <w:rPr>
          <w:rFonts w:ascii="Times New Roman" w:eastAsia="Times New Roman" w:hAnsi="Times New Roman" w:cs="Times New Roman"/>
          <w:b/>
          <w:noProof/>
          <w:sz w:val="24"/>
          <w:szCs w:val="24"/>
          <w:lang w:eastAsia="fr-FR"/>
        </w:rPr>
      </w:pPr>
      <w:r w:rsidRPr="005F1FF6">
        <w:rPr>
          <w:rFonts w:ascii="Times New Roman" w:eastAsia="Times New Roman" w:hAnsi="Times New Roman" w:cs="Times New Roman"/>
          <w:b/>
          <w:noProof/>
          <w:sz w:val="24"/>
          <w:szCs w:val="24"/>
          <w:lang w:eastAsia="fr-FR"/>
        </w:rPr>
        <w:t>The COSME Regulation specifie</w:t>
      </w:r>
      <w:r w:rsidR="007A191F" w:rsidRPr="005F1FF6">
        <w:rPr>
          <w:rFonts w:ascii="Times New Roman" w:eastAsia="Times New Roman" w:hAnsi="Times New Roman" w:cs="Times New Roman"/>
          <w:b/>
          <w:noProof/>
          <w:sz w:val="24"/>
          <w:szCs w:val="24"/>
          <w:lang w:eastAsia="fr-FR"/>
        </w:rPr>
        <w:t>d</w:t>
      </w:r>
      <w:r w:rsidRPr="005F1FF6">
        <w:rPr>
          <w:rFonts w:ascii="Times New Roman" w:eastAsia="Times New Roman" w:hAnsi="Times New Roman" w:cs="Times New Roman"/>
          <w:b/>
          <w:noProof/>
          <w:sz w:val="24"/>
          <w:szCs w:val="24"/>
          <w:lang w:eastAsia="fr-FR"/>
        </w:rPr>
        <w:t xml:space="preserve"> that </w:t>
      </w:r>
      <w:r w:rsidR="00B5782F" w:rsidRPr="005F1FF6">
        <w:rPr>
          <w:rFonts w:ascii="Times New Roman" w:eastAsia="Times New Roman" w:hAnsi="Times New Roman" w:cs="Times New Roman"/>
          <w:b/>
          <w:noProof/>
          <w:sz w:val="24"/>
          <w:szCs w:val="24"/>
          <w:lang w:eastAsia="fr-FR"/>
        </w:rPr>
        <w:t xml:space="preserve">an indicative amount of </w:t>
      </w:r>
      <w:r w:rsidRPr="005F1FF6">
        <w:rPr>
          <w:rFonts w:ascii="Times New Roman" w:eastAsia="Times New Roman" w:hAnsi="Times New Roman" w:cs="Times New Roman"/>
          <w:b/>
          <w:noProof/>
          <w:sz w:val="24"/>
          <w:szCs w:val="24"/>
          <w:lang w:eastAsia="fr-FR"/>
        </w:rPr>
        <w:t xml:space="preserve">21.5% of the total budget </w:t>
      </w:r>
      <w:r w:rsidR="00B9527B" w:rsidRPr="005F1FF6">
        <w:rPr>
          <w:rFonts w:ascii="Times New Roman" w:eastAsia="Times New Roman" w:hAnsi="Times New Roman" w:cs="Times New Roman"/>
          <w:b/>
          <w:noProof/>
          <w:sz w:val="24"/>
          <w:szCs w:val="24"/>
          <w:lang w:eastAsia="fr-FR"/>
        </w:rPr>
        <w:t xml:space="preserve">for 2014-2020 </w:t>
      </w:r>
      <w:r w:rsidRPr="005F1FF6">
        <w:rPr>
          <w:rFonts w:ascii="Times New Roman" w:eastAsia="Times New Roman" w:hAnsi="Times New Roman" w:cs="Times New Roman"/>
          <w:b/>
          <w:noProof/>
          <w:sz w:val="24"/>
          <w:szCs w:val="24"/>
          <w:lang w:eastAsia="fr-FR"/>
        </w:rPr>
        <w:t xml:space="preserve">should be </w:t>
      </w:r>
      <w:r w:rsidR="00984ECB" w:rsidRPr="005F1FF6">
        <w:rPr>
          <w:rFonts w:ascii="Times New Roman" w:eastAsia="Times New Roman" w:hAnsi="Times New Roman" w:cs="Times New Roman"/>
          <w:b/>
          <w:noProof/>
          <w:sz w:val="24"/>
          <w:szCs w:val="24"/>
          <w:lang w:eastAsia="fr-FR"/>
        </w:rPr>
        <w:t xml:space="preserve">allocated </w:t>
      </w:r>
      <w:r w:rsidRPr="005F1FF6">
        <w:rPr>
          <w:rFonts w:ascii="Times New Roman" w:eastAsia="Times New Roman" w:hAnsi="Times New Roman" w:cs="Times New Roman"/>
          <w:b/>
          <w:noProof/>
          <w:sz w:val="24"/>
          <w:szCs w:val="24"/>
          <w:lang w:eastAsia="fr-FR"/>
        </w:rPr>
        <w:t>to</w:t>
      </w:r>
      <w:r w:rsidR="00360063" w:rsidRPr="005F1FF6">
        <w:rPr>
          <w:rFonts w:ascii="Times New Roman" w:eastAsia="Times New Roman" w:hAnsi="Times New Roman" w:cs="Times New Roman"/>
          <w:b/>
          <w:noProof/>
          <w:sz w:val="24"/>
          <w:szCs w:val="24"/>
          <w:lang w:eastAsia="fr-FR"/>
        </w:rPr>
        <w:t xml:space="preserve"> facilitating </w:t>
      </w:r>
      <w:r w:rsidRPr="005F1FF6">
        <w:rPr>
          <w:rFonts w:ascii="Times New Roman" w:eastAsia="Times New Roman" w:hAnsi="Times New Roman" w:cs="Times New Roman"/>
          <w:b/>
          <w:noProof/>
          <w:sz w:val="24"/>
          <w:szCs w:val="24"/>
          <w:lang w:eastAsia="fr-FR"/>
        </w:rPr>
        <w:t xml:space="preserve">access to markets. </w:t>
      </w:r>
      <w:r w:rsidR="003E6182" w:rsidRPr="005F1FF6">
        <w:rPr>
          <w:rFonts w:ascii="Times New Roman" w:eastAsia="Times New Roman" w:hAnsi="Times New Roman" w:cs="Times New Roman"/>
          <w:b/>
          <w:noProof/>
          <w:sz w:val="24"/>
          <w:szCs w:val="24"/>
          <w:lang w:eastAsia="fr-FR"/>
        </w:rPr>
        <w:t>A</w:t>
      </w:r>
      <w:r w:rsidR="006607DB" w:rsidRPr="005F1FF6">
        <w:rPr>
          <w:rFonts w:ascii="Times New Roman" w:eastAsia="Times New Roman" w:hAnsi="Times New Roman" w:cs="Times New Roman"/>
          <w:b/>
          <w:noProof/>
          <w:sz w:val="24"/>
          <w:szCs w:val="24"/>
          <w:lang w:eastAsia="fr-FR"/>
        </w:rPr>
        <w:t xml:space="preserve"> total of </w:t>
      </w:r>
      <w:r w:rsidR="008E136B" w:rsidRPr="005F1FF6">
        <w:rPr>
          <w:rFonts w:ascii="Times New Roman" w:eastAsia="Times New Roman" w:hAnsi="Times New Roman" w:cs="Times New Roman"/>
          <w:b/>
          <w:noProof/>
          <w:sz w:val="24"/>
          <w:szCs w:val="24"/>
          <w:lang w:eastAsia="fr-FR"/>
        </w:rPr>
        <w:t>EUR</w:t>
      </w:r>
      <w:r w:rsidR="00684D35" w:rsidRPr="005F1FF6">
        <w:rPr>
          <w:rFonts w:ascii="Times New Roman" w:eastAsia="Times New Roman" w:hAnsi="Times New Roman" w:cs="Times New Roman"/>
          <w:b/>
          <w:noProof/>
          <w:sz w:val="24"/>
          <w:szCs w:val="24"/>
          <w:lang w:eastAsia="fr-FR"/>
        </w:rPr>
        <w:t> </w:t>
      </w:r>
      <w:r w:rsidR="00757726" w:rsidRPr="005F1FF6">
        <w:rPr>
          <w:rFonts w:ascii="Times New Roman" w:eastAsia="Times New Roman" w:hAnsi="Times New Roman" w:cs="Times New Roman"/>
          <w:b/>
          <w:noProof/>
          <w:sz w:val="24"/>
          <w:szCs w:val="24"/>
          <w:lang w:eastAsia="fr-FR"/>
        </w:rPr>
        <w:t>85</w:t>
      </w:r>
      <w:r w:rsidR="00684D35" w:rsidRPr="005F1FF6">
        <w:rPr>
          <w:rFonts w:ascii="Times New Roman" w:eastAsia="Times New Roman" w:hAnsi="Times New Roman" w:cs="Times New Roman"/>
          <w:b/>
          <w:noProof/>
          <w:sz w:val="24"/>
          <w:szCs w:val="24"/>
          <w:lang w:eastAsia="fr-FR"/>
        </w:rPr>
        <w:t> </w:t>
      </w:r>
      <w:r w:rsidRPr="005F1FF6">
        <w:rPr>
          <w:rFonts w:ascii="Times New Roman" w:eastAsia="Times New Roman" w:hAnsi="Times New Roman" w:cs="Times New Roman"/>
          <w:b/>
          <w:noProof/>
          <w:sz w:val="24"/>
          <w:szCs w:val="24"/>
          <w:lang w:eastAsia="fr-FR"/>
        </w:rPr>
        <w:t xml:space="preserve">million was </w:t>
      </w:r>
      <w:r w:rsidR="00984ECB" w:rsidRPr="005F1FF6">
        <w:rPr>
          <w:rFonts w:ascii="Times New Roman" w:eastAsia="Times New Roman" w:hAnsi="Times New Roman" w:cs="Times New Roman"/>
          <w:b/>
          <w:noProof/>
          <w:sz w:val="24"/>
          <w:szCs w:val="24"/>
          <w:lang w:eastAsia="fr-FR"/>
        </w:rPr>
        <w:t xml:space="preserve">allocated </w:t>
      </w:r>
      <w:r w:rsidRPr="005F1FF6">
        <w:rPr>
          <w:rFonts w:ascii="Times New Roman" w:eastAsia="Times New Roman" w:hAnsi="Times New Roman" w:cs="Times New Roman"/>
          <w:b/>
          <w:noProof/>
          <w:sz w:val="24"/>
          <w:szCs w:val="24"/>
          <w:lang w:eastAsia="fr-FR"/>
        </w:rPr>
        <w:t>to</w:t>
      </w:r>
      <w:r w:rsidR="00B9527B" w:rsidRPr="005F1FF6">
        <w:rPr>
          <w:rFonts w:ascii="Times New Roman" w:eastAsia="Times New Roman" w:hAnsi="Times New Roman" w:cs="Times New Roman"/>
          <w:b/>
          <w:noProof/>
          <w:sz w:val="24"/>
          <w:szCs w:val="24"/>
          <w:lang w:eastAsia="fr-FR"/>
        </w:rPr>
        <w:t xml:space="preserve"> this</w:t>
      </w:r>
      <w:r w:rsidR="00360063" w:rsidRPr="005F1FF6">
        <w:rPr>
          <w:rFonts w:ascii="Times New Roman" w:eastAsia="Times New Roman" w:hAnsi="Times New Roman" w:cs="Times New Roman"/>
          <w:b/>
          <w:noProof/>
          <w:sz w:val="24"/>
          <w:szCs w:val="24"/>
          <w:lang w:eastAsia="fr-FR"/>
        </w:rPr>
        <w:t xml:space="preserve"> specific</w:t>
      </w:r>
      <w:r w:rsidR="00B9527B" w:rsidRPr="005F1FF6">
        <w:rPr>
          <w:rFonts w:ascii="Times New Roman" w:eastAsia="Times New Roman" w:hAnsi="Times New Roman" w:cs="Times New Roman"/>
          <w:b/>
          <w:noProof/>
          <w:sz w:val="24"/>
          <w:szCs w:val="24"/>
          <w:lang w:eastAsia="fr-FR"/>
        </w:rPr>
        <w:t xml:space="preserve"> objective</w:t>
      </w:r>
      <w:r w:rsidR="003E6182" w:rsidRPr="005F1FF6">
        <w:rPr>
          <w:rFonts w:ascii="Times New Roman" w:eastAsia="Times New Roman" w:hAnsi="Times New Roman" w:cs="Times New Roman"/>
          <w:b/>
          <w:noProof/>
          <w:sz w:val="24"/>
          <w:szCs w:val="24"/>
          <w:lang w:eastAsia="fr-FR"/>
        </w:rPr>
        <w:t xml:space="preserve"> in 20</w:t>
      </w:r>
      <w:r w:rsidR="00222504" w:rsidRPr="005F1FF6">
        <w:rPr>
          <w:rFonts w:ascii="Times New Roman" w:eastAsia="Times New Roman" w:hAnsi="Times New Roman" w:cs="Times New Roman"/>
          <w:b/>
          <w:noProof/>
          <w:sz w:val="24"/>
          <w:szCs w:val="24"/>
          <w:lang w:eastAsia="fr-FR"/>
        </w:rPr>
        <w:t>20</w:t>
      </w:r>
      <w:r w:rsidR="0051668F" w:rsidRPr="005F1FF6">
        <w:rPr>
          <w:rFonts w:ascii="Times New Roman" w:eastAsia="Times New Roman" w:hAnsi="Times New Roman" w:cs="Times New Roman"/>
          <w:b/>
          <w:noProof/>
          <w:sz w:val="24"/>
          <w:szCs w:val="24"/>
          <w:lang w:eastAsia="fr-FR"/>
        </w:rPr>
        <w:t xml:space="preserve"> </w:t>
      </w:r>
      <w:r w:rsidR="0051668F" w:rsidRPr="005F1FF6">
        <w:rPr>
          <w:rFonts w:ascii="Times New Roman" w:hAnsi="Times New Roman" w:cs="Times New Roman"/>
          <w:b/>
          <w:noProof/>
          <w:sz w:val="24"/>
          <w:szCs w:val="24"/>
        </w:rPr>
        <w:t>which amounts to about 19.3% of the total COSME Budget for the year</w:t>
      </w:r>
      <w:r w:rsidR="0051668F" w:rsidRPr="005F1FF6">
        <w:rPr>
          <w:rFonts w:ascii="Times New Roman" w:eastAsia="Times New Roman" w:hAnsi="Times New Roman" w:cs="Times New Roman"/>
          <w:b/>
          <w:noProof/>
          <w:sz w:val="24"/>
          <w:szCs w:val="24"/>
          <w:lang w:eastAsia="fr-FR"/>
        </w:rPr>
        <w:t>.</w:t>
      </w:r>
    </w:p>
    <w:p w14:paraId="75FDE508" w14:textId="77777777" w:rsidR="006D5BB3" w:rsidRPr="005F1FF6" w:rsidRDefault="006D5BB3" w:rsidP="005F1FF6">
      <w:pPr>
        <w:pStyle w:val="Heading3"/>
        <w:spacing w:before="0" w:after="120" w:line="240" w:lineRule="auto"/>
        <w:rPr>
          <w:rFonts w:ascii="Times New Roman" w:hAnsi="Times New Roman" w:cs="Times New Roman"/>
          <w:noProof/>
          <w:color w:val="auto"/>
        </w:rPr>
      </w:pPr>
      <w:bookmarkStart w:id="16" w:name="_Toc146623390"/>
      <w:r w:rsidRPr="005F1FF6">
        <w:rPr>
          <w:rFonts w:ascii="Times New Roman" w:hAnsi="Times New Roman" w:cs="Times New Roman"/>
          <w:noProof/>
          <w:color w:val="auto"/>
        </w:rPr>
        <w:t>The Enterprise Europe Network</w:t>
      </w:r>
      <w:bookmarkEnd w:id="16"/>
    </w:p>
    <w:p w14:paraId="28485978" w14:textId="67CC1990" w:rsidR="006D5BB3" w:rsidRPr="005F1FF6" w:rsidRDefault="006D5BB3" w:rsidP="005F1FF6">
      <w:pPr>
        <w:spacing w:before="120" w:after="0" w:line="240" w:lineRule="auto"/>
        <w:jc w:val="both"/>
        <w:rPr>
          <w:rFonts w:ascii="Times New Roman" w:eastAsia="Times New Roman" w:hAnsi="Times New Roman" w:cs="Times New Roman"/>
          <w:bCs/>
          <w:noProof/>
          <w:sz w:val="24"/>
          <w:szCs w:val="24"/>
          <w:lang w:eastAsia="fr-FR"/>
        </w:rPr>
      </w:pPr>
      <w:r w:rsidRPr="005F1FF6">
        <w:rPr>
          <w:rFonts w:ascii="Times New Roman" w:eastAsia="Times New Roman" w:hAnsi="Times New Roman" w:cs="Times New Roman"/>
          <w:bCs/>
          <w:noProof/>
          <w:sz w:val="24"/>
          <w:szCs w:val="24"/>
          <w:lang w:eastAsia="fr-FR"/>
        </w:rPr>
        <w:t>The Enterprise Europe Network (EEN) provides high</w:t>
      </w:r>
      <w:r w:rsidR="009F6F58" w:rsidRPr="005F1FF6">
        <w:rPr>
          <w:rFonts w:ascii="Times New Roman" w:eastAsia="Times New Roman" w:hAnsi="Times New Roman" w:cs="Times New Roman"/>
          <w:bCs/>
          <w:noProof/>
          <w:sz w:val="24"/>
          <w:szCs w:val="24"/>
          <w:lang w:eastAsia="fr-FR"/>
        </w:rPr>
        <w:t>-</w:t>
      </w:r>
      <w:r w:rsidRPr="005F1FF6">
        <w:rPr>
          <w:rFonts w:ascii="Times New Roman" w:eastAsia="Times New Roman" w:hAnsi="Times New Roman" w:cs="Times New Roman"/>
          <w:bCs/>
          <w:noProof/>
          <w:sz w:val="24"/>
          <w:szCs w:val="24"/>
          <w:lang w:eastAsia="fr-FR"/>
        </w:rPr>
        <w:t xml:space="preserve">quality innovation, partnering and internationalisation support to SMEs, thereby supporting SME growth, resilience and competitiveness. </w:t>
      </w:r>
      <w:r w:rsidRPr="005F1FF6">
        <w:rPr>
          <w:rFonts w:ascii="Times New Roman" w:eastAsia="Times New Roman" w:hAnsi="Times New Roman" w:cs="Times New Roman"/>
          <w:b/>
          <w:bCs/>
          <w:noProof/>
          <w:sz w:val="24"/>
          <w:szCs w:val="24"/>
          <w:lang w:eastAsia="fr-FR"/>
        </w:rPr>
        <w:t>The COSME 2020 budget co-fund</w:t>
      </w:r>
      <w:r w:rsidR="004D3F7E" w:rsidRPr="005F1FF6">
        <w:rPr>
          <w:rFonts w:ascii="Times New Roman" w:eastAsia="Times New Roman" w:hAnsi="Times New Roman" w:cs="Times New Roman"/>
          <w:b/>
          <w:bCs/>
          <w:noProof/>
          <w:sz w:val="24"/>
          <w:szCs w:val="24"/>
          <w:lang w:eastAsia="fr-FR"/>
        </w:rPr>
        <w:t>ed</w:t>
      </w:r>
      <w:r w:rsidRPr="005F1FF6">
        <w:rPr>
          <w:rFonts w:ascii="Times New Roman" w:eastAsia="Times New Roman" w:hAnsi="Times New Roman" w:cs="Times New Roman"/>
          <w:b/>
          <w:bCs/>
          <w:noProof/>
          <w:sz w:val="24"/>
          <w:szCs w:val="24"/>
          <w:lang w:eastAsia="fr-FR"/>
        </w:rPr>
        <w:t xml:space="preserve"> EEN services </w:t>
      </w:r>
      <w:r w:rsidR="004D3F7E" w:rsidRPr="005F1FF6">
        <w:rPr>
          <w:rFonts w:ascii="Times New Roman" w:eastAsia="Times New Roman" w:hAnsi="Times New Roman" w:cs="Times New Roman"/>
          <w:b/>
          <w:bCs/>
          <w:noProof/>
          <w:sz w:val="24"/>
          <w:szCs w:val="24"/>
          <w:lang w:eastAsia="fr-FR"/>
        </w:rPr>
        <w:t xml:space="preserve">provided </w:t>
      </w:r>
      <w:r w:rsidRPr="005F1FF6">
        <w:rPr>
          <w:rFonts w:ascii="Times New Roman" w:eastAsia="Times New Roman" w:hAnsi="Times New Roman" w:cs="Times New Roman"/>
          <w:b/>
          <w:bCs/>
          <w:noProof/>
          <w:sz w:val="24"/>
          <w:szCs w:val="24"/>
          <w:lang w:eastAsia="fr-FR"/>
        </w:rPr>
        <w:t xml:space="preserve">in 2021. </w:t>
      </w:r>
      <w:r w:rsidRPr="005F1FF6">
        <w:rPr>
          <w:rFonts w:ascii="Times New Roman" w:eastAsia="Times New Roman" w:hAnsi="Times New Roman" w:cs="Times New Roman"/>
          <w:bCs/>
          <w:noProof/>
          <w:sz w:val="24"/>
          <w:szCs w:val="24"/>
          <w:lang w:eastAsia="fr-FR"/>
        </w:rPr>
        <w:t xml:space="preserve">The network was present in all 27 </w:t>
      </w:r>
      <w:r w:rsidR="00BC7B5D" w:rsidRPr="005F1FF6">
        <w:rPr>
          <w:rFonts w:ascii="Times New Roman" w:eastAsia="Times New Roman" w:hAnsi="Times New Roman" w:cs="Times New Roman"/>
          <w:bCs/>
          <w:noProof/>
          <w:sz w:val="24"/>
          <w:szCs w:val="24"/>
          <w:lang w:eastAsia="fr-FR"/>
        </w:rPr>
        <w:t xml:space="preserve">EU </w:t>
      </w:r>
      <w:r w:rsidRPr="005F1FF6">
        <w:rPr>
          <w:rFonts w:ascii="Times New Roman" w:eastAsia="Times New Roman" w:hAnsi="Times New Roman" w:cs="Times New Roman"/>
          <w:bCs/>
          <w:noProof/>
          <w:sz w:val="24"/>
          <w:szCs w:val="24"/>
          <w:lang w:eastAsia="fr-FR"/>
        </w:rPr>
        <w:t>Member States, and other countries participating in the COSME programme</w:t>
      </w:r>
      <w:r w:rsidRPr="005F1FF6">
        <w:rPr>
          <w:rStyle w:val="FootnoteReference"/>
          <w:rFonts w:ascii="Times New Roman" w:eastAsia="Times New Roman" w:hAnsi="Times New Roman" w:cs="Times New Roman"/>
          <w:bCs/>
          <w:noProof/>
          <w:sz w:val="24"/>
          <w:szCs w:val="24"/>
          <w:lang w:eastAsia="fr-FR"/>
        </w:rPr>
        <w:footnoteReference w:id="19"/>
      </w:r>
      <w:r w:rsidRPr="005F1FF6">
        <w:rPr>
          <w:rFonts w:ascii="Times New Roman" w:eastAsia="Times New Roman" w:hAnsi="Times New Roman" w:cs="Times New Roman"/>
          <w:bCs/>
          <w:noProof/>
          <w:sz w:val="24"/>
          <w:szCs w:val="24"/>
          <w:lang w:eastAsia="fr-FR"/>
        </w:rPr>
        <w:t>.</w:t>
      </w:r>
      <w:r w:rsidR="00FE2948" w:rsidRPr="005F1FF6">
        <w:rPr>
          <w:rFonts w:ascii="Times New Roman" w:eastAsia="Times New Roman" w:hAnsi="Times New Roman" w:cs="Times New Roman"/>
          <w:bCs/>
          <w:noProof/>
          <w:sz w:val="24"/>
          <w:szCs w:val="24"/>
          <w:lang w:eastAsia="fr-FR"/>
        </w:rPr>
        <w:t xml:space="preserve"> </w:t>
      </w:r>
      <w:r w:rsidRPr="005F1FF6">
        <w:rPr>
          <w:rFonts w:ascii="Times New Roman" w:eastAsia="Times New Roman" w:hAnsi="Times New Roman" w:cs="Times New Roman"/>
          <w:bCs/>
          <w:noProof/>
          <w:sz w:val="24"/>
          <w:szCs w:val="24"/>
          <w:lang w:eastAsia="fr-FR"/>
        </w:rPr>
        <w:t xml:space="preserve">The network also continued to develop and expand new services to support SMEs </w:t>
      </w:r>
      <w:r w:rsidR="00826234" w:rsidRPr="005F1FF6">
        <w:rPr>
          <w:rFonts w:ascii="Times New Roman" w:eastAsia="Times New Roman" w:hAnsi="Times New Roman" w:cs="Times New Roman"/>
          <w:bCs/>
          <w:noProof/>
          <w:sz w:val="24"/>
          <w:szCs w:val="24"/>
          <w:lang w:eastAsia="fr-FR"/>
        </w:rPr>
        <w:t>in their efforts to digitalise and become sustainable</w:t>
      </w:r>
      <w:r w:rsidRPr="005F1FF6">
        <w:rPr>
          <w:rFonts w:ascii="Times New Roman" w:eastAsia="Times New Roman" w:hAnsi="Times New Roman" w:cs="Times New Roman"/>
          <w:bCs/>
          <w:noProof/>
          <w:sz w:val="24"/>
          <w:szCs w:val="24"/>
          <w:lang w:eastAsia="fr-FR"/>
        </w:rPr>
        <w:t xml:space="preserve">. As the COVID-19 crisis continued to </w:t>
      </w:r>
      <w:r w:rsidR="00BC7B5D" w:rsidRPr="005F1FF6">
        <w:rPr>
          <w:rFonts w:ascii="Times New Roman" w:eastAsia="Times New Roman" w:hAnsi="Times New Roman" w:cs="Times New Roman"/>
          <w:bCs/>
          <w:noProof/>
          <w:sz w:val="24"/>
          <w:szCs w:val="24"/>
          <w:lang w:eastAsia="fr-FR"/>
        </w:rPr>
        <w:t>affect</w:t>
      </w:r>
      <w:r w:rsidRPr="005F1FF6">
        <w:rPr>
          <w:rFonts w:ascii="Times New Roman" w:eastAsia="Times New Roman" w:hAnsi="Times New Roman" w:cs="Times New Roman"/>
          <w:bCs/>
          <w:noProof/>
          <w:sz w:val="24"/>
          <w:szCs w:val="24"/>
          <w:lang w:eastAsia="fr-FR"/>
        </w:rPr>
        <w:t xml:space="preserve"> business activities, the EEN demonstrated its ability to adapt its services to help SMEs deal with new challenges and opportunities. The network has become increasingly active in helping SMEs tackle value chain disruptions and boost their resilience.</w:t>
      </w:r>
    </w:p>
    <w:p w14:paraId="7A9D2A48" w14:textId="005E1397" w:rsidR="006D5BB3" w:rsidRPr="005F1FF6" w:rsidRDefault="006D5BB3" w:rsidP="005F1FF6">
      <w:pPr>
        <w:spacing w:before="120" w:after="0" w:line="240" w:lineRule="auto"/>
        <w:jc w:val="both"/>
        <w:rPr>
          <w:rFonts w:ascii="Times New Roman" w:hAnsi="Times New Roman" w:cs="Times New Roman"/>
          <w:b/>
          <w:noProof/>
          <w:sz w:val="24"/>
          <w:szCs w:val="24"/>
        </w:rPr>
      </w:pPr>
      <w:r w:rsidRPr="005F1FF6">
        <w:rPr>
          <w:rFonts w:ascii="Times New Roman" w:hAnsi="Times New Roman" w:cs="Times New Roman"/>
          <w:b/>
          <w:bCs/>
          <w:noProof/>
          <w:sz w:val="24"/>
          <w:szCs w:val="24"/>
        </w:rPr>
        <w:t>Results for EEN activities in 2021 (co-funded under 2020 budget)</w:t>
      </w:r>
    </w:p>
    <w:p w14:paraId="7A6BF640" w14:textId="1ECF8EA0" w:rsidR="006D5BB3" w:rsidRPr="005F1FF6" w:rsidRDefault="000D32CF" w:rsidP="005F1FF6">
      <w:pPr>
        <w:pStyle w:val="ListParagraph"/>
        <w:numPr>
          <w:ilvl w:val="0"/>
          <w:numId w:val="3"/>
        </w:numPr>
        <w:spacing w:before="60" w:after="0" w:line="240" w:lineRule="auto"/>
        <w:ind w:left="357" w:hanging="357"/>
        <w:jc w:val="both"/>
        <w:rPr>
          <w:rFonts w:ascii="Times New Roman" w:hAnsi="Times New Roman" w:cs="Times New Roman"/>
          <w:noProof/>
          <w:sz w:val="24"/>
          <w:szCs w:val="24"/>
        </w:rPr>
      </w:pPr>
      <w:r w:rsidRPr="005F1FF6">
        <w:rPr>
          <w:rFonts w:ascii="Times New Roman" w:hAnsi="Times New Roman" w:cs="Times New Roman"/>
          <w:noProof/>
          <w:sz w:val="24"/>
          <w:szCs w:val="24"/>
        </w:rPr>
        <w:t>T</w:t>
      </w:r>
      <w:r w:rsidR="006D5BB3" w:rsidRPr="005F1FF6">
        <w:rPr>
          <w:rFonts w:ascii="Times New Roman" w:hAnsi="Times New Roman" w:cs="Times New Roman"/>
          <w:noProof/>
          <w:sz w:val="24"/>
          <w:szCs w:val="24"/>
        </w:rPr>
        <w:t>he EEN provided advisory support services to 37</w:t>
      </w:r>
      <w:r w:rsidR="00FE2948" w:rsidRPr="005F1FF6">
        <w:rPr>
          <w:rFonts w:ascii="Times New Roman" w:hAnsi="Times New Roman" w:cs="Times New Roman"/>
          <w:noProof/>
          <w:sz w:val="24"/>
          <w:szCs w:val="24"/>
        </w:rPr>
        <w:t> </w:t>
      </w:r>
      <w:r w:rsidR="006D5BB3" w:rsidRPr="005F1FF6">
        <w:rPr>
          <w:rFonts w:ascii="Times New Roman" w:hAnsi="Times New Roman" w:cs="Times New Roman"/>
          <w:noProof/>
          <w:sz w:val="24"/>
          <w:szCs w:val="24"/>
        </w:rPr>
        <w:t>925 SMEs</w:t>
      </w:r>
      <w:r w:rsidR="009F6F58" w:rsidRPr="005F1FF6">
        <w:rPr>
          <w:rFonts w:ascii="Times New Roman" w:hAnsi="Times New Roman" w:cs="Times New Roman"/>
          <w:noProof/>
          <w:sz w:val="24"/>
          <w:szCs w:val="24"/>
        </w:rPr>
        <w:t>.</w:t>
      </w:r>
    </w:p>
    <w:p w14:paraId="1AD2FD3F" w14:textId="4B1058AA" w:rsidR="006D5BB3" w:rsidRPr="005F1FF6" w:rsidRDefault="000D32CF" w:rsidP="005F1FF6">
      <w:pPr>
        <w:pStyle w:val="ListParagraph"/>
        <w:numPr>
          <w:ilvl w:val="0"/>
          <w:numId w:val="4"/>
        </w:num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T</w:t>
      </w:r>
      <w:r w:rsidR="006D5BB3" w:rsidRPr="005F1FF6">
        <w:rPr>
          <w:rFonts w:ascii="Times New Roman" w:hAnsi="Times New Roman" w:cs="Times New Roman"/>
          <w:noProof/>
          <w:sz w:val="24"/>
          <w:szCs w:val="24"/>
        </w:rPr>
        <w:t xml:space="preserve">he EEN’s partnering services helped SME clients from all network countries form more than </w:t>
      </w:r>
      <w:r w:rsidR="006D5BB3" w:rsidRPr="005F1FF6">
        <w:rPr>
          <w:rFonts w:ascii="Times New Roman" w:eastAsia="Myriad Pro Light" w:hAnsi="Times New Roman" w:cs="Times New Roman"/>
          <w:b/>
          <w:bCs/>
          <w:noProof/>
          <w:sz w:val="24"/>
          <w:szCs w:val="24"/>
        </w:rPr>
        <w:t>2</w:t>
      </w:r>
      <w:r w:rsidR="00FE2948" w:rsidRPr="005F1FF6">
        <w:rPr>
          <w:rFonts w:ascii="Times New Roman" w:eastAsia="Myriad Pro Light" w:hAnsi="Times New Roman" w:cs="Times New Roman"/>
          <w:b/>
          <w:bCs/>
          <w:noProof/>
          <w:sz w:val="24"/>
          <w:szCs w:val="24"/>
        </w:rPr>
        <w:t> </w:t>
      </w:r>
      <w:r w:rsidR="006D5BB3" w:rsidRPr="005F1FF6">
        <w:rPr>
          <w:rFonts w:ascii="Times New Roman" w:eastAsia="Myriad Pro Light" w:hAnsi="Times New Roman" w:cs="Times New Roman"/>
          <w:b/>
          <w:bCs/>
          <w:noProof/>
          <w:sz w:val="24"/>
          <w:szCs w:val="24"/>
        </w:rPr>
        <w:t xml:space="preserve">592 </w:t>
      </w:r>
      <w:r w:rsidR="006D5BB3" w:rsidRPr="005F1FF6">
        <w:rPr>
          <w:rFonts w:ascii="Times New Roman" w:hAnsi="Times New Roman" w:cs="Times New Roman"/>
          <w:noProof/>
          <w:sz w:val="24"/>
          <w:szCs w:val="24"/>
        </w:rPr>
        <w:t>international partnership agreements with foreign companies in 2021</w:t>
      </w:r>
      <w:r w:rsidR="009F6F58" w:rsidRPr="005F1FF6">
        <w:rPr>
          <w:rFonts w:ascii="Times New Roman" w:hAnsi="Times New Roman" w:cs="Times New Roman"/>
          <w:noProof/>
          <w:sz w:val="24"/>
          <w:szCs w:val="24"/>
        </w:rPr>
        <w:t>.</w:t>
      </w:r>
    </w:p>
    <w:p w14:paraId="2B4A2770" w14:textId="51E6F5FA" w:rsidR="006D5BB3" w:rsidRPr="005F1FF6" w:rsidRDefault="000D32CF" w:rsidP="005F1FF6">
      <w:pPr>
        <w:pStyle w:val="ListParagraph"/>
        <w:numPr>
          <w:ilvl w:val="0"/>
          <w:numId w:val="4"/>
        </w:num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T</w:t>
      </w:r>
      <w:r w:rsidR="006D5BB3" w:rsidRPr="005F1FF6">
        <w:rPr>
          <w:rFonts w:ascii="Times New Roman" w:hAnsi="Times New Roman" w:cs="Times New Roman"/>
          <w:noProof/>
          <w:sz w:val="24"/>
          <w:szCs w:val="24"/>
        </w:rPr>
        <w:t>he EEN’s advisory support services helped over 7</w:t>
      </w:r>
      <w:r w:rsidR="00FE2948" w:rsidRPr="005F1FF6">
        <w:rPr>
          <w:rFonts w:ascii="Times New Roman" w:hAnsi="Times New Roman" w:cs="Times New Roman"/>
          <w:noProof/>
          <w:sz w:val="24"/>
          <w:szCs w:val="24"/>
        </w:rPr>
        <w:t> </w:t>
      </w:r>
      <w:r w:rsidR="006D5BB3" w:rsidRPr="005F1FF6">
        <w:rPr>
          <w:rFonts w:ascii="Times New Roman" w:eastAsia="Myriad Pro Light" w:hAnsi="Times New Roman" w:cs="Times New Roman"/>
          <w:bCs/>
          <w:noProof/>
          <w:sz w:val="24"/>
          <w:szCs w:val="24"/>
        </w:rPr>
        <w:t>000</w:t>
      </w:r>
      <w:r w:rsidR="006D5BB3" w:rsidRPr="005F1FF6">
        <w:rPr>
          <w:rFonts w:ascii="Times New Roman" w:eastAsia="Myriad Pro Light" w:hAnsi="Times New Roman" w:cs="Times New Roman"/>
          <w:b/>
          <w:bCs/>
          <w:noProof/>
          <w:sz w:val="24"/>
          <w:szCs w:val="24"/>
        </w:rPr>
        <w:t xml:space="preserve"> </w:t>
      </w:r>
      <w:r w:rsidR="006D5BB3" w:rsidRPr="005F1FF6">
        <w:rPr>
          <w:rFonts w:ascii="Times New Roman" w:hAnsi="Times New Roman" w:cs="Times New Roman"/>
          <w:noProof/>
          <w:sz w:val="24"/>
          <w:szCs w:val="24"/>
        </w:rPr>
        <w:t>clients per year to improve their competitiveness and innovation at European level</w:t>
      </w:r>
      <w:r w:rsidR="009F6F58" w:rsidRPr="005F1FF6">
        <w:rPr>
          <w:rFonts w:ascii="Times New Roman" w:hAnsi="Times New Roman" w:cs="Times New Roman"/>
          <w:noProof/>
          <w:sz w:val="24"/>
          <w:szCs w:val="24"/>
        </w:rPr>
        <w:t>.</w:t>
      </w:r>
    </w:p>
    <w:p w14:paraId="56D7CD73" w14:textId="4DBF4CE0" w:rsidR="006D5BB3" w:rsidRPr="005F1FF6" w:rsidRDefault="000D32CF" w:rsidP="005F1FF6">
      <w:pPr>
        <w:pStyle w:val="ListParagraph"/>
        <w:numPr>
          <w:ilvl w:val="0"/>
          <w:numId w:val="4"/>
        </w:num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The</w:t>
      </w:r>
      <w:r w:rsidR="006D5BB3" w:rsidRPr="005F1FF6">
        <w:rPr>
          <w:rFonts w:ascii="Times New Roman" w:hAnsi="Times New Roman" w:cs="Times New Roman"/>
          <w:noProof/>
          <w:sz w:val="24"/>
          <w:szCs w:val="24"/>
        </w:rPr>
        <w:t xml:space="preserve"> EEN’s digital services reached over 20 million SMEs.</w:t>
      </w:r>
    </w:p>
    <w:p w14:paraId="4B0A6D6C" w14:textId="49A9C412" w:rsidR="00BB4F6D" w:rsidRPr="005F1FF6" w:rsidRDefault="00BB4F6D" w:rsidP="005F1FF6">
      <w:pPr>
        <w:spacing w:before="120" w:after="0" w:line="240" w:lineRule="auto"/>
        <w:jc w:val="both"/>
        <w:rPr>
          <w:rFonts w:ascii="Times New Roman" w:eastAsia="Times New Roman" w:hAnsi="Times New Roman" w:cs="Times New Roman"/>
          <w:bCs/>
          <w:noProof/>
          <w:sz w:val="24"/>
          <w:szCs w:val="24"/>
          <w:lang w:eastAsia="fr-FR"/>
        </w:rPr>
      </w:pPr>
      <w:r w:rsidRPr="005F1FF6">
        <w:rPr>
          <w:rFonts w:ascii="Times New Roman" w:eastAsia="Times New Roman" w:hAnsi="Times New Roman" w:cs="Times New Roman"/>
          <w:bCs/>
          <w:noProof/>
          <w:sz w:val="24"/>
          <w:szCs w:val="24"/>
          <w:lang w:eastAsia="fr-FR"/>
        </w:rPr>
        <w:t xml:space="preserve">In their responses to the </w:t>
      </w:r>
      <w:r w:rsidR="006D5BB3" w:rsidRPr="005F1FF6">
        <w:rPr>
          <w:rFonts w:ascii="Times New Roman" w:eastAsia="Times New Roman" w:hAnsi="Times New Roman" w:cs="Times New Roman"/>
          <w:bCs/>
          <w:noProof/>
          <w:sz w:val="24"/>
          <w:szCs w:val="24"/>
          <w:lang w:eastAsia="fr-FR"/>
        </w:rPr>
        <w:t xml:space="preserve">EEN client </w:t>
      </w:r>
      <w:r w:rsidR="00315E47" w:rsidRPr="005F1FF6">
        <w:rPr>
          <w:rFonts w:ascii="Times New Roman" w:eastAsia="Times New Roman" w:hAnsi="Times New Roman" w:cs="Times New Roman"/>
          <w:bCs/>
          <w:noProof/>
          <w:sz w:val="24"/>
          <w:szCs w:val="24"/>
          <w:lang w:eastAsia="fr-FR"/>
        </w:rPr>
        <w:t xml:space="preserve">satisfaction </w:t>
      </w:r>
      <w:r w:rsidRPr="005F1FF6">
        <w:rPr>
          <w:rFonts w:ascii="Times New Roman" w:eastAsia="Times New Roman" w:hAnsi="Times New Roman" w:cs="Times New Roman"/>
          <w:bCs/>
          <w:noProof/>
          <w:sz w:val="24"/>
          <w:szCs w:val="24"/>
          <w:lang w:eastAsia="fr-FR"/>
        </w:rPr>
        <w:t>survey</w:t>
      </w:r>
      <w:r w:rsidR="00A323B8" w:rsidRPr="005F1FF6">
        <w:rPr>
          <w:rFonts w:ascii="Times New Roman" w:eastAsia="Times New Roman" w:hAnsi="Times New Roman" w:cs="Times New Roman"/>
          <w:bCs/>
          <w:noProof/>
          <w:sz w:val="24"/>
          <w:szCs w:val="24"/>
          <w:lang w:eastAsia="fr-FR"/>
        </w:rPr>
        <w:t xml:space="preserve"> in</w:t>
      </w:r>
      <w:r w:rsidR="006D5BB3" w:rsidRPr="005F1FF6">
        <w:rPr>
          <w:rFonts w:ascii="Times New Roman" w:eastAsia="Times New Roman" w:hAnsi="Times New Roman" w:cs="Times New Roman"/>
          <w:bCs/>
          <w:noProof/>
          <w:sz w:val="24"/>
          <w:szCs w:val="24"/>
          <w:lang w:eastAsia="fr-FR"/>
        </w:rPr>
        <w:t xml:space="preserve"> 2021</w:t>
      </w:r>
      <w:r w:rsidRPr="005F1FF6">
        <w:rPr>
          <w:rStyle w:val="FootnoteReference"/>
          <w:rFonts w:ascii="Times New Roman" w:eastAsia="Times New Roman" w:hAnsi="Times New Roman" w:cs="Times New Roman"/>
          <w:bCs/>
          <w:noProof/>
          <w:sz w:val="24"/>
          <w:szCs w:val="24"/>
          <w:lang w:eastAsia="fr-FR"/>
        </w:rPr>
        <w:footnoteReference w:id="20"/>
      </w:r>
      <w:r w:rsidRPr="005F1FF6">
        <w:rPr>
          <w:rFonts w:ascii="Times New Roman" w:eastAsia="Times New Roman" w:hAnsi="Times New Roman" w:cs="Times New Roman"/>
          <w:bCs/>
          <w:noProof/>
          <w:sz w:val="24"/>
          <w:szCs w:val="24"/>
          <w:lang w:eastAsia="fr-FR"/>
        </w:rPr>
        <w:t>,</w:t>
      </w:r>
      <w:r w:rsidR="006D5BB3" w:rsidRPr="005F1FF6">
        <w:rPr>
          <w:rFonts w:ascii="Times New Roman" w:eastAsia="Times New Roman" w:hAnsi="Times New Roman" w:cs="Times New Roman"/>
          <w:bCs/>
          <w:noProof/>
          <w:sz w:val="24"/>
          <w:szCs w:val="24"/>
          <w:lang w:eastAsia="fr-FR"/>
        </w:rPr>
        <w:t xml:space="preserve"> 92%</w:t>
      </w:r>
      <w:r w:rsidRPr="005F1FF6">
        <w:rPr>
          <w:rFonts w:ascii="Times New Roman" w:eastAsia="Times New Roman" w:hAnsi="Times New Roman" w:cs="Times New Roman"/>
          <w:bCs/>
          <w:noProof/>
          <w:sz w:val="24"/>
          <w:szCs w:val="24"/>
          <w:lang w:eastAsia="fr-FR"/>
        </w:rPr>
        <w:t xml:space="preserve"> of respondents </w:t>
      </w:r>
      <w:r w:rsidR="00315E47" w:rsidRPr="005F1FF6">
        <w:rPr>
          <w:rFonts w:ascii="Times New Roman" w:eastAsia="Times New Roman" w:hAnsi="Times New Roman" w:cs="Times New Roman"/>
          <w:bCs/>
          <w:noProof/>
          <w:sz w:val="24"/>
          <w:szCs w:val="24"/>
          <w:lang w:eastAsia="fr-FR"/>
        </w:rPr>
        <w:t>confirmed their satisfaction</w:t>
      </w:r>
      <w:r w:rsidRPr="005F1FF6">
        <w:rPr>
          <w:rFonts w:ascii="Times New Roman" w:eastAsia="Times New Roman" w:hAnsi="Times New Roman" w:cs="Times New Roman"/>
          <w:bCs/>
          <w:noProof/>
          <w:sz w:val="24"/>
          <w:szCs w:val="24"/>
          <w:lang w:eastAsia="fr-FR"/>
        </w:rPr>
        <w:t xml:space="preserve"> with EEN services.  </w:t>
      </w:r>
    </w:p>
    <w:p w14:paraId="64742CFA" w14:textId="03D792A3" w:rsidR="006D5BB3" w:rsidRPr="005F1FF6" w:rsidRDefault="006D5BB3"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There were strong synergies between EEN and the Horizon 2020 programme</w:t>
      </w:r>
      <w:r w:rsidR="009F6F58" w:rsidRPr="005F1FF6">
        <w:rPr>
          <w:rFonts w:ascii="Times New Roman" w:hAnsi="Times New Roman" w:cs="Times New Roman"/>
          <w:noProof/>
          <w:sz w:val="24"/>
          <w:szCs w:val="24"/>
        </w:rPr>
        <w:t>,</w:t>
      </w:r>
      <w:r w:rsidRPr="005F1FF6">
        <w:rPr>
          <w:rFonts w:ascii="Times New Roman" w:hAnsi="Times New Roman" w:cs="Times New Roman"/>
          <w:noProof/>
          <w:sz w:val="24"/>
          <w:szCs w:val="24"/>
        </w:rPr>
        <w:t xml:space="preserve"> which</w:t>
      </w:r>
      <w:r w:rsidRPr="005F1FF6">
        <w:rPr>
          <w:rFonts w:ascii="Times New Roman" w:eastAsia="Times New Roman" w:hAnsi="Times New Roman" w:cs="Times New Roman"/>
          <w:bCs/>
          <w:i/>
          <w:noProof/>
          <w:sz w:val="24"/>
          <w:szCs w:val="24"/>
          <w:lang w:eastAsia="fr-FR"/>
        </w:rPr>
        <w:t xml:space="preserve"> </w:t>
      </w:r>
      <w:r w:rsidRPr="005F1FF6">
        <w:rPr>
          <w:rFonts w:ascii="Times New Roman" w:hAnsi="Times New Roman" w:cs="Times New Roman"/>
          <w:noProof/>
          <w:sz w:val="24"/>
          <w:szCs w:val="24"/>
        </w:rPr>
        <w:t xml:space="preserve">provided </w:t>
      </w:r>
      <w:r w:rsidR="00BC7B5D" w:rsidRPr="005F1FF6">
        <w:rPr>
          <w:rFonts w:ascii="Times New Roman" w:hAnsi="Times New Roman" w:cs="Times New Roman"/>
          <w:noProof/>
          <w:sz w:val="24"/>
          <w:szCs w:val="24"/>
        </w:rPr>
        <w:t xml:space="preserve">the network </w:t>
      </w:r>
      <w:r w:rsidRPr="005F1FF6">
        <w:rPr>
          <w:rFonts w:ascii="Times New Roman" w:hAnsi="Times New Roman" w:cs="Times New Roman"/>
          <w:noProof/>
          <w:sz w:val="24"/>
          <w:szCs w:val="24"/>
        </w:rPr>
        <w:t xml:space="preserve">with funding </w:t>
      </w:r>
      <w:r w:rsidR="00BC7B5D" w:rsidRPr="005F1FF6">
        <w:rPr>
          <w:rFonts w:ascii="Times New Roman" w:hAnsi="Times New Roman" w:cs="Times New Roman"/>
          <w:noProof/>
          <w:sz w:val="24"/>
          <w:szCs w:val="24"/>
        </w:rPr>
        <w:t xml:space="preserve">to </w:t>
      </w:r>
      <w:r w:rsidRPr="005F1FF6">
        <w:rPr>
          <w:rFonts w:ascii="Times New Roman" w:hAnsi="Times New Roman" w:cs="Times New Roman"/>
          <w:noProof/>
          <w:sz w:val="24"/>
          <w:szCs w:val="24"/>
        </w:rPr>
        <w:t xml:space="preserve">deliver an additional </w:t>
      </w:r>
      <w:r w:rsidR="0072045E" w:rsidRPr="005F1FF6">
        <w:rPr>
          <w:rFonts w:ascii="Times New Roman" w:hAnsi="Times New Roman" w:cs="Times New Roman"/>
          <w:noProof/>
          <w:sz w:val="24"/>
          <w:szCs w:val="24"/>
        </w:rPr>
        <w:t>specifically defined</w:t>
      </w:r>
      <w:r w:rsidRPr="005F1FF6">
        <w:rPr>
          <w:rFonts w:ascii="Times New Roman" w:hAnsi="Times New Roman" w:cs="Times New Roman"/>
          <w:noProof/>
          <w:sz w:val="24"/>
          <w:szCs w:val="24"/>
        </w:rPr>
        <w:t xml:space="preserve"> set of innovation services for SMEs (beyond the scope of EEN COSME services)</w:t>
      </w:r>
      <w:r w:rsidRPr="005F1FF6">
        <w:rPr>
          <w:rStyle w:val="FootnoteReference"/>
          <w:rFonts w:ascii="Times New Roman" w:eastAsia="Times New Roman" w:hAnsi="Times New Roman" w:cs="Times New Roman"/>
          <w:bCs/>
          <w:noProof/>
          <w:sz w:val="24"/>
          <w:szCs w:val="24"/>
          <w:lang w:eastAsia="fr-FR"/>
        </w:rPr>
        <w:footnoteReference w:id="21"/>
      </w:r>
      <w:r w:rsidRPr="005F1FF6">
        <w:rPr>
          <w:rFonts w:ascii="Times New Roman" w:eastAsia="Times New Roman" w:hAnsi="Times New Roman" w:cs="Times New Roman"/>
          <w:bCs/>
          <w:noProof/>
          <w:sz w:val="24"/>
          <w:szCs w:val="24"/>
          <w:lang w:eastAsia="fr-FR"/>
        </w:rPr>
        <w:t xml:space="preserve">. </w:t>
      </w:r>
      <w:r w:rsidR="0011783D" w:rsidRPr="005F1FF6">
        <w:rPr>
          <w:rFonts w:ascii="Times New Roman" w:eastAsia="Times New Roman" w:hAnsi="Times New Roman" w:cs="Times New Roman"/>
          <w:bCs/>
          <w:noProof/>
          <w:sz w:val="24"/>
          <w:szCs w:val="24"/>
          <w:lang w:eastAsia="fr-FR"/>
        </w:rPr>
        <w:t>The Commission’s Directorate-General for Internal Market, Industry, Entrepreneurship and SMEs (</w:t>
      </w:r>
      <w:r w:rsidRPr="005F1FF6">
        <w:rPr>
          <w:rFonts w:ascii="Times New Roman" w:hAnsi="Times New Roman" w:cs="Times New Roman"/>
          <w:noProof/>
          <w:sz w:val="24"/>
          <w:szCs w:val="24"/>
        </w:rPr>
        <w:t>DG GROW</w:t>
      </w:r>
      <w:r w:rsidR="0011783D" w:rsidRPr="005F1FF6">
        <w:rPr>
          <w:rFonts w:ascii="Times New Roman" w:hAnsi="Times New Roman" w:cs="Times New Roman"/>
          <w:noProof/>
          <w:sz w:val="24"/>
          <w:szCs w:val="24"/>
        </w:rPr>
        <w:t>)</w:t>
      </w:r>
      <w:r w:rsidRPr="005F1FF6">
        <w:rPr>
          <w:rFonts w:ascii="Times New Roman" w:hAnsi="Times New Roman" w:cs="Times New Roman"/>
          <w:noProof/>
          <w:sz w:val="24"/>
          <w:szCs w:val="24"/>
        </w:rPr>
        <w:t xml:space="preserve"> and EASME also cooperated </w:t>
      </w:r>
      <w:r w:rsidR="009F6F58" w:rsidRPr="005F1FF6">
        <w:rPr>
          <w:rFonts w:ascii="Times New Roman" w:hAnsi="Times New Roman" w:cs="Times New Roman"/>
          <w:noProof/>
          <w:sz w:val="24"/>
          <w:szCs w:val="24"/>
        </w:rPr>
        <w:t xml:space="preserve">on </w:t>
      </w:r>
      <w:r w:rsidRPr="005F1FF6">
        <w:rPr>
          <w:rFonts w:ascii="Times New Roman" w:hAnsi="Times New Roman" w:cs="Times New Roman"/>
          <w:noProof/>
          <w:sz w:val="24"/>
          <w:szCs w:val="24"/>
        </w:rPr>
        <w:t>a wide range of EU programmes for the management</w:t>
      </w:r>
      <w:r w:rsidR="00FE1F58" w:rsidRPr="005F1FF6">
        <w:rPr>
          <w:rFonts w:ascii="Times New Roman" w:hAnsi="Times New Roman" w:cs="Times New Roman"/>
          <w:noProof/>
          <w:sz w:val="24"/>
          <w:szCs w:val="24"/>
        </w:rPr>
        <w:t>,</w:t>
      </w:r>
      <w:r w:rsidRPr="005F1FF6">
        <w:rPr>
          <w:rFonts w:ascii="Times New Roman" w:hAnsi="Times New Roman" w:cs="Times New Roman"/>
          <w:noProof/>
          <w:sz w:val="24"/>
          <w:szCs w:val="24"/>
        </w:rPr>
        <w:t xml:space="preserve"> </w:t>
      </w:r>
      <w:r w:rsidR="003701E1" w:rsidRPr="005F1FF6">
        <w:rPr>
          <w:rFonts w:ascii="Times New Roman" w:hAnsi="Times New Roman" w:cs="Times New Roman"/>
          <w:noProof/>
          <w:sz w:val="24"/>
          <w:szCs w:val="24"/>
        </w:rPr>
        <w:t>coordination</w:t>
      </w:r>
      <w:r w:rsidRPr="005F1FF6">
        <w:rPr>
          <w:rFonts w:ascii="Times New Roman" w:hAnsi="Times New Roman" w:cs="Times New Roman"/>
          <w:noProof/>
          <w:sz w:val="24"/>
          <w:szCs w:val="24"/>
        </w:rPr>
        <w:t xml:space="preserve"> </w:t>
      </w:r>
      <w:r w:rsidR="00FE1F58" w:rsidRPr="005F1FF6">
        <w:rPr>
          <w:rFonts w:ascii="Times New Roman" w:hAnsi="Times New Roman" w:cs="Times New Roman"/>
          <w:noProof/>
          <w:sz w:val="24"/>
          <w:szCs w:val="24"/>
        </w:rPr>
        <w:t xml:space="preserve">and training </w:t>
      </w:r>
      <w:r w:rsidRPr="005F1FF6">
        <w:rPr>
          <w:rFonts w:ascii="Times New Roman" w:hAnsi="Times New Roman" w:cs="Times New Roman"/>
          <w:noProof/>
          <w:sz w:val="24"/>
          <w:szCs w:val="24"/>
        </w:rPr>
        <w:t>of the EEN.</w:t>
      </w:r>
    </w:p>
    <w:p w14:paraId="231E9FB0" w14:textId="1393CBCB" w:rsidR="007B33B0" w:rsidRPr="005F1FF6" w:rsidRDefault="007B33B0" w:rsidP="005F1FF6">
      <w:pPr>
        <w:pStyle w:val="Heading3"/>
        <w:spacing w:before="240" w:line="240" w:lineRule="auto"/>
        <w:jc w:val="both"/>
        <w:rPr>
          <w:rFonts w:ascii="Times New Roman" w:hAnsi="Times New Roman" w:cs="Times New Roman"/>
          <w:noProof/>
          <w:color w:val="auto"/>
        </w:rPr>
      </w:pPr>
      <w:bookmarkStart w:id="17" w:name="_Toc146623391"/>
      <w:r w:rsidRPr="005F1FF6">
        <w:rPr>
          <w:rFonts w:ascii="Times New Roman" w:hAnsi="Times New Roman" w:cs="Times New Roman"/>
          <w:noProof/>
          <w:color w:val="auto"/>
        </w:rPr>
        <w:t>International IP SME helpdesks (China, South-</w:t>
      </w:r>
      <w:r w:rsidR="00BB58FC" w:rsidRPr="005F1FF6">
        <w:rPr>
          <w:rFonts w:ascii="Times New Roman" w:hAnsi="Times New Roman" w:cs="Times New Roman"/>
          <w:noProof/>
          <w:color w:val="auto"/>
        </w:rPr>
        <w:t>E</w:t>
      </w:r>
      <w:r w:rsidRPr="005F1FF6">
        <w:rPr>
          <w:rFonts w:ascii="Times New Roman" w:hAnsi="Times New Roman" w:cs="Times New Roman"/>
          <w:noProof/>
          <w:color w:val="auto"/>
        </w:rPr>
        <w:t>ast Asia</w:t>
      </w:r>
      <w:r w:rsidR="00FE7F99" w:rsidRPr="005F1FF6">
        <w:rPr>
          <w:rFonts w:ascii="Times New Roman" w:hAnsi="Times New Roman" w:cs="Times New Roman"/>
          <w:noProof/>
          <w:color w:val="auto"/>
        </w:rPr>
        <w:t>,</w:t>
      </w:r>
      <w:r w:rsidRPr="005F1FF6">
        <w:rPr>
          <w:rFonts w:ascii="Times New Roman" w:hAnsi="Times New Roman" w:cs="Times New Roman"/>
          <w:noProof/>
          <w:color w:val="auto"/>
        </w:rPr>
        <w:t xml:space="preserve"> Latin America</w:t>
      </w:r>
      <w:r w:rsidR="00FE7F99" w:rsidRPr="005F1FF6">
        <w:rPr>
          <w:rFonts w:ascii="Times New Roman" w:hAnsi="Times New Roman" w:cs="Times New Roman"/>
          <w:noProof/>
          <w:color w:val="auto"/>
        </w:rPr>
        <w:t xml:space="preserve"> and India</w:t>
      </w:r>
      <w:r w:rsidRPr="005F1FF6">
        <w:rPr>
          <w:rFonts w:ascii="Times New Roman" w:hAnsi="Times New Roman" w:cs="Times New Roman"/>
          <w:noProof/>
          <w:color w:val="auto"/>
        </w:rPr>
        <w:t>)</w:t>
      </w:r>
      <w:bookmarkEnd w:id="17"/>
    </w:p>
    <w:p w14:paraId="18F99DAE" w14:textId="12F330DC" w:rsidR="007B33B0" w:rsidRPr="005F1FF6" w:rsidRDefault="007B33B0"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The International IP SME helpdesks support SMEs</w:t>
      </w:r>
      <w:r w:rsidR="00F75895" w:rsidRPr="005F1FF6">
        <w:rPr>
          <w:rFonts w:ascii="Times New Roman" w:hAnsi="Times New Roman" w:cs="Times New Roman"/>
          <w:noProof/>
          <w:sz w:val="24"/>
          <w:szCs w:val="24"/>
        </w:rPr>
        <w:t xml:space="preserve"> in their efforts to</w:t>
      </w:r>
      <w:r w:rsidRPr="005F1FF6">
        <w:rPr>
          <w:rFonts w:ascii="Times New Roman" w:hAnsi="Times New Roman" w:cs="Times New Roman"/>
          <w:noProof/>
          <w:sz w:val="24"/>
          <w:szCs w:val="24"/>
        </w:rPr>
        <w:t xml:space="preserve"> internationalis</w:t>
      </w:r>
      <w:r w:rsidR="00F75895" w:rsidRPr="005F1FF6">
        <w:rPr>
          <w:rFonts w:ascii="Times New Roman" w:hAnsi="Times New Roman" w:cs="Times New Roman"/>
          <w:noProof/>
          <w:sz w:val="24"/>
          <w:szCs w:val="24"/>
        </w:rPr>
        <w:t>e</w:t>
      </w:r>
      <w:r w:rsidRPr="005F1FF6">
        <w:rPr>
          <w:rFonts w:ascii="Times New Roman" w:hAnsi="Times New Roman" w:cs="Times New Roman"/>
          <w:noProof/>
          <w:sz w:val="24"/>
          <w:szCs w:val="24"/>
        </w:rPr>
        <w:t xml:space="preserve"> by providing them with expert advice on how to enforce their </w:t>
      </w:r>
      <w:r w:rsidR="00452C6A" w:rsidRPr="005F1FF6">
        <w:rPr>
          <w:rFonts w:ascii="Times New Roman" w:hAnsi="Times New Roman" w:cs="Times New Roman"/>
          <w:noProof/>
          <w:sz w:val="24"/>
          <w:szCs w:val="24"/>
        </w:rPr>
        <w:t>i</w:t>
      </w:r>
      <w:r w:rsidRPr="005F1FF6">
        <w:rPr>
          <w:rFonts w:ascii="Times New Roman" w:hAnsi="Times New Roman" w:cs="Times New Roman"/>
          <w:noProof/>
          <w:sz w:val="24"/>
          <w:szCs w:val="24"/>
        </w:rPr>
        <w:t xml:space="preserve">ntellectual </w:t>
      </w:r>
      <w:r w:rsidR="00452C6A" w:rsidRPr="005F1FF6">
        <w:rPr>
          <w:rFonts w:ascii="Times New Roman" w:hAnsi="Times New Roman" w:cs="Times New Roman"/>
          <w:noProof/>
          <w:sz w:val="24"/>
          <w:szCs w:val="24"/>
        </w:rPr>
        <w:t>p</w:t>
      </w:r>
      <w:r w:rsidRPr="005F1FF6">
        <w:rPr>
          <w:rFonts w:ascii="Times New Roman" w:hAnsi="Times New Roman" w:cs="Times New Roman"/>
          <w:noProof/>
          <w:sz w:val="24"/>
          <w:szCs w:val="24"/>
        </w:rPr>
        <w:t>roperty (IP) in or relating to China, South-</w:t>
      </w:r>
      <w:r w:rsidR="00C511D4" w:rsidRPr="005F1FF6">
        <w:rPr>
          <w:rFonts w:ascii="Times New Roman" w:hAnsi="Times New Roman" w:cs="Times New Roman"/>
          <w:noProof/>
          <w:sz w:val="24"/>
          <w:szCs w:val="24"/>
        </w:rPr>
        <w:t>E</w:t>
      </w:r>
      <w:r w:rsidRPr="005F1FF6">
        <w:rPr>
          <w:rFonts w:ascii="Times New Roman" w:hAnsi="Times New Roman" w:cs="Times New Roman"/>
          <w:noProof/>
          <w:sz w:val="24"/>
          <w:szCs w:val="24"/>
        </w:rPr>
        <w:t>ast Asia</w:t>
      </w:r>
      <w:r w:rsidR="00FE7F99" w:rsidRPr="005F1FF6">
        <w:rPr>
          <w:rFonts w:ascii="Times New Roman" w:hAnsi="Times New Roman" w:cs="Times New Roman"/>
          <w:noProof/>
          <w:sz w:val="24"/>
          <w:szCs w:val="24"/>
        </w:rPr>
        <w:t>,</w:t>
      </w:r>
      <w:r w:rsidRPr="005F1FF6">
        <w:rPr>
          <w:rFonts w:ascii="Times New Roman" w:hAnsi="Times New Roman" w:cs="Times New Roman"/>
          <w:noProof/>
          <w:sz w:val="24"/>
          <w:szCs w:val="24"/>
        </w:rPr>
        <w:t xml:space="preserve"> Latin America</w:t>
      </w:r>
      <w:r w:rsidR="00FE7F99" w:rsidRPr="005F1FF6">
        <w:rPr>
          <w:rFonts w:ascii="Times New Roman" w:hAnsi="Times New Roman" w:cs="Times New Roman"/>
          <w:noProof/>
          <w:sz w:val="24"/>
          <w:szCs w:val="24"/>
        </w:rPr>
        <w:t xml:space="preserve"> and India</w:t>
      </w:r>
      <w:r w:rsidRPr="005F1FF6">
        <w:rPr>
          <w:rFonts w:ascii="Times New Roman" w:hAnsi="Times New Roman" w:cs="Times New Roman"/>
          <w:noProof/>
          <w:sz w:val="24"/>
          <w:szCs w:val="24"/>
        </w:rPr>
        <w:t xml:space="preserve">. </w:t>
      </w:r>
      <w:r w:rsidR="00452C6A" w:rsidRPr="005F1FF6">
        <w:rPr>
          <w:rFonts w:ascii="Times New Roman" w:hAnsi="Times New Roman" w:cs="Times New Roman"/>
          <w:noProof/>
          <w:sz w:val="24"/>
          <w:szCs w:val="24"/>
        </w:rPr>
        <w:t>T</w:t>
      </w:r>
      <w:r w:rsidR="005368AC" w:rsidRPr="005F1FF6">
        <w:rPr>
          <w:rFonts w:ascii="Times New Roman" w:hAnsi="Times New Roman" w:cs="Times New Roman"/>
          <w:noProof/>
          <w:sz w:val="24"/>
          <w:szCs w:val="24"/>
        </w:rPr>
        <w:t>he</w:t>
      </w:r>
      <w:r w:rsidR="00452C6A" w:rsidRPr="005F1FF6">
        <w:rPr>
          <w:rFonts w:ascii="Times New Roman" w:hAnsi="Times New Roman" w:cs="Times New Roman"/>
          <w:noProof/>
          <w:sz w:val="24"/>
          <w:szCs w:val="24"/>
        </w:rPr>
        <w:t xml:space="preserve"> helpdesks</w:t>
      </w:r>
      <w:r w:rsidR="005368AC" w:rsidRPr="005F1FF6">
        <w:rPr>
          <w:rFonts w:ascii="Times New Roman" w:hAnsi="Times New Roman" w:cs="Times New Roman"/>
          <w:noProof/>
          <w:sz w:val="24"/>
          <w:szCs w:val="24"/>
        </w:rPr>
        <w:t xml:space="preserve"> provide</w:t>
      </w:r>
      <w:r w:rsidR="00452C6A" w:rsidRPr="005F1FF6">
        <w:rPr>
          <w:rFonts w:ascii="Times New Roman" w:hAnsi="Times New Roman" w:cs="Times New Roman"/>
          <w:noProof/>
          <w:sz w:val="24"/>
          <w:szCs w:val="24"/>
        </w:rPr>
        <w:t>, among other services,</w:t>
      </w:r>
      <w:r w:rsidR="005368AC" w:rsidRPr="005F1FF6">
        <w:rPr>
          <w:rFonts w:ascii="Times New Roman" w:hAnsi="Times New Roman" w:cs="Times New Roman"/>
          <w:noProof/>
          <w:sz w:val="24"/>
          <w:szCs w:val="24"/>
        </w:rPr>
        <w:t xml:space="preserve"> fi</w:t>
      </w:r>
      <w:r w:rsidRPr="005F1FF6">
        <w:rPr>
          <w:rFonts w:ascii="Times New Roman" w:hAnsi="Times New Roman" w:cs="Times New Roman"/>
          <w:noProof/>
          <w:sz w:val="24"/>
          <w:szCs w:val="24"/>
        </w:rPr>
        <w:t>rst-line advice, trai</w:t>
      </w:r>
      <w:r w:rsidR="00AF1E69" w:rsidRPr="005F1FF6">
        <w:rPr>
          <w:rFonts w:ascii="Times New Roman" w:hAnsi="Times New Roman" w:cs="Times New Roman"/>
          <w:noProof/>
          <w:sz w:val="24"/>
          <w:szCs w:val="24"/>
        </w:rPr>
        <w:t>n</w:t>
      </w:r>
      <w:r w:rsidRPr="005F1FF6">
        <w:rPr>
          <w:rFonts w:ascii="Times New Roman" w:hAnsi="Times New Roman" w:cs="Times New Roman"/>
          <w:noProof/>
          <w:sz w:val="24"/>
          <w:szCs w:val="24"/>
        </w:rPr>
        <w:t xml:space="preserve">ing on IP use and management related to these target markets, </w:t>
      </w:r>
      <w:r w:rsidR="005368AC" w:rsidRPr="005F1FF6">
        <w:rPr>
          <w:rFonts w:ascii="Times New Roman" w:hAnsi="Times New Roman" w:cs="Times New Roman"/>
          <w:noProof/>
          <w:sz w:val="24"/>
          <w:szCs w:val="24"/>
        </w:rPr>
        <w:t xml:space="preserve">and IP </w:t>
      </w:r>
      <w:r w:rsidRPr="005F1FF6">
        <w:rPr>
          <w:rFonts w:ascii="Times New Roman" w:hAnsi="Times New Roman" w:cs="Times New Roman"/>
          <w:noProof/>
          <w:sz w:val="24"/>
          <w:szCs w:val="24"/>
        </w:rPr>
        <w:t xml:space="preserve">support to EU SMEs during matchmaking events relevant to the target markets. </w:t>
      </w:r>
      <w:r w:rsidR="0047081E" w:rsidRPr="005F1FF6">
        <w:rPr>
          <w:rFonts w:ascii="Times New Roman" w:hAnsi="Times New Roman" w:cs="Times New Roman"/>
          <w:noProof/>
          <w:sz w:val="24"/>
          <w:szCs w:val="24"/>
        </w:rPr>
        <w:t xml:space="preserve">The helpdesks </w:t>
      </w:r>
      <w:r w:rsidRPr="005F1FF6">
        <w:rPr>
          <w:rFonts w:ascii="Times New Roman" w:hAnsi="Times New Roman" w:cs="Times New Roman"/>
          <w:noProof/>
          <w:sz w:val="24"/>
          <w:szCs w:val="24"/>
        </w:rPr>
        <w:t xml:space="preserve">also cooperate with </w:t>
      </w:r>
      <w:r w:rsidR="005368AC" w:rsidRPr="005F1FF6">
        <w:rPr>
          <w:rFonts w:ascii="Times New Roman" w:hAnsi="Times New Roman" w:cs="Times New Roman"/>
          <w:noProof/>
          <w:sz w:val="24"/>
          <w:szCs w:val="24"/>
        </w:rPr>
        <w:t>I</w:t>
      </w:r>
      <w:r w:rsidRPr="005F1FF6">
        <w:rPr>
          <w:rFonts w:ascii="Times New Roman" w:hAnsi="Times New Roman" w:cs="Times New Roman"/>
          <w:noProof/>
          <w:sz w:val="24"/>
          <w:szCs w:val="24"/>
        </w:rPr>
        <w:t>P helpdesks</w:t>
      </w:r>
      <w:r w:rsidR="00FE7F99" w:rsidRPr="005F1FF6">
        <w:rPr>
          <w:rFonts w:ascii="Times New Roman" w:hAnsi="Times New Roman" w:cs="Times New Roman"/>
          <w:noProof/>
          <w:sz w:val="24"/>
          <w:szCs w:val="24"/>
        </w:rPr>
        <w:t xml:space="preserve"> funded by other EU programmes</w:t>
      </w:r>
      <w:r w:rsidR="000A0705" w:rsidRPr="005F1FF6">
        <w:rPr>
          <w:rStyle w:val="FootnoteReference"/>
          <w:rFonts w:ascii="Times New Roman" w:hAnsi="Times New Roman" w:cs="Times New Roman"/>
          <w:noProof/>
          <w:sz w:val="24"/>
          <w:szCs w:val="24"/>
        </w:rPr>
        <w:footnoteReference w:id="22"/>
      </w:r>
      <w:r w:rsidRPr="005F1FF6">
        <w:rPr>
          <w:rFonts w:ascii="Times New Roman" w:hAnsi="Times New Roman" w:cs="Times New Roman"/>
          <w:noProof/>
          <w:sz w:val="24"/>
          <w:szCs w:val="24"/>
        </w:rPr>
        <w:t xml:space="preserve">. </w:t>
      </w:r>
      <w:r w:rsidR="00FE7F99" w:rsidRPr="005F1FF6">
        <w:rPr>
          <w:rFonts w:ascii="Times New Roman" w:hAnsi="Times New Roman" w:cs="Times New Roman"/>
          <w:noProof/>
          <w:sz w:val="24"/>
          <w:szCs w:val="24"/>
        </w:rPr>
        <w:t>T</w:t>
      </w:r>
      <w:r w:rsidR="00AF1E69" w:rsidRPr="005F1FF6">
        <w:rPr>
          <w:rFonts w:ascii="Times New Roman" w:hAnsi="Times New Roman" w:cs="Times New Roman"/>
          <w:noProof/>
          <w:sz w:val="24"/>
          <w:szCs w:val="24"/>
        </w:rPr>
        <w:t>he</w:t>
      </w:r>
      <w:r w:rsidR="00FE7F99" w:rsidRPr="005F1FF6">
        <w:rPr>
          <w:rFonts w:ascii="Times New Roman" w:hAnsi="Times New Roman" w:cs="Times New Roman"/>
          <w:noProof/>
          <w:sz w:val="24"/>
          <w:szCs w:val="24"/>
        </w:rPr>
        <w:t xml:space="preserve"> China, South-</w:t>
      </w:r>
      <w:r w:rsidR="00C511D4" w:rsidRPr="005F1FF6">
        <w:rPr>
          <w:rFonts w:ascii="Times New Roman" w:hAnsi="Times New Roman" w:cs="Times New Roman"/>
          <w:noProof/>
          <w:sz w:val="24"/>
          <w:szCs w:val="24"/>
        </w:rPr>
        <w:t>E</w:t>
      </w:r>
      <w:r w:rsidR="00FE7F99" w:rsidRPr="005F1FF6">
        <w:rPr>
          <w:rFonts w:ascii="Times New Roman" w:hAnsi="Times New Roman" w:cs="Times New Roman"/>
          <w:noProof/>
          <w:sz w:val="24"/>
          <w:szCs w:val="24"/>
        </w:rPr>
        <w:t>ast Asia and Latin America IP SME</w:t>
      </w:r>
      <w:r w:rsidR="00AF1E69" w:rsidRPr="005F1FF6">
        <w:rPr>
          <w:rFonts w:ascii="Times New Roman" w:hAnsi="Times New Roman" w:cs="Times New Roman"/>
          <w:noProof/>
          <w:sz w:val="24"/>
          <w:szCs w:val="24"/>
        </w:rPr>
        <w:t xml:space="preserve"> helpdesks answered a</w:t>
      </w:r>
      <w:r w:rsidR="00CB0F37" w:rsidRPr="005F1FF6">
        <w:rPr>
          <w:rFonts w:ascii="Times New Roman" w:hAnsi="Times New Roman" w:cs="Times New Roman"/>
          <w:noProof/>
          <w:sz w:val="24"/>
          <w:szCs w:val="24"/>
        </w:rPr>
        <w:t xml:space="preserve"> total of 3</w:t>
      </w:r>
      <w:r w:rsidR="00FE2948" w:rsidRPr="005F1FF6">
        <w:rPr>
          <w:rFonts w:ascii="Times New Roman" w:hAnsi="Times New Roman" w:cs="Times New Roman"/>
          <w:noProof/>
          <w:sz w:val="24"/>
          <w:szCs w:val="24"/>
        </w:rPr>
        <w:t> </w:t>
      </w:r>
      <w:r w:rsidR="00AF1E69" w:rsidRPr="005F1FF6">
        <w:rPr>
          <w:rFonts w:ascii="Times New Roman" w:hAnsi="Times New Roman" w:cs="Times New Roman"/>
          <w:noProof/>
          <w:sz w:val="24"/>
          <w:szCs w:val="24"/>
        </w:rPr>
        <w:t>962</w:t>
      </w:r>
      <w:r w:rsidR="00CB0F37" w:rsidRPr="005F1FF6">
        <w:rPr>
          <w:rFonts w:ascii="Times New Roman" w:hAnsi="Times New Roman" w:cs="Times New Roman"/>
          <w:noProof/>
          <w:sz w:val="24"/>
          <w:szCs w:val="24"/>
        </w:rPr>
        <w:t xml:space="preserve"> </w:t>
      </w:r>
      <w:r w:rsidR="005368AC" w:rsidRPr="005F1FF6">
        <w:rPr>
          <w:rFonts w:ascii="Times New Roman" w:hAnsi="Times New Roman" w:cs="Times New Roman"/>
          <w:noProof/>
          <w:sz w:val="24"/>
          <w:szCs w:val="24"/>
        </w:rPr>
        <w:t xml:space="preserve">helpline </w:t>
      </w:r>
      <w:r w:rsidR="00CB0F37" w:rsidRPr="005F1FF6">
        <w:rPr>
          <w:rFonts w:ascii="Times New Roman" w:hAnsi="Times New Roman" w:cs="Times New Roman"/>
          <w:noProof/>
          <w:sz w:val="24"/>
          <w:szCs w:val="24"/>
        </w:rPr>
        <w:t xml:space="preserve">enquiries and </w:t>
      </w:r>
      <w:r w:rsidR="005368AC" w:rsidRPr="005F1FF6">
        <w:rPr>
          <w:rFonts w:ascii="Times New Roman" w:hAnsi="Times New Roman" w:cs="Times New Roman"/>
          <w:noProof/>
          <w:sz w:val="24"/>
          <w:szCs w:val="24"/>
        </w:rPr>
        <w:t xml:space="preserve">organised </w:t>
      </w:r>
      <w:r w:rsidR="00AF1E69" w:rsidRPr="005F1FF6">
        <w:rPr>
          <w:rFonts w:ascii="Times New Roman" w:hAnsi="Times New Roman" w:cs="Times New Roman"/>
          <w:noProof/>
          <w:sz w:val="24"/>
          <w:szCs w:val="24"/>
        </w:rPr>
        <w:t>44</w:t>
      </w:r>
      <w:r w:rsidR="00FE7F99" w:rsidRPr="005F1FF6">
        <w:rPr>
          <w:rFonts w:ascii="Times New Roman" w:hAnsi="Times New Roman" w:cs="Times New Roman"/>
          <w:noProof/>
          <w:sz w:val="24"/>
          <w:szCs w:val="24"/>
        </w:rPr>
        <w:t>0</w:t>
      </w:r>
      <w:r w:rsidR="00AF1E69" w:rsidRPr="005F1FF6">
        <w:rPr>
          <w:rFonts w:ascii="Times New Roman" w:hAnsi="Times New Roman" w:cs="Times New Roman"/>
          <w:noProof/>
          <w:sz w:val="24"/>
          <w:szCs w:val="24"/>
        </w:rPr>
        <w:t xml:space="preserve"> training sessions or webinars</w:t>
      </w:r>
      <w:r w:rsidR="00CB0F37" w:rsidRPr="005F1FF6">
        <w:rPr>
          <w:rFonts w:ascii="Times New Roman" w:hAnsi="Times New Roman" w:cs="Times New Roman"/>
          <w:noProof/>
          <w:sz w:val="24"/>
          <w:szCs w:val="24"/>
        </w:rPr>
        <w:t xml:space="preserve"> </w:t>
      </w:r>
      <w:r w:rsidR="005368AC" w:rsidRPr="005F1FF6">
        <w:rPr>
          <w:rFonts w:ascii="Times New Roman" w:hAnsi="Times New Roman" w:cs="Times New Roman"/>
          <w:noProof/>
          <w:sz w:val="24"/>
          <w:szCs w:val="24"/>
        </w:rPr>
        <w:t xml:space="preserve">with </w:t>
      </w:r>
      <w:r w:rsidR="00B10E33">
        <w:rPr>
          <w:rFonts w:ascii="Times New Roman" w:hAnsi="Times New Roman" w:cs="Times New Roman"/>
          <w:noProof/>
          <w:sz w:val="24"/>
          <w:szCs w:val="24"/>
        </w:rPr>
        <w:t xml:space="preserve">just over </w:t>
      </w:r>
      <w:r w:rsidR="005368AC" w:rsidRPr="005F1FF6">
        <w:rPr>
          <w:rFonts w:ascii="Times New Roman" w:hAnsi="Times New Roman" w:cs="Times New Roman"/>
          <w:noProof/>
          <w:sz w:val="24"/>
          <w:szCs w:val="24"/>
        </w:rPr>
        <w:t>6</w:t>
      </w:r>
      <w:r w:rsidR="00FE2948" w:rsidRPr="005F1FF6">
        <w:rPr>
          <w:rFonts w:ascii="Times New Roman" w:hAnsi="Times New Roman" w:cs="Times New Roman"/>
          <w:noProof/>
          <w:sz w:val="24"/>
          <w:szCs w:val="24"/>
        </w:rPr>
        <w:t> </w:t>
      </w:r>
      <w:r w:rsidR="005368AC" w:rsidRPr="005F1FF6">
        <w:rPr>
          <w:rFonts w:ascii="Times New Roman" w:hAnsi="Times New Roman" w:cs="Times New Roman"/>
          <w:noProof/>
          <w:sz w:val="24"/>
          <w:szCs w:val="24"/>
        </w:rPr>
        <w:t>5</w:t>
      </w:r>
      <w:r w:rsidR="00B10E33">
        <w:rPr>
          <w:rFonts w:ascii="Times New Roman" w:hAnsi="Times New Roman" w:cs="Times New Roman"/>
          <w:noProof/>
          <w:sz w:val="24"/>
          <w:szCs w:val="24"/>
        </w:rPr>
        <w:t>00</w:t>
      </w:r>
      <w:r w:rsidR="005368AC" w:rsidRPr="005F1FF6">
        <w:rPr>
          <w:rFonts w:ascii="Times New Roman" w:hAnsi="Times New Roman" w:cs="Times New Roman"/>
          <w:noProof/>
          <w:sz w:val="24"/>
          <w:szCs w:val="24"/>
        </w:rPr>
        <w:t xml:space="preserve"> participants</w:t>
      </w:r>
      <w:r w:rsidR="00CB0F37" w:rsidRPr="005F1FF6">
        <w:rPr>
          <w:rFonts w:ascii="Times New Roman" w:hAnsi="Times New Roman" w:cs="Times New Roman"/>
          <w:noProof/>
          <w:sz w:val="24"/>
          <w:szCs w:val="24"/>
        </w:rPr>
        <w:t>.</w:t>
      </w:r>
      <w:r w:rsidR="00FE7F99" w:rsidRPr="005F1FF6">
        <w:rPr>
          <w:rFonts w:ascii="Times New Roman" w:hAnsi="Times New Roman" w:cs="Times New Roman"/>
          <w:noProof/>
          <w:sz w:val="24"/>
          <w:szCs w:val="24"/>
        </w:rPr>
        <w:t xml:space="preserve"> The India IP SME </w:t>
      </w:r>
      <w:r w:rsidR="005368AC" w:rsidRPr="005F1FF6">
        <w:rPr>
          <w:rFonts w:ascii="Times New Roman" w:hAnsi="Times New Roman" w:cs="Times New Roman"/>
          <w:noProof/>
          <w:sz w:val="24"/>
          <w:szCs w:val="24"/>
        </w:rPr>
        <w:t>H</w:t>
      </w:r>
      <w:r w:rsidR="00FE7F99" w:rsidRPr="005F1FF6">
        <w:rPr>
          <w:rFonts w:ascii="Times New Roman" w:hAnsi="Times New Roman" w:cs="Times New Roman"/>
          <w:noProof/>
          <w:sz w:val="24"/>
          <w:szCs w:val="24"/>
        </w:rPr>
        <w:t xml:space="preserve">elp </w:t>
      </w:r>
      <w:r w:rsidR="005368AC" w:rsidRPr="005F1FF6">
        <w:rPr>
          <w:rFonts w:ascii="Times New Roman" w:hAnsi="Times New Roman" w:cs="Times New Roman"/>
          <w:noProof/>
          <w:sz w:val="24"/>
          <w:szCs w:val="24"/>
        </w:rPr>
        <w:t>D</w:t>
      </w:r>
      <w:r w:rsidR="00FE7F99" w:rsidRPr="005F1FF6">
        <w:rPr>
          <w:rFonts w:ascii="Times New Roman" w:hAnsi="Times New Roman" w:cs="Times New Roman"/>
          <w:noProof/>
          <w:sz w:val="24"/>
          <w:szCs w:val="24"/>
        </w:rPr>
        <w:t xml:space="preserve">esk </w:t>
      </w:r>
      <w:r w:rsidR="005368AC" w:rsidRPr="005F1FF6">
        <w:rPr>
          <w:rFonts w:ascii="Times New Roman" w:hAnsi="Times New Roman" w:cs="Times New Roman"/>
          <w:noProof/>
          <w:sz w:val="24"/>
          <w:szCs w:val="24"/>
        </w:rPr>
        <w:t>offered similar services and was run on a separate contract.</w:t>
      </w:r>
    </w:p>
    <w:p w14:paraId="1981F178" w14:textId="2E578150" w:rsidR="00AF1E69" w:rsidRPr="005F1FF6" w:rsidRDefault="00AF1E69" w:rsidP="005F1FF6">
      <w:pPr>
        <w:pStyle w:val="Heading3"/>
        <w:spacing w:before="240" w:line="240" w:lineRule="auto"/>
        <w:jc w:val="both"/>
        <w:rPr>
          <w:rFonts w:ascii="Times New Roman" w:hAnsi="Times New Roman" w:cs="Times New Roman"/>
          <w:bCs/>
          <w:noProof/>
          <w:color w:val="auto"/>
        </w:rPr>
      </w:pPr>
      <w:bookmarkStart w:id="18" w:name="_Toc146623392"/>
      <w:r w:rsidRPr="005F1FF6">
        <w:rPr>
          <w:rFonts w:ascii="Times New Roman" w:hAnsi="Times New Roman" w:cs="Times New Roman"/>
          <w:noProof/>
          <w:color w:val="auto"/>
        </w:rPr>
        <w:t>EU-Japan Centre for Industrial Cooperation</w:t>
      </w:r>
      <w:bookmarkEnd w:id="18"/>
    </w:p>
    <w:p w14:paraId="2D47130D" w14:textId="481CA192" w:rsidR="0046425B" w:rsidRPr="005F1FF6" w:rsidRDefault="00AF1E69" w:rsidP="005F1FF6">
      <w:pPr>
        <w:spacing w:after="60" w:line="240" w:lineRule="auto"/>
        <w:jc w:val="both"/>
        <w:rPr>
          <w:rFonts w:ascii="Times New Roman" w:eastAsia="Times New Roman" w:hAnsi="Times New Roman" w:cs="Times New Roman"/>
          <w:bCs/>
          <w:noProof/>
          <w:sz w:val="24"/>
          <w:szCs w:val="24"/>
          <w:lang w:val="en-IE" w:eastAsia="fr-FR"/>
        </w:rPr>
      </w:pPr>
      <w:r w:rsidRPr="005F1FF6">
        <w:rPr>
          <w:rFonts w:ascii="Times New Roman" w:eastAsia="Times New Roman" w:hAnsi="Times New Roman" w:cs="Times New Roman"/>
          <w:bCs/>
          <w:noProof/>
          <w:sz w:val="24"/>
          <w:szCs w:val="24"/>
          <w:lang w:eastAsia="fr-FR"/>
        </w:rPr>
        <w:t>The EU</w:t>
      </w:r>
      <w:r w:rsidR="0047081E" w:rsidRPr="005F1FF6">
        <w:rPr>
          <w:rFonts w:ascii="Times New Roman" w:eastAsia="Times New Roman" w:hAnsi="Times New Roman" w:cs="Times New Roman"/>
          <w:bCs/>
          <w:noProof/>
          <w:sz w:val="24"/>
          <w:szCs w:val="24"/>
          <w:lang w:eastAsia="fr-FR"/>
        </w:rPr>
        <w:t>-</w:t>
      </w:r>
      <w:r w:rsidRPr="005F1FF6">
        <w:rPr>
          <w:rFonts w:ascii="Times New Roman" w:eastAsia="Times New Roman" w:hAnsi="Times New Roman" w:cs="Times New Roman"/>
          <w:bCs/>
          <w:noProof/>
          <w:sz w:val="24"/>
          <w:szCs w:val="24"/>
          <w:lang w:eastAsia="fr-FR"/>
        </w:rPr>
        <w:t xml:space="preserve">Japan Centre for Industrial Cooperation fosters industrial, trade and investment cooperation between the EU and Japan and contributes to EU economic diplomacy vis-à-vis </w:t>
      </w:r>
      <w:r w:rsidR="0047081E" w:rsidRPr="005F1FF6">
        <w:rPr>
          <w:rFonts w:ascii="Times New Roman" w:eastAsia="Times New Roman" w:hAnsi="Times New Roman" w:cs="Times New Roman"/>
          <w:bCs/>
          <w:noProof/>
          <w:sz w:val="24"/>
          <w:szCs w:val="24"/>
          <w:lang w:eastAsia="fr-FR"/>
        </w:rPr>
        <w:t>that country</w:t>
      </w:r>
      <w:r w:rsidRPr="005F1FF6">
        <w:rPr>
          <w:rFonts w:ascii="Times New Roman" w:eastAsia="Times New Roman" w:hAnsi="Times New Roman" w:cs="Times New Roman"/>
          <w:bCs/>
          <w:noProof/>
          <w:sz w:val="24"/>
          <w:szCs w:val="24"/>
          <w:lang w:eastAsia="fr-FR"/>
        </w:rPr>
        <w:t xml:space="preserve">. One important service provided by this centre is the </w:t>
      </w:r>
      <w:r w:rsidR="00FE2948" w:rsidRPr="005F1FF6">
        <w:rPr>
          <w:rFonts w:ascii="Times New Roman" w:eastAsia="Times New Roman" w:hAnsi="Times New Roman" w:cs="Times New Roman"/>
          <w:bCs/>
          <w:noProof/>
          <w:sz w:val="24"/>
          <w:szCs w:val="24"/>
          <w:lang w:eastAsia="fr-FR"/>
        </w:rPr>
        <w:t>‘</w:t>
      </w:r>
      <w:r w:rsidRPr="005F1FF6">
        <w:rPr>
          <w:rFonts w:ascii="Times New Roman" w:eastAsia="Times New Roman" w:hAnsi="Times New Roman" w:cs="Times New Roman"/>
          <w:bCs/>
          <w:noProof/>
          <w:sz w:val="24"/>
          <w:szCs w:val="24"/>
          <w:lang w:eastAsia="fr-FR"/>
        </w:rPr>
        <w:t>EPA Helpdesk</w:t>
      </w:r>
      <w:r w:rsidR="00FE2948" w:rsidRPr="005F1FF6">
        <w:rPr>
          <w:rFonts w:ascii="Times New Roman" w:eastAsia="Times New Roman" w:hAnsi="Times New Roman" w:cs="Times New Roman"/>
          <w:bCs/>
          <w:noProof/>
          <w:sz w:val="24"/>
          <w:szCs w:val="24"/>
          <w:lang w:eastAsia="fr-FR"/>
        </w:rPr>
        <w:t>’</w:t>
      </w:r>
      <w:r w:rsidR="00452C6A" w:rsidRPr="005F1FF6">
        <w:rPr>
          <w:rFonts w:ascii="Times New Roman" w:eastAsia="Times New Roman" w:hAnsi="Times New Roman" w:cs="Times New Roman"/>
          <w:bCs/>
          <w:noProof/>
          <w:sz w:val="24"/>
          <w:szCs w:val="24"/>
          <w:lang w:eastAsia="fr-FR"/>
        </w:rPr>
        <w:t>, which</w:t>
      </w:r>
      <w:r w:rsidRPr="005F1FF6">
        <w:rPr>
          <w:rFonts w:ascii="Times New Roman" w:eastAsia="Times New Roman" w:hAnsi="Times New Roman" w:cs="Times New Roman"/>
          <w:bCs/>
          <w:noProof/>
          <w:sz w:val="24"/>
          <w:szCs w:val="24"/>
          <w:lang w:eastAsia="fr-FR"/>
        </w:rPr>
        <w:t xml:space="preserve"> helps EU companies take advantage of the EU-Japan Economic Partnership Agreement (EPA)</w:t>
      </w:r>
      <w:r w:rsidRPr="005F1FF6">
        <w:rPr>
          <w:rStyle w:val="FootnoteReference"/>
          <w:rFonts w:ascii="Times New Roman" w:eastAsia="Times New Roman" w:hAnsi="Times New Roman" w:cs="Times New Roman"/>
          <w:bCs/>
          <w:noProof/>
          <w:sz w:val="24"/>
          <w:szCs w:val="24"/>
          <w:lang w:eastAsia="fr-FR"/>
        </w:rPr>
        <w:footnoteReference w:id="23"/>
      </w:r>
      <w:r w:rsidRPr="005F1FF6">
        <w:rPr>
          <w:rFonts w:ascii="Times New Roman" w:eastAsia="Times New Roman" w:hAnsi="Times New Roman" w:cs="Times New Roman"/>
          <w:bCs/>
          <w:noProof/>
          <w:sz w:val="24"/>
          <w:szCs w:val="24"/>
          <w:lang w:eastAsia="fr-FR"/>
        </w:rPr>
        <w:t xml:space="preserve">. In the </w:t>
      </w:r>
      <w:r w:rsidR="0072045E" w:rsidRPr="005F1FF6">
        <w:rPr>
          <w:rFonts w:ascii="Times New Roman" w:eastAsia="Times New Roman" w:hAnsi="Times New Roman" w:cs="Times New Roman"/>
          <w:bCs/>
          <w:noProof/>
          <w:sz w:val="24"/>
          <w:szCs w:val="24"/>
          <w:lang w:eastAsia="fr-FR"/>
        </w:rPr>
        <w:t>two-year</w:t>
      </w:r>
      <w:r w:rsidRPr="005F1FF6">
        <w:rPr>
          <w:rFonts w:ascii="Times New Roman" w:eastAsia="Times New Roman" w:hAnsi="Times New Roman" w:cs="Times New Roman"/>
          <w:bCs/>
          <w:noProof/>
          <w:sz w:val="24"/>
          <w:szCs w:val="24"/>
          <w:lang w:eastAsia="fr-FR"/>
        </w:rPr>
        <w:t xml:space="preserve"> period supported by </w:t>
      </w:r>
      <w:r w:rsidR="00452C6A" w:rsidRPr="005F1FF6">
        <w:rPr>
          <w:rFonts w:ascii="Times New Roman" w:eastAsia="Times New Roman" w:hAnsi="Times New Roman" w:cs="Times New Roman"/>
          <w:bCs/>
          <w:noProof/>
          <w:sz w:val="24"/>
          <w:szCs w:val="24"/>
          <w:lang w:eastAsia="fr-FR"/>
        </w:rPr>
        <w:t xml:space="preserve">the </w:t>
      </w:r>
      <w:r w:rsidRPr="005F1FF6">
        <w:rPr>
          <w:rFonts w:ascii="Times New Roman" w:eastAsia="Times New Roman" w:hAnsi="Times New Roman" w:cs="Times New Roman"/>
          <w:bCs/>
          <w:noProof/>
          <w:sz w:val="24"/>
          <w:szCs w:val="24"/>
          <w:lang w:eastAsia="fr-FR"/>
        </w:rPr>
        <w:t>COSME 2020 budget, the centre organised a wide range of webinars including 27 EPA webinars with a total of 1</w:t>
      </w:r>
      <w:r w:rsidR="00FE2948" w:rsidRPr="005F1FF6">
        <w:rPr>
          <w:rFonts w:ascii="Times New Roman" w:eastAsia="Times New Roman" w:hAnsi="Times New Roman" w:cs="Times New Roman"/>
          <w:bCs/>
          <w:noProof/>
          <w:sz w:val="24"/>
          <w:szCs w:val="24"/>
          <w:lang w:eastAsia="fr-FR"/>
        </w:rPr>
        <w:t> </w:t>
      </w:r>
      <w:r w:rsidRPr="005F1FF6">
        <w:rPr>
          <w:rFonts w:ascii="Times New Roman" w:eastAsia="Times New Roman" w:hAnsi="Times New Roman" w:cs="Times New Roman"/>
          <w:bCs/>
          <w:noProof/>
          <w:sz w:val="24"/>
          <w:szCs w:val="24"/>
          <w:lang w:eastAsia="fr-FR"/>
        </w:rPr>
        <w:t>478 participants, 76 webinars on Japan and exporting to Japan (with 2</w:t>
      </w:r>
      <w:r w:rsidR="00452C6A" w:rsidRPr="005F1FF6">
        <w:rPr>
          <w:rFonts w:ascii="Times New Roman" w:eastAsia="Times New Roman" w:hAnsi="Times New Roman" w:cs="Times New Roman"/>
          <w:bCs/>
          <w:noProof/>
          <w:sz w:val="24"/>
          <w:szCs w:val="24"/>
          <w:lang w:eastAsia="fr-FR"/>
        </w:rPr>
        <w:t> </w:t>
      </w:r>
      <w:r w:rsidRPr="005F1FF6">
        <w:rPr>
          <w:rFonts w:ascii="Times New Roman" w:eastAsia="Times New Roman" w:hAnsi="Times New Roman" w:cs="Times New Roman"/>
          <w:bCs/>
          <w:noProof/>
          <w:sz w:val="24"/>
          <w:szCs w:val="24"/>
          <w:lang w:eastAsia="fr-FR"/>
        </w:rPr>
        <w:t xml:space="preserve">857 participants in total), 11 webinars on lean manufacturing (with 502 participants), and webinars on key EU policy topics. </w:t>
      </w:r>
      <w:r w:rsidR="00452C6A" w:rsidRPr="005F1FF6">
        <w:rPr>
          <w:rFonts w:ascii="Times New Roman" w:eastAsia="Times New Roman" w:hAnsi="Times New Roman" w:cs="Times New Roman"/>
          <w:bCs/>
          <w:noProof/>
          <w:sz w:val="24"/>
          <w:szCs w:val="24"/>
          <w:lang w:eastAsia="fr-FR"/>
        </w:rPr>
        <w:t>In addition, i</w:t>
      </w:r>
      <w:r w:rsidRPr="005F1FF6">
        <w:rPr>
          <w:rFonts w:ascii="Times New Roman" w:eastAsia="Times New Roman" w:hAnsi="Times New Roman" w:cs="Times New Roman"/>
          <w:bCs/>
          <w:noProof/>
          <w:sz w:val="24"/>
          <w:szCs w:val="24"/>
          <w:lang w:eastAsia="fr-FR"/>
        </w:rPr>
        <w:t xml:space="preserve">t continued to run the flagship Vulcanus in Japan exchange programme and </w:t>
      </w:r>
      <w:r w:rsidR="007751F5" w:rsidRPr="005F1FF6">
        <w:rPr>
          <w:rFonts w:ascii="Times New Roman" w:eastAsia="Times New Roman" w:hAnsi="Times New Roman" w:cs="Times New Roman"/>
          <w:bCs/>
          <w:noProof/>
          <w:sz w:val="24"/>
          <w:szCs w:val="24"/>
          <w:lang w:eastAsia="fr-FR"/>
        </w:rPr>
        <w:t>a</w:t>
      </w:r>
      <w:r w:rsidRPr="005F1FF6">
        <w:rPr>
          <w:rFonts w:ascii="Times New Roman" w:eastAsia="Times New Roman" w:hAnsi="Times New Roman" w:cs="Times New Roman"/>
          <w:bCs/>
          <w:noProof/>
          <w:sz w:val="24"/>
          <w:szCs w:val="24"/>
          <w:lang w:eastAsia="fr-FR"/>
        </w:rPr>
        <w:t xml:space="preserve"> technology transfer helpdesk, provided policy analysis and delivered 33 market reports during this period.</w:t>
      </w:r>
      <w:r w:rsidR="0046425B" w:rsidRPr="005F1FF6">
        <w:rPr>
          <w:rFonts w:ascii="Times New Roman" w:eastAsia="Times New Roman" w:hAnsi="Times New Roman" w:cs="Times New Roman"/>
          <w:bCs/>
          <w:noProof/>
          <w:sz w:val="24"/>
          <w:szCs w:val="24"/>
          <w:lang w:eastAsia="fr-FR"/>
        </w:rPr>
        <w:t xml:space="preserve"> </w:t>
      </w:r>
      <w:r w:rsidR="0046425B" w:rsidRPr="005F1FF6">
        <w:rPr>
          <w:rFonts w:ascii="Times New Roman" w:eastAsia="Times New Roman" w:hAnsi="Times New Roman" w:cs="Times New Roman"/>
          <w:bCs/>
          <w:noProof/>
          <w:sz w:val="24"/>
          <w:szCs w:val="24"/>
          <w:lang w:val="en-IE" w:eastAsia="fr-FR"/>
        </w:rPr>
        <w:t>The European Court of Auditor’s special report on SME Internationalisation commented positively on the services of the EU Japan centre, referring specifically to the continuity and additionality of its services, the high level of client satisfaction and the good cooperation with EEN</w:t>
      </w:r>
      <w:r w:rsidR="0046425B" w:rsidRPr="005F1FF6">
        <w:rPr>
          <w:rStyle w:val="FootnoteReference"/>
          <w:rFonts w:ascii="Times New Roman" w:eastAsia="Times New Roman" w:hAnsi="Times New Roman" w:cs="Times New Roman"/>
          <w:bCs/>
          <w:noProof/>
          <w:sz w:val="24"/>
          <w:szCs w:val="24"/>
          <w:lang w:val="en-IE" w:eastAsia="fr-FR"/>
        </w:rPr>
        <w:footnoteReference w:id="24"/>
      </w:r>
      <w:r w:rsidR="00F56142" w:rsidRPr="005F1FF6">
        <w:rPr>
          <w:rFonts w:ascii="Times New Roman" w:eastAsia="Times New Roman" w:hAnsi="Times New Roman" w:cs="Times New Roman"/>
          <w:bCs/>
          <w:noProof/>
          <w:sz w:val="24"/>
          <w:szCs w:val="24"/>
          <w:lang w:val="en-IE" w:eastAsia="fr-FR"/>
        </w:rPr>
        <w:t>.</w:t>
      </w:r>
    </w:p>
    <w:p w14:paraId="09C67371" w14:textId="658E9CF1" w:rsidR="00371AFD" w:rsidRPr="005F1FF6" w:rsidRDefault="006B70A4" w:rsidP="005F1FF6">
      <w:pPr>
        <w:pStyle w:val="Heading3"/>
        <w:spacing w:before="240" w:line="240" w:lineRule="auto"/>
        <w:jc w:val="both"/>
        <w:rPr>
          <w:rFonts w:ascii="Times New Roman" w:hAnsi="Times New Roman" w:cs="Times New Roman"/>
          <w:noProof/>
          <w:color w:val="auto"/>
        </w:rPr>
      </w:pPr>
      <w:bookmarkStart w:id="19" w:name="_Toc146623393"/>
      <w:r w:rsidRPr="005F1FF6">
        <w:rPr>
          <w:rFonts w:ascii="Times New Roman" w:hAnsi="Times New Roman" w:cs="Times New Roman"/>
          <w:noProof/>
          <w:color w:val="auto"/>
        </w:rPr>
        <w:t>Procurement</w:t>
      </w:r>
      <w:bookmarkEnd w:id="19"/>
    </w:p>
    <w:p w14:paraId="1C4D5AAE" w14:textId="6DC169D1" w:rsidR="00266DF2" w:rsidRPr="005F1FF6" w:rsidRDefault="006B70A4"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 xml:space="preserve">There were </w:t>
      </w:r>
      <w:r w:rsidR="007751F5" w:rsidRPr="005F1FF6">
        <w:rPr>
          <w:rFonts w:ascii="Times New Roman" w:hAnsi="Times New Roman" w:cs="Times New Roman"/>
          <w:noProof/>
          <w:color w:val="000000" w:themeColor="text1"/>
          <w:sz w:val="24"/>
          <w:szCs w:val="24"/>
        </w:rPr>
        <w:t>several</w:t>
      </w:r>
      <w:r w:rsidRPr="005F1FF6">
        <w:rPr>
          <w:rFonts w:ascii="Times New Roman" w:hAnsi="Times New Roman" w:cs="Times New Roman"/>
          <w:noProof/>
          <w:color w:val="000000" w:themeColor="text1"/>
          <w:sz w:val="24"/>
          <w:szCs w:val="24"/>
        </w:rPr>
        <w:t xml:space="preserve"> </w:t>
      </w:r>
      <w:r w:rsidR="007751F5" w:rsidRPr="005F1FF6">
        <w:rPr>
          <w:rFonts w:ascii="Times New Roman" w:hAnsi="Times New Roman" w:cs="Times New Roman"/>
          <w:noProof/>
          <w:color w:val="000000" w:themeColor="text1"/>
          <w:sz w:val="24"/>
          <w:szCs w:val="24"/>
        </w:rPr>
        <w:t>measures</w:t>
      </w:r>
      <w:r w:rsidRPr="005F1FF6">
        <w:rPr>
          <w:rFonts w:ascii="Times New Roman" w:hAnsi="Times New Roman" w:cs="Times New Roman"/>
          <w:noProof/>
          <w:color w:val="000000" w:themeColor="text1"/>
          <w:sz w:val="24"/>
          <w:szCs w:val="24"/>
        </w:rPr>
        <w:t xml:space="preserve"> to boost the capacities of procurement authorities and create new opportunities for SMEs to get involved in supplying innovative</w:t>
      </w:r>
      <w:r w:rsidR="009067C8" w:rsidRPr="005F1FF6">
        <w:rPr>
          <w:rFonts w:ascii="Times New Roman" w:hAnsi="Times New Roman" w:cs="Times New Roman"/>
          <w:noProof/>
          <w:color w:val="000000" w:themeColor="text1"/>
          <w:sz w:val="24"/>
          <w:szCs w:val="24"/>
        </w:rPr>
        <w:t xml:space="preserve">, sustainable, and circular </w:t>
      </w:r>
      <w:r w:rsidRPr="005F1FF6">
        <w:rPr>
          <w:rFonts w:ascii="Times New Roman" w:hAnsi="Times New Roman" w:cs="Times New Roman"/>
          <w:noProof/>
          <w:color w:val="000000" w:themeColor="text1"/>
          <w:sz w:val="24"/>
          <w:szCs w:val="24"/>
        </w:rPr>
        <w:t>goods, services and works to the public sector.</w:t>
      </w:r>
      <w:r w:rsidR="00872534" w:rsidRPr="005F1FF6">
        <w:rPr>
          <w:rFonts w:ascii="Times New Roman" w:hAnsi="Times New Roman" w:cs="Times New Roman"/>
          <w:noProof/>
          <w:color w:val="000000" w:themeColor="text1"/>
          <w:sz w:val="24"/>
          <w:szCs w:val="24"/>
        </w:rPr>
        <w:t xml:space="preserve"> </w:t>
      </w:r>
      <w:r w:rsidR="00EC383D" w:rsidRPr="005F1FF6">
        <w:rPr>
          <w:rFonts w:ascii="Times New Roman" w:hAnsi="Times New Roman" w:cs="Times New Roman"/>
          <w:noProof/>
          <w:color w:val="000000" w:themeColor="text1"/>
          <w:sz w:val="24"/>
          <w:szCs w:val="24"/>
        </w:rPr>
        <w:t xml:space="preserve">The </w:t>
      </w:r>
      <w:r w:rsidR="00362B96" w:rsidRPr="005F1FF6">
        <w:rPr>
          <w:rFonts w:ascii="Times New Roman" w:hAnsi="Times New Roman" w:cs="Times New Roman"/>
          <w:noProof/>
          <w:color w:val="000000" w:themeColor="text1"/>
          <w:sz w:val="24"/>
          <w:szCs w:val="24"/>
        </w:rPr>
        <w:t>Public Buyers Community Platform</w:t>
      </w:r>
      <w:r w:rsidR="00362B96" w:rsidRPr="005F1FF6">
        <w:rPr>
          <w:rStyle w:val="FootnoteReference"/>
          <w:rFonts w:ascii="Times New Roman" w:hAnsi="Times New Roman" w:cs="Times New Roman"/>
          <w:noProof/>
          <w:color w:val="000000" w:themeColor="text1"/>
          <w:sz w:val="24"/>
          <w:szCs w:val="24"/>
        </w:rPr>
        <w:footnoteReference w:id="25"/>
      </w:r>
      <w:r w:rsidR="00EC383D" w:rsidRPr="005F1FF6">
        <w:rPr>
          <w:rFonts w:ascii="Times New Roman" w:hAnsi="Times New Roman" w:cs="Times New Roman"/>
          <w:noProof/>
          <w:color w:val="000000" w:themeColor="text1"/>
          <w:sz w:val="24"/>
          <w:szCs w:val="24"/>
        </w:rPr>
        <w:t xml:space="preserve"> supported </w:t>
      </w:r>
      <w:r w:rsidR="00452C6A" w:rsidRPr="005F1FF6">
        <w:rPr>
          <w:rFonts w:ascii="Times New Roman" w:hAnsi="Times New Roman" w:cs="Times New Roman"/>
          <w:noProof/>
          <w:color w:val="000000" w:themeColor="text1"/>
          <w:sz w:val="24"/>
          <w:szCs w:val="24"/>
        </w:rPr>
        <w:t xml:space="preserve">under the </w:t>
      </w:r>
      <w:r w:rsidR="00EC383D" w:rsidRPr="005F1FF6">
        <w:rPr>
          <w:rFonts w:ascii="Times New Roman" w:hAnsi="Times New Roman" w:cs="Times New Roman"/>
          <w:noProof/>
          <w:color w:val="000000" w:themeColor="text1"/>
          <w:sz w:val="24"/>
          <w:szCs w:val="24"/>
        </w:rPr>
        <w:t xml:space="preserve">2020 budget went live in April 2023. This supports the collaboration of 10 </w:t>
      </w:r>
      <w:r w:rsidR="00452C6A" w:rsidRPr="005F1FF6">
        <w:rPr>
          <w:rFonts w:ascii="Times New Roman" w:hAnsi="Times New Roman" w:cs="Times New Roman"/>
          <w:noProof/>
          <w:color w:val="000000" w:themeColor="text1"/>
          <w:sz w:val="24"/>
          <w:szCs w:val="24"/>
        </w:rPr>
        <w:t>‘b</w:t>
      </w:r>
      <w:r w:rsidR="00EC383D" w:rsidRPr="005F1FF6">
        <w:rPr>
          <w:rFonts w:ascii="Times New Roman" w:hAnsi="Times New Roman" w:cs="Times New Roman"/>
          <w:noProof/>
          <w:color w:val="000000" w:themeColor="text1"/>
          <w:sz w:val="24"/>
          <w:szCs w:val="24"/>
        </w:rPr>
        <w:t xml:space="preserve">ig </w:t>
      </w:r>
      <w:r w:rsidR="00452C6A" w:rsidRPr="005F1FF6">
        <w:rPr>
          <w:rFonts w:ascii="Times New Roman" w:hAnsi="Times New Roman" w:cs="Times New Roman"/>
          <w:noProof/>
          <w:color w:val="000000" w:themeColor="text1"/>
          <w:sz w:val="24"/>
          <w:szCs w:val="24"/>
        </w:rPr>
        <w:t>b</w:t>
      </w:r>
      <w:r w:rsidR="00EC383D" w:rsidRPr="005F1FF6">
        <w:rPr>
          <w:rFonts w:ascii="Times New Roman" w:hAnsi="Times New Roman" w:cs="Times New Roman"/>
          <w:noProof/>
          <w:color w:val="000000" w:themeColor="text1"/>
          <w:sz w:val="24"/>
          <w:szCs w:val="24"/>
        </w:rPr>
        <w:t>uyer</w:t>
      </w:r>
      <w:r w:rsidR="00452C6A" w:rsidRPr="005F1FF6">
        <w:rPr>
          <w:rFonts w:ascii="Times New Roman" w:hAnsi="Times New Roman" w:cs="Times New Roman"/>
          <w:noProof/>
          <w:color w:val="000000" w:themeColor="text1"/>
          <w:sz w:val="24"/>
          <w:szCs w:val="24"/>
        </w:rPr>
        <w:t>’</w:t>
      </w:r>
      <w:r w:rsidR="00EC383D" w:rsidRPr="005F1FF6">
        <w:rPr>
          <w:rFonts w:ascii="Times New Roman" w:hAnsi="Times New Roman" w:cs="Times New Roman"/>
          <w:noProof/>
          <w:color w:val="000000" w:themeColor="text1"/>
          <w:sz w:val="24"/>
          <w:szCs w:val="24"/>
        </w:rPr>
        <w:t xml:space="preserve"> groups </w:t>
      </w:r>
      <w:r w:rsidR="00452C6A" w:rsidRPr="005F1FF6">
        <w:rPr>
          <w:rFonts w:ascii="Times New Roman" w:hAnsi="Times New Roman" w:cs="Times New Roman"/>
          <w:noProof/>
          <w:color w:val="000000" w:themeColor="text1"/>
          <w:sz w:val="24"/>
          <w:szCs w:val="24"/>
        </w:rPr>
        <w:t xml:space="preserve">to </w:t>
      </w:r>
      <w:r w:rsidR="00EC383D" w:rsidRPr="005F1FF6">
        <w:rPr>
          <w:rFonts w:ascii="Times New Roman" w:hAnsi="Times New Roman" w:cs="Times New Roman"/>
          <w:noProof/>
          <w:color w:val="000000" w:themeColor="text1"/>
          <w:sz w:val="24"/>
          <w:szCs w:val="24"/>
        </w:rPr>
        <w:t>build up joint intelligence on specific procurement needs (including artificial intelligence and solar panels)</w:t>
      </w:r>
      <w:r w:rsidR="00437113" w:rsidRPr="005F1FF6">
        <w:rPr>
          <w:rFonts w:ascii="Times New Roman" w:hAnsi="Times New Roman" w:cs="Times New Roman"/>
          <w:noProof/>
          <w:color w:val="000000" w:themeColor="text1"/>
          <w:sz w:val="24"/>
          <w:szCs w:val="24"/>
        </w:rPr>
        <w:t>.</w:t>
      </w:r>
      <w:r w:rsidR="00872534" w:rsidRPr="005F1FF6">
        <w:rPr>
          <w:rFonts w:ascii="Times New Roman" w:hAnsi="Times New Roman" w:cs="Times New Roman"/>
          <w:noProof/>
          <w:color w:val="000000" w:themeColor="text1"/>
          <w:sz w:val="24"/>
          <w:szCs w:val="24"/>
        </w:rPr>
        <w:t xml:space="preserve"> </w:t>
      </w:r>
      <w:r w:rsidR="00437113" w:rsidRPr="005F1FF6">
        <w:rPr>
          <w:rFonts w:ascii="Times New Roman" w:hAnsi="Times New Roman" w:cs="Times New Roman"/>
          <w:noProof/>
          <w:color w:val="000000" w:themeColor="text1"/>
          <w:sz w:val="24"/>
          <w:szCs w:val="24"/>
        </w:rPr>
        <w:t xml:space="preserve">The </w:t>
      </w:r>
      <w:r w:rsidR="00437113" w:rsidRPr="005F1FF6">
        <w:rPr>
          <w:rFonts w:ascii="Times New Roman" w:hAnsi="Times New Roman" w:cs="Times New Roman"/>
          <w:b/>
          <w:noProof/>
          <w:color w:val="000000" w:themeColor="text1"/>
          <w:sz w:val="24"/>
          <w:szCs w:val="24"/>
        </w:rPr>
        <w:t xml:space="preserve">Co-financing of Public Procurement of Innovation </w:t>
      </w:r>
      <w:r w:rsidR="0048653D" w:rsidRPr="005F1FF6">
        <w:rPr>
          <w:rFonts w:ascii="Times New Roman" w:hAnsi="Times New Roman" w:cs="Times New Roman"/>
          <w:b/>
          <w:noProof/>
          <w:color w:val="000000" w:themeColor="text1"/>
          <w:sz w:val="24"/>
          <w:szCs w:val="24"/>
        </w:rPr>
        <w:t xml:space="preserve">(PPI) </w:t>
      </w:r>
      <w:r w:rsidR="007751F5" w:rsidRPr="005F1FF6">
        <w:rPr>
          <w:rFonts w:ascii="Times New Roman" w:hAnsi="Times New Roman" w:cs="Times New Roman"/>
          <w:noProof/>
          <w:color w:val="000000" w:themeColor="text1"/>
          <w:sz w:val="24"/>
          <w:szCs w:val="24"/>
        </w:rPr>
        <w:t>scheme</w:t>
      </w:r>
      <w:r w:rsidR="00EC383D" w:rsidRPr="005F1FF6">
        <w:rPr>
          <w:rFonts w:ascii="Times New Roman" w:hAnsi="Times New Roman" w:cs="Times New Roman"/>
          <w:noProof/>
          <w:color w:val="000000" w:themeColor="text1"/>
          <w:sz w:val="24"/>
          <w:szCs w:val="24"/>
        </w:rPr>
        <w:t xml:space="preserve"> </w:t>
      </w:r>
      <w:r w:rsidR="00437113" w:rsidRPr="005F1FF6">
        <w:rPr>
          <w:rFonts w:ascii="Times New Roman" w:hAnsi="Times New Roman" w:cs="Times New Roman"/>
          <w:noProof/>
          <w:color w:val="000000" w:themeColor="text1"/>
          <w:sz w:val="24"/>
          <w:szCs w:val="24"/>
        </w:rPr>
        <w:t xml:space="preserve">is helping large procurement authorities gain valuable experience in </w:t>
      </w:r>
      <w:r w:rsidR="00452C6A" w:rsidRPr="005F1FF6">
        <w:rPr>
          <w:rFonts w:ascii="Times New Roman" w:hAnsi="Times New Roman" w:cs="Times New Roman"/>
          <w:noProof/>
          <w:color w:val="000000" w:themeColor="text1"/>
          <w:sz w:val="24"/>
          <w:szCs w:val="24"/>
        </w:rPr>
        <w:t xml:space="preserve">the </w:t>
      </w:r>
      <w:r w:rsidR="00437113" w:rsidRPr="005F1FF6">
        <w:rPr>
          <w:rFonts w:ascii="Times New Roman" w:hAnsi="Times New Roman" w:cs="Times New Roman"/>
          <w:noProof/>
          <w:color w:val="000000" w:themeColor="text1"/>
          <w:sz w:val="24"/>
          <w:szCs w:val="24"/>
        </w:rPr>
        <w:t xml:space="preserve">procurement of </w:t>
      </w:r>
      <w:r w:rsidR="00584207" w:rsidRPr="005F1FF6">
        <w:rPr>
          <w:rFonts w:ascii="Times New Roman" w:hAnsi="Times New Roman" w:cs="Times New Roman"/>
          <w:noProof/>
          <w:color w:val="000000" w:themeColor="text1"/>
          <w:sz w:val="24"/>
          <w:szCs w:val="24"/>
        </w:rPr>
        <w:t>pre-commercial innovation</w:t>
      </w:r>
      <w:r w:rsidR="007751F5" w:rsidRPr="005F1FF6">
        <w:rPr>
          <w:rFonts w:ascii="Times New Roman" w:hAnsi="Times New Roman" w:cs="Times New Roman"/>
          <w:noProof/>
          <w:color w:val="000000" w:themeColor="text1"/>
          <w:sz w:val="24"/>
          <w:szCs w:val="24"/>
        </w:rPr>
        <w:t xml:space="preserve"> through</w:t>
      </w:r>
      <w:r w:rsidR="00584207" w:rsidRPr="005F1FF6">
        <w:rPr>
          <w:rFonts w:ascii="Times New Roman" w:hAnsi="Times New Roman" w:cs="Times New Roman"/>
          <w:noProof/>
          <w:color w:val="000000" w:themeColor="text1"/>
          <w:sz w:val="24"/>
          <w:szCs w:val="24"/>
        </w:rPr>
        <w:t xml:space="preserve"> two ongoing projects</w:t>
      </w:r>
      <w:r w:rsidR="007751F5" w:rsidRPr="005F1FF6">
        <w:rPr>
          <w:rFonts w:ascii="Times New Roman" w:hAnsi="Times New Roman" w:cs="Times New Roman"/>
          <w:noProof/>
          <w:color w:val="000000" w:themeColor="text1"/>
          <w:sz w:val="24"/>
          <w:szCs w:val="24"/>
        </w:rPr>
        <w:t>.</w:t>
      </w:r>
      <w:r w:rsidR="0048653D" w:rsidRPr="005F1FF6">
        <w:rPr>
          <w:rFonts w:ascii="Times New Roman" w:hAnsi="Times New Roman" w:cs="Times New Roman"/>
          <w:noProof/>
          <w:color w:val="000000" w:themeColor="text1"/>
          <w:sz w:val="24"/>
          <w:szCs w:val="24"/>
        </w:rPr>
        <w:t xml:space="preserve"> These are guiding authorities through the different phases for preparing and implementing PPI procedures, and for potential replication activities.</w:t>
      </w:r>
      <w:r w:rsidR="007751F5" w:rsidRPr="005F1FF6">
        <w:rPr>
          <w:rFonts w:ascii="Times New Roman" w:hAnsi="Times New Roman" w:cs="Times New Roman"/>
          <w:noProof/>
          <w:color w:val="000000" w:themeColor="text1"/>
          <w:sz w:val="24"/>
          <w:szCs w:val="24"/>
        </w:rPr>
        <w:t xml:space="preserve"> One of these</w:t>
      </w:r>
      <w:r w:rsidR="0048653D" w:rsidRPr="005F1FF6">
        <w:rPr>
          <w:rFonts w:ascii="Times New Roman" w:hAnsi="Times New Roman" w:cs="Times New Roman"/>
          <w:noProof/>
          <w:color w:val="000000" w:themeColor="text1"/>
          <w:sz w:val="24"/>
          <w:szCs w:val="24"/>
        </w:rPr>
        <w:t xml:space="preserve"> projects focuses on</w:t>
      </w:r>
      <w:r w:rsidR="00584207" w:rsidRPr="005F1FF6">
        <w:rPr>
          <w:rFonts w:ascii="Times New Roman" w:hAnsi="Times New Roman" w:cs="Times New Roman"/>
          <w:noProof/>
          <w:color w:val="000000" w:themeColor="text1"/>
          <w:sz w:val="24"/>
          <w:szCs w:val="24"/>
        </w:rPr>
        <w:t xml:space="preserve"> the healthcare sector</w:t>
      </w:r>
      <w:r w:rsidR="0048653D" w:rsidRPr="005F1FF6">
        <w:rPr>
          <w:rFonts w:ascii="Times New Roman" w:hAnsi="Times New Roman" w:cs="Times New Roman"/>
          <w:noProof/>
          <w:color w:val="000000" w:themeColor="text1"/>
          <w:sz w:val="24"/>
          <w:szCs w:val="24"/>
        </w:rPr>
        <w:t>.</w:t>
      </w:r>
    </w:p>
    <w:p w14:paraId="11DF3338" w14:textId="2E010156" w:rsidR="00975D47" w:rsidRPr="005F1FF6" w:rsidRDefault="00767F1E" w:rsidP="005F1FF6">
      <w:pPr>
        <w:pStyle w:val="Heading2"/>
        <w:numPr>
          <w:ilvl w:val="0"/>
          <w:numId w:val="0"/>
        </w:numPr>
        <w:spacing w:before="240" w:after="120" w:line="240" w:lineRule="auto"/>
        <w:ind w:left="357" w:hanging="357"/>
        <w:rPr>
          <w:rFonts w:ascii="Times New Roman" w:hAnsi="Times New Roman" w:cs="Times New Roman"/>
          <w:noProof/>
          <w:lang w:val="en-GB"/>
        </w:rPr>
      </w:pPr>
      <w:bookmarkStart w:id="20" w:name="_Toc146623394"/>
      <w:r w:rsidRPr="005F1FF6">
        <w:rPr>
          <w:rFonts w:ascii="Times New Roman" w:hAnsi="Times New Roman" w:cs="Times New Roman"/>
          <w:noProof/>
          <w:lang w:val="en-GB"/>
        </w:rPr>
        <w:t>2.3 Specific o</w:t>
      </w:r>
      <w:r w:rsidR="00975D47" w:rsidRPr="005F1FF6">
        <w:rPr>
          <w:rFonts w:ascii="Times New Roman" w:hAnsi="Times New Roman" w:cs="Times New Roman"/>
          <w:noProof/>
          <w:lang w:val="en-GB"/>
        </w:rPr>
        <w:t xml:space="preserve">bjective C: </w:t>
      </w:r>
      <w:r w:rsidR="000A05F1" w:rsidRPr="005F1FF6">
        <w:rPr>
          <w:rFonts w:ascii="Times New Roman" w:hAnsi="Times New Roman" w:cs="Times New Roman"/>
          <w:noProof/>
          <w:lang w:val="en-GB"/>
        </w:rPr>
        <w:t>i</w:t>
      </w:r>
      <w:r w:rsidR="00975D47" w:rsidRPr="005F1FF6">
        <w:rPr>
          <w:rFonts w:ascii="Times New Roman" w:hAnsi="Times New Roman" w:cs="Times New Roman"/>
          <w:noProof/>
          <w:lang w:val="en-GB"/>
        </w:rPr>
        <w:t>mproving framework conditions and competitiveness</w:t>
      </w:r>
      <w:bookmarkEnd w:id="20"/>
    </w:p>
    <w:p w14:paraId="50BF1E40" w14:textId="779D08FF" w:rsidR="00D06DA9" w:rsidRPr="005F1FF6" w:rsidRDefault="00975D47" w:rsidP="005F1FF6">
      <w:pPr>
        <w:spacing w:before="120" w:line="240" w:lineRule="auto"/>
        <w:jc w:val="both"/>
        <w:rPr>
          <w:rFonts w:ascii="Times New Roman" w:hAnsi="Times New Roman" w:cs="Times New Roman"/>
          <w:b/>
          <w:bCs/>
          <w:noProof/>
          <w:sz w:val="24"/>
          <w:szCs w:val="24"/>
        </w:rPr>
      </w:pPr>
      <w:r w:rsidRPr="005F1FF6">
        <w:rPr>
          <w:rFonts w:ascii="Times New Roman" w:hAnsi="Times New Roman" w:cs="Times New Roman"/>
          <w:b/>
          <w:bCs/>
          <w:noProof/>
          <w:sz w:val="24"/>
          <w:szCs w:val="24"/>
        </w:rPr>
        <w:t>The COSME Regulation specifie</w:t>
      </w:r>
      <w:r w:rsidR="002000CF" w:rsidRPr="005F1FF6">
        <w:rPr>
          <w:rFonts w:ascii="Times New Roman" w:hAnsi="Times New Roman" w:cs="Times New Roman"/>
          <w:b/>
          <w:bCs/>
          <w:noProof/>
          <w:sz w:val="24"/>
          <w:szCs w:val="24"/>
        </w:rPr>
        <w:t>d</w:t>
      </w:r>
      <w:r w:rsidRPr="005F1FF6">
        <w:rPr>
          <w:rFonts w:ascii="Times New Roman" w:hAnsi="Times New Roman" w:cs="Times New Roman"/>
          <w:b/>
          <w:bCs/>
          <w:noProof/>
          <w:sz w:val="24"/>
          <w:szCs w:val="24"/>
        </w:rPr>
        <w:t xml:space="preserve"> that </w:t>
      </w:r>
      <w:r w:rsidR="00E91F43" w:rsidRPr="005F1FF6">
        <w:rPr>
          <w:rFonts w:ascii="Times New Roman" w:hAnsi="Times New Roman" w:cs="Times New Roman"/>
          <w:b/>
          <w:bCs/>
          <w:noProof/>
          <w:sz w:val="24"/>
          <w:szCs w:val="24"/>
        </w:rPr>
        <w:t xml:space="preserve">an indicative amount of </w:t>
      </w:r>
      <w:r w:rsidRPr="005F1FF6">
        <w:rPr>
          <w:rFonts w:ascii="Times New Roman" w:hAnsi="Times New Roman" w:cs="Times New Roman"/>
          <w:b/>
          <w:bCs/>
          <w:noProof/>
          <w:sz w:val="24"/>
          <w:szCs w:val="24"/>
        </w:rPr>
        <w:t xml:space="preserve">11% of the total budget </w:t>
      </w:r>
      <w:r w:rsidR="005811F0" w:rsidRPr="005F1FF6">
        <w:rPr>
          <w:rFonts w:ascii="Times New Roman" w:hAnsi="Times New Roman" w:cs="Times New Roman"/>
          <w:b/>
          <w:bCs/>
          <w:noProof/>
          <w:sz w:val="24"/>
          <w:szCs w:val="24"/>
        </w:rPr>
        <w:t xml:space="preserve">for 2014-2020 </w:t>
      </w:r>
      <w:r w:rsidRPr="005F1FF6">
        <w:rPr>
          <w:rFonts w:ascii="Times New Roman" w:hAnsi="Times New Roman" w:cs="Times New Roman"/>
          <w:b/>
          <w:bCs/>
          <w:noProof/>
          <w:sz w:val="24"/>
          <w:szCs w:val="24"/>
        </w:rPr>
        <w:t xml:space="preserve">should be devoted to improving framework conditions and competitiveness. </w:t>
      </w:r>
      <w:r w:rsidR="008E136B" w:rsidRPr="005F1FF6">
        <w:rPr>
          <w:rFonts w:ascii="Times New Roman" w:hAnsi="Times New Roman" w:cs="Times New Roman"/>
          <w:b/>
          <w:bCs/>
          <w:noProof/>
          <w:sz w:val="24"/>
          <w:szCs w:val="24"/>
        </w:rPr>
        <w:t>EUR</w:t>
      </w:r>
      <w:r w:rsidR="00684D35" w:rsidRPr="005F1FF6">
        <w:rPr>
          <w:rFonts w:ascii="Times New Roman" w:hAnsi="Times New Roman" w:cs="Times New Roman"/>
          <w:b/>
          <w:bCs/>
          <w:noProof/>
          <w:sz w:val="24"/>
          <w:szCs w:val="24"/>
        </w:rPr>
        <w:t> </w:t>
      </w:r>
      <w:r w:rsidR="00757726" w:rsidRPr="005F1FF6">
        <w:rPr>
          <w:rFonts w:ascii="Times New Roman" w:hAnsi="Times New Roman" w:cs="Times New Roman"/>
          <w:b/>
          <w:bCs/>
          <w:noProof/>
          <w:sz w:val="24"/>
          <w:szCs w:val="24"/>
        </w:rPr>
        <w:t>47.9</w:t>
      </w:r>
      <w:r w:rsidR="00684D35" w:rsidRPr="005F1FF6">
        <w:rPr>
          <w:rFonts w:ascii="Times New Roman" w:hAnsi="Times New Roman" w:cs="Times New Roman"/>
          <w:b/>
          <w:bCs/>
          <w:noProof/>
          <w:sz w:val="24"/>
          <w:szCs w:val="24"/>
        </w:rPr>
        <w:t> </w:t>
      </w:r>
      <w:r w:rsidRPr="005F1FF6">
        <w:rPr>
          <w:rFonts w:ascii="Times New Roman" w:hAnsi="Times New Roman" w:cs="Times New Roman"/>
          <w:b/>
          <w:bCs/>
          <w:noProof/>
          <w:sz w:val="24"/>
          <w:szCs w:val="24"/>
        </w:rPr>
        <w:t>million was allocated to this objective</w:t>
      </w:r>
      <w:r w:rsidR="000A05F1" w:rsidRPr="005F1FF6">
        <w:rPr>
          <w:rFonts w:ascii="Times New Roman" w:hAnsi="Times New Roman" w:cs="Times New Roman"/>
          <w:b/>
          <w:bCs/>
          <w:noProof/>
          <w:sz w:val="24"/>
          <w:szCs w:val="24"/>
        </w:rPr>
        <w:t xml:space="preserve"> in 20</w:t>
      </w:r>
      <w:r w:rsidR="00076B29" w:rsidRPr="005F1FF6">
        <w:rPr>
          <w:rFonts w:ascii="Times New Roman" w:hAnsi="Times New Roman" w:cs="Times New Roman"/>
          <w:b/>
          <w:bCs/>
          <w:noProof/>
          <w:sz w:val="24"/>
          <w:szCs w:val="24"/>
        </w:rPr>
        <w:t>20</w:t>
      </w:r>
      <w:r w:rsidR="00D06DA9" w:rsidRPr="005F1FF6">
        <w:rPr>
          <w:rFonts w:ascii="Times New Roman" w:hAnsi="Times New Roman" w:cs="Times New Roman"/>
          <w:b/>
          <w:bCs/>
          <w:noProof/>
          <w:sz w:val="24"/>
          <w:szCs w:val="24"/>
        </w:rPr>
        <w:t xml:space="preserve"> which </w:t>
      </w:r>
      <w:r w:rsidR="00322ABA" w:rsidRPr="005F1FF6">
        <w:rPr>
          <w:rFonts w:ascii="Times New Roman" w:hAnsi="Times New Roman" w:cs="Times New Roman"/>
          <w:b/>
          <w:bCs/>
          <w:noProof/>
          <w:sz w:val="24"/>
          <w:szCs w:val="24"/>
        </w:rPr>
        <w:t>amounts to</w:t>
      </w:r>
      <w:r w:rsidR="00D06DA9" w:rsidRPr="005F1FF6">
        <w:rPr>
          <w:rFonts w:ascii="Times New Roman" w:hAnsi="Times New Roman" w:cs="Times New Roman"/>
          <w:b/>
          <w:bCs/>
          <w:noProof/>
          <w:sz w:val="24"/>
          <w:szCs w:val="24"/>
        </w:rPr>
        <w:t xml:space="preserve"> 10.9% of the total COSME Budget.</w:t>
      </w:r>
    </w:p>
    <w:p w14:paraId="1752E110" w14:textId="1C401070" w:rsidR="00824695" w:rsidRPr="005F1FF6" w:rsidRDefault="00824695" w:rsidP="005F1FF6">
      <w:pPr>
        <w:pStyle w:val="Heading3"/>
        <w:spacing w:before="240" w:line="240" w:lineRule="auto"/>
        <w:rPr>
          <w:rFonts w:ascii="Times New Roman" w:hAnsi="Times New Roman" w:cs="Times New Roman"/>
          <w:noProof/>
          <w:color w:val="auto"/>
        </w:rPr>
      </w:pPr>
      <w:bookmarkStart w:id="21" w:name="_Toc146623395"/>
      <w:r w:rsidRPr="005F1FF6">
        <w:rPr>
          <w:rFonts w:ascii="Times New Roman" w:hAnsi="Times New Roman" w:cs="Times New Roman"/>
          <w:noProof/>
          <w:color w:val="auto"/>
        </w:rPr>
        <w:t>Clusters</w:t>
      </w:r>
      <w:bookmarkEnd w:id="21"/>
    </w:p>
    <w:p w14:paraId="54137BAE" w14:textId="73E60F63" w:rsidR="00651C14" w:rsidRPr="005F1FF6" w:rsidRDefault="00DA177F"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Four major measures for</w:t>
      </w:r>
      <w:r w:rsidR="007E180F" w:rsidRPr="005F1FF6">
        <w:rPr>
          <w:rFonts w:ascii="Times New Roman" w:hAnsi="Times New Roman" w:cs="Times New Roman"/>
          <w:noProof/>
          <w:color w:val="000000" w:themeColor="text1"/>
          <w:sz w:val="24"/>
          <w:szCs w:val="24"/>
        </w:rPr>
        <w:t xml:space="preserve"> </w:t>
      </w:r>
      <w:r w:rsidR="00452C6A" w:rsidRPr="005F1FF6">
        <w:rPr>
          <w:rFonts w:ascii="Times New Roman" w:hAnsi="Times New Roman" w:cs="Times New Roman"/>
          <w:noProof/>
          <w:color w:val="000000" w:themeColor="text1"/>
          <w:sz w:val="24"/>
          <w:szCs w:val="24"/>
        </w:rPr>
        <w:t>c</w:t>
      </w:r>
      <w:r w:rsidR="007E180F" w:rsidRPr="005F1FF6">
        <w:rPr>
          <w:rFonts w:ascii="Times New Roman" w:hAnsi="Times New Roman" w:cs="Times New Roman"/>
          <w:noProof/>
          <w:color w:val="000000" w:themeColor="text1"/>
          <w:sz w:val="24"/>
          <w:szCs w:val="24"/>
        </w:rPr>
        <w:t>lusters</w:t>
      </w:r>
      <w:r w:rsidRPr="005F1FF6">
        <w:rPr>
          <w:rFonts w:ascii="Times New Roman" w:hAnsi="Times New Roman" w:cs="Times New Roman"/>
          <w:noProof/>
          <w:color w:val="000000" w:themeColor="text1"/>
          <w:sz w:val="24"/>
          <w:szCs w:val="24"/>
        </w:rPr>
        <w:t xml:space="preserve"> were supported </w:t>
      </w:r>
      <w:r w:rsidR="00452C6A" w:rsidRPr="005F1FF6">
        <w:rPr>
          <w:rFonts w:ascii="Times New Roman" w:hAnsi="Times New Roman" w:cs="Times New Roman"/>
          <w:noProof/>
          <w:color w:val="000000" w:themeColor="text1"/>
          <w:sz w:val="24"/>
          <w:szCs w:val="24"/>
        </w:rPr>
        <w:t xml:space="preserve">under </w:t>
      </w:r>
      <w:r w:rsidRPr="005F1FF6">
        <w:rPr>
          <w:rFonts w:ascii="Times New Roman" w:hAnsi="Times New Roman" w:cs="Times New Roman"/>
          <w:noProof/>
          <w:color w:val="000000" w:themeColor="text1"/>
          <w:sz w:val="24"/>
          <w:szCs w:val="24"/>
        </w:rPr>
        <w:t>the 2020 budget: the European Clusters Cooperation Platform</w:t>
      </w:r>
      <w:r w:rsidR="00BA5D03" w:rsidRPr="005F1FF6">
        <w:rPr>
          <w:rFonts w:ascii="Times New Roman" w:hAnsi="Times New Roman" w:cs="Times New Roman"/>
          <w:noProof/>
          <w:color w:val="000000" w:themeColor="text1"/>
          <w:sz w:val="24"/>
          <w:szCs w:val="24"/>
        </w:rPr>
        <w:t xml:space="preserve"> that provides a range of services and tools to </w:t>
      </w:r>
      <w:r w:rsidR="00C15350" w:rsidRPr="005F1FF6">
        <w:rPr>
          <w:rFonts w:ascii="Times New Roman" w:hAnsi="Times New Roman" w:cs="Times New Roman"/>
          <w:noProof/>
          <w:color w:val="000000" w:themeColor="text1"/>
          <w:sz w:val="24"/>
          <w:szCs w:val="24"/>
        </w:rPr>
        <w:t>support clusters with capacity</w:t>
      </w:r>
      <w:r w:rsidR="00452C6A" w:rsidRPr="005F1FF6">
        <w:rPr>
          <w:rFonts w:ascii="Times New Roman" w:hAnsi="Times New Roman" w:cs="Times New Roman"/>
          <w:noProof/>
          <w:color w:val="000000" w:themeColor="text1"/>
          <w:sz w:val="24"/>
          <w:szCs w:val="24"/>
        </w:rPr>
        <w:t xml:space="preserve"> </w:t>
      </w:r>
      <w:r w:rsidR="00C15350" w:rsidRPr="005F1FF6">
        <w:rPr>
          <w:rFonts w:ascii="Times New Roman" w:hAnsi="Times New Roman" w:cs="Times New Roman"/>
          <w:noProof/>
          <w:color w:val="000000" w:themeColor="text1"/>
          <w:sz w:val="24"/>
          <w:szCs w:val="24"/>
        </w:rPr>
        <w:t>building and networking</w:t>
      </w:r>
      <w:r w:rsidRPr="005F1FF6">
        <w:rPr>
          <w:rFonts w:ascii="Times New Roman" w:hAnsi="Times New Roman" w:cs="Times New Roman"/>
          <w:noProof/>
          <w:color w:val="000000" w:themeColor="text1"/>
          <w:sz w:val="24"/>
          <w:szCs w:val="24"/>
        </w:rPr>
        <w:t xml:space="preserve">, two schemes to support </w:t>
      </w:r>
      <w:r w:rsidR="00C15350" w:rsidRPr="005F1FF6">
        <w:rPr>
          <w:rFonts w:ascii="Times New Roman" w:hAnsi="Times New Roman" w:cs="Times New Roman"/>
          <w:noProof/>
          <w:color w:val="000000" w:themeColor="text1"/>
          <w:sz w:val="24"/>
          <w:szCs w:val="24"/>
        </w:rPr>
        <w:t xml:space="preserve">cluster </w:t>
      </w:r>
      <w:r w:rsidRPr="005F1FF6">
        <w:rPr>
          <w:rFonts w:ascii="Times New Roman" w:hAnsi="Times New Roman" w:cs="Times New Roman"/>
          <w:noProof/>
          <w:color w:val="000000" w:themeColor="text1"/>
          <w:sz w:val="24"/>
          <w:szCs w:val="24"/>
        </w:rPr>
        <w:t>internationali</w:t>
      </w:r>
      <w:r w:rsidR="00FE2948" w:rsidRPr="005F1FF6">
        <w:rPr>
          <w:rFonts w:ascii="Times New Roman" w:hAnsi="Times New Roman" w:cs="Times New Roman"/>
          <w:noProof/>
          <w:color w:val="000000" w:themeColor="text1"/>
          <w:sz w:val="24"/>
          <w:szCs w:val="24"/>
        </w:rPr>
        <w:t>s</w:t>
      </w:r>
      <w:r w:rsidRPr="005F1FF6">
        <w:rPr>
          <w:rFonts w:ascii="Times New Roman" w:hAnsi="Times New Roman" w:cs="Times New Roman"/>
          <w:noProof/>
          <w:color w:val="000000" w:themeColor="text1"/>
          <w:sz w:val="24"/>
          <w:szCs w:val="24"/>
        </w:rPr>
        <w:t>ation</w:t>
      </w:r>
      <w:r w:rsidR="00C15350"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one of which was dedicated to the defence and security sector</w:t>
      </w:r>
      <w:r w:rsidR="00C15350" w:rsidRPr="005F1FF6">
        <w:rPr>
          <w:rStyle w:val="FootnoteReference"/>
          <w:rFonts w:ascii="Times New Roman" w:hAnsi="Times New Roman" w:cs="Times New Roman"/>
          <w:noProof/>
          <w:color w:val="000000" w:themeColor="text1"/>
          <w:sz w:val="24"/>
          <w:szCs w:val="24"/>
        </w:rPr>
        <w:footnoteReference w:id="26"/>
      </w:r>
      <w:r w:rsidR="00452C6A"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 xml:space="preserve">and the European </w:t>
      </w:r>
      <w:r w:rsidR="00BA5D03" w:rsidRPr="005F1FF6">
        <w:rPr>
          <w:rFonts w:ascii="Times New Roman" w:hAnsi="Times New Roman" w:cs="Times New Roman"/>
          <w:noProof/>
          <w:color w:val="000000" w:themeColor="text1"/>
          <w:sz w:val="24"/>
          <w:szCs w:val="24"/>
        </w:rPr>
        <w:t>C</w:t>
      </w:r>
      <w:r w:rsidRPr="005F1FF6">
        <w:rPr>
          <w:rFonts w:ascii="Times New Roman" w:hAnsi="Times New Roman" w:cs="Times New Roman"/>
          <w:noProof/>
          <w:color w:val="000000" w:themeColor="text1"/>
          <w:sz w:val="24"/>
          <w:szCs w:val="24"/>
        </w:rPr>
        <w:t xml:space="preserve">luster </w:t>
      </w:r>
      <w:r w:rsidR="00BA5D03" w:rsidRPr="005F1FF6">
        <w:rPr>
          <w:rFonts w:ascii="Times New Roman" w:hAnsi="Times New Roman" w:cs="Times New Roman"/>
          <w:noProof/>
          <w:color w:val="000000" w:themeColor="text1"/>
          <w:sz w:val="24"/>
          <w:szCs w:val="24"/>
        </w:rPr>
        <w:t>E</w:t>
      </w:r>
      <w:r w:rsidRPr="005F1FF6">
        <w:rPr>
          <w:rFonts w:ascii="Times New Roman" w:hAnsi="Times New Roman" w:cs="Times New Roman"/>
          <w:noProof/>
          <w:color w:val="000000" w:themeColor="text1"/>
          <w:sz w:val="24"/>
          <w:szCs w:val="24"/>
        </w:rPr>
        <w:t xml:space="preserve">xcellence </w:t>
      </w:r>
      <w:r w:rsidR="00A902FC" w:rsidRPr="005F1FF6">
        <w:rPr>
          <w:rFonts w:ascii="Times New Roman" w:hAnsi="Times New Roman" w:cs="Times New Roman"/>
          <w:noProof/>
          <w:color w:val="000000" w:themeColor="text1"/>
          <w:sz w:val="24"/>
          <w:szCs w:val="24"/>
        </w:rPr>
        <w:t>p</w:t>
      </w:r>
      <w:r w:rsidRPr="005F1FF6">
        <w:rPr>
          <w:rFonts w:ascii="Times New Roman" w:hAnsi="Times New Roman" w:cs="Times New Roman"/>
          <w:noProof/>
          <w:color w:val="000000" w:themeColor="text1"/>
          <w:sz w:val="24"/>
          <w:szCs w:val="24"/>
        </w:rPr>
        <w:t>rogramme</w:t>
      </w:r>
      <w:r w:rsidR="00C15350" w:rsidRPr="005F1FF6">
        <w:rPr>
          <w:rFonts w:ascii="Times New Roman" w:hAnsi="Times New Roman" w:cs="Times New Roman"/>
          <w:noProof/>
          <w:color w:val="000000" w:themeColor="text1"/>
          <w:sz w:val="24"/>
          <w:szCs w:val="24"/>
        </w:rPr>
        <w:t xml:space="preserve"> that provided capacity-building services and a scheme for short-term exchanges between clusters</w:t>
      </w:r>
      <w:r w:rsidRPr="005F1FF6">
        <w:rPr>
          <w:rFonts w:ascii="Times New Roman" w:hAnsi="Times New Roman" w:cs="Times New Roman"/>
          <w:bCs/>
          <w:noProof/>
          <w:color w:val="000000" w:themeColor="text1"/>
          <w:sz w:val="24"/>
          <w:szCs w:val="24"/>
        </w:rPr>
        <w:t>.</w:t>
      </w:r>
      <w:r w:rsidRPr="005F1FF6">
        <w:rPr>
          <w:rFonts w:ascii="Times New Roman" w:hAnsi="Times New Roman" w:cs="Times New Roman"/>
          <w:b/>
          <w:noProof/>
          <w:color w:val="000000" w:themeColor="text1"/>
          <w:sz w:val="24"/>
          <w:szCs w:val="24"/>
        </w:rPr>
        <w:t xml:space="preserve"> </w:t>
      </w:r>
      <w:r w:rsidR="00C15350" w:rsidRPr="005F1FF6">
        <w:rPr>
          <w:rFonts w:ascii="Times New Roman" w:hAnsi="Times New Roman" w:cs="Times New Roman"/>
          <w:noProof/>
          <w:color w:val="000000" w:themeColor="text1"/>
          <w:sz w:val="24"/>
          <w:szCs w:val="24"/>
        </w:rPr>
        <w:t>Under the Clusters Go International scheme</w:t>
      </w:r>
      <w:r w:rsidR="00452C6A" w:rsidRPr="005F1FF6">
        <w:rPr>
          <w:rFonts w:ascii="Times New Roman" w:hAnsi="Times New Roman" w:cs="Times New Roman"/>
          <w:noProof/>
          <w:color w:val="000000" w:themeColor="text1"/>
          <w:sz w:val="24"/>
          <w:szCs w:val="24"/>
        </w:rPr>
        <w:t>,</w:t>
      </w:r>
      <w:r w:rsidR="00C15350" w:rsidRPr="005F1FF6">
        <w:rPr>
          <w:rFonts w:ascii="Times New Roman" w:hAnsi="Times New Roman" w:cs="Times New Roman"/>
          <w:noProof/>
          <w:color w:val="000000" w:themeColor="text1"/>
          <w:sz w:val="24"/>
          <w:szCs w:val="24"/>
        </w:rPr>
        <w:t xml:space="preserve"> 12 grants </w:t>
      </w:r>
      <w:r w:rsidR="00834184" w:rsidRPr="005F1FF6">
        <w:rPr>
          <w:rFonts w:ascii="Times New Roman" w:hAnsi="Times New Roman" w:cs="Times New Roman"/>
          <w:noProof/>
          <w:color w:val="000000" w:themeColor="text1"/>
          <w:sz w:val="24"/>
          <w:szCs w:val="24"/>
        </w:rPr>
        <w:t>were</w:t>
      </w:r>
      <w:r w:rsidR="00C15350" w:rsidRPr="005F1FF6">
        <w:rPr>
          <w:rFonts w:ascii="Times New Roman" w:hAnsi="Times New Roman" w:cs="Times New Roman"/>
          <w:noProof/>
          <w:color w:val="000000" w:themeColor="text1"/>
          <w:sz w:val="24"/>
          <w:szCs w:val="24"/>
        </w:rPr>
        <w:t xml:space="preserve"> awarded to consortia covering 64 clusters and business support organisations from 17 EU/COSME countries</w:t>
      </w:r>
      <w:r w:rsidR="005D70C1" w:rsidRPr="005F1FF6">
        <w:rPr>
          <w:rFonts w:ascii="Times New Roman" w:hAnsi="Times New Roman" w:cs="Times New Roman"/>
          <w:noProof/>
          <w:color w:val="000000" w:themeColor="text1"/>
          <w:sz w:val="24"/>
          <w:szCs w:val="24"/>
        </w:rPr>
        <w:t xml:space="preserve">. </w:t>
      </w:r>
      <w:r w:rsidR="00156097" w:rsidRPr="005F1FF6">
        <w:rPr>
          <w:rFonts w:ascii="Times New Roman" w:hAnsi="Times New Roman" w:cs="Times New Roman"/>
          <w:noProof/>
          <w:color w:val="000000" w:themeColor="text1"/>
          <w:sz w:val="24"/>
          <w:szCs w:val="24"/>
        </w:rPr>
        <w:t>Some of these</w:t>
      </w:r>
      <w:r w:rsidR="005D70C1" w:rsidRPr="005F1FF6">
        <w:rPr>
          <w:rFonts w:ascii="Times New Roman" w:hAnsi="Times New Roman" w:cs="Times New Roman"/>
          <w:noProof/>
          <w:color w:val="000000" w:themeColor="text1"/>
          <w:sz w:val="24"/>
          <w:szCs w:val="24"/>
        </w:rPr>
        <w:t xml:space="preserve"> focus on climate goals (see Annex </w:t>
      </w:r>
      <w:r w:rsidR="00156097" w:rsidRPr="005F1FF6">
        <w:rPr>
          <w:rFonts w:ascii="Times New Roman" w:hAnsi="Times New Roman" w:cs="Times New Roman"/>
          <w:noProof/>
          <w:color w:val="000000" w:themeColor="text1"/>
          <w:sz w:val="24"/>
          <w:szCs w:val="24"/>
        </w:rPr>
        <w:t>4</w:t>
      </w:r>
      <w:r w:rsidR="005D70C1" w:rsidRPr="005F1FF6">
        <w:rPr>
          <w:rFonts w:ascii="Times New Roman" w:hAnsi="Times New Roman" w:cs="Times New Roman"/>
          <w:noProof/>
          <w:color w:val="000000" w:themeColor="text1"/>
          <w:sz w:val="24"/>
          <w:szCs w:val="24"/>
        </w:rPr>
        <w:t xml:space="preserve"> below)</w:t>
      </w:r>
      <w:r w:rsidR="00C15350" w:rsidRPr="005F1FF6">
        <w:rPr>
          <w:rFonts w:ascii="Times New Roman" w:hAnsi="Times New Roman" w:cs="Times New Roman"/>
          <w:noProof/>
          <w:color w:val="000000" w:themeColor="text1"/>
          <w:sz w:val="24"/>
          <w:szCs w:val="24"/>
        </w:rPr>
        <w:t>.</w:t>
      </w:r>
    </w:p>
    <w:p w14:paraId="274C8565" w14:textId="598D7C2C" w:rsidR="00B76EB0" w:rsidRPr="005F1FF6" w:rsidRDefault="00B76EB0"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A</w:t>
      </w:r>
      <w:r w:rsidR="00834184" w:rsidRPr="005F1FF6">
        <w:rPr>
          <w:rFonts w:ascii="Times New Roman" w:hAnsi="Times New Roman" w:cs="Times New Roman"/>
          <w:noProof/>
          <w:color w:val="000000" w:themeColor="text1"/>
          <w:sz w:val="24"/>
          <w:szCs w:val="24"/>
        </w:rPr>
        <w:t xml:space="preserve">s the </w:t>
      </w:r>
      <w:r w:rsidRPr="005F1FF6">
        <w:rPr>
          <w:rFonts w:ascii="Times New Roman" w:hAnsi="Times New Roman" w:cs="Times New Roman"/>
          <w:noProof/>
          <w:color w:val="000000" w:themeColor="text1"/>
          <w:sz w:val="24"/>
          <w:szCs w:val="24"/>
        </w:rPr>
        <w:t xml:space="preserve">clusters projects </w:t>
      </w:r>
      <w:r w:rsidR="00834184" w:rsidRPr="005F1FF6">
        <w:rPr>
          <w:rFonts w:ascii="Times New Roman" w:hAnsi="Times New Roman" w:cs="Times New Roman"/>
          <w:noProof/>
          <w:color w:val="000000" w:themeColor="text1"/>
          <w:sz w:val="24"/>
          <w:szCs w:val="24"/>
        </w:rPr>
        <w:t>generally had a duration of 3-4 years, many were still ongoing at the outbreak of the Russian aggression in Ukraine</w:t>
      </w:r>
      <w:r w:rsidR="0002774C" w:rsidRPr="005F1FF6">
        <w:rPr>
          <w:rFonts w:ascii="Times New Roman" w:hAnsi="Times New Roman" w:cs="Times New Roman"/>
          <w:noProof/>
          <w:color w:val="000000" w:themeColor="text1"/>
          <w:sz w:val="24"/>
          <w:szCs w:val="24"/>
        </w:rPr>
        <w:t>. A number of</w:t>
      </w:r>
      <w:r w:rsidR="00834184" w:rsidRPr="005F1FF6">
        <w:rPr>
          <w:rFonts w:ascii="Times New Roman" w:hAnsi="Times New Roman" w:cs="Times New Roman"/>
          <w:noProof/>
          <w:color w:val="000000" w:themeColor="text1"/>
          <w:sz w:val="24"/>
          <w:szCs w:val="24"/>
        </w:rPr>
        <w:t xml:space="preserve"> these projects have been providing</w:t>
      </w:r>
      <w:r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b/>
          <w:noProof/>
          <w:color w:val="000000" w:themeColor="text1"/>
          <w:sz w:val="24"/>
          <w:szCs w:val="24"/>
        </w:rPr>
        <w:t xml:space="preserve">support to Ukrainian entrepreneurs. </w:t>
      </w:r>
      <w:r w:rsidRPr="005F1FF6">
        <w:rPr>
          <w:rFonts w:ascii="Times New Roman" w:hAnsi="Times New Roman" w:cs="Times New Roman"/>
          <w:noProof/>
          <w:color w:val="000000" w:themeColor="text1"/>
          <w:sz w:val="24"/>
          <w:szCs w:val="24"/>
        </w:rPr>
        <w:t>For example</w:t>
      </w:r>
      <w:r w:rsidR="00452C6A" w:rsidRPr="005F1FF6">
        <w:rPr>
          <w:rFonts w:ascii="Times New Roman" w:hAnsi="Times New Roman" w:cs="Times New Roman"/>
          <w:noProof/>
          <w:color w:val="000000" w:themeColor="text1"/>
          <w:sz w:val="24"/>
          <w:szCs w:val="24"/>
        </w:rPr>
        <w:t>,</w:t>
      </w:r>
      <w:r w:rsidRPr="005F1FF6">
        <w:rPr>
          <w:rFonts w:ascii="Times New Roman" w:hAnsi="Times New Roman" w:cs="Times New Roman"/>
          <w:noProof/>
          <w:color w:val="000000" w:themeColor="text1"/>
          <w:sz w:val="24"/>
          <w:szCs w:val="24"/>
        </w:rPr>
        <w:t xml:space="preserve"> the European Cluster Collaboration Platform </w:t>
      </w:r>
      <w:r w:rsidR="00EC20C2" w:rsidRPr="005F1FF6">
        <w:rPr>
          <w:rFonts w:ascii="Times New Roman" w:hAnsi="Times New Roman" w:cs="Times New Roman"/>
          <w:noProof/>
          <w:color w:val="000000" w:themeColor="text1"/>
          <w:sz w:val="24"/>
          <w:szCs w:val="24"/>
        </w:rPr>
        <w:t xml:space="preserve">(ECCP) </w:t>
      </w:r>
      <w:r w:rsidRPr="005F1FF6">
        <w:rPr>
          <w:rFonts w:ascii="Times New Roman" w:hAnsi="Times New Roman" w:cs="Times New Roman"/>
          <w:noProof/>
          <w:color w:val="000000" w:themeColor="text1"/>
          <w:sz w:val="24"/>
          <w:szCs w:val="24"/>
        </w:rPr>
        <w:t xml:space="preserve">put in place the </w:t>
      </w:r>
      <w:r w:rsidRPr="005F1FF6">
        <w:rPr>
          <w:rFonts w:ascii="Times New Roman" w:hAnsi="Times New Roman" w:cs="Times New Roman"/>
          <w:b/>
          <w:noProof/>
          <w:color w:val="000000" w:themeColor="text1"/>
          <w:sz w:val="24"/>
          <w:szCs w:val="24"/>
        </w:rPr>
        <w:t>EU Clusters Support Ukraine Forum</w:t>
      </w:r>
      <w:r w:rsidRPr="005F1FF6">
        <w:rPr>
          <w:rFonts w:ascii="Times New Roman" w:hAnsi="Times New Roman" w:cs="Times New Roman"/>
          <w:noProof/>
          <w:color w:val="000000" w:themeColor="text1"/>
          <w:sz w:val="24"/>
          <w:szCs w:val="24"/>
        </w:rPr>
        <w:t xml:space="preserve"> to match the offer of help collected, verified or validated via European </w:t>
      </w:r>
      <w:r w:rsidR="00452C6A" w:rsidRPr="005F1FF6">
        <w:rPr>
          <w:rFonts w:ascii="Times New Roman" w:hAnsi="Times New Roman" w:cs="Times New Roman"/>
          <w:noProof/>
          <w:color w:val="000000" w:themeColor="text1"/>
          <w:sz w:val="24"/>
          <w:szCs w:val="24"/>
        </w:rPr>
        <w:t>c</w:t>
      </w:r>
      <w:r w:rsidRPr="005F1FF6">
        <w:rPr>
          <w:rFonts w:ascii="Times New Roman" w:hAnsi="Times New Roman" w:cs="Times New Roman"/>
          <w:noProof/>
          <w:color w:val="000000" w:themeColor="text1"/>
          <w:sz w:val="24"/>
          <w:szCs w:val="24"/>
        </w:rPr>
        <w:t xml:space="preserve">lusters with requests from Ukrainian partners. The ECCP also ran a survey to pick up signals of disrupted supply chains on the ground. Moreover, under the </w:t>
      </w:r>
      <w:r w:rsidR="00452C6A" w:rsidRPr="005F1FF6">
        <w:rPr>
          <w:rFonts w:ascii="Times New Roman" w:hAnsi="Times New Roman" w:cs="Times New Roman"/>
          <w:noProof/>
          <w:color w:val="000000" w:themeColor="text1"/>
          <w:sz w:val="24"/>
          <w:szCs w:val="24"/>
        </w:rPr>
        <w:t xml:space="preserve">BRIGHT </w:t>
      </w:r>
      <w:r w:rsidRPr="005F1FF6">
        <w:rPr>
          <w:rFonts w:ascii="Times New Roman" w:hAnsi="Times New Roman" w:cs="Times New Roman"/>
          <w:noProof/>
          <w:color w:val="000000" w:themeColor="text1"/>
          <w:sz w:val="24"/>
          <w:szCs w:val="24"/>
        </w:rPr>
        <w:t>Clusters Excellence project, a delegation of six representatives of the Ukrainian Cluster Alliance (all women due to the war) took place in a 5-day ClusterXchange.</w:t>
      </w:r>
    </w:p>
    <w:p w14:paraId="0E557110" w14:textId="77777777" w:rsidR="00461640" w:rsidRPr="005F1FF6" w:rsidRDefault="00461640" w:rsidP="005F1FF6">
      <w:pPr>
        <w:spacing w:after="60" w:line="240" w:lineRule="auto"/>
        <w:rPr>
          <w:rFonts w:ascii="Times New Roman" w:eastAsia="Times New Roman" w:hAnsi="Times New Roman" w:cs="Times New Roman"/>
          <w:b/>
          <w:bCs/>
          <w:noProof/>
          <w:sz w:val="24"/>
          <w:szCs w:val="24"/>
          <w:lang w:eastAsia="fr-FR"/>
        </w:rPr>
      </w:pPr>
    </w:p>
    <w:p w14:paraId="34E31FBB" w14:textId="4918D585" w:rsidR="00461640" w:rsidRPr="005F1FF6" w:rsidRDefault="00461640" w:rsidP="005F1FF6">
      <w:pPr>
        <w:spacing w:after="60" w:line="240" w:lineRule="auto"/>
        <w:rPr>
          <w:rFonts w:ascii="Times New Roman" w:hAnsi="Times New Roman" w:cs="Times New Roman"/>
          <w:b/>
          <w:noProof/>
          <w:sz w:val="24"/>
          <w:szCs w:val="24"/>
          <w:u w:val="single"/>
        </w:rPr>
      </w:pPr>
      <w:r w:rsidRPr="005F1FF6">
        <w:rPr>
          <w:rFonts w:ascii="Times New Roman" w:eastAsia="Times New Roman" w:hAnsi="Times New Roman" w:cs="Times New Roman"/>
          <w:b/>
          <w:bCs/>
          <w:noProof/>
          <w:sz w:val="24"/>
          <w:szCs w:val="24"/>
          <w:u w:val="single"/>
          <w:lang w:eastAsia="fr-FR"/>
        </w:rPr>
        <w:t>Tourism</w:t>
      </w:r>
      <w:r w:rsidR="00317508" w:rsidRPr="005F1FF6">
        <w:rPr>
          <w:rFonts w:ascii="Times New Roman" w:eastAsia="Times New Roman" w:hAnsi="Times New Roman" w:cs="Times New Roman"/>
          <w:b/>
          <w:bCs/>
          <w:noProof/>
          <w:sz w:val="24"/>
          <w:szCs w:val="24"/>
          <w:u w:val="single"/>
          <w:lang w:eastAsia="fr-FR"/>
        </w:rPr>
        <w:t>,</w:t>
      </w:r>
      <w:r w:rsidR="00317508" w:rsidRPr="005F1FF6">
        <w:rPr>
          <w:rFonts w:ascii="Times New Roman" w:hAnsi="Times New Roman" w:cs="Times New Roman"/>
          <w:b/>
          <w:noProof/>
          <w:sz w:val="24"/>
          <w:szCs w:val="24"/>
          <w:u w:val="single"/>
        </w:rPr>
        <w:t xml:space="preserve"> fashion industries and lifestyle sector</w:t>
      </w:r>
    </w:p>
    <w:p w14:paraId="08450E19" w14:textId="7398EE56" w:rsidR="00461640" w:rsidRPr="005F1FF6" w:rsidRDefault="00461640" w:rsidP="005F1FF6">
      <w:pPr>
        <w:spacing w:after="60" w:line="240" w:lineRule="auto"/>
        <w:jc w:val="both"/>
        <w:rPr>
          <w:rFonts w:ascii="Times New Roman" w:eastAsia="Times New Roman" w:hAnsi="Times New Roman" w:cs="Times New Roman"/>
          <w:b/>
          <w:bCs/>
          <w:noProof/>
          <w:sz w:val="24"/>
          <w:szCs w:val="24"/>
          <w:lang w:eastAsia="fr-FR"/>
        </w:rPr>
      </w:pPr>
      <w:r w:rsidRPr="005F1FF6">
        <w:rPr>
          <w:rFonts w:ascii="Times New Roman" w:eastAsia="Times New Roman" w:hAnsi="Times New Roman" w:cs="Times New Roman"/>
          <w:bCs/>
          <w:noProof/>
          <w:sz w:val="24"/>
          <w:szCs w:val="24"/>
          <w:lang w:eastAsia="fr-FR"/>
        </w:rPr>
        <w:t xml:space="preserve">The ongoing </w:t>
      </w:r>
      <w:r w:rsidRPr="005F1FF6">
        <w:rPr>
          <w:rFonts w:ascii="Times New Roman" w:eastAsia="Times New Roman" w:hAnsi="Times New Roman" w:cs="Times New Roman"/>
          <w:b/>
          <w:bCs/>
          <w:noProof/>
          <w:sz w:val="24"/>
          <w:szCs w:val="24"/>
          <w:lang w:eastAsia="fr-FR"/>
        </w:rPr>
        <w:t>tourism</w:t>
      </w:r>
      <w:r w:rsidRPr="005F1FF6">
        <w:rPr>
          <w:rFonts w:ascii="Times New Roman" w:eastAsia="Times New Roman" w:hAnsi="Times New Roman" w:cs="Times New Roman"/>
          <w:bCs/>
          <w:noProof/>
          <w:sz w:val="24"/>
          <w:szCs w:val="24"/>
          <w:lang w:eastAsia="fr-FR"/>
        </w:rPr>
        <w:t xml:space="preserve"> sector projects supported </w:t>
      </w:r>
      <w:r w:rsidR="0041273B" w:rsidRPr="005F1FF6">
        <w:rPr>
          <w:rFonts w:ascii="Times New Roman" w:eastAsia="Times New Roman" w:hAnsi="Times New Roman" w:cs="Times New Roman"/>
          <w:bCs/>
          <w:noProof/>
          <w:sz w:val="24"/>
          <w:szCs w:val="24"/>
          <w:lang w:eastAsia="fr-FR"/>
        </w:rPr>
        <w:t xml:space="preserve">under the </w:t>
      </w:r>
      <w:r w:rsidRPr="005F1FF6">
        <w:rPr>
          <w:rFonts w:ascii="Times New Roman" w:eastAsia="Times New Roman" w:hAnsi="Times New Roman" w:cs="Times New Roman"/>
          <w:bCs/>
          <w:noProof/>
          <w:sz w:val="24"/>
          <w:szCs w:val="24"/>
          <w:lang w:eastAsia="fr-FR"/>
        </w:rPr>
        <w:t>2020 budget are helping SMEs boost their uptake of digitalisation, innovation, new technologies and smart tourism</w:t>
      </w:r>
      <w:r w:rsidR="005272C0" w:rsidRPr="005F1FF6">
        <w:rPr>
          <w:rFonts w:ascii="Times New Roman" w:eastAsia="Times New Roman" w:hAnsi="Times New Roman" w:cs="Times New Roman"/>
          <w:bCs/>
          <w:noProof/>
          <w:sz w:val="24"/>
          <w:szCs w:val="24"/>
          <w:lang w:eastAsia="fr-FR"/>
        </w:rPr>
        <w:t xml:space="preserve"> by </w:t>
      </w:r>
      <w:r w:rsidRPr="005F1FF6">
        <w:rPr>
          <w:rFonts w:ascii="Times New Roman" w:eastAsia="Times New Roman" w:hAnsi="Times New Roman" w:cs="Times New Roman"/>
          <w:bCs/>
          <w:noProof/>
          <w:sz w:val="24"/>
          <w:szCs w:val="24"/>
          <w:lang w:eastAsia="fr-FR"/>
        </w:rPr>
        <w:t>strengthen</w:t>
      </w:r>
      <w:r w:rsidR="005272C0" w:rsidRPr="005F1FF6">
        <w:rPr>
          <w:rFonts w:ascii="Times New Roman" w:eastAsia="Times New Roman" w:hAnsi="Times New Roman" w:cs="Times New Roman"/>
          <w:bCs/>
          <w:noProof/>
          <w:sz w:val="24"/>
          <w:szCs w:val="24"/>
          <w:lang w:eastAsia="fr-FR"/>
        </w:rPr>
        <w:t>ing</w:t>
      </w:r>
      <w:r w:rsidRPr="005F1FF6">
        <w:rPr>
          <w:rFonts w:ascii="Times New Roman" w:eastAsia="Times New Roman" w:hAnsi="Times New Roman" w:cs="Times New Roman"/>
          <w:bCs/>
          <w:noProof/>
          <w:sz w:val="24"/>
          <w:szCs w:val="24"/>
          <w:lang w:eastAsia="fr-FR"/>
        </w:rPr>
        <w:t xml:space="preserve"> their transnational cooperation and notably their connections with transnational innovation ecosystems.</w:t>
      </w:r>
      <w:r w:rsidR="001D104C" w:rsidRPr="005F1FF6">
        <w:rPr>
          <w:rFonts w:ascii="Times New Roman" w:eastAsia="Times New Roman" w:hAnsi="Times New Roman" w:cs="Times New Roman"/>
          <w:bCs/>
          <w:noProof/>
          <w:sz w:val="24"/>
          <w:szCs w:val="24"/>
          <w:lang w:eastAsia="fr-FR"/>
        </w:rPr>
        <w:t xml:space="preserve"> </w:t>
      </w:r>
      <w:r w:rsidRPr="005F1FF6">
        <w:rPr>
          <w:rFonts w:ascii="Times New Roman" w:eastAsia="Times New Roman" w:hAnsi="Times New Roman" w:cs="Times New Roman"/>
          <w:bCs/>
          <w:noProof/>
          <w:sz w:val="24"/>
          <w:szCs w:val="24"/>
          <w:lang w:eastAsia="fr-FR"/>
        </w:rPr>
        <w:t>The</w:t>
      </w:r>
      <w:r w:rsidR="005272C0" w:rsidRPr="005F1FF6">
        <w:rPr>
          <w:rFonts w:ascii="Times New Roman" w:eastAsia="Times New Roman" w:hAnsi="Times New Roman" w:cs="Times New Roman"/>
          <w:bCs/>
          <w:noProof/>
          <w:sz w:val="24"/>
          <w:szCs w:val="24"/>
          <w:lang w:eastAsia="fr-FR"/>
        </w:rPr>
        <w:t>se projects</w:t>
      </w:r>
      <w:r w:rsidRPr="005F1FF6">
        <w:rPr>
          <w:rFonts w:ascii="Times New Roman" w:eastAsia="Times New Roman" w:hAnsi="Times New Roman" w:cs="Times New Roman"/>
          <w:bCs/>
          <w:noProof/>
          <w:sz w:val="24"/>
          <w:szCs w:val="24"/>
          <w:lang w:eastAsia="fr-FR"/>
        </w:rPr>
        <w:t xml:space="preserve"> </w:t>
      </w:r>
      <w:r w:rsidR="001D104C" w:rsidRPr="005F1FF6">
        <w:rPr>
          <w:rFonts w:ascii="Times New Roman" w:eastAsia="Times New Roman" w:hAnsi="Times New Roman" w:cs="Times New Roman"/>
          <w:bCs/>
          <w:noProof/>
          <w:sz w:val="24"/>
          <w:szCs w:val="24"/>
          <w:lang w:eastAsia="fr-FR"/>
        </w:rPr>
        <w:t>include</w:t>
      </w:r>
      <w:r w:rsidRPr="005F1FF6">
        <w:rPr>
          <w:rFonts w:ascii="Times New Roman" w:eastAsia="Times New Roman" w:hAnsi="Times New Roman" w:cs="Times New Roman"/>
          <w:bCs/>
          <w:noProof/>
          <w:sz w:val="24"/>
          <w:szCs w:val="24"/>
          <w:lang w:eastAsia="fr-FR"/>
        </w:rPr>
        <w:t xml:space="preserve"> direct financial support to SMEs for training and helping them adapt their business processes.</w:t>
      </w:r>
      <w:r w:rsidRPr="005F1FF6">
        <w:rPr>
          <w:rFonts w:ascii="Times New Roman" w:eastAsia="Times New Roman" w:hAnsi="Times New Roman" w:cs="Times New Roman"/>
          <w:b/>
          <w:bCs/>
          <w:noProof/>
          <w:sz w:val="24"/>
          <w:szCs w:val="24"/>
          <w:lang w:eastAsia="fr-FR"/>
        </w:rPr>
        <w:t xml:space="preserve"> </w:t>
      </w:r>
      <w:r w:rsidRPr="005F1FF6">
        <w:rPr>
          <w:rFonts w:ascii="Times New Roman" w:eastAsia="Times New Roman" w:hAnsi="Times New Roman" w:cs="Times New Roman"/>
          <w:bCs/>
          <w:noProof/>
          <w:sz w:val="24"/>
          <w:szCs w:val="24"/>
          <w:lang w:eastAsia="fr-FR"/>
        </w:rPr>
        <w:t xml:space="preserve">There are 9 ongoing projects with </w:t>
      </w:r>
      <w:r w:rsidR="0023740C" w:rsidRPr="005F1FF6">
        <w:rPr>
          <w:rFonts w:ascii="Times New Roman" w:eastAsia="Times New Roman" w:hAnsi="Times New Roman" w:cs="Times New Roman"/>
          <w:bCs/>
          <w:noProof/>
          <w:sz w:val="24"/>
          <w:szCs w:val="24"/>
          <w:lang w:eastAsia="fr-FR"/>
        </w:rPr>
        <w:t>7</w:t>
      </w:r>
      <w:r w:rsidR="00156097" w:rsidRPr="005F1FF6">
        <w:rPr>
          <w:rFonts w:ascii="Times New Roman" w:eastAsia="Times New Roman" w:hAnsi="Times New Roman" w:cs="Times New Roman"/>
          <w:bCs/>
          <w:noProof/>
          <w:sz w:val="24"/>
          <w:szCs w:val="24"/>
          <w:lang w:eastAsia="fr-FR"/>
        </w:rPr>
        <w:t>3</w:t>
      </w:r>
      <w:r w:rsidR="0023740C" w:rsidRPr="005F1FF6">
        <w:rPr>
          <w:rFonts w:ascii="Times New Roman" w:eastAsia="Times New Roman" w:hAnsi="Times New Roman" w:cs="Times New Roman"/>
          <w:bCs/>
          <w:noProof/>
          <w:sz w:val="24"/>
          <w:szCs w:val="24"/>
          <w:lang w:eastAsia="fr-FR"/>
        </w:rPr>
        <w:t xml:space="preserve"> partner organisations i</w:t>
      </w:r>
      <w:r w:rsidRPr="005F1FF6">
        <w:rPr>
          <w:rFonts w:ascii="Times New Roman" w:eastAsia="Times New Roman" w:hAnsi="Times New Roman" w:cs="Times New Roman"/>
          <w:bCs/>
          <w:noProof/>
          <w:sz w:val="24"/>
          <w:szCs w:val="24"/>
          <w:lang w:eastAsia="fr-FR"/>
        </w:rPr>
        <w:t xml:space="preserve">n </w:t>
      </w:r>
      <w:r w:rsidR="0023740C" w:rsidRPr="005F1FF6">
        <w:rPr>
          <w:rFonts w:ascii="Times New Roman" w:eastAsia="Times New Roman" w:hAnsi="Times New Roman" w:cs="Times New Roman"/>
          <w:bCs/>
          <w:noProof/>
          <w:sz w:val="24"/>
          <w:szCs w:val="24"/>
          <w:lang w:eastAsia="fr-FR"/>
        </w:rPr>
        <w:t>2</w:t>
      </w:r>
      <w:r w:rsidR="0004713E" w:rsidRPr="005F1FF6">
        <w:rPr>
          <w:rFonts w:ascii="Times New Roman" w:eastAsia="Times New Roman" w:hAnsi="Times New Roman" w:cs="Times New Roman"/>
          <w:bCs/>
          <w:noProof/>
          <w:sz w:val="24"/>
          <w:szCs w:val="24"/>
          <w:lang w:eastAsia="fr-FR"/>
        </w:rPr>
        <w:t>5 countries</w:t>
      </w:r>
      <w:r w:rsidR="0023740C" w:rsidRPr="005F1FF6">
        <w:rPr>
          <w:rStyle w:val="FootnoteReference"/>
          <w:rFonts w:ascii="Times New Roman" w:eastAsia="Times New Roman" w:hAnsi="Times New Roman" w:cs="Times New Roman"/>
          <w:bCs/>
          <w:noProof/>
          <w:sz w:val="24"/>
          <w:szCs w:val="24"/>
          <w:lang w:eastAsia="fr-FR"/>
        </w:rPr>
        <w:footnoteReference w:id="27"/>
      </w:r>
      <w:r w:rsidR="003441EA" w:rsidRPr="005F1FF6">
        <w:rPr>
          <w:rFonts w:ascii="Times New Roman" w:eastAsia="Times New Roman" w:hAnsi="Times New Roman" w:cs="Times New Roman"/>
          <w:noProof/>
          <w:sz w:val="24"/>
          <w:szCs w:val="24"/>
          <w:lang w:eastAsia="fr-FR"/>
        </w:rPr>
        <w:t>.</w:t>
      </w:r>
      <w:r w:rsidR="00432079" w:rsidRPr="005F1FF6">
        <w:rPr>
          <w:rFonts w:ascii="Times New Roman" w:eastAsia="Times New Roman" w:hAnsi="Times New Roman" w:cs="Times New Roman"/>
          <w:noProof/>
          <w:sz w:val="24"/>
          <w:szCs w:val="24"/>
          <w:lang w:eastAsia="fr-FR"/>
        </w:rPr>
        <w:t xml:space="preserve"> </w:t>
      </w:r>
      <w:r w:rsidR="00432079" w:rsidRPr="005F1FF6">
        <w:rPr>
          <w:rFonts w:ascii="Times New Roman" w:eastAsia="Times New Roman" w:hAnsi="Times New Roman" w:cs="Times New Roman"/>
          <w:bCs/>
          <w:noProof/>
          <w:sz w:val="24"/>
          <w:szCs w:val="24"/>
          <w:lang w:eastAsia="fr-FR"/>
        </w:rPr>
        <w:t>Some of these projects also support sustainability and climate goals.</w:t>
      </w:r>
    </w:p>
    <w:p w14:paraId="0768BB0D" w14:textId="4EF28C90" w:rsidR="00317508" w:rsidRPr="005F1FF6" w:rsidRDefault="00317508" w:rsidP="005F1FF6">
      <w:pPr>
        <w:spacing w:before="120" w:after="60" w:line="240" w:lineRule="auto"/>
        <w:jc w:val="both"/>
        <w:rPr>
          <w:rFonts w:ascii="Times New Roman" w:eastAsia="Times New Roman" w:hAnsi="Times New Roman" w:cs="Times New Roman"/>
          <w:bCs/>
          <w:noProof/>
          <w:sz w:val="24"/>
          <w:szCs w:val="24"/>
          <w:lang w:eastAsia="fr-FR"/>
        </w:rPr>
      </w:pPr>
      <w:r w:rsidRPr="005F1FF6">
        <w:rPr>
          <w:rFonts w:ascii="Times New Roman" w:hAnsi="Times New Roman" w:cs="Times New Roman"/>
          <w:noProof/>
          <w:sz w:val="24"/>
          <w:szCs w:val="24"/>
        </w:rPr>
        <w:t xml:space="preserve">The </w:t>
      </w:r>
      <w:r w:rsidRPr="005F1FF6">
        <w:rPr>
          <w:rFonts w:ascii="Times New Roman" w:hAnsi="Times New Roman" w:cs="Times New Roman"/>
          <w:b/>
          <w:noProof/>
          <w:sz w:val="24"/>
          <w:szCs w:val="24"/>
        </w:rPr>
        <w:t>WORTH project</w:t>
      </w:r>
      <w:r w:rsidRPr="005F1FF6">
        <w:rPr>
          <w:rFonts w:ascii="Times New Roman" w:hAnsi="Times New Roman" w:cs="Times New Roman"/>
          <w:noProof/>
          <w:sz w:val="24"/>
          <w:szCs w:val="24"/>
        </w:rPr>
        <w:t xml:space="preserve"> </w:t>
      </w:r>
      <w:r w:rsidR="00BD240A" w:rsidRPr="005F1FF6">
        <w:rPr>
          <w:rFonts w:ascii="Times New Roman" w:hAnsi="Times New Roman" w:cs="Times New Roman"/>
          <w:noProof/>
          <w:sz w:val="24"/>
          <w:szCs w:val="24"/>
        </w:rPr>
        <w:t xml:space="preserve">funded under the COSME 2020 budget </w:t>
      </w:r>
      <w:r w:rsidRPr="005F1FF6">
        <w:rPr>
          <w:rFonts w:ascii="Times New Roman" w:hAnsi="Times New Roman" w:cs="Times New Roman"/>
          <w:noProof/>
          <w:sz w:val="24"/>
          <w:szCs w:val="24"/>
        </w:rPr>
        <w:t>aims to strengthen the innovation capacities and competitiveness of SMEs in the fashion industries and the lifestyle sector</w:t>
      </w:r>
      <w:r w:rsidR="00BD240A" w:rsidRPr="005F1FF6">
        <w:rPr>
          <w:rFonts w:ascii="Times New Roman" w:hAnsi="Times New Roman" w:cs="Times New Roman"/>
          <w:noProof/>
          <w:sz w:val="24"/>
          <w:szCs w:val="24"/>
        </w:rPr>
        <w:t xml:space="preserve"> and assist them with their</w:t>
      </w:r>
      <w:r w:rsidR="00554323" w:rsidRPr="005F1FF6">
        <w:rPr>
          <w:rFonts w:ascii="Times New Roman" w:hAnsi="Times New Roman" w:cs="Times New Roman"/>
          <w:noProof/>
          <w:sz w:val="24"/>
          <w:szCs w:val="24"/>
        </w:rPr>
        <w:t xml:space="preserve"> transition towards climate neutrality and digital leadership</w:t>
      </w:r>
      <w:r w:rsidRPr="005F1FF6">
        <w:rPr>
          <w:rStyle w:val="FootnoteReference"/>
          <w:rFonts w:ascii="Times New Roman" w:hAnsi="Times New Roman" w:cs="Times New Roman"/>
          <w:noProof/>
          <w:sz w:val="24"/>
          <w:szCs w:val="24"/>
        </w:rPr>
        <w:footnoteReference w:id="28"/>
      </w:r>
      <w:r w:rsidR="00684D0B" w:rsidRPr="005F1FF6">
        <w:rPr>
          <w:rFonts w:ascii="Times New Roman" w:hAnsi="Times New Roman" w:cs="Times New Roman"/>
          <w:noProof/>
          <w:sz w:val="24"/>
          <w:szCs w:val="24"/>
        </w:rPr>
        <w:t xml:space="preserve">. </w:t>
      </w:r>
      <w:r w:rsidR="00554323" w:rsidRPr="005F1FF6">
        <w:rPr>
          <w:rFonts w:ascii="Times New Roman" w:hAnsi="Times New Roman" w:cs="Times New Roman"/>
          <w:noProof/>
          <w:sz w:val="24"/>
          <w:szCs w:val="24"/>
        </w:rPr>
        <w:t xml:space="preserve">It supports </w:t>
      </w:r>
      <w:r w:rsidRPr="005F1FF6">
        <w:rPr>
          <w:rFonts w:ascii="Times New Roman" w:hAnsi="Times New Roman" w:cs="Times New Roman"/>
          <w:noProof/>
          <w:sz w:val="24"/>
          <w:szCs w:val="24"/>
        </w:rPr>
        <w:t xml:space="preserve">transnational partnerships between </w:t>
      </w:r>
      <w:r w:rsidRPr="005F1FF6">
        <w:rPr>
          <w:rFonts w:ascii="Times New Roman" w:eastAsia="Times New Roman" w:hAnsi="Times New Roman" w:cs="Times New Roman"/>
          <w:bCs/>
          <w:noProof/>
          <w:sz w:val="24"/>
          <w:szCs w:val="24"/>
          <w:lang w:eastAsia="fr-FR"/>
        </w:rPr>
        <w:t>designers, SMEs, manufacturers and tech</w:t>
      </w:r>
      <w:r w:rsidR="00373F01" w:rsidRPr="005F1FF6">
        <w:rPr>
          <w:rFonts w:ascii="Times New Roman" w:eastAsia="Times New Roman" w:hAnsi="Times New Roman" w:cs="Times New Roman"/>
          <w:bCs/>
          <w:noProof/>
          <w:sz w:val="24"/>
          <w:szCs w:val="24"/>
          <w:lang w:eastAsia="fr-FR"/>
        </w:rPr>
        <w:t>nology</w:t>
      </w:r>
      <w:r w:rsidRPr="005F1FF6">
        <w:rPr>
          <w:rFonts w:ascii="Times New Roman" w:eastAsia="Times New Roman" w:hAnsi="Times New Roman" w:cs="Times New Roman"/>
          <w:bCs/>
          <w:noProof/>
          <w:sz w:val="24"/>
          <w:szCs w:val="24"/>
          <w:lang w:eastAsia="fr-FR"/>
        </w:rPr>
        <w:t xml:space="preserve"> providers </w:t>
      </w:r>
      <w:r w:rsidR="00452C6A" w:rsidRPr="005F1FF6">
        <w:rPr>
          <w:rFonts w:ascii="Times New Roman" w:eastAsia="Times New Roman" w:hAnsi="Times New Roman" w:cs="Times New Roman"/>
          <w:bCs/>
          <w:noProof/>
          <w:sz w:val="24"/>
          <w:szCs w:val="24"/>
          <w:lang w:eastAsia="fr-FR"/>
        </w:rPr>
        <w:t xml:space="preserve">to </w:t>
      </w:r>
      <w:r w:rsidRPr="005F1FF6">
        <w:rPr>
          <w:rFonts w:ascii="Times New Roman" w:eastAsia="Times New Roman" w:hAnsi="Times New Roman" w:cs="Times New Roman"/>
          <w:bCs/>
          <w:noProof/>
          <w:sz w:val="24"/>
          <w:szCs w:val="24"/>
          <w:lang w:eastAsia="fr-FR"/>
        </w:rPr>
        <w:t xml:space="preserve">develop innovative, </w:t>
      </w:r>
      <w:r w:rsidR="00554323" w:rsidRPr="005F1FF6">
        <w:rPr>
          <w:rFonts w:ascii="Times New Roman" w:eastAsia="Times New Roman" w:hAnsi="Times New Roman" w:cs="Times New Roman"/>
          <w:bCs/>
          <w:noProof/>
          <w:sz w:val="24"/>
          <w:szCs w:val="24"/>
          <w:lang w:eastAsia="fr-FR"/>
        </w:rPr>
        <w:t xml:space="preserve">sustainable and </w:t>
      </w:r>
      <w:r w:rsidRPr="005F1FF6">
        <w:rPr>
          <w:rFonts w:ascii="Times New Roman" w:eastAsia="Times New Roman" w:hAnsi="Times New Roman" w:cs="Times New Roman"/>
          <w:bCs/>
          <w:noProof/>
          <w:sz w:val="24"/>
          <w:szCs w:val="24"/>
          <w:lang w:eastAsia="fr-FR"/>
        </w:rPr>
        <w:t>design-oriented business ideas.</w:t>
      </w:r>
      <w:r w:rsidR="0002774C" w:rsidRPr="005F1FF6">
        <w:rPr>
          <w:rFonts w:ascii="Times New Roman" w:eastAsia="Times New Roman" w:hAnsi="Times New Roman" w:cs="Times New Roman"/>
          <w:bCs/>
          <w:noProof/>
          <w:sz w:val="24"/>
          <w:szCs w:val="24"/>
          <w:lang w:eastAsia="fr-FR"/>
        </w:rPr>
        <w:t xml:space="preserve"> </w:t>
      </w:r>
      <w:r w:rsidRPr="005F1FF6">
        <w:rPr>
          <w:rFonts w:ascii="Times New Roman" w:eastAsia="Times New Roman" w:hAnsi="Times New Roman" w:cs="Times New Roman"/>
          <w:bCs/>
          <w:noProof/>
          <w:sz w:val="24"/>
          <w:szCs w:val="24"/>
          <w:lang w:eastAsia="fr-FR"/>
        </w:rPr>
        <w:t>Th</w:t>
      </w:r>
      <w:r w:rsidR="00AD57AF" w:rsidRPr="005F1FF6">
        <w:rPr>
          <w:rFonts w:ascii="Times New Roman" w:eastAsia="Times New Roman" w:hAnsi="Times New Roman" w:cs="Times New Roman"/>
          <w:bCs/>
          <w:noProof/>
          <w:sz w:val="24"/>
          <w:szCs w:val="24"/>
          <w:lang w:eastAsia="fr-FR"/>
        </w:rPr>
        <w:t>e</w:t>
      </w:r>
      <w:r w:rsidR="00741C49" w:rsidRPr="005F1FF6">
        <w:rPr>
          <w:rFonts w:ascii="Times New Roman" w:eastAsia="Times New Roman" w:hAnsi="Times New Roman" w:cs="Times New Roman"/>
          <w:bCs/>
          <w:noProof/>
          <w:sz w:val="24"/>
          <w:szCs w:val="24"/>
          <w:lang w:eastAsia="fr-FR"/>
        </w:rPr>
        <w:t xml:space="preserve"> partnerships benefit from an </w:t>
      </w:r>
      <w:r w:rsidRPr="005F1FF6">
        <w:rPr>
          <w:rFonts w:ascii="Times New Roman" w:eastAsia="Times New Roman" w:hAnsi="Times New Roman" w:cs="Times New Roman"/>
          <w:bCs/>
          <w:noProof/>
          <w:sz w:val="24"/>
          <w:szCs w:val="24"/>
          <w:lang w:eastAsia="fr-FR"/>
        </w:rPr>
        <w:t>incubation programme</w:t>
      </w:r>
      <w:r w:rsidR="00373F01" w:rsidRPr="005F1FF6">
        <w:rPr>
          <w:rFonts w:ascii="Times New Roman" w:eastAsia="Times New Roman" w:hAnsi="Times New Roman" w:cs="Times New Roman"/>
          <w:bCs/>
          <w:noProof/>
          <w:sz w:val="24"/>
          <w:szCs w:val="24"/>
          <w:lang w:eastAsia="fr-FR"/>
        </w:rPr>
        <w:t>, third</w:t>
      </w:r>
      <w:r w:rsidR="001207FF" w:rsidRPr="005F1FF6">
        <w:rPr>
          <w:rFonts w:ascii="Times New Roman" w:eastAsia="Times New Roman" w:hAnsi="Times New Roman" w:cs="Times New Roman"/>
          <w:bCs/>
          <w:noProof/>
          <w:sz w:val="24"/>
          <w:szCs w:val="24"/>
          <w:lang w:eastAsia="fr-FR"/>
        </w:rPr>
        <w:t>-</w:t>
      </w:r>
      <w:r w:rsidR="00373F01" w:rsidRPr="005F1FF6">
        <w:rPr>
          <w:rFonts w:ascii="Times New Roman" w:eastAsia="Times New Roman" w:hAnsi="Times New Roman" w:cs="Times New Roman"/>
          <w:bCs/>
          <w:noProof/>
          <w:sz w:val="24"/>
          <w:szCs w:val="24"/>
          <w:lang w:eastAsia="fr-FR"/>
        </w:rPr>
        <w:t>party</w:t>
      </w:r>
      <w:r w:rsidRPr="005F1FF6">
        <w:rPr>
          <w:rFonts w:ascii="Times New Roman" w:eastAsia="Times New Roman" w:hAnsi="Times New Roman" w:cs="Times New Roman"/>
          <w:bCs/>
          <w:noProof/>
          <w:sz w:val="24"/>
          <w:szCs w:val="24"/>
          <w:lang w:eastAsia="fr-FR"/>
        </w:rPr>
        <w:t xml:space="preserve"> financial support</w:t>
      </w:r>
      <w:r w:rsidR="00AD57AF" w:rsidRPr="005F1FF6">
        <w:rPr>
          <w:rFonts w:ascii="Times New Roman" w:eastAsia="Times New Roman" w:hAnsi="Times New Roman" w:cs="Times New Roman"/>
          <w:bCs/>
          <w:noProof/>
          <w:sz w:val="24"/>
          <w:szCs w:val="24"/>
          <w:lang w:eastAsia="fr-FR"/>
        </w:rPr>
        <w:t xml:space="preserve"> (</w:t>
      </w:r>
      <w:r w:rsidRPr="005F1FF6">
        <w:rPr>
          <w:rFonts w:ascii="Times New Roman" w:eastAsia="Times New Roman" w:hAnsi="Times New Roman" w:cs="Times New Roman"/>
          <w:bCs/>
          <w:noProof/>
          <w:sz w:val="24"/>
          <w:szCs w:val="24"/>
          <w:lang w:eastAsia="fr-FR"/>
        </w:rPr>
        <w:t>EUR</w:t>
      </w:r>
      <w:r w:rsidR="00FE2948" w:rsidRPr="005F1FF6">
        <w:rPr>
          <w:rFonts w:ascii="Times New Roman" w:eastAsia="Times New Roman" w:hAnsi="Times New Roman" w:cs="Times New Roman"/>
          <w:bCs/>
          <w:noProof/>
          <w:sz w:val="24"/>
          <w:szCs w:val="24"/>
          <w:lang w:eastAsia="fr-FR"/>
        </w:rPr>
        <w:t> </w:t>
      </w:r>
      <w:r w:rsidRPr="005F1FF6">
        <w:rPr>
          <w:rFonts w:ascii="Times New Roman" w:eastAsia="Times New Roman" w:hAnsi="Times New Roman" w:cs="Times New Roman"/>
          <w:bCs/>
          <w:noProof/>
          <w:sz w:val="24"/>
          <w:szCs w:val="24"/>
          <w:lang w:eastAsia="fr-FR"/>
        </w:rPr>
        <w:t>10</w:t>
      </w:r>
      <w:r w:rsidR="00FE2948" w:rsidRPr="005F1FF6">
        <w:rPr>
          <w:rFonts w:ascii="Times New Roman" w:eastAsia="Times New Roman" w:hAnsi="Times New Roman" w:cs="Times New Roman"/>
          <w:bCs/>
          <w:noProof/>
          <w:sz w:val="24"/>
          <w:szCs w:val="24"/>
          <w:lang w:eastAsia="fr-FR"/>
        </w:rPr>
        <w:t> </w:t>
      </w:r>
      <w:r w:rsidRPr="005F1FF6">
        <w:rPr>
          <w:rFonts w:ascii="Times New Roman" w:eastAsia="Times New Roman" w:hAnsi="Times New Roman" w:cs="Times New Roman"/>
          <w:bCs/>
          <w:noProof/>
          <w:sz w:val="24"/>
          <w:szCs w:val="24"/>
          <w:lang w:eastAsia="fr-FR"/>
        </w:rPr>
        <w:t>000</w:t>
      </w:r>
      <w:r w:rsidR="00AD57AF" w:rsidRPr="005F1FF6">
        <w:rPr>
          <w:rFonts w:ascii="Times New Roman" w:eastAsia="Times New Roman" w:hAnsi="Times New Roman" w:cs="Times New Roman"/>
          <w:bCs/>
          <w:noProof/>
          <w:sz w:val="24"/>
          <w:szCs w:val="24"/>
          <w:lang w:eastAsia="fr-FR"/>
        </w:rPr>
        <w:t>-</w:t>
      </w:r>
      <w:r w:rsidRPr="005F1FF6">
        <w:rPr>
          <w:rFonts w:ascii="Times New Roman" w:eastAsia="Times New Roman" w:hAnsi="Times New Roman" w:cs="Times New Roman"/>
          <w:bCs/>
          <w:noProof/>
          <w:sz w:val="24"/>
          <w:szCs w:val="24"/>
          <w:lang w:eastAsia="fr-FR"/>
        </w:rPr>
        <w:t>20</w:t>
      </w:r>
      <w:r w:rsidR="00FE2948" w:rsidRPr="005F1FF6">
        <w:rPr>
          <w:rFonts w:ascii="Times New Roman" w:eastAsia="Times New Roman" w:hAnsi="Times New Roman" w:cs="Times New Roman"/>
          <w:bCs/>
          <w:noProof/>
          <w:sz w:val="24"/>
          <w:szCs w:val="24"/>
          <w:lang w:eastAsia="fr-FR"/>
        </w:rPr>
        <w:t> </w:t>
      </w:r>
      <w:r w:rsidRPr="005F1FF6">
        <w:rPr>
          <w:rFonts w:ascii="Times New Roman" w:eastAsia="Times New Roman" w:hAnsi="Times New Roman" w:cs="Times New Roman"/>
          <w:bCs/>
          <w:noProof/>
          <w:sz w:val="24"/>
          <w:szCs w:val="24"/>
          <w:lang w:eastAsia="fr-FR"/>
        </w:rPr>
        <w:t>000</w:t>
      </w:r>
      <w:r w:rsidR="00AD57AF" w:rsidRPr="005F1FF6">
        <w:rPr>
          <w:rFonts w:ascii="Times New Roman" w:eastAsia="Times New Roman" w:hAnsi="Times New Roman" w:cs="Times New Roman"/>
          <w:bCs/>
          <w:noProof/>
          <w:sz w:val="24"/>
          <w:szCs w:val="24"/>
          <w:lang w:eastAsia="fr-FR"/>
        </w:rPr>
        <w:t>),</w:t>
      </w:r>
      <w:r w:rsidRPr="005F1FF6">
        <w:rPr>
          <w:rFonts w:ascii="Times New Roman" w:eastAsia="Times New Roman" w:hAnsi="Times New Roman" w:cs="Times New Roman"/>
          <w:bCs/>
          <w:noProof/>
          <w:sz w:val="24"/>
          <w:szCs w:val="24"/>
          <w:lang w:eastAsia="fr-FR"/>
        </w:rPr>
        <w:t xml:space="preserve"> coaching</w:t>
      </w:r>
      <w:r w:rsidR="00310498" w:rsidRPr="005F1FF6">
        <w:rPr>
          <w:rFonts w:ascii="Times New Roman" w:eastAsia="Times New Roman" w:hAnsi="Times New Roman" w:cs="Times New Roman"/>
          <w:bCs/>
          <w:noProof/>
          <w:sz w:val="24"/>
          <w:szCs w:val="24"/>
          <w:lang w:eastAsia="fr-FR"/>
        </w:rPr>
        <w:t>,</w:t>
      </w:r>
      <w:r w:rsidRPr="005F1FF6">
        <w:rPr>
          <w:rFonts w:ascii="Times New Roman" w:eastAsia="Times New Roman" w:hAnsi="Times New Roman" w:cs="Times New Roman"/>
          <w:bCs/>
          <w:noProof/>
          <w:sz w:val="24"/>
          <w:szCs w:val="24"/>
          <w:lang w:eastAsia="fr-FR"/>
        </w:rPr>
        <w:t xml:space="preserve"> legal advice on intellectual property matters and support for networking.</w:t>
      </w:r>
      <w:r w:rsidR="00FE2948" w:rsidRPr="005F1FF6">
        <w:rPr>
          <w:rFonts w:ascii="Times New Roman" w:eastAsia="Times New Roman" w:hAnsi="Times New Roman" w:cs="Times New Roman"/>
          <w:bCs/>
          <w:noProof/>
          <w:sz w:val="24"/>
          <w:szCs w:val="24"/>
          <w:lang w:eastAsia="fr-FR"/>
        </w:rPr>
        <w:t xml:space="preserve"> </w:t>
      </w:r>
      <w:r w:rsidR="000F36A1" w:rsidRPr="005F1FF6">
        <w:rPr>
          <w:rFonts w:ascii="Times New Roman" w:eastAsia="Times New Roman" w:hAnsi="Times New Roman" w:cs="Times New Roman"/>
          <w:bCs/>
          <w:noProof/>
          <w:sz w:val="24"/>
          <w:szCs w:val="24"/>
          <w:lang w:eastAsia="fr-FR"/>
        </w:rPr>
        <w:t>I</w:t>
      </w:r>
      <w:r w:rsidR="00741C49" w:rsidRPr="005F1FF6">
        <w:rPr>
          <w:rFonts w:ascii="Times New Roman" w:eastAsia="Times New Roman" w:hAnsi="Times New Roman" w:cs="Times New Roman"/>
          <w:bCs/>
          <w:noProof/>
          <w:sz w:val="24"/>
          <w:szCs w:val="24"/>
          <w:lang w:eastAsia="fr-FR"/>
        </w:rPr>
        <w:t>n response to t</w:t>
      </w:r>
      <w:r w:rsidR="00373F01" w:rsidRPr="005F1FF6">
        <w:rPr>
          <w:rFonts w:ascii="Times New Roman" w:eastAsia="Times New Roman" w:hAnsi="Times New Roman" w:cs="Times New Roman"/>
          <w:bCs/>
          <w:noProof/>
          <w:sz w:val="24"/>
          <w:szCs w:val="24"/>
          <w:lang w:eastAsia="fr-FR"/>
        </w:rPr>
        <w:t xml:space="preserve">he first call </w:t>
      </w:r>
      <w:r w:rsidR="007C3B1C" w:rsidRPr="005F1FF6">
        <w:rPr>
          <w:rFonts w:ascii="Times New Roman" w:eastAsia="Times New Roman" w:hAnsi="Times New Roman" w:cs="Times New Roman"/>
          <w:bCs/>
          <w:noProof/>
          <w:sz w:val="24"/>
          <w:szCs w:val="24"/>
          <w:lang w:eastAsia="fr-FR"/>
        </w:rPr>
        <w:t>for partnerships (third</w:t>
      </w:r>
      <w:r w:rsidR="0041273B" w:rsidRPr="005F1FF6">
        <w:rPr>
          <w:rFonts w:ascii="Times New Roman" w:eastAsia="Times New Roman" w:hAnsi="Times New Roman" w:cs="Times New Roman"/>
          <w:bCs/>
          <w:noProof/>
          <w:sz w:val="24"/>
          <w:szCs w:val="24"/>
          <w:lang w:eastAsia="fr-FR"/>
        </w:rPr>
        <w:t>-</w:t>
      </w:r>
      <w:r w:rsidR="007C3B1C" w:rsidRPr="005F1FF6">
        <w:rPr>
          <w:rFonts w:ascii="Times New Roman" w:eastAsia="Times New Roman" w:hAnsi="Times New Roman" w:cs="Times New Roman"/>
          <w:bCs/>
          <w:noProof/>
          <w:sz w:val="24"/>
          <w:szCs w:val="24"/>
          <w:lang w:eastAsia="fr-FR"/>
        </w:rPr>
        <w:t xml:space="preserve">party finance) </w:t>
      </w:r>
      <w:r w:rsidR="00373F01" w:rsidRPr="005F1FF6">
        <w:rPr>
          <w:rFonts w:ascii="Times New Roman" w:eastAsia="Times New Roman" w:hAnsi="Times New Roman" w:cs="Times New Roman"/>
          <w:bCs/>
          <w:noProof/>
          <w:sz w:val="24"/>
          <w:szCs w:val="24"/>
          <w:lang w:eastAsia="fr-FR"/>
        </w:rPr>
        <w:t xml:space="preserve">focusing on </w:t>
      </w:r>
      <w:r w:rsidR="001207FF" w:rsidRPr="005F1FF6">
        <w:rPr>
          <w:rFonts w:ascii="Times New Roman" w:eastAsia="Times New Roman" w:hAnsi="Times New Roman" w:cs="Times New Roman"/>
          <w:bCs/>
          <w:noProof/>
          <w:sz w:val="24"/>
          <w:szCs w:val="24"/>
          <w:lang w:eastAsia="fr-FR"/>
        </w:rPr>
        <w:t xml:space="preserve">the </w:t>
      </w:r>
      <w:r w:rsidR="00373F01" w:rsidRPr="005F1FF6">
        <w:rPr>
          <w:rFonts w:ascii="Times New Roman" w:eastAsia="Times New Roman" w:hAnsi="Times New Roman" w:cs="Times New Roman"/>
          <w:bCs/>
          <w:noProof/>
          <w:sz w:val="24"/>
          <w:szCs w:val="24"/>
          <w:lang w:eastAsia="fr-FR"/>
        </w:rPr>
        <w:t>European Bauhaus</w:t>
      </w:r>
      <w:r w:rsidR="001207FF" w:rsidRPr="005F1FF6">
        <w:rPr>
          <w:rFonts w:ascii="Times New Roman" w:eastAsia="Times New Roman" w:hAnsi="Times New Roman" w:cs="Times New Roman"/>
          <w:bCs/>
          <w:noProof/>
          <w:sz w:val="24"/>
          <w:szCs w:val="24"/>
          <w:lang w:eastAsia="fr-FR"/>
        </w:rPr>
        <w:t>,</w:t>
      </w:r>
      <w:r w:rsidR="000F36A1" w:rsidRPr="005F1FF6">
        <w:rPr>
          <w:rFonts w:ascii="Times New Roman" w:eastAsia="Times New Roman" w:hAnsi="Times New Roman" w:cs="Times New Roman"/>
          <w:bCs/>
          <w:noProof/>
          <w:sz w:val="24"/>
          <w:szCs w:val="24"/>
          <w:lang w:eastAsia="fr-FR"/>
        </w:rPr>
        <w:t xml:space="preserve"> 65 partnerships were selected</w:t>
      </w:r>
      <w:r w:rsidR="00741C49" w:rsidRPr="005F1FF6">
        <w:rPr>
          <w:rFonts w:ascii="Times New Roman" w:eastAsia="Times New Roman" w:hAnsi="Times New Roman" w:cs="Times New Roman"/>
          <w:bCs/>
          <w:noProof/>
          <w:sz w:val="24"/>
          <w:szCs w:val="24"/>
          <w:lang w:eastAsia="fr-FR"/>
        </w:rPr>
        <w:t>. The</w:t>
      </w:r>
      <w:r w:rsidR="00AD57AF" w:rsidRPr="005F1FF6">
        <w:rPr>
          <w:rFonts w:ascii="Times New Roman" w:eastAsia="Times New Roman" w:hAnsi="Times New Roman" w:cs="Times New Roman"/>
          <w:bCs/>
          <w:noProof/>
          <w:sz w:val="24"/>
          <w:szCs w:val="24"/>
          <w:lang w:eastAsia="fr-FR"/>
        </w:rPr>
        <w:t xml:space="preserve"> </w:t>
      </w:r>
      <w:r w:rsidR="00373F01" w:rsidRPr="005F1FF6">
        <w:rPr>
          <w:rFonts w:ascii="Times New Roman" w:eastAsia="Times New Roman" w:hAnsi="Times New Roman" w:cs="Times New Roman"/>
          <w:bCs/>
          <w:noProof/>
          <w:sz w:val="24"/>
          <w:szCs w:val="24"/>
          <w:lang w:eastAsia="fr-FR"/>
        </w:rPr>
        <w:t xml:space="preserve">10-month incubation programme </w:t>
      </w:r>
      <w:r w:rsidR="00AD57AF" w:rsidRPr="005F1FF6">
        <w:rPr>
          <w:rFonts w:ascii="Times New Roman" w:eastAsia="Times New Roman" w:hAnsi="Times New Roman" w:cs="Times New Roman"/>
          <w:bCs/>
          <w:noProof/>
          <w:sz w:val="24"/>
          <w:szCs w:val="24"/>
          <w:lang w:eastAsia="fr-FR"/>
        </w:rPr>
        <w:t>for these p</w:t>
      </w:r>
      <w:r w:rsidR="00741C49" w:rsidRPr="005F1FF6">
        <w:rPr>
          <w:rFonts w:ascii="Times New Roman" w:eastAsia="Times New Roman" w:hAnsi="Times New Roman" w:cs="Times New Roman"/>
          <w:bCs/>
          <w:noProof/>
          <w:sz w:val="24"/>
          <w:szCs w:val="24"/>
          <w:lang w:eastAsia="fr-FR"/>
        </w:rPr>
        <w:t>artnerships</w:t>
      </w:r>
      <w:r w:rsidR="00AD57AF" w:rsidRPr="005F1FF6">
        <w:rPr>
          <w:rFonts w:ascii="Times New Roman" w:eastAsia="Times New Roman" w:hAnsi="Times New Roman" w:cs="Times New Roman"/>
          <w:bCs/>
          <w:noProof/>
          <w:sz w:val="24"/>
          <w:szCs w:val="24"/>
          <w:lang w:eastAsia="fr-FR"/>
        </w:rPr>
        <w:t xml:space="preserve"> </w:t>
      </w:r>
      <w:r w:rsidR="00373F01" w:rsidRPr="005F1FF6">
        <w:rPr>
          <w:rFonts w:ascii="Times New Roman" w:eastAsia="Times New Roman" w:hAnsi="Times New Roman" w:cs="Times New Roman"/>
          <w:bCs/>
          <w:noProof/>
          <w:sz w:val="24"/>
          <w:szCs w:val="24"/>
          <w:lang w:eastAsia="fr-FR"/>
        </w:rPr>
        <w:t>includ</w:t>
      </w:r>
      <w:r w:rsidR="00AD57AF" w:rsidRPr="005F1FF6">
        <w:rPr>
          <w:rFonts w:ascii="Times New Roman" w:eastAsia="Times New Roman" w:hAnsi="Times New Roman" w:cs="Times New Roman"/>
          <w:bCs/>
          <w:noProof/>
          <w:sz w:val="24"/>
          <w:szCs w:val="24"/>
          <w:lang w:eastAsia="fr-FR"/>
        </w:rPr>
        <w:t>ed</w:t>
      </w:r>
      <w:r w:rsidR="00373F01" w:rsidRPr="005F1FF6">
        <w:rPr>
          <w:rFonts w:ascii="Times New Roman" w:eastAsia="Times New Roman" w:hAnsi="Times New Roman" w:cs="Times New Roman"/>
          <w:bCs/>
          <w:noProof/>
          <w:sz w:val="24"/>
          <w:szCs w:val="24"/>
          <w:lang w:eastAsia="fr-FR"/>
        </w:rPr>
        <w:t xml:space="preserve"> 975 hours of tailored mentoring, 9 workshops </w:t>
      </w:r>
      <w:r w:rsidR="00AD57AF" w:rsidRPr="005F1FF6">
        <w:rPr>
          <w:rFonts w:ascii="Times New Roman" w:eastAsia="Times New Roman" w:hAnsi="Times New Roman" w:cs="Times New Roman"/>
          <w:bCs/>
          <w:noProof/>
          <w:sz w:val="24"/>
          <w:szCs w:val="24"/>
          <w:lang w:eastAsia="fr-FR"/>
        </w:rPr>
        <w:t xml:space="preserve">(of which </w:t>
      </w:r>
      <w:r w:rsidR="00310498" w:rsidRPr="005F1FF6">
        <w:rPr>
          <w:rFonts w:ascii="Times New Roman" w:eastAsia="Times New Roman" w:hAnsi="Times New Roman" w:cs="Times New Roman"/>
          <w:bCs/>
          <w:noProof/>
          <w:sz w:val="24"/>
          <w:szCs w:val="24"/>
          <w:lang w:eastAsia="fr-FR"/>
        </w:rPr>
        <w:t>5</w:t>
      </w:r>
      <w:r w:rsidR="00AD57AF" w:rsidRPr="005F1FF6">
        <w:rPr>
          <w:rFonts w:ascii="Times New Roman" w:eastAsia="Times New Roman" w:hAnsi="Times New Roman" w:cs="Times New Roman"/>
          <w:bCs/>
          <w:noProof/>
          <w:sz w:val="24"/>
          <w:szCs w:val="24"/>
          <w:lang w:eastAsia="fr-FR"/>
        </w:rPr>
        <w:t xml:space="preserve"> </w:t>
      </w:r>
      <w:r w:rsidR="00FE2948" w:rsidRPr="005F1FF6">
        <w:rPr>
          <w:rFonts w:ascii="Times New Roman" w:eastAsia="Times New Roman" w:hAnsi="Times New Roman" w:cs="Times New Roman"/>
          <w:bCs/>
          <w:noProof/>
          <w:sz w:val="24"/>
          <w:szCs w:val="24"/>
          <w:lang w:eastAsia="fr-FR"/>
        </w:rPr>
        <w:t>online</w:t>
      </w:r>
      <w:r w:rsidR="00AD57AF" w:rsidRPr="005F1FF6">
        <w:rPr>
          <w:rFonts w:ascii="Times New Roman" w:eastAsia="Times New Roman" w:hAnsi="Times New Roman" w:cs="Times New Roman"/>
          <w:bCs/>
          <w:noProof/>
          <w:sz w:val="24"/>
          <w:szCs w:val="24"/>
          <w:lang w:eastAsia="fr-FR"/>
        </w:rPr>
        <w:t xml:space="preserve">) </w:t>
      </w:r>
      <w:r w:rsidR="00373F01" w:rsidRPr="005F1FF6">
        <w:rPr>
          <w:rFonts w:ascii="Times New Roman" w:eastAsia="Times New Roman" w:hAnsi="Times New Roman" w:cs="Times New Roman"/>
          <w:bCs/>
          <w:noProof/>
          <w:sz w:val="24"/>
          <w:szCs w:val="24"/>
          <w:lang w:eastAsia="fr-FR"/>
        </w:rPr>
        <w:t>and 52</w:t>
      </w:r>
      <w:r w:rsidR="00AD57AF" w:rsidRPr="005F1FF6">
        <w:rPr>
          <w:rFonts w:ascii="Times New Roman" w:eastAsia="Times New Roman" w:hAnsi="Times New Roman" w:cs="Times New Roman"/>
          <w:bCs/>
          <w:noProof/>
          <w:sz w:val="24"/>
          <w:szCs w:val="24"/>
          <w:lang w:eastAsia="fr-FR"/>
        </w:rPr>
        <w:t xml:space="preserve"> online</w:t>
      </w:r>
      <w:r w:rsidR="00373F01" w:rsidRPr="005F1FF6">
        <w:rPr>
          <w:rFonts w:ascii="Times New Roman" w:eastAsia="Times New Roman" w:hAnsi="Times New Roman" w:cs="Times New Roman"/>
          <w:bCs/>
          <w:noProof/>
          <w:sz w:val="24"/>
          <w:szCs w:val="24"/>
          <w:lang w:eastAsia="fr-FR"/>
        </w:rPr>
        <w:t xml:space="preserve"> </w:t>
      </w:r>
      <w:r w:rsidR="00741C49" w:rsidRPr="005F1FF6">
        <w:rPr>
          <w:rFonts w:ascii="Times New Roman" w:eastAsia="Times New Roman" w:hAnsi="Times New Roman" w:cs="Times New Roman"/>
          <w:bCs/>
          <w:noProof/>
          <w:sz w:val="24"/>
          <w:szCs w:val="24"/>
          <w:lang w:eastAsia="fr-FR"/>
        </w:rPr>
        <w:t xml:space="preserve">basic coaching </w:t>
      </w:r>
      <w:r w:rsidR="00373F01" w:rsidRPr="005F1FF6">
        <w:rPr>
          <w:rFonts w:ascii="Times New Roman" w:eastAsia="Times New Roman" w:hAnsi="Times New Roman" w:cs="Times New Roman"/>
          <w:bCs/>
          <w:noProof/>
          <w:sz w:val="24"/>
          <w:szCs w:val="24"/>
          <w:lang w:eastAsia="fr-FR"/>
        </w:rPr>
        <w:t>modules and seminars.</w:t>
      </w:r>
      <w:r w:rsidR="00741C49" w:rsidRPr="005F1FF6">
        <w:rPr>
          <w:rFonts w:ascii="Times New Roman" w:eastAsia="Times New Roman" w:hAnsi="Times New Roman" w:cs="Times New Roman"/>
          <w:bCs/>
          <w:noProof/>
          <w:sz w:val="24"/>
          <w:szCs w:val="24"/>
          <w:lang w:eastAsia="fr-FR"/>
        </w:rPr>
        <w:t xml:space="preserve"> Selection procedures for the second call for partnerships are ongoing.</w:t>
      </w:r>
    </w:p>
    <w:p w14:paraId="02220B57" w14:textId="3B6EDCD4" w:rsidR="00D100C7" w:rsidRPr="005F1FF6" w:rsidRDefault="00702282" w:rsidP="005F1FF6">
      <w:pPr>
        <w:spacing w:before="120" w:after="60" w:line="240" w:lineRule="auto"/>
        <w:rPr>
          <w:rFonts w:ascii="Times New Roman" w:eastAsia="Times New Roman" w:hAnsi="Times New Roman" w:cs="Times New Roman"/>
          <w:b/>
          <w:noProof/>
          <w:color w:val="000000" w:themeColor="text1"/>
          <w:sz w:val="24"/>
          <w:szCs w:val="24"/>
          <w:u w:val="single"/>
          <w:lang w:eastAsia="fr-FR"/>
        </w:rPr>
      </w:pPr>
      <w:r w:rsidRPr="005F1FF6">
        <w:rPr>
          <w:rFonts w:ascii="Times New Roman" w:eastAsia="Times New Roman" w:hAnsi="Times New Roman" w:cs="Times New Roman"/>
          <w:b/>
          <w:noProof/>
          <w:color w:val="000000" w:themeColor="text1"/>
          <w:sz w:val="24"/>
          <w:szCs w:val="24"/>
          <w:u w:val="single"/>
          <w:lang w:eastAsia="fr-FR"/>
        </w:rPr>
        <w:t>S</w:t>
      </w:r>
      <w:r w:rsidR="00D100C7" w:rsidRPr="005F1FF6">
        <w:rPr>
          <w:rFonts w:ascii="Times New Roman" w:eastAsia="Times New Roman" w:hAnsi="Times New Roman" w:cs="Times New Roman"/>
          <w:b/>
          <w:noProof/>
          <w:color w:val="000000" w:themeColor="text1"/>
          <w:sz w:val="24"/>
          <w:szCs w:val="24"/>
          <w:u w:val="single"/>
          <w:lang w:eastAsia="fr-FR"/>
        </w:rPr>
        <w:t>upport for assess</w:t>
      </w:r>
      <w:r w:rsidRPr="005F1FF6">
        <w:rPr>
          <w:rFonts w:ascii="Times New Roman" w:eastAsia="Times New Roman" w:hAnsi="Times New Roman" w:cs="Times New Roman"/>
          <w:b/>
          <w:noProof/>
          <w:color w:val="000000" w:themeColor="text1"/>
          <w:sz w:val="24"/>
          <w:szCs w:val="24"/>
          <w:u w:val="single"/>
          <w:lang w:eastAsia="fr-FR"/>
        </w:rPr>
        <w:t>ing</w:t>
      </w:r>
      <w:r w:rsidR="00D100C7" w:rsidRPr="005F1FF6">
        <w:rPr>
          <w:rFonts w:ascii="Times New Roman" w:eastAsia="Times New Roman" w:hAnsi="Times New Roman" w:cs="Times New Roman"/>
          <w:b/>
          <w:noProof/>
          <w:color w:val="000000" w:themeColor="text1"/>
          <w:sz w:val="24"/>
          <w:szCs w:val="24"/>
          <w:u w:val="single"/>
          <w:lang w:eastAsia="fr-FR"/>
        </w:rPr>
        <w:t xml:space="preserve"> </w:t>
      </w:r>
      <w:r w:rsidR="009D4865" w:rsidRPr="005F1FF6">
        <w:rPr>
          <w:rFonts w:ascii="Times New Roman" w:eastAsia="Times New Roman" w:hAnsi="Times New Roman" w:cs="Times New Roman"/>
          <w:b/>
          <w:noProof/>
          <w:color w:val="000000" w:themeColor="text1"/>
          <w:sz w:val="24"/>
          <w:szCs w:val="24"/>
          <w:u w:val="single"/>
          <w:lang w:eastAsia="fr-FR"/>
        </w:rPr>
        <w:t xml:space="preserve">country </w:t>
      </w:r>
      <w:r w:rsidR="00D100C7" w:rsidRPr="005F1FF6">
        <w:rPr>
          <w:rFonts w:ascii="Times New Roman" w:eastAsia="Times New Roman" w:hAnsi="Times New Roman" w:cs="Times New Roman"/>
          <w:b/>
          <w:noProof/>
          <w:color w:val="000000" w:themeColor="text1"/>
          <w:sz w:val="24"/>
          <w:szCs w:val="24"/>
          <w:u w:val="single"/>
          <w:lang w:eastAsia="fr-FR"/>
        </w:rPr>
        <w:t>performance</w:t>
      </w:r>
      <w:r w:rsidR="009D4865" w:rsidRPr="005F1FF6">
        <w:rPr>
          <w:rFonts w:ascii="Times New Roman" w:eastAsia="Times New Roman" w:hAnsi="Times New Roman" w:cs="Times New Roman"/>
          <w:b/>
          <w:noProof/>
          <w:color w:val="000000" w:themeColor="text1"/>
          <w:sz w:val="24"/>
          <w:szCs w:val="24"/>
          <w:u w:val="single"/>
          <w:lang w:eastAsia="fr-FR"/>
        </w:rPr>
        <w:t xml:space="preserve"> </w:t>
      </w:r>
      <w:r w:rsidRPr="005F1FF6">
        <w:rPr>
          <w:rFonts w:ascii="Times New Roman" w:eastAsia="Times New Roman" w:hAnsi="Times New Roman" w:cs="Times New Roman"/>
          <w:b/>
          <w:noProof/>
          <w:color w:val="000000" w:themeColor="text1"/>
          <w:sz w:val="24"/>
          <w:szCs w:val="24"/>
          <w:u w:val="single"/>
          <w:lang w:eastAsia="fr-FR"/>
        </w:rPr>
        <w:t>on</w:t>
      </w:r>
      <w:r w:rsidR="00D100C7" w:rsidRPr="005F1FF6">
        <w:rPr>
          <w:rFonts w:ascii="Times New Roman" w:eastAsia="Times New Roman" w:hAnsi="Times New Roman" w:cs="Times New Roman"/>
          <w:b/>
          <w:noProof/>
          <w:color w:val="000000" w:themeColor="text1"/>
          <w:sz w:val="24"/>
          <w:szCs w:val="24"/>
          <w:u w:val="single"/>
          <w:lang w:eastAsia="fr-FR"/>
        </w:rPr>
        <w:t xml:space="preserve"> </w:t>
      </w:r>
      <w:r w:rsidR="00AD57AF" w:rsidRPr="005F1FF6">
        <w:rPr>
          <w:rFonts w:ascii="Times New Roman" w:eastAsia="Times New Roman" w:hAnsi="Times New Roman" w:cs="Times New Roman"/>
          <w:b/>
          <w:noProof/>
          <w:color w:val="000000" w:themeColor="text1"/>
          <w:sz w:val="24"/>
          <w:szCs w:val="24"/>
          <w:u w:val="single"/>
          <w:lang w:eastAsia="fr-FR"/>
        </w:rPr>
        <w:t xml:space="preserve">the </w:t>
      </w:r>
      <w:r w:rsidR="00D100C7" w:rsidRPr="005F1FF6">
        <w:rPr>
          <w:rFonts w:ascii="Times New Roman" w:eastAsia="Times New Roman" w:hAnsi="Times New Roman" w:cs="Times New Roman"/>
          <w:b/>
          <w:noProof/>
          <w:color w:val="000000" w:themeColor="text1"/>
          <w:sz w:val="24"/>
          <w:szCs w:val="24"/>
          <w:u w:val="single"/>
          <w:lang w:eastAsia="fr-FR"/>
        </w:rPr>
        <w:t xml:space="preserve">Small Business Act and SME Strategy principles </w:t>
      </w:r>
      <w:r w:rsidRPr="005F1FF6">
        <w:rPr>
          <w:rFonts w:ascii="Times New Roman" w:eastAsia="Times New Roman" w:hAnsi="Times New Roman" w:cs="Times New Roman"/>
          <w:b/>
          <w:noProof/>
          <w:color w:val="000000" w:themeColor="text1"/>
          <w:sz w:val="24"/>
          <w:szCs w:val="24"/>
          <w:u w:val="single"/>
          <w:lang w:eastAsia="fr-FR"/>
        </w:rPr>
        <w:t>–</w:t>
      </w:r>
      <w:r w:rsidR="00D100C7" w:rsidRPr="005F1FF6">
        <w:rPr>
          <w:rFonts w:ascii="Times New Roman" w:eastAsia="Times New Roman" w:hAnsi="Times New Roman" w:cs="Times New Roman"/>
          <w:b/>
          <w:noProof/>
          <w:color w:val="000000" w:themeColor="text1"/>
          <w:sz w:val="24"/>
          <w:szCs w:val="24"/>
          <w:u w:val="single"/>
          <w:lang w:eastAsia="fr-FR"/>
        </w:rPr>
        <w:t xml:space="preserve"> </w:t>
      </w:r>
      <w:r w:rsidRPr="005F1FF6">
        <w:rPr>
          <w:rFonts w:ascii="Times New Roman" w:eastAsia="Times New Roman" w:hAnsi="Times New Roman" w:cs="Times New Roman"/>
          <w:b/>
          <w:noProof/>
          <w:color w:val="000000" w:themeColor="text1"/>
          <w:sz w:val="24"/>
          <w:szCs w:val="24"/>
          <w:u w:val="single"/>
          <w:lang w:eastAsia="fr-FR"/>
        </w:rPr>
        <w:t xml:space="preserve">administrative agreement with the </w:t>
      </w:r>
      <w:r w:rsidR="00D100C7" w:rsidRPr="005F1FF6">
        <w:rPr>
          <w:rFonts w:ascii="Times New Roman" w:eastAsia="Times New Roman" w:hAnsi="Times New Roman" w:cs="Times New Roman"/>
          <w:b/>
          <w:noProof/>
          <w:color w:val="000000" w:themeColor="text1"/>
          <w:sz w:val="24"/>
          <w:szCs w:val="24"/>
          <w:u w:val="single"/>
          <w:lang w:eastAsia="fr-FR"/>
        </w:rPr>
        <w:t>JRC</w:t>
      </w:r>
      <w:r w:rsidRPr="005F1FF6">
        <w:rPr>
          <w:rFonts w:ascii="Times New Roman" w:eastAsia="Times New Roman" w:hAnsi="Times New Roman" w:cs="Times New Roman"/>
          <w:b/>
          <w:noProof/>
          <w:color w:val="000000" w:themeColor="text1"/>
          <w:sz w:val="24"/>
          <w:szCs w:val="24"/>
          <w:u w:val="single"/>
          <w:lang w:eastAsia="fr-FR"/>
        </w:rPr>
        <w:t xml:space="preserve"> and Eurobarometer</w:t>
      </w:r>
    </w:p>
    <w:p w14:paraId="7A507642" w14:textId="5F5196EB" w:rsidR="00D100C7" w:rsidRPr="005F1FF6" w:rsidRDefault="00702282" w:rsidP="005F1FF6">
      <w:pPr>
        <w:spacing w:before="120" w:after="60" w:line="240" w:lineRule="auto"/>
        <w:jc w:val="both"/>
        <w:rPr>
          <w:rFonts w:ascii="Times New Roman" w:eastAsia="Times New Roman" w:hAnsi="Times New Roman" w:cs="Times New Roman"/>
          <w:noProof/>
          <w:color w:val="000000" w:themeColor="text1"/>
          <w:sz w:val="24"/>
          <w:szCs w:val="24"/>
          <w:lang w:eastAsia="fr-FR"/>
        </w:rPr>
      </w:pPr>
      <w:r w:rsidRPr="005F1FF6">
        <w:rPr>
          <w:rFonts w:ascii="Times New Roman" w:eastAsia="Times New Roman" w:hAnsi="Times New Roman" w:cs="Times New Roman"/>
          <w:noProof/>
          <w:color w:val="000000" w:themeColor="text1"/>
          <w:sz w:val="24"/>
          <w:szCs w:val="24"/>
          <w:lang w:eastAsia="fr-FR"/>
        </w:rPr>
        <w:t xml:space="preserve">An </w:t>
      </w:r>
      <w:r w:rsidR="00D100C7" w:rsidRPr="005F1FF6">
        <w:rPr>
          <w:rFonts w:ascii="Times New Roman" w:eastAsia="Times New Roman" w:hAnsi="Times New Roman" w:cs="Times New Roman"/>
          <w:noProof/>
          <w:color w:val="000000" w:themeColor="text1"/>
          <w:sz w:val="24"/>
          <w:szCs w:val="24"/>
          <w:lang w:eastAsia="fr-FR"/>
        </w:rPr>
        <w:t xml:space="preserve">administrative arrangement </w:t>
      </w:r>
      <w:r w:rsidRPr="005F1FF6">
        <w:rPr>
          <w:rFonts w:ascii="Times New Roman" w:eastAsia="Times New Roman" w:hAnsi="Times New Roman" w:cs="Times New Roman"/>
          <w:noProof/>
          <w:color w:val="000000" w:themeColor="text1"/>
          <w:sz w:val="24"/>
          <w:szCs w:val="24"/>
          <w:lang w:eastAsia="fr-FR"/>
        </w:rPr>
        <w:t xml:space="preserve">was concluded </w:t>
      </w:r>
      <w:r w:rsidR="00D100C7" w:rsidRPr="005F1FF6">
        <w:rPr>
          <w:rFonts w:ascii="Times New Roman" w:eastAsia="Times New Roman" w:hAnsi="Times New Roman" w:cs="Times New Roman"/>
          <w:noProof/>
          <w:color w:val="000000" w:themeColor="text1"/>
          <w:sz w:val="24"/>
          <w:szCs w:val="24"/>
          <w:lang w:eastAsia="fr-FR"/>
        </w:rPr>
        <w:t xml:space="preserve">with </w:t>
      </w:r>
      <w:r w:rsidRPr="005F1FF6">
        <w:rPr>
          <w:rFonts w:ascii="Times New Roman" w:eastAsia="Times New Roman" w:hAnsi="Times New Roman" w:cs="Times New Roman"/>
          <w:noProof/>
          <w:color w:val="000000" w:themeColor="text1"/>
          <w:sz w:val="24"/>
          <w:szCs w:val="24"/>
          <w:lang w:eastAsia="fr-FR"/>
        </w:rPr>
        <w:t xml:space="preserve">the </w:t>
      </w:r>
      <w:r w:rsidR="001207FF" w:rsidRPr="005F1FF6">
        <w:rPr>
          <w:rFonts w:ascii="Times New Roman" w:eastAsia="Times New Roman" w:hAnsi="Times New Roman" w:cs="Times New Roman"/>
          <w:noProof/>
          <w:color w:val="000000" w:themeColor="text1"/>
          <w:sz w:val="24"/>
          <w:szCs w:val="24"/>
          <w:lang w:eastAsia="fr-FR"/>
        </w:rPr>
        <w:t xml:space="preserve">Commission’s </w:t>
      </w:r>
      <w:r w:rsidR="00D100C7" w:rsidRPr="005F1FF6">
        <w:rPr>
          <w:rFonts w:ascii="Times New Roman" w:eastAsia="Times New Roman" w:hAnsi="Times New Roman" w:cs="Times New Roman"/>
          <w:noProof/>
          <w:color w:val="000000" w:themeColor="text1"/>
          <w:sz w:val="24"/>
          <w:szCs w:val="24"/>
          <w:lang w:eastAsia="fr-FR"/>
        </w:rPr>
        <w:t xml:space="preserve">Joint Research Centre (JRC) to provide scientific support for </w:t>
      </w:r>
      <w:r w:rsidR="0041273B" w:rsidRPr="005F1FF6">
        <w:rPr>
          <w:rFonts w:ascii="Times New Roman" w:eastAsia="Times New Roman" w:hAnsi="Times New Roman" w:cs="Times New Roman"/>
          <w:noProof/>
          <w:color w:val="000000" w:themeColor="text1"/>
          <w:sz w:val="24"/>
          <w:szCs w:val="24"/>
          <w:lang w:eastAsia="fr-FR"/>
        </w:rPr>
        <w:t xml:space="preserve">the </w:t>
      </w:r>
      <w:r w:rsidR="00D100C7" w:rsidRPr="005F1FF6">
        <w:rPr>
          <w:rFonts w:ascii="Times New Roman" w:eastAsia="Times New Roman" w:hAnsi="Times New Roman" w:cs="Times New Roman"/>
          <w:noProof/>
          <w:color w:val="000000" w:themeColor="text1"/>
          <w:sz w:val="24"/>
          <w:szCs w:val="24"/>
          <w:lang w:eastAsia="fr-FR"/>
        </w:rPr>
        <w:t xml:space="preserve">assessment of EU </w:t>
      </w:r>
      <w:r w:rsidR="001207FF" w:rsidRPr="005F1FF6">
        <w:rPr>
          <w:rFonts w:ascii="Times New Roman" w:eastAsia="Times New Roman" w:hAnsi="Times New Roman" w:cs="Times New Roman"/>
          <w:noProof/>
          <w:color w:val="000000" w:themeColor="text1"/>
          <w:sz w:val="24"/>
          <w:szCs w:val="24"/>
          <w:lang w:eastAsia="fr-FR"/>
        </w:rPr>
        <w:t xml:space="preserve">Member States’ </w:t>
      </w:r>
      <w:r w:rsidR="00D100C7" w:rsidRPr="005F1FF6">
        <w:rPr>
          <w:rFonts w:ascii="Times New Roman" w:eastAsia="Times New Roman" w:hAnsi="Times New Roman" w:cs="Times New Roman"/>
          <w:noProof/>
          <w:color w:val="000000" w:themeColor="text1"/>
          <w:sz w:val="24"/>
          <w:szCs w:val="24"/>
          <w:lang w:eastAsia="fr-FR"/>
        </w:rPr>
        <w:t>performance in implementing the Small Business Act (SBA) and SME Strategy principles. The JRC identified a set of indicators based on 10 dimensions defined together with DG GROW</w:t>
      </w:r>
      <w:r w:rsidRPr="005F1FF6">
        <w:rPr>
          <w:rFonts w:ascii="Times New Roman" w:eastAsia="Times New Roman" w:hAnsi="Times New Roman" w:cs="Times New Roman"/>
          <w:noProof/>
          <w:color w:val="000000" w:themeColor="text1"/>
          <w:sz w:val="24"/>
          <w:szCs w:val="24"/>
          <w:lang w:eastAsia="fr-FR"/>
        </w:rPr>
        <w:t xml:space="preserve"> and </w:t>
      </w:r>
      <w:r w:rsidR="00D100C7" w:rsidRPr="005F1FF6">
        <w:rPr>
          <w:rFonts w:ascii="Times New Roman" w:eastAsia="Times New Roman" w:hAnsi="Times New Roman" w:cs="Times New Roman"/>
          <w:noProof/>
          <w:color w:val="000000" w:themeColor="text1"/>
          <w:sz w:val="24"/>
          <w:szCs w:val="24"/>
          <w:lang w:eastAsia="fr-FR"/>
        </w:rPr>
        <w:t xml:space="preserve">performed the related data quality controls. </w:t>
      </w:r>
      <w:r w:rsidRPr="005F1FF6">
        <w:rPr>
          <w:rFonts w:ascii="Times New Roman" w:eastAsia="Times New Roman" w:hAnsi="Times New Roman" w:cs="Times New Roman"/>
          <w:noProof/>
          <w:color w:val="000000" w:themeColor="text1"/>
          <w:sz w:val="24"/>
          <w:szCs w:val="24"/>
          <w:lang w:eastAsia="fr-FR"/>
        </w:rPr>
        <w:t>T</w:t>
      </w:r>
      <w:r w:rsidR="00D100C7" w:rsidRPr="005F1FF6">
        <w:rPr>
          <w:rFonts w:ascii="Times New Roman" w:eastAsia="Times New Roman" w:hAnsi="Times New Roman" w:cs="Times New Roman"/>
          <w:noProof/>
          <w:color w:val="000000" w:themeColor="text1"/>
          <w:sz w:val="24"/>
          <w:szCs w:val="24"/>
          <w:lang w:eastAsia="fr-FR"/>
        </w:rPr>
        <w:t xml:space="preserve">he </w:t>
      </w:r>
      <w:r w:rsidRPr="005F1FF6">
        <w:rPr>
          <w:rFonts w:ascii="Times New Roman" w:eastAsia="Times New Roman" w:hAnsi="Times New Roman" w:cs="Times New Roman"/>
          <w:noProof/>
          <w:color w:val="000000" w:themeColor="text1"/>
          <w:sz w:val="24"/>
          <w:szCs w:val="24"/>
          <w:lang w:eastAsia="fr-FR"/>
        </w:rPr>
        <w:t xml:space="preserve">project was launched in 2020 and </w:t>
      </w:r>
      <w:r w:rsidR="00D100C7" w:rsidRPr="005F1FF6">
        <w:rPr>
          <w:rFonts w:ascii="Times New Roman" w:eastAsia="Times New Roman" w:hAnsi="Times New Roman" w:cs="Times New Roman"/>
          <w:noProof/>
          <w:color w:val="000000" w:themeColor="text1"/>
          <w:sz w:val="24"/>
          <w:szCs w:val="24"/>
          <w:lang w:eastAsia="fr-FR"/>
        </w:rPr>
        <w:t xml:space="preserve">results were used for the SME </w:t>
      </w:r>
      <w:r w:rsidR="001207FF" w:rsidRPr="005F1FF6">
        <w:rPr>
          <w:rFonts w:ascii="Times New Roman" w:eastAsia="Times New Roman" w:hAnsi="Times New Roman" w:cs="Times New Roman"/>
          <w:noProof/>
          <w:color w:val="000000" w:themeColor="text1"/>
          <w:sz w:val="24"/>
          <w:szCs w:val="24"/>
          <w:lang w:eastAsia="fr-FR"/>
        </w:rPr>
        <w:t>p</w:t>
      </w:r>
      <w:r w:rsidR="00D100C7" w:rsidRPr="005F1FF6">
        <w:rPr>
          <w:rFonts w:ascii="Times New Roman" w:eastAsia="Times New Roman" w:hAnsi="Times New Roman" w:cs="Times New Roman"/>
          <w:noProof/>
          <w:color w:val="000000" w:themeColor="text1"/>
          <w:sz w:val="24"/>
          <w:szCs w:val="24"/>
          <w:lang w:eastAsia="fr-FR"/>
        </w:rPr>
        <w:t xml:space="preserve">erformance </w:t>
      </w:r>
      <w:r w:rsidR="001207FF" w:rsidRPr="005F1FF6">
        <w:rPr>
          <w:rFonts w:ascii="Times New Roman" w:eastAsia="Times New Roman" w:hAnsi="Times New Roman" w:cs="Times New Roman"/>
          <w:noProof/>
          <w:color w:val="000000" w:themeColor="text1"/>
          <w:sz w:val="24"/>
          <w:szCs w:val="24"/>
          <w:lang w:eastAsia="fr-FR"/>
        </w:rPr>
        <w:t>r</w:t>
      </w:r>
      <w:r w:rsidR="00D100C7" w:rsidRPr="005F1FF6">
        <w:rPr>
          <w:rFonts w:ascii="Times New Roman" w:eastAsia="Times New Roman" w:hAnsi="Times New Roman" w:cs="Times New Roman"/>
          <w:noProof/>
          <w:color w:val="000000" w:themeColor="text1"/>
          <w:sz w:val="24"/>
          <w:szCs w:val="24"/>
          <w:lang w:eastAsia="fr-FR"/>
        </w:rPr>
        <w:t xml:space="preserve">eview (SPR) country fact sheets and </w:t>
      </w:r>
      <w:r w:rsidR="001207FF" w:rsidRPr="005F1FF6">
        <w:rPr>
          <w:rFonts w:ascii="Times New Roman" w:eastAsia="Times New Roman" w:hAnsi="Times New Roman" w:cs="Times New Roman"/>
          <w:noProof/>
          <w:color w:val="000000" w:themeColor="text1"/>
          <w:sz w:val="24"/>
          <w:szCs w:val="24"/>
          <w:lang w:eastAsia="fr-FR"/>
        </w:rPr>
        <w:t>a</w:t>
      </w:r>
      <w:r w:rsidR="00D100C7" w:rsidRPr="005F1FF6">
        <w:rPr>
          <w:rFonts w:ascii="Times New Roman" w:eastAsia="Times New Roman" w:hAnsi="Times New Roman" w:cs="Times New Roman"/>
          <w:noProof/>
          <w:color w:val="000000" w:themeColor="text1"/>
          <w:sz w:val="24"/>
          <w:szCs w:val="24"/>
          <w:lang w:eastAsia="fr-FR"/>
        </w:rPr>
        <w:t xml:space="preserve">nnual </w:t>
      </w:r>
      <w:r w:rsidR="001207FF" w:rsidRPr="005F1FF6">
        <w:rPr>
          <w:rFonts w:ascii="Times New Roman" w:eastAsia="Times New Roman" w:hAnsi="Times New Roman" w:cs="Times New Roman"/>
          <w:noProof/>
          <w:color w:val="000000" w:themeColor="text1"/>
          <w:sz w:val="24"/>
          <w:szCs w:val="24"/>
          <w:lang w:eastAsia="fr-FR"/>
        </w:rPr>
        <w:t>r</w:t>
      </w:r>
      <w:r w:rsidR="00D100C7" w:rsidRPr="005F1FF6">
        <w:rPr>
          <w:rFonts w:ascii="Times New Roman" w:eastAsia="Times New Roman" w:hAnsi="Times New Roman" w:cs="Times New Roman"/>
          <w:noProof/>
          <w:color w:val="000000" w:themeColor="text1"/>
          <w:sz w:val="24"/>
          <w:szCs w:val="24"/>
          <w:lang w:eastAsia="fr-FR"/>
        </w:rPr>
        <w:t>eport published in July 2021</w:t>
      </w:r>
      <w:r w:rsidRPr="005F1FF6">
        <w:rPr>
          <w:rStyle w:val="FootnoteReference"/>
          <w:rFonts w:ascii="Times New Roman" w:eastAsia="Times New Roman" w:hAnsi="Times New Roman" w:cs="Times New Roman"/>
          <w:noProof/>
          <w:color w:val="000000" w:themeColor="text1"/>
          <w:sz w:val="24"/>
          <w:szCs w:val="24"/>
          <w:lang w:eastAsia="fr-FR"/>
        </w:rPr>
        <w:footnoteReference w:id="29"/>
      </w:r>
      <w:r w:rsidR="00D100C7" w:rsidRPr="005F1FF6">
        <w:rPr>
          <w:rFonts w:ascii="Times New Roman" w:eastAsia="Times New Roman" w:hAnsi="Times New Roman" w:cs="Times New Roman"/>
          <w:noProof/>
          <w:color w:val="000000" w:themeColor="text1"/>
          <w:sz w:val="24"/>
          <w:szCs w:val="24"/>
          <w:lang w:eastAsia="fr-FR"/>
        </w:rPr>
        <w:t>.</w:t>
      </w:r>
      <w:r w:rsidR="00644BAB" w:rsidRPr="005F1FF6">
        <w:rPr>
          <w:rFonts w:ascii="Times New Roman" w:eastAsia="Times New Roman" w:hAnsi="Times New Roman" w:cs="Times New Roman"/>
          <w:noProof/>
          <w:color w:val="000000" w:themeColor="text1"/>
          <w:sz w:val="24"/>
          <w:szCs w:val="24"/>
          <w:lang w:eastAsia="fr-FR"/>
        </w:rPr>
        <w:t xml:space="preserve"> These fact sheets and reports </w:t>
      </w:r>
      <w:r w:rsidR="00D966F6" w:rsidRPr="005F1FF6">
        <w:rPr>
          <w:rFonts w:ascii="Times New Roman" w:eastAsia="Times New Roman" w:hAnsi="Times New Roman" w:cs="Times New Roman"/>
          <w:noProof/>
          <w:color w:val="000000" w:themeColor="text1"/>
          <w:sz w:val="24"/>
          <w:szCs w:val="24"/>
          <w:lang w:eastAsia="fr-FR"/>
        </w:rPr>
        <w:t xml:space="preserve">are used on a permanent basis to guide </w:t>
      </w:r>
      <w:r w:rsidR="00644BAB" w:rsidRPr="005F1FF6">
        <w:rPr>
          <w:rFonts w:ascii="Times New Roman" w:eastAsia="Times New Roman" w:hAnsi="Times New Roman" w:cs="Times New Roman"/>
          <w:noProof/>
          <w:color w:val="000000" w:themeColor="text1"/>
          <w:sz w:val="24"/>
          <w:szCs w:val="24"/>
          <w:lang w:eastAsia="fr-FR"/>
        </w:rPr>
        <w:t>SME</w:t>
      </w:r>
      <w:r w:rsidR="001207FF" w:rsidRPr="005F1FF6">
        <w:rPr>
          <w:rFonts w:ascii="Times New Roman" w:eastAsia="Times New Roman" w:hAnsi="Times New Roman" w:cs="Times New Roman"/>
          <w:noProof/>
          <w:color w:val="000000" w:themeColor="text1"/>
          <w:sz w:val="24"/>
          <w:szCs w:val="24"/>
          <w:lang w:eastAsia="fr-FR"/>
        </w:rPr>
        <w:t xml:space="preserve"> </w:t>
      </w:r>
      <w:r w:rsidR="00644BAB" w:rsidRPr="005F1FF6">
        <w:rPr>
          <w:rFonts w:ascii="Times New Roman" w:eastAsia="Times New Roman" w:hAnsi="Times New Roman" w:cs="Times New Roman"/>
          <w:noProof/>
          <w:color w:val="000000" w:themeColor="text1"/>
          <w:sz w:val="24"/>
          <w:szCs w:val="24"/>
          <w:lang w:eastAsia="fr-FR"/>
        </w:rPr>
        <w:t>policymaking.</w:t>
      </w:r>
    </w:p>
    <w:p w14:paraId="10C68328" w14:textId="73B042C8" w:rsidR="009D4865" w:rsidRPr="005F1FF6" w:rsidRDefault="009D4865" w:rsidP="005F1FF6">
      <w:pPr>
        <w:spacing w:before="120" w:after="60" w:line="240" w:lineRule="auto"/>
        <w:rPr>
          <w:rFonts w:ascii="Times New Roman" w:eastAsia="Times New Roman" w:hAnsi="Times New Roman" w:cs="Times New Roman"/>
          <w:b/>
          <w:noProof/>
          <w:color w:val="000000" w:themeColor="text1"/>
          <w:sz w:val="24"/>
          <w:szCs w:val="24"/>
          <w:lang w:eastAsia="en-GB"/>
        </w:rPr>
      </w:pPr>
      <w:r w:rsidRPr="005F1FF6">
        <w:rPr>
          <w:rFonts w:ascii="Times New Roman" w:eastAsia="Times New Roman" w:hAnsi="Times New Roman" w:cs="Times New Roman"/>
          <w:noProof/>
          <w:color w:val="000000" w:themeColor="text1"/>
          <w:sz w:val="24"/>
          <w:szCs w:val="24"/>
          <w:lang w:eastAsia="en-GB"/>
        </w:rPr>
        <w:t xml:space="preserve">The 2022 edition of the </w:t>
      </w:r>
      <w:r w:rsidRPr="005F1FF6">
        <w:rPr>
          <w:rFonts w:ascii="Times New Roman" w:eastAsia="Times New Roman" w:hAnsi="Times New Roman" w:cs="Times New Roman"/>
          <w:b/>
          <w:noProof/>
          <w:color w:val="000000" w:themeColor="text1"/>
          <w:sz w:val="24"/>
          <w:szCs w:val="24"/>
          <w:lang w:eastAsia="en-GB"/>
        </w:rPr>
        <w:t xml:space="preserve">Flash Eurobarometer on SMEs </w:t>
      </w:r>
      <w:r w:rsidR="007C3B1C" w:rsidRPr="005F1FF6">
        <w:rPr>
          <w:rFonts w:ascii="Times New Roman" w:eastAsia="Times New Roman" w:hAnsi="Times New Roman" w:cs="Times New Roman"/>
          <w:noProof/>
          <w:color w:val="000000" w:themeColor="text1"/>
          <w:sz w:val="24"/>
          <w:szCs w:val="24"/>
          <w:lang w:eastAsia="en-GB"/>
        </w:rPr>
        <w:t xml:space="preserve">funded </w:t>
      </w:r>
      <w:r w:rsidR="001207FF" w:rsidRPr="005F1FF6">
        <w:rPr>
          <w:rFonts w:ascii="Times New Roman" w:eastAsia="Times New Roman" w:hAnsi="Times New Roman" w:cs="Times New Roman"/>
          <w:noProof/>
          <w:color w:val="000000" w:themeColor="text1"/>
          <w:sz w:val="24"/>
          <w:szCs w:val="24"/>
          <w:lang w:eastAsia="en-GB"/>
        </w:rPr>
        <w:t xml:space="preserve">under the </w:t>
      </w:r>
      <w:r w:rsidR="007C3B1C" w:rsidRPr="005F1FF6">
        <w:rPr>
          <w:rFonts w:ascii="Times New Roman" w:eastAsia="Times New Roman" w:hAnsi="Times New Roman" w:cs="Times New Roman"/>
          <w:noProof/>
          <w:color w:val="000000" w:themeColor="text1"/>
          <w:sz w:val="24"/>
          <w:szCs w:val="24"/>
          <w:lang w:eastAsia="en-GB"/>
        </w:rPr>
        <w:t xml:space="preserve">COSME 2020 budget </w:t>
      </w:r>
      <w:r w:rsidRPr="005F1FF6">
        <w:rPr>
          <w:rFonts w:ascii="Times New Roman" w:eastAsia="Times New Roman" w:hAnsi="Times New Roman" w:cs="Times New Roman"/>
          <w:noProof/>
          <w:color w:val="000000" w:themeColor="text1"/>
          <w:sz w:val="24"/>
          <w:szCs w:val="24"/>
          <w:lang w:eastAsia="en-GB"/>
        </w:rPr>
        <w:t xml:space="preserve">focused on </w:t>
      </w:r>
      <w:r w:rsidRPr="005F1FF6">
        <w:rPr>
          <w:rFonts w:ascii="Times New Roman" w:eastAsia="Times New Roman" w:hAnsi="Times New Roman" w:cs="Times New Roman"/>
          <w:b/>
          <w:noProof/>
          <w:color w:val="000000" w:themeColor="text1"/>
          <w:sz w:val="24"/>
          <w:szCs w:val="24"/>
          <w:lang w:eastAsia="en-GB"/>
        </w:rPr>
        <w:t xml:space="preserve">resource efficiency and green markets. </w:t>
      </w:r>
      <w:r w:rsidR="00142A6D" w:rsidRPr="005F1FF6">
        <w:rPr>
          <w:rFonts w:ascii="Times New Roman" w:eastAsia="Times New Roman" w:hAnsi="Times New Roman" w:cs="Times New Roman"/>
          <w:noProof/>
          <w:color w:val="000000" w:themeColor="text1"/>
          <w:sz w:val="24"/>
          <w:szCs w:val="24"/>
          <w:lang w:eastAsia="en-GB"/>
        </w:rPr>
        <w:t>F</w:t>
      </w:r>
      <w:r w:rsidR="001207FF" w:rsidRPr="005F1FF6">
        <w:rPr>
          <w:rFonts w:ascii="Times New Roman" w:eastAsia="Times New Roman" w:hAnsi="Times New Roman" w:cs="Times New Roman"/>
          <w:noProof/>
          <w:color w:val="000000" w:themeColor="text1"/>
          <w:sz w:val="24"/>
          <w:szCs w:val="24"/>
          <w:lang w:eastAsia="en-GB"/>
        </w:rPr>
        <w:t xml:space="preserve">or further information see </w:t>
      </w:r>
      <w:r w:rsidRPr="005F1FF6">
        <w:rPr>
          <w:rFonts w:ascii="Times New Roman" w:eastAsia="Times New Roman" w:hAnsi="Times New Roman" w:cs="Times New Roman"/>
          <w:noProof/>
          <w:color w:val="000000" w:themeColor="text1"/>
          <w:sz w:val="24"/>
          <w:szCs w:val="24"/>
          <w:lang w:eastAsia="en-GB"/>
        </w:rPr>
        <w:t>point 4 below.</w:t>
      </w:r>
    </w:p>
    <w:p w14:paraId="7F8905A0" w14:textId="4BFEE539" w:rsidR="00664D0C" w:rsidRPr="005F1FF6" w:rsidRDefault="00664D0C" w:rsidP="005F1FF6">
      <w:pPr>
        <w:pStyle w:val="Heading3"/>
        <w:spacing w:before="120" w:after="60" w:line="240" w:lineRule="auto"/>
        <w:jc w:val="both"/>
        <w:rPr>
          <w:rFonts w:ascii="Times New Roman" w:hAnsi="Times New Roman" w:cs="Times New Roman"/>
          <w:iCs/>
          <w:noProof/>
        </w:rPr>
      </w:pPr>
      <w:bookmarkStart w:id="22" w:name="_Toc146623396"/>
      <w:r w:rsidRPr="005F1FF6">
        <w:rPr>
          <w:rFonts w:ascii="Times New Roman" w:hAnsi="Times New Roman" w:cs="Times New Roman"/>
          <w:iCs/>
          <w:noProof/>
        </w:rPr>
        <w:t xml:space="preserve">SME </w:t>
      </w:r>
      <w:r w:rsidR="0041273B" w:rsidRPr="005F1FF6">
        <w:rPr>
          <w:rFonts w:ascii="Times New Roman" w:hAnsi="Times New Roman" w:cs="Times New Roman"/>
          <w:iCs/>
          <w:noProof/>
        </w:rPr>
        <w:t>e</w:t>
      </w:r>
      <w:r w:rsidR="00CB76C8" w:rsidRPr="005F1FF6">
        <w:rPr>
          <w:rFonts w:ascii="Times New Roman" w:hAnsi="Times New Roman" w:cs="Times New Roman"/>
          <w:iCs/>
          <w:noProof/>
        </w:rPr>
        <w:t>nvoys,</w:t>
      </w:r>
      <w:r w:rsidRPr="005F1FF6">
        <w:rPr>
          <w:rFonts w:ascii="Times New Roman" w:hAnsi="Times New Roman" w:cs="Times New Roman"/>
          <w:iCs/>
          <w:noProof/>
        </w:rPr>
        <w:t xml:space="preserve"> SME assembly</w:t>
      </w:r>
      <w:r w:rsidR="00CB76C8" w:rsidRPr="005F1FF6">
        <w:rPr>
          <w:rFonts w:ascii="Times New Roman" w:hAnsi="Times New Roman" w:cs="Times New Roman"/>
          <w:iCs/>
          <w:noProof/>
        </w:rPr>
        <w:t xml:space="preserve"> and </w:t>
      </w:r>
      <w:r w:rsidR="00CA71EF" w:rsidRPr="005F1FF6">
        <w:rPr>
          <w:rFonts w:ascii="Times New Roman" w:hAnsi="Times New Roman" w:cs="Times New Roman"/>
          <w:iCs/>
          <w:noProof/>
        </w:rPr>
        <w:t>online masterclass</w:t>
      </w:r>
      <w:r w:rsidR="00CB76C8" w:rsidRPr="005F1FF6">
        <w:rPr>
          <w:rFonts w:ascii="Times New Roman" w:hAnsi="Times New Roman" w:cs="Times New Roman"/>
          <w:iCs/>
          <w:noProof/>
        </w:rPr>
        <w:t xml:space="preserve"> at Web Summit Lisbon</w:t>
      </w:r>
      <w:bookmarkEnd w:id="22"/>
    </w:p>
    <w:p w14:paraId="17F5FA0A" w14:textId="5D26E977" w:rsidR="00CB76C8" w:rsidRPr="005F1FF6" w:rsidRDefault="00CB76C8" w:rsidP="005F1FF6">
      <w:pPr>
        <w:spacing w:after="60" w:line="240" w:lineRule="auto"/>
        <w:jc w:val="both"/>
        <w:rPr>
          <w:rFonts w:ascii="Times New Roman" w:eastAsia="Times New Roman" w:hAnsi="Times New Roman" w:cs="Times New Roman"/>
          <w:bCs/>
          <w:noProof/>
          <w:color w:val="000000" w:themeColor="text1"/>
          <w:sz w:val="24"/>
          <w:szCs w:val="24"/>
          <w:lang w:eastAsia="fr-FR"/>
        </w:rPr>
      </w:pPr>
      <w:r w:rsidRPr="005F1FF6">
        <w:rPr>
          <w:rFonts w:ascii="Times New Roman" w:hAnsi="Times New Roman" w:cs="Times New Roman"/>
          <w:noProof/>
          <w:color w:val="000000" w:themeColor="text1"/>
          <w:sz w:val="24"/>
          <w:szCs w:val="24"/>
        </w:rPr>
        <w:t xml:space="preserve">Services were provided in 2020 </w:t>
      </w:r>
      <w:r w:rsidR="001207FF" w:rsidRPr="005F1FF6">
        <w:rPr>
          <w:rFonts w:ascii="Times New Roman" w:hAnsi="Times New Roman" w:cs="Times New Roman"/>
          <w:noProof/>
          <w:color w:val="000000" w:themeColor="text1"/>
          <w:sz w:val="24"/>
          <w:szCs w:val="24"/>
        </w:rPr>
        <w:t xml:space="preserve">to </w:t>
      </w:r>
      <w:r w:rsidRPr="005F1FF6">
        <w:rPr>
          <w:rFonts w:ascii="Times New Roman" w:hAnsi="Times New Roman" w:cs="Times New Roman"/>
          <w:noProof/>
          <w:color w:val="000000" w:themeColor="text1"/>
          <w:sz w:val="24"/>
          <w:szCs w:val="24"/>
        </w:rPr>
        <w:t>organi</w:t>
      </w:r>
      <w:r w:rsidR="00FE2948" w:rsidRPr="005F1FF6">
        <w:rPr>
          <w:rFonts w:ascii="Times New Roman" w:hAnsi="Times New Roman" w:cs="Times New Roman"/>
          <w:noProof/>
          <w:color w:val="000000" w:themeColor="text1"/>
          <w:sz w:val="24"/>
          <w:szCs w:val="24"/>
        </w:rPr>
        <w:t>s</w:t>
      </w:r>
      <w:r w:rsidR="001207FF" w:rsidRPr="005F1FF6">
        <w:rPr>
          <w:rFonts w:ascii="Times New Roman" w:hAnsi="Times New Roman" w:cs="Times New Roman"/>
          <w:noProof/>
          <w:color w:val="000000" w:themeColor="text1"/>
          <w:sz w:val="24"/>
          <w:szCs w:val="24"/>
        </w:rPr>
        <w:t>e: (i)</w:t>
      </w:r>
      <w:r w:rsidRPr="005F1FF6">
        <w:rPr>
          <w:rFonts w:ascii="Times New Roman" w:hAnsi="Times New Roman" w:cs="Times New Roman"/>
          <w:noProof/>
          <w:color w:val="000000" w:themeColor="text1"/>
          <w:sz w:val="24"/>
          <w:szCs w:val="24"/>
        </w:rPr>
        <w:t xml:space="preserve"> four meetings of the SME Envoy Network</w:t>
      </w:r>
      <w:r w:rsidRPr="005F1FF6">
        <w:rPr>
          <w:rStyle w:val="FootnoteReference"/>
          <w:rFonts w:ascii="Times New Roman" w:eastAsia="Times New Roman" w:hAnsi="Times New Roman" w:cs="Times New Roman"/>
          <w:bCs/>
          <w:noProof/>
          <w:color w:val="000000" w:themeColor="text1"/>
          <w:sz w:val="24"/>
          <w:szCs w:val="24"/>
          <w:lang w:eastAsia="fr-FR"/>
        </w:rPr>
        <w:footnoteReference w:id="30"/>
      </w:r>
      <w:r w:rsidRPr="005F1FF6">
        <w:rPr>
          <w:rFonts w:ascii="Times New Roman" w:eastAsia="Times New Roman" w:hAnsi="Times New Roman" w:cs="Times New Roman"/>
          <w:bCs/>
          <w:noProof/>
          <w:color w:val="000000" w:themeColor="text1"/>
          <w:sz w:val="24"/>
          <w:szCs w:val="24"/>
          <w:lang w:eastAsia="fr-FR"/>
        </w:rPr>
        <w:t xml:space="preserve"> </w:t>
      </w:r>
      <w:r w:rsidRPr="005F1FF6">
        <w:rPr>
          <w:rFonts w:ascii="Times New Roman" w:hAnsi="Times New Roman" w:cs="Times New Roman"/>
          <w:noProof/>
          <w:color w:val="000000" w:themeColor="text1"/>
          <w:sz w:val="24"/>
          <w:szCs w:val="24"/>
        </w:rPr>
        <w:t>(representatives of Member States’ national administrations)</w:t>
      </w:r>
      <w:r w:rsidR="001207FF" w:rsidRPr="005F1FF6">
        <w:rPr>
          <w:rFonts w:ascii="Times New Roman" w:hAnsi="Times New Roman" w:cs="Times New Roman"/>
          <w:noProof/>
          <w:color w:val="000000" w:themeColor="text1"/>
          <w:sz w:val="24"/>
          <w:szCs w:val="24"/>
        </w:rPr>
        <w:t>;</w:t>
      </w:r>
      <w:r w:rsidRPr="005F1FF6">
        <w:rPr>
          <w:rFonts w:ascii="Times New Roman" w:hAnsi="Times New Roman" w:cs="Times New Roman"/>
          <w:noProof/>
          <w:color w:val="000000" w:themeColor="text1"/>
          <w:sz w:val="24"/>
          <w:szCs w:val="24"/>
        </w:rPr>
        <w:t xml:space="preserve"> </w:t>
      </w:r>
      <w:r w:rsidR="001207FF" w:rsidRPr="005F1FF6">
        <w:rPr>
          <w:rFonts w:ascii="Times New Roman" w:hAnsi="Times New Roman" w:cs="Times New Roman"/>
          <w:noProof/>
          <w:color w:val="000000" w:themeColor="text1"/>
          <w:sz w:val="24"/>
          <w:szCs w:val="24"/>
        </w:rPr>
        <w:t xml:space="preserve">(ii) </w:t>
      </w:r>
      <w:r w:rsidRPr="005F1FF6">
        <w:rPr>
          <w:rFonts w:ascii="Times New Roman" w:hAnsi="Times New Roman" w:cs="Times New Roman"/>
          <w:noProof/>
          <w:color w:val="000000" w:themeColor="text1"/>
          <w:sz w:val="24"/>
          <w:szCs w:val="24"/>
        </w:rPr>
        <w:t xml:space="preserve">the </w:t>
      </w:r>
      <w:r w:rsidR="00CA71EF" w:rsidRPr="005F1FF6">
        <w:rPr>
          <w:rFonts w:ascii="Times New Roman" w:hAnsi="Times New Roman" w:cs="Times New Roman"/>
          <w:noProof/>
          <w:color w:val="000000" w:themeColor="text1"/>
          <w:sz w:val="24"/>
          <w:szCs w:val="24"/>
        </w:rPr>
        <w:t xml:space="preserve">2020 </w:t>
      </w:r>
      <w:r w:rsidRPr="005F1FF6">
        <w:rPr>
          <w:rFonts w:ascii="Times New Roman" w:hAnsi="Times New Roman" w:cs="Times New Roman"/>
          <w:noProof/>
          <w:color w:val="000000" w:themeColor="text1"/>
          <w:sz w:val="24"/>
          <w:szCs w:val="24"/>
        </w:rPr>
        <w:t>SME Assembly</w:t>
      </w:r>
      <w:r w:rsidR="00CA71EF"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 xml:space="preserve">a virtual </w:t>
      </w:r>
      <w:r w:rsidR="00D966F6" w:rsidRPr="005F1FF6">
        <w:rPr>
          <w:rFonts w:ascii="Times New Roman" w:hAnsi="Times New Roman" w:cs="Times New Roman"/>
          <w:noProof/>
          <w:color w:val="000000" w:themeColor="text1"/>
          <w:sz w:val="24"/>
          <w:szCs w:val="24"/>
        </w:rPr>
        <w:t xml:space="preserve">stakeholder </w:t>
      </w:r>
      <w:r w:rsidRPr="005F1FF6">
        <w:rPr>
          <w:rFonts w:ascii="Times New Roman" w:hAnsi="Times New Roman" w:cs="Times New Roman"/>
          <w:noProof/>
          <w:color w:val="000000" w:themeColor="text1"/>
          <w:sz w:val="24"/>
          <w:szCs w:val="24"/>
        </w:rPr>
        <w:t>event with 984 online delegates</w:t>
      </w:r>
      <w:r w:rsidR="00CA71EF" w:rsidRPr="005F1FF6">
        <w:rPr>
          <w:rFonts w:ascii="Times New Roman" w:hAnsi="Times New Roman" w:cs="Times New Roman"/>
          <w:noProof/>
          <w:color w:val="000000" w:themeColor="text1"/>
          <w:sz w:val="24"/>
          <w:szCs w:val="24"/>
        </w:rPr>
        <w:t>)</w:t>
      </w:r>
      <w:r w:rsidR="001207FF" w:rsidRPr="005F1FF6">
        <w:rPr>
          <w:rFonts w:ascii="Times New Roman" w:hAnsi="Times New Roman" w:cs="Times New Roman"/>
          <w:noProof/>
          <w:color w:val="000000" w:themeColor="text1"/>
          <w:sz w:val="24"/>
          <w:szCs w:val="24"/>
        </w:rPr>
        <w:t>;</w:t>
      </w:r>
      <w:r w:rsidRPr="005F1FF6">
        <w:rPr>
          <w:rFonts w:ascii="Times New Roman" w:hAnsi="Times New Roman" w:cs="Times New Roman"/>
          <w:noProof/>
          <w:color w:val="000000" w:themeColor="text1"/>
          <w:sz w:val="24"/>
          <w:szCs w:val="24"/>
        </w:rPr>
        <w:t xml:space="preserve"> and </w:t>
      </w:r>
      <w:r w:rsidR="001207FF" w:rsidRPr="005F1FF6">
        <w:rPr>
          <w:rFonts w:ascii="Times New Roman" w:hAnsi="Times New Roman" w:cs="Times New Roman"/>
          <w:noProof/>
          <w:color w:val="000000" w:themeColor="text1"/>
          <w:sz w:val="24"/>
          <w:szCs w:val="24"/>
        </w:rPr>
        <w:t xml:space="preserve">(iii) </w:t>
      </w:r>
      <w:r w:rsidRPr="005F1FF6">
        <w:rPr>
          <w:rFonts w:ascii="Times New Roman" w:hAnsi="Times New Roman" w:cs="Times New Roman"/>
          <w:noProof/>
          <w:color w:val="000000" w:themeColor="text1"/>
          <w:sz w:val="24"/>
          <w:szCs w:val="24"/>
        </w:rPr>
        <w:t>an online masterclass in December 2020 at the Web</w:t>
      </w:r>
      <w:r w:rsidR="00CA71EF" w:rsidRPr="005F1FF6">
        <w:rPr>
          <w:rFonts w:ascii="Times New Roman" w:hAnsi="Times New Roman" w:cs="Times New Roman"/>
          <w:noProof/>
          <w:color w:val="000000" w:themeColor="text1"/>
          <w:sz w:val="24"/>
          <w:szCs w:val="24"/>
        </w:rPr>
        <w:t xml:space="preserve"> S</w:t>
      </w:r>
      <w:r w:rsidRPr="005F1FF6">
        <w:rPr>
          <w:rFonts w:ascii="Times New Roman" w:hAnsi="Times New Roman" w:cs="Times New Roman"/>
          <w:noProof/>
          <w:color w:val="000000" w:themeColor="text1"/>
          <w:sz w:val="24"/>
          <w:szCs w:val="24"/>
        </w:rPr>
        <w:t xml:space="preserve">ummit </w:t>
      </w:r>
      <w:r w:rsidR="00CA71EF" w:rsidRPr="005F1FF6">
        <w:rPr>
          <w:rFonts w:ascii="Times New Roman" w:hAnsi="Times New Roman" w:cs="Times New Roman"/>
          <w:noProof/>
          <w:color w:val="000000" w:themeColor="text1"/>
          <w:sz w:val="24"/>
          <w:szCs w:val="24"/>
        </w:rPr>
        <w:t>in Lisbon</w:t>
      </w:r>
      <w:r w:rsidR="0041273B" w:rsidRPr="005F1FF6">
        <w:rPr>
          <w:rFonts w:ascii="Times New Roman" w:hAnsi="Times New Roman" w:cs="Times New Roman"/>
          <w:noProof/>
          <w:color w:val="000000" w:themeColor="text1"/>
          <w:sz w:val="24"/>
          <w:szCs w:val="24"/>
        </w:rPr>
        <w:t>,</w:t>
      </w:r>
      <w:r w:rsidR="00CA71EF"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with over 200 participants</w:t>
      </w:r>
      <w:r w:rsidRPr="005F1FF6">
        <w:rPr>
          <w:rStyle w:val="FootnoteReference"/>
          <w:rFonts w:ascii="Times New Roman" w:eastAsia="Times New Roman" w:hAnsi="Times New Roman" w:cs="Times New Roman"/>
          <w:bCs/>
          <w:noProof/>
          <w:color w:val="000000" w:themeColor="text1"/>
          <w:sz w:val="24"/>
          <w:szCs w:val="24"/>
          <w:lang w:eastAsia="fr-FR"/>
        </w:rPr>
        <w:footnoteReference w:id="31"/>
      </w:r>
      <w:r w:rsidRPr="005F1FF6">
        <w:rPr>
          <w:rFonts w:ascii="Times New Roman" w:eastAsia="Times New Roman" w:hAnsi="Times New Roman" w:cs="Times New Roman"/>
          <w:bCs/>
          <w:noProof/>
          <w:color w:val="000000" w:themeColor="text1"/>
          <w:sz w:val="24"/>
          <w:szCs w:val="24"/>
          <w:lang w:eastAsia="fr-FR"/>
        </w:rPr>
        <w:t xml:space="preserve">. </w:t>
      </w:r>
      <w:r w:rsidRPr="005F1FF6">
        <w:rPr>
          <w:rFonts w:ascii="Times New Roman" w:hAnsi="Times New Roman" w:cs="Times New Roman"/>
          <w:noProof/>
          <w:color w:val="000000" w:themeColor="text1"/>
          <w:sz w:val="24"/>
          <w:szCs w:val="24"/>
        </w:rPr>
        <w:t xml:space="preserve">These </w:t>
      </w:r>
      <w:r w:rsidR="00CA71EF" w:rsidRPr="005F1FF6">
        <w:rPr>
          <w:rFonts w:ascii="Times New Roman" w:hAnsi="Times New Roman" w:cs="Times New Roman"/>
          <w:noProof/>
          <w:color w:val="000000" w:themeColor="text1"/>
          <w:sz w:val="24"/>
          <w:szCs w:val="24"/>
        </w:rPr>
        <w:t>events</w:t>
      </w:r>
      <w:r w:rsidRPr="005F1FF6">
        <w:rPr>
          <w:rFonts w:ascii="Times New Roman" w:hAnsi="Times New Roman" w:cs="Times New Roman"/>
          <w:noProof/>
          <w:color w:val="000000" w:themeColor="text1"/>
          <w:sz w:val="24"/>
          <w:szCs w:val="24"/>
        </w:rPr>
        <w:t xml:space="preserve"> provided valuable guidance and advice to support </w:t>
      </w:r>
      <w:r w:rsidR="00596B21" w:rsidRPr="005F1FF6">
        <w:rPr>
          <w:rFonts w:ascii="Times New Roman" w:hAnsi="Times New Roman" w:cs="Times New Roman"/>
          <w:noProof/>
          <w:color w:val="000000" w:themeColor="text1"/>
          <w:sz w:val="24"/>
          <w:szCs w:val="24"/>
        </w:rPr>
        <w:t>policymaking</w:t>
      </w:r>
      <w:r w:rsidRPr="005F1FF6">
        <w:rPr>
          <w:rFonts w:ascii="Times New Roman" w:hAnsi="Times New Roman" w:cs="Times New Roman"/>
          <w:noProof/>
          <w:color w:val="000000" w:themeColor="text1"/>
          <w:sz w:val="24"/>
          <w:szCs w:val="24"/>
        </w:rPr>
        <w:t xml:space="preserve"> for SMEs, </w:t>
      </w:r>
      <w:r w:rsidR="001207FF" w:rsidRPr="005F1FF6">
        <w:rPr>
          <w:rFonts w:ascii="Times New Roman" w:hAnsi="Times New Roman" w:cs="Times New Roman"/>
          <w:noProof/>
          <w:color w:val="000000" w:themeColor="text1"/>
          <w:sz w:val="24"/>
          <w:szCs w:val="24"/>
        </w:rPr>
        <w:t>including</w:t>
      </w:r>
      <w:r w:rsidRPr="005F1FF6">
        <w:rPr>
          <w:rFonts w:ascii="Times New Roman" w:hAnsi="Times New Roman" w:cs="Times New Roman"/>
          <w:noProof/>
          <w:color w:val="000000" w:themeColor="text1"/>
          <w:sz w:val="24"/>
          <w:szCs w:val="24"/>
        </w:rPr>
        <w:t xml:space="preserve"> </w:t>
      </w:r>
      <w:r w:rsidR="001207FF" w:rsidRPr="005F1FF6">
        <w:rPr>
          <w:rFonts w:ascii="Times New Roman" w:hAnsi="Times New Roman" w:cs="Times New Roman"/>
          <w:noProof/>
          <w:color w:val="000000" w:themeColor="text1"/>
          <w:sz w:val="24"/>
          <w:szCs w:val="24"/>
        </w:rPr>
        <w:t xml:space="preserve">support to </w:t>
      </w:r>
      <w:r w:rsidRPr="005F1FF6">
        <w:rPr>
          <w:rFonts w:ascii="Times New Roman" w:hAnsi="Times New Roman" w:cs="Times New Roman"/>
          <w:noProof/>
          <w:color w:val="000000" w:themeColor="text1"/>
          <w:sz w:val="24"/>
          <w:szCs w:val="24"/>
        </w:rPr>
        <w:t xml:space="preserve">the SME Envoy Network </w:t>
      </w:r>
      <w:r w:rsidR="001207FF" w:rsidRPr="005F1FF6">
        <w:rPr>
          <w:rFonts w:ascii="Times New Roman" w:hAnsi="Times New Roman" w:cs="Times New Roman"/>
          <w:noProof/>
          <w:color w:val="000000" w:themeColor="text1"/>
          <w:sz w:val="24"/>
          <w:szCs w:val="24"/>
        </w:rPr>
        <w:t xml:space="preserve">in </w:t>
      </w:r>
      <w:r w:rsidRPr="005F1FF6">
        <w:rPr>
          <w:rFonts w:ascii="Times New Roman" w:hAnsi="Times New Roman" w:cs="Times New Roman"/>
          <w:noProof/>
          <w:color w:val="000000" w:themeColor="text1"/>
          <w:sz w:val="24"/>
          <w:szCs w:val="24"/>
        </w:rPr>
        <w:t>preparing its 2020 annual report and recommendations for action</w:t>
      </w:r>
      <w:r w:rsidR="00CA71EF" w:rsidRPr="005F1FF6">
        <w:rPr>
          <w:rStyle w:val="FootnoteReference"/>
          <w:rFonts w:ascii="Times New Roman" w:hAnsi="Times New Roman" w:cs="Times New Roman"/>
          <w:noProof/>
          <w:color w:val="000000" w:themeColor="text1"/>
          <w:sz w:val="24"/>
          <w:szCs w:val="24"/>
        </w:rPr>
        <w:footnoteReference w:id="32"/>
      </w:r>
      <w:r w:rsidRPr="005F1FF6">
        <w:rPr>
          <w:rFonts w:ascii="Times New Roman" w:hAnsi="Times New Roman" w:cs="Times New Roman"/>
          <w:noProof/>
          <w:color w:val="000000" w:themeColor="text1"/>
          <w:sz w:val="24"/>
          <w:szCs w:val="24"/>
        </w:rPr>
        <w:t>.</w:t>
      </w:r>
    </w:p>
    <w:p w14:paraId="2A773086" w14:textId="010E55A6" w:rsidR="00704C70" w:rsidRPr="005F1FF6" w:rsidRDefault="00704C70" w:rsidP="005F1FF6">
      <w:pPr>
        <w:pStyle w:val="Heading3"/>
        <w:spacing w:before="120" w:after="60" w:line="240" w:lineRule="auto"/>
        <w:jc w:val="both"/>
        <w:rPr>
          <w:rFonts w:ascii="Times New Roman" w:hAnsi="Times New Roman" w:cs="Times New Roman"/>
          <w:noProof/>
        </w:rPr>
      </w:pPr>
      <w:bookmarkStart w:id="23" w:name="_Toc146623397"/>
      <w:r w:rsidRPr="005F1FF6">
        <w:rPr>
          <w:rFonts w:ascii="Times New Roman" w:hAnsi="Times New Roman" w:cs="Times New Roman"/>
          <w:noProof/>
        </w:rPr>
        <w:t xml:space="preserve">EU </w:t>
      </w:r>
      <w:r w:rsidRPr="005F1FF6">
        <w:rPr>
          <w:rFonts w:ascii="Times New Roman" w:hAnsi="Times New Roman" w:cs="Times New Roman"/>
          <w:iCs/>
          <w:noProof/>
        </w:rPr>
        <w:t>Open for Business</w:t>
      </w:r>
      <w:r w:rsidRPr="005F1FF6">
        <w:rPr>
          <w:rFonts w:ascii="Times New Roman" w:hAnsi="Times New Roman" w:cs="Times New Roman"/>
          <w:noProof/>
        </w:rPr>
        <w:t xml:space="preserve"> </w:t>
      </w:r>
      <w:r w:rsidR="00647E80" w:rsidRPr="005F1FF6">
        <w:rPr>
          <w:rFonts w:ascii="Times New Roman" w:hAnsi="Times New Roman" w:cs="Times New Roman"/>
          <w:noProof/>
        </w:rPr>
        <w:t>– a new compass for SMEs</w:t>
      </w:r>
      <w:r w:rsidR="005A3D31" w:rsidRPr="005F1FF6">
        <w:rPr>
          <w:rStyle w:val="FootnoteReference"/>
          <w:rFonts w:ascii="Times New Roman" w:hAnsi="Times New Roman" w:cs="Times New Roman"/>
          <w:b w:val="0"/>
          <w:noProof/>
        </w:rPr>
        <w:footnoteReference w:id="33"/>
      </w:r>
      <w:bookmarkEnd w:id="23"/>
    </w:p>
    <w:p w14:paraId="39936D46" w14:textId="301646DF" w:rsidR="00B2385B" w:rsidRPr="005F1FF6" w:rsidRDefault="00892817" w:rsidP="005F1FF6">
      <w:pPr>
        <w:spacing w:line="240" w:lineRule="auto"/>
        <w:jc w:val="both"/>
        <w:rPr>
          <w:rFonts w:ascii="Times New Roman" w:hAnsi="Times New Roman" w:cs="Times New Roman"/>
          <w:noProof/>
          <w:color w:val="000000" w:themeColor="text1"/>
          <w:sz w:val="24"/>
          <w:szCs w:val="24"/>
          <w:lang w:eastAsia="fr-FR"/>
        </w:rPr>
      </w:pPr>
      <w:r w:rsidRPr="005F1FF6">
        <w:rPr>
          <w:rFonts w:ascii="Times New Roman" w:hAnsi="Times New Roman" w:cs="Times New Roman"/>
          <w:noProof/>
          <w:color w:val="000000" w:themeColor="text1"/>
          <w:sz w:val="24"/>
          <w:szCs w:val="24"/>
        </w:rPr>
        <w:t>A</w:t>
      </w:r>
      <w:r w:rsidR="00C514AF" w:rsidRPr="005F1FF6">
        <w:rPr>
          <w:rFonts w:ascii="Times New Roman" w:hAnsi="Times New Roman" w:cs="Times New Roman"/>
          <w:noProof/>
          <w:color w:val="000000" w:themeColor="text1"/>
          <w:sz w:val="24"/>
          <w:szCs w:val="24"/>
        </w:rPr>
        <w:t>n opening and closing event and six</w:t>
      </w:r>
      <w:r w:rsidRPr="005F1FF6">
        <w:rPr>
          <w:rFonts w:ascii="Times New Roman" w:hAnsi="Times New Roman" w:cs="Times New Roman"/>
          <w:noProof/>
          <w:color w:val="000000" w:themeColor="text1"/>
          <w:sz w:val="24"/>
          <w:szCs w:val="24"/>
        </w:rPr>
        <w:t xml:space="preserve"> webinars </w:t>
      </w:r>
      <w:r w:rsidR="007C3B1C" w:rsidRPr="005F1FF6">
        <w:rPr>
          <w:rFonts w:ascii="Times New Roman" w:hAnsi="Times New Roman" w:cs="Times New Roman"/>
          <w:noProof/>
          <w:color w:val="000000" w:themeColor="text1"/>
          <w:sz w:val="24"/>
          <w:szCs w:val="24"/>
        </w:rPr>
        <w:t xml:space="preserve">funded </w:t>
      </w:r>
      <w:r w:rsidR="001207FF" w:rsidRPr="005F1FF6">
        <w:rPr>
          <w:rFonts w:ascii="Times New Roman" w:hAnsi="Times New Roman" w:cs="Times New Roman"/>
          <w:noProof/>
          <w:color w:val="000000" w:themeColor="text1"/>
          <w:sz w:val="24"/>
          <w:szCs w:val="24"/>
        </w:rPr>
        <w:t xml:space="preserve">under the </w:t>
      </w:r>
      <w:r w:rsidR="007C3B1C" w:rsidRPr="005F1FF6">
        <w:rPr>
          <w:rFonts w:ascii="Times New Roman" w:hAnsi="Times New Roman" w:cs="Times New Roman"/>
          <w:noProof/>
          <w:color w:val="000000" w:themeColor="text1"/>
          <w:sz w:val="24"/>
          <w:szCs w:val="24"/>
        </w:rPr>
        <w:t xml:space="preserve">COSME 2020 budget </w:t>
      </w:r>
      <w:r w:rsidRPr="005F1FF6">
        <w:rPr>
          <w:rFonts w:ascii="Times New Roman" w:hAnsi="Times New Roman" w:cs="Times New Roman"/>
          <w:noProof/>
          <w:color w:val="000000" w:themeColor="text1"/>
          <w:sz w:val="24"/>
          <w:szCs w:val="24"/>
        </w:rPr>
        <w:t xml:space="preserve">were held in May 2021 to </w:t>
      </w:r>
      <w:r w:rsidR="006D12D9" w:rsidRPr="005F1FF6">
        <w:rPr>
          <w:rFonts w:ascii="Times New Roman" w:hAnsi="Times New Roman" w:cs="Times New Roman"/>
          <w:noProof/>
          <w:color w:val="000000" w:themeColor="text1"/>
          <w:sz w:val="24"/>
          <w:szCs w:val="24"/>
        </w:rPr>
        <w:t>provide practical information to</w:t>
      </w:r>
      <w:r w:rsidRPr="005F1FF6">
        <w:rPr>
          <w:rFonts w:ascii="Times New Roman" w:hAnsi="Times New Roman" w:cs="Times New Roman"/>
          <w:noProof/>
          <w:color w:val="000000" w:themeColor="text1"/>
          <w:sz w:val="24"/>
          <w:szCs w:val="24"/>
        </w:rPr>
        <w:t xml:space="preserve"> businesses and stakeholders about</w:t>
      </w:r>
      <w:r w:rsidR="00B2385B" w:rsidRPr="005F1FF6">
        <w:rPr>
          <w:rFonts w:ascii="Times New Roman" w:hAnsi="Times New Roman" w:cs="Times New Roman"/>
          <w:noProof/>
          <w:color w:val="000000" w:themeColor="text1"/>
          <w:sz w:val="24"/>
          <w:szCs w:val="24"/>
        </w:rPr>
        <w:t xml:space="preserve"> </w:t>
      </w:r>
      <w:r w:rsidR="005A3D31" w:rsidRPr="005F1FF6">
        <w:rPr>
          <w:rFonts w:ascii="Times New Roman" w:hAnsi="Times New Roman" w:cs="Times New Roman"/>
          <w:noProof/>
          <w:color w:val="000000" w:themeColor="text1"/>
          <w:sz w:val="24"/>
          <w:szCs w:val="24"/>
        </w:rPr>
        <w:t xml:space="preserve">EU </w:t>
      </w:r>
      <w:r w:rsidR="00B2385B" w:rsidRPr="005F1FF6">
        <w:rPr>
          <w:rFonts w:ascii="Times New Roman" w:hAnsi="Times New Roman" w:cs="Times New Roman"/>
          <w:noProof/>
          <w:color w:val="000000" w:themeColor="text1"/>
          <w:sz w:val="24"/>
          <w:szCs w:val="24"/>
        </w:rPr>
        <w:t xml:space="preserve">programmes and </w:t>
      </w:r>
      <w:r w:rsidR="005A3D31" w:rsidRPr="005F1FF6">
        <w:rPr>
          <w:rFonts w:ascii="Times New Roman" w:hAnsi="Times New Roman" w:cs="Times New Roman"/>
          <w:noProof/>
          <w:color w:val="000000" w:themeColor="text1"/>
          <w:sz w:val="24"/>
          <w:szCs w:val="24"/>
        </w:rPr>
        <w:t>support tools for areas</w:t>
      </w:r>
      <w:r w:rsidR="00B2385B" w:rsidRPr="005F1FF6">
        <w:rPr>
          <w:rFonts w:ascii="Times New Roman" w:hAnsi="Times New Roman" w:cs="Times New Roman"/>
          <w:noProof/>
          <w:color w:val="000000" w:themeColor="text1"/>
          <w:sz w:val="24"/>
          <w:szCs w:val="24"/>
        </w:rPr>
        <w:t xml:space="preserve"> such as intellectual property, access to finance,</w:t>
      </w:r>
      <w:r w:rsidR="006D12D9" w:rsidRPr="005F1FF6">
        <w:rPr>
          <w:rFonts w:ascii="Times New Roman" w:hAnsi="Times New Roman" w:cs="Times New Roman"/>
          <w:noProof/>
          <w:color w:val="000000" w:themeColor="text1"/>
          <w:sz w:val="24"/>
          <w:szCs w:val="24"/>
        </w:rPr>
        <w:t xml:space="preserve"> international trade and </w:t>
      </w:r>
      <w:r w:rsidR="001207FF" w:rsidRPr="005F1FF6">
        <w:rPr>
          <w:rFonts w:ascii="Times New Roman" w:hAnsi="Times New Roman" w:cs="Times New Roman"/>
          <w:noProof/>
          <w:color w:val="000000" w:themeColor="text1"/>
          <w:sz w:val="24"/>
          <w:szCs w:val="24"/>
        </w:rPr>
        <w:t xml:space="preserve">the </w:t>
      </w:r>
      <w:r w:rsidR="006D12D9" w:rsidRPr="005F1FF6">
        <w:rPr>
          <w:rFonts w:ascii="Times New Roman" w:hAnsi="Times New Roman" w:cs="Times New Roman"/>
          <w:noProof/>
          <w:color w:val="000000" w:themeColor="text1"/>
          <w:sz w:val="24"/>
          <w:szCs w:val="24"/>
        </w:rPr>
        <w:t>single market</w:t>
      </w:r>
      <w:r w:rsidR="00B2385B"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The number of participants in each webinar ranged from 206 to 370, exceeding the overall target of 650</w:t>
      </w:r>
      <w:r w:rsidR="001207FF" w:rsidRPr="005F1FF6">
        <w:rPr>
          <w:rFonts w:ascii="Times New Roman" w:hAnsi="Times New Roman" w:cs="Times New Roman"/>
          <w:noProof/>
          <w:color w:val="000000" w:themeColor="text1"/>
          <w:sz w:val="24"/>
          <w:szCs w:val="24"/>
        </w:rPr>
        <w:t>,</w:t>
      </w:r>
      <w:r w:rsidR="005A3D31" w:rsidRPr="005F1FF6">
        <w:rPr>
          <w:rFonts w:ascii="Times New Roman" w:hAnsi="Times New Roman" w:cs="Times New Roman"/>
          <w:noProof/>
          <w:color w:val="000000" w:themeColor="text1"/>
          <w:sz w:val="24"/>
          <w:szCs w:val="24"/>
        </w:rPr>
        <w:t xml:space="preserve"> and p</w:t>
      </w:r>
      <w:r w:rsidRPr="005F1FF6">
        <w:rPr>
          <w:rFonts w:ascii="Times New Roman" w:hAnsi="Times New Roman" w:cs="Times New Roman"/>
          <w:noProof/>
          <w:color w:val="000000" w:themeColor="text1"/>
          <w:sz w:val="24"/>
          <w:szCs w:val="24"/>
        </w:rPr>
        <w:t xml:space="preserve">ositive reactions were </w:t>
      </w:r>
      <w:r w:rsidR="0041273B" w:rsidRPr="005F1FF6">
        <w:rPr>
          <w:rFonts w:ascii="Times New Roman" w:hAnsi="Times New Roman" w:cs="Times New Roman"/>
          <w:noProof/>
          <w:color w:val="000000" w:themeColor="text1"/>
          <w:sz w:val="24"/>
          <w:szCs w:val="24"/>
        </w:rPr>
        <w:t xml:space="preserve">expressed </w:t>
      </w:r>
      <w:r w:rsidRPr="005F1FF6">
        <w:rPr>
          <w:rFonts w:ascii="Times New Roman" w:hAnsi="Times New Roman" w:cs="Times New Roman"/>
          <w:noProof/>
          <w:color w:val="000000" w:themeColor="text1"/>
          <w:sz w:val="24"/>
          <w:szCs w:val="24"/>
        </w:rPr>
        <w:t>by 80% of respondents to the</w:t>
      </w:r>
      <w:r w:rsidR="00B2385B" w:rsidRPr="005F1FF6">
        <w:rPr>
          <w:rFonts w:ascii="Times New Roman" w:hAnsi="Times New Roman" w:cs="Times New Roman"/>
          <w:noProof/>
          <w:color w:val="000000" w:themeColor="text1"/>
          <w:sz w:val="24"/>
          <w:szCs w:val="24"/>
        </w:rPr>
        <w:t xml:space="preserve"> post-event survey</w:t>
      </w:r>
      <w:r w:rsidR="00C514AF" w:rsidRPr="005F1FF6">
        <w:rPr>
          <w:rStyle w:val="FootnoteReference"/>
          <w:rFonts w:ascii="Times New Roman" w:hAnsi="Times New Roman" w:cs="Times New Roman"/>
          <w:noProof/>
          <w:color w:val="000000" w:themeColor="text1"/>
          <w:sz w:val="24"/>
          <w:szCs w:val="24"/>
        </w:rPr>
        <w:footnoteReference w:id="34"/>
      </w:r>
      <w:r w:rsidR="00B2385B" w:rsidRPr="005F1FF6">
        <w:rPr>
          <w:rFonts w:ascii="Times New Roman" w:hAnsi="Times New Roman" w:cs="Times New Roman"/>
          <w:noProof/>
          <w:color w:val="000000" w:themeColor="text1"/>
          <w:sz w:val="24"/>
          <w:szCs w:val="24"/>
        </w:rPr>
        <w:t>.</w:t>
      </w:r>
    </w:p>
    <w:p w14:paraId="63C0FF50" w14:textId="0FD7704B" w:rsidR="00660BB3" w:rsidRPr="005F1FF6" w:rsidRDefault="000331A9" w:rsidP="005F1FF6">
      <w:pPr>
        <w:pStyle w:val="Heading2"/>
        <w:numPr>
          <w:ilvl w:val="0"/>
          <w:numId w:val="0"/>
        </w:numPr>
        <w:spacing w:before="240" w:after="120" w:line="240" w:lineRule="auto"/>
        <w:ind w:left="357" w:hanging="357"/>
        <w:rPr>
          <w:rFonts w:ascii="Times New Roman" w:hAnsi="Times New Roman" w:cs="Times New Roman"/>
          <w:noProof/>
          <w:lang w:val="en-GB"/>
        </w:rPr>
      </w:pPr>
      <w:bookmarkStart w:id="24" w:name="_Toc146623398"/>
      <w:r w:rsidRPr="005F1FF6">
        <w:rPr>
          <w:rFonts w:ascii="Times New Roman" w:hAnsi="Times New Roman" w:cs="Times New Roman"/>
          <w:noProof/>
          <w:lang w:val="en-GB"/>
        </w:rPr>
        <w:t xml:space="preserve">2.4 </w:t>
      </w:r>
      <w:r w:rsidR="00767F1E" w:rsidRPr="005F1FF6">
        <w:rPr>
          <w:rFonts w:ascii="Times New Roman" w:hAnsi="Times New Roman" w:cs="Times New Roman"/>
          <w:noProof/>
          <w:lang w:val="en-GB"/>
        </w:rPr>
        <w:t>Specific o</w:t>
      </w:r>
      <w:r w:rsidR="00660BB3" w:rsidRPr="005F1FF6">
        <w:rPr>
          <w:rFonts w:ascii="Times New Roman" w:hAnsi="Times New Roman" w:cs="Times New Roman"/>
          <w:noProof/>
          <w:lang w:val="en-GB"/>
        </w:rPr>
        <w:t xml:space="preserve">bjective D: </w:t>
      </w:r>
      <w:r w:rsidR="000A05F1" w:rsidRPr="005F1FF6">
        <w:rPr>
          <w:rFonts w:ascii="Times New Roman" w:hAnsi="Times New Roman" w:cs="Times New Roman"/>
          <w:noProof/>
          <w:lang w:val="en-GB"/>
        </w:rPr>
        <w:t>p</w:t>
      </w:r>
      <w:r w:rsidR="00660BB3" w:rsidRPr="005F1FF6">
        <w:rPr>
          <w:rFonts w:ascii="Times New Roman" w:hAnsi="Times New Roman" w:cs="Times New Roman"/>
          <w:noProof/>
          <w:lang w:val="en-GB"/>
        </w:rPr>
        <w:t>romoting entrepreneurship and entrepreneurial culture</w:t>
      </w:r>
      <w:bookmarkEnd w:id="24"/>
    </w:p>
    <w:p w14:paraId="7E0F8CA1" w14:textId="1D0B9999" w:rsidR="00660BB3" w:rsidRPr="005F1FF6" w:rsidRDefault="00660BB3" w:rsidP="005F1FF6">
      <w:pPr>
        <w:spacing w:before="120" w:line="240" w:lineRule="auto"/>
        <w:jc w:val="both"/>
        <w:rPr>
          <w:rFonts w:ascii="Times New Roman" w:hAnsi="Times New Roman" w:cs="Times New Roman"/>
          <w:b/>
          <w:bCs/>
          <w:noProof/>
          <w:color w:val="000000" w:themeColor="text1"/>
          <w:sz w:val="24"/>
          <w:szCs w:val="24"/>
        </w:rPr>
      </w:pPr>
      <w:r w:rsidRPr="005F1FF6">
        <w:rPr>
          <w:rFonts w:ascii="Times New Roman" w:hAnsi="Times New Roman" w:cs="Times New Roman"/>
          <w:b/>
          <w:bCs/>
          <w:noProof/>
          <w:color w:val="000000" w:themeColor="text1"/>
          <w:sz w:val="24"/>
          <w:szCs w:val="24"/>
        </w:rPr>
        <w:t xml:space="preserve">The COSME Regulation </w:t>
      </w:r>
      <w:r w:rsidR="00B10E33">
        <w:rPr>
          <w:rFonts w:ascii="Times New Roman" w:hAnsi="Times New Roman" w:cs="Times New Roman"/>
          <w:b/>
          <w:bCs/>
          <w:noProof/>
          <w:color w:val="000000" w:themeColor="text1"/>
          <w:sz w:val="24"/>
          <w:szCs w:val="24"/>
        </w:rPr>
        <w:t>provides</w:t>
      </w:r>
      <w:r w:rsidRPr="005F1FF6">
        <w:rPr>
          <w:rFonts w:ascii="Times New Roman" w:hAnsi="Times New Roman" w:cs="Times New Roman"/>
          <w:b/>
          <w:bCs/>
          <w:noProof/>
          <w:color w:val="000000" w:themeColor="text1"/>
          <w:sz w:val="24"/>
          <w:szCs w:val="24"/>
        </w:rPr>
        <w:t xml:space="preserve"> that </w:t>
      </w:r>
      <w:r w:rsidR="00B5782F" w:rsidRPr="005F1FF6">
        <w:rPr>
          <w:rFonts w:ascii="Times New Roman" w:hAnsi="Times New Roman" w:cs="Times New Roman"/>
          <w:b/>
          <w:bCs/>
          <w:noProof/>
          <w:color w:val="000000" w:themeColor="text1"/>
          <w:sz w:val="24"/>
          <w:szCs w:val="24"/>
        </w:rPr>
        <w:t xml:space="preserve">an indicative amount of </w:t>
      </w:r>
      <w:r w:rsidRPr="005F1FF6">
        <w:rPr>
          <w:rFonts w:ascii="Times New Roman" w:hAnsi="Times New Roman" w:cs="Times New Roman"/>
          <w:b/>
          <w:bCs/>
          <w:noProof/>
          <w:color w:val="000000" w:themeColor="text1"/>
          <w:sz w:val="24"/>
          <w:szCs w:val="24"/>
        </w:rPr>
        <w:t xml:space="preserve">2.5% of the total budget </w:t>
      </w:r>
      <w:r w:rsidR="00B9527B" w:rsidRPr="005F1FF6">
        <w:rPr>
          <w:rFonts w:ascii="Times New Roman" w:hAnsi="Times New Roman" w:cs="Times New Roman"/>
          <w:b/>
          <w:bCs/>
          <w:noProof/>
          <w:color w:val="000000" w:themeColor="text1"/>
          <w:sz w:val="24"/>
          <w:szCs w:val="24"/>
        </w:rPr>
        <w:t xml:space="preserve">for 2014-2020 </w:t>
      </w:r>
      <w:r w:rsidRPr="005F1FF6">
        <w:rPr>
          <w:rFonts w:ascii="Times New Roman" w:hAnsi="Times New Roman" w:cs="Times New Roman"/>
          <w:b/>
          <w:bCs/>
          <w:noProof/>
          <w:color w:val="000000" w:themeColor="text1"/>
          <w:sz w:val="24"/>
          <w:szCs w:val="24"/>
        </w:rPr>
        <w:t>should be devoted to promoting entrepreneurship and entrepreneurial culture.</w:t>
      </w:r>
      <w:r w:rsidR="00647E80" w:rsidRPr="005F1FF6">
        <w:rPr>
          <w:rFonts w:ascii="Times New Roman" w:hAnsi="Times New Roman" w:cs="Times New Roman"/>
          <w:b/>
          <w:bCs/>
          <w:noProof/>
          <w:color w:val="000000" w:themeColor="text1"/>
          <w:sz w:val="24"/>
          <w:szCs w:val="24"/>
        </w:rPr>
        <w:t xml:space="preserve"> </w:t>
      </w:r>
      <w:r w:rsidR="00757726" w:rsidRPr="005F1FF6">
        <w:rPr>
          <w:rFonts w:ascii="Times New Roman" w:hAnsi="Times New Roman" w:cs="Times New Roman"/>
          <w:b/>
          <w:bCs/>
          <w:noProof/>
          <w:color w:val="000000" w:themeColor="text1"/>
          <w:sz w:val="24"/>
          <w:szCs w:val="24"/>
        </w:rPr>
        <w:t>EUR</w:t>
      </w:r>
      <w:r w:rsidR="00FE2948" w:rsidRPr="005F1FF6">
        <w:rPr>
          <w:rFonts w:ascii="Times New Roman" w:hAnsi="Times New Roman" w:cs="Times New Roman"/>
          <w:b/>
          <w:bCs/>
          <w:noProof/>
          <w:color w:val="000000" w:themeColor="text1"/>
          <w:sz w:val="24"/>
          <w:szCs w:val="24"/>
        </w:rPr>
        <w:t> </w:t>
      </w:r>
      <w:r w:rsidR="00757726" w:rsidRPr="005F1FF6">
        <w:rPr>
          <w:rFonts w:ascii="Times New Roman" w:hAnsi="Times New Roman" w:cs="Times New Roman"/>
          <w:b/>
          <w:bCs/>
          <w:noProof/>
          <w:color w:val="000000" w:themeColor="text1"/>
          <w:sz w:val="24"/>
          <w:szCs w:val="24"/>
        </w:rPr>
        <w:t xml:space="preserve">3.6 million </w:t>
      </w:r>
      <w:r w:rsidR="00647E80" w:rsidRPr="005F1FF6">
        <w:rPr>
          <w:rFonts w:ascii="Times New Roman" w:hAnsi="Times New Roman" w:cs="Times New Roman"/>
          <w:b/>
          <w:bCs/>
          <w:noProof/>
          <w:color w:val="000000" w:themeColor="text1"/>
          <w:sz w:val="24"/>
          <w:szCs w:val="24"/>
        </w:rPr>
        <w:t>was spent on this target in 2020</w:t>
      </w:r>
      <w:r w:rsidR="00757726" w:rsidRPr="005F1FF6">
        <w:rPr>
          <w:rStyle w:val="FootnoteReference"/>
          <w:rFonts w:ascii="Times New Roman" w:hAnsi="Times New Roman" w:cs="Times New Roman"/>
          <w:b/>
          <w:bCs/>
          <w:noProof/>
          <w:color w:val="000000" w:themeColor="text1"/>
          <w:sz w:val="24"/>
          <w:szCs w:val="24"/>
        </w:rPr>
        <w:footnoteReference w:id="35"/>
      </w:r>
      <w:r w:rsidR="00B31971" w:rsidRPr="005F1FF6">
        <w:rPr>
          <w:rFonts w:ascii="Times New Roman" w:hAnsi="Times New Roman" w:cs="Times New Roman"/>
          <w:b/>
          <w:bCs/>
          <w:noProof/>
          <w:color w:val="000000" w:themeColor="text1"/>
          <w:sz w:val="24"/>
          <w:szCs w:val="24"/>
        </w:rPr>
        <w:t xml:space="preserve"> </w:t>
      </w:r>
      <w:r w:rsidR="00B31971" w:rsidRPr="005F1FF6">
        <w:rPr>
          <w:rStyle w:val="FootnoteReference"/>
          <w:rFonts w:ascii="Times New Roman" w:hAnsi="Times New Roman" w:cs="Times New Roman"/>
          <w:b/>
          <w:bCs/>
          <w:noProof/>
          <w:sz w:val="24"/>
          <w:szCs w:val="24"/>
        </w:rPr>
        <w:footnoteReference w:id="36"/>
      </w:r>
      <w:r w:rsidR="00322ABA" w:rsidRPr="005F1FF6">
        <w:rPr>
          <w:rFonts w:ascii="Times New Roman" w:hAnsi="Times New Roman" w:cs="Times New Roman"/>
          <w:b/>
          <w:bCs/>
          <w:noProof/>
          <w:sz w:val="24"/>
          <w:szCs w:val="24"/>
        </w:rPr>
        <w:t xml:space="preserve"> which amounts to 0.8%</w:t>
      </w:r>
      <w:r w:rsidR="00322ABA" w:rsidRPr="005F1FF6">
        <w:rPr>
          <w:rFonts w:ascii="Times New Roman" w:hAnsi="Times New Roman" w:cs="Times New Roman"/>
          <w:b/>
          <w:bCs/>
          <w:noProof/>
          <w:color w:val="000000" w:themeColor="text1"/>
          <w:sz w:val="24"/>
          <w:szCs w:val="24"/>
        </w:rPr>
        <w:t xml:space="preserve"> </w:t>
      </w:r>
      <w:r w:rsidR="00322ABA" w:rsidRPr="005F1FF6">
        <w:rPr>
          <w:rFonts w:ascii="Times New Roman" w:hAnsi="Times New Roman" w:cs="Times New Roman"/>
          <w:b/>
          <w:bCs/>
          <w:noProof/>
          <w:sz w:val="24"/>
          <w:szCs w:val="24"/>
        </w:rPr>
        <w:t>of the total COSME Budget</w:t>
      </w:r>
      <w:r w:rsidR="00322ABA" w:rsidRPr="005F1FF6">
        <w:rPr>
          <w:rFonts w:ascii="Times New Roman" w:hAnsi="Times New Roman" w:cs="Times New Roman"/>
          <w:b/>
          <w:bCs/>
          <w:noProof/>
          <w:color w:val="000000" w:themeColor="text1"/>
          <w:sz w:val="24"/>
          <w:szCs w:val="24"/>
        </w:rPr>
        <w:t>.</w:t>
      </w:r>
    </w:p>
    <w:p w14:paraId="29618716" w14:textId="61874D28" w:rsidR="0018755A" w:rsidRPr="005F1FF6" w:rsidRDefault="0018755A" w:rsidP="005F1FF6">
      <w:pPr>
        <w:spacing w:after="60" w:line="240" w:lineRule="auto"/>
        <w:jc w:val="both"/>
        <w:rPr>
          <w:rFonts w:ascii="Times New Roman" w:eastAsia="Times New Roman" w:hAnsi="Times New Roman" w:cs="Times New Roman"/>
          <w:b/>
          <w:bCs/>
          <w:noProof/>
          <w:color w:val="000000" w:themeColor="text1"/>
          <w:sz w:val="24"/>
          <w:szCs w:val="24"/>
          <w:lang w:eastAsia="fr-FR"/>
        </w:rPr>
      </w:pPr>
      <w:r w:rsidRPr="005F1FF6">
        <w:rPr>
          <w:rFonts w:ascii="Times New Roman" w:eastAsia="Times New Roman" w:hAnsi="Times New Roman" w:cs="Times New Roman"/>
          <w:b/>
          <w:iCs/>
          <w:noProof/>
          <w:color w:val="000000" w:themeColor="text1"/>
          <w:sz w:val="24"/>
          <w:szCs w:val="24"/>
          <w:u w:val="single"/>
          <w:lang w:eastAsia="fr-FR"/>
        </w:rPr>
        <w:t>Enhancing Digital and Entrepreneurial competences in Girls and Women (ESTEAM)</w:t>
      </w:r>
      <w:r w:rsidRPr="005F1FF6">
        <w:rPr>
          <w:rStyle w:val="FootnoteReference"/>
          <w:rFonts w:ascii="Times New Roman" w:eastAsia="Times New Roman" w:hAnsi="Times New Roman" w:cs="Times New Roman"/>
          <w:bCs/>
          <w:noProof/>
          <w:color w:val="000000" w:themeColor="text1"/>
          <w:sz w:val="24"/>
          <w:szCs w:val="24"/>
          <w:lang w:eastAsia="fr-FR"/>
        </w:rPr>
        <w:footnoteReference w:id="37"/>
      </w:r>
    </w:p>
    <w:p w14:paraId="3D4C86AF" w14:textId="1F5EE5AA" w:rsidR="0018755A" w:rsidRPr="005F1FF6" w:rsidRDefault="0018755A" w:rsidP="005F1FF6">
      <w:pPr>
        <w:spacing w:after="60" w:line="240" w:lineRule="auto"/>
        <w:jc w:val="both"/>
        <w:rPr>
          <w:rFonts w:ascii="Times New Roman" w:eastAsia="Times New Roman" w:hAnsi="Times New Roman" w:cs="Times New Roman"/>
          <w:bCs/>
          <w:noProof/>
          <w:color w:val="000000" w:themeColor="text1"/>
          <w:sz w:val="24"/>
          <w:szCs w:val="24"/>
          <w:lang w:eastAsia="fr-FR"/>
        </w:rPr>
      </w:pPr>
      <w:r w:rsidRPr="005F1FF6">
        <w:rPr>
          <w:rFonts w:ascii="Times New Roman" w:eastAsia="Times New Roman" w:hAnsi="Times New Roman" w:cs="Times New Roman"/>
          <w:bCs/>
          <w:noProof/>
          <w:color w:val="000000" w:themeColor="text1"/>
          <w:sz w:val="24"/>
          <w:szCs w:val="24"/>
          <w:lang w:eastAsia="fr-FR"/>
        </w:rPr>
        <w:t xml:space="preserve">This project </w:t>
      </w:r>
      <w:r w:rsidR="007C3B1C" w:rsidRPr="005F1FF6">
        <w:rPr>
          <w:rFonts w:ascii="Times New Roman" w:eastAsia="Times New Roman" w:hAnsi="Times New Roman" w:cs="Times New Roman"/>
          <w:bCs/>
          <w:noProof/>
          <w:color w:val="000000" w:themeColor="text1"/>
          <w:sz w:val="24"/>
          <w:szCs w:val="24"/>
          <w:lang w:eastAsia="fr-FR"/>
        </w:rPr>
        <w:t xml:space="preserve">supported </w:t>
      </w:r>
      <w:r w:rsidR="001207FF" w:rsidRPr="005F1FF6">
        <w:rPr>
          <w:rFonts w:ascii="Times New Roman" w:eastAsia="Times New Roman" w:hAnsi="Times New Roman" w:cs="Times New Roman"/>
          <w:bCs/>
          <w:noProof/>
          <w:color w:val="000000" w:themeColor="text1"/>
          <w:sz w:val="24"/>
          <w:szCs w:val="24"/>
          <w:lang w:eastAsia="fr-FR"/>
        </w:rPr>
        <w:t xml:space="preserve">under the </w:t>
      </w:r>
      <w:r w:rsidR="007C3B1C" w:rsidRPr="005F1FF6">
        <w:rPr>
          <w:rFonts w:ascii="Times New Roman" w:eastAsia="Times New Roman" w:hAnsi="Times New Roman" w:cs="Times New Roman"/>
          <w:bCs/>
          <w:noProof/>
          <w:color w:val="000000" w:themeColor="text1"/>
          <w:sz w:val="24"/>
          <w:szCs w:val="24"/>
          <w:lang w:eastAsia="fr-FR"/>
        </w:rPr>
        <w:t xml:space="preserve">COSME 2020 budget </w:t>
      </w:r>
      <w:r w:rsidRPr="005F1FF6">
        <w:rPr>
          <w:rFonts w:ascii="Times New Roman" w:eastAsia="Times New Roman" w:hAnsi="Times New Roman" w:cs="Times New Roman"/>
          <w:bCs/>
          <w:noProof/>
          <w:color w:val="000000" w:themeColor="text1"/>
          <w:sz w:val="24"/>
          <w:szCs w:val="24"/>
          <w:lang w:eastAsia="fr-FR"/>
        </w:rPr>
        <w:t xml:space="preserve">aims to strengthen </w:t>
      </w:r>
      <w:r w:rsidR="0041273B" w:rsidRPr="005F1FF6">
        <w:rPr>
          <w:rFonts w:ascii="Times New Roman" w:eastAsia="Times New Roman" w:hAnsi="Times New Roman" w:cs="Times New Roman"/>
          <w:bCs/>
          <w:noProof/>
          <w:color w:val="000000" w:themeColor="text1"/>
          <w:sz w:val="24"/>
          <w:szCs w:val="24"/>
          <w:lang w:eastAsia="fr-FR"/>
        </w:rPr>
        <w:t xml:space="preserve">the </w:t>
      </w:r>
      <w:r w:rsidRPr="005F1FF6">
        <w:rPr>
          <w:rFonts w:ascii="Times New Roman" w:eastAsia="Times New Roman" w:hAnsi="Times New Roman" w:cs="Times New Roman"/>
          <w:bCs/>
          <w:noProof/>
          <w:color w:val="000000" w:themeColor="text1"/>
          <w:sz w:val="24"/>
          <w:szCs w:val="24"/>
          <w:lang w:eastAsia="fr-FR"/>
        </w:rPr>
        <w:t xml:space="preserve">digital and entrepreneurial competences of girls and women, and to boost their confidence. </w:t>
      </w:r>
      <w:r w:rsidR="00647E80" w:rsidRPr="005F1FF6">
        <w:rPr>
          <w:rFonts w:ascii="Times New Roman" w:eastAsia="Times New Roman" w:hAnsi="Times New Roman" w:cs="Times New Roman"/>
          <w:bCs/>
          <w:noProof/>
          <w:color w:val="000000" w:themeColor="text1"/>
          <w:sz w:val="24"/>
          <w:szCs w:val="24"/>
          <w:lang w:eastAsia="fr-FR"/>
        </w:rPr>
        <w:t xml:space="preserve">It will continue until the end of 2024. </w:t>
      </w:r>
      <w:r w:rsidRPr="005F1FF6">
        <w:rPr>
          <w:rFonts w:ascii="Times New Roman" w:eastAsia="Times New Roman" w:hAnsi="Times New Roman" w:cs="Times New Roman"/>
          <w:bCs/>
          <w:noProof/>
          <w:color w:val="000000" w:themeColor="text1"/>
          <w:sz w:val="24"/>
          <w:szCs w:val="24"/>
          <w:lang w:eastAsia="fr-FR"/>
        </w:rPr>
        <w:t>An event for girls with 203 participants and 15 local workshops took place in May 2022, focusing on problem</w:t>
      </w:r>
      <w:r w:rsidR="001207FF" w:rsidRPr="005F1FF6">
        <w:rPr>
          <w:rFonts w:ascii="Times New Roman" w:eastAsia="Times New Roman" w:hAnsi="Times New Roman" w:cs="Times New Roman"/>
          <w:bCs/>
          <w:noProof/>
          <w:color w:val="000000" w:themeColor="text1"/>
          <w:sz w:val="24"/>
          <w:szCs w:val="24"/>
          <w:lang w:eastAsia="fr-FR"/>
        </w:rPr>
        <w:t xml:space="preserve"> </w:t>
      </w:r>
      <w:r w:rsidRPr="005F1FF6">
        <w:rPr>
          <w:rFonts w:ascii="Times New Roman" w:eastAsia="Times New Roman" w:hAnsi="Times New Roman" w:cs="Times New Roman"/>
          <w:bCs/>
          <w:noProof/>
          <w:color w:val="000000" w:themeColor="text1"/>
          <w:sz w:val="24"/>
          <w:szCs w:val="24"/>
          <w:lang w:eastAsia="fr-FR"/>
        </w:rPr>
        <w:t>solving, a case study and a pitching exercise. The first women ESTEAM Fest took place in June 2022 with a plenary session and workshops to boost entrepreneurial and digital skills. Mentoring services were provided until the end of 2022.</w:t>
      </w:r>
    </w:p>
    <w:p w14:paraId="4422D4BE" w14:textId="4CFB67F1" w:rsidR="00BD5B65" w:rsidRPr="005F1FF6" w:rsidRDefault="00BD5B65" w:rsidP="005F1FF6">
      <w:pPr>
        <w:spacing w:before="240" w:after="60" w:line="240" w:lineRule="auto"/>
        <w:jc w:val="both"/>
        <w:rPr>
          <w:rFonts w:ascii="Times New Roman" w:eastAsia="Times New Roman" w:hAnsi="Times New Roman" w:cs="Times New Roman"/>
          <w:b/>
          <w:bCs/>
          <w:noProof/>
          <w:sz w:val="24"/>
          <w:szCs w:val="24"/>
          <w:u w:val="single"/>
          <w:lang w:eastAsia="fr-FR"/>
        </w:rPr>
      </w:pPr>
      <w:r w:rsidRPr="005F1FF6">
        <w:rPr>
          <w:rFonts w:ascii="Times New Roman" w:eastAsia="Times New Roman" w:hAnsi="Times New Roman" w:cs="Times New Roman"/>
          <w:b/>
          <w:bCs/>
          <w:noProof/>
          <w:sz w:val="24"/>
          <w:szCs w:val="24"/>
          <w:u w:val="single"/>
          <w:lang w:eastAsia="fr-FR"/>
        </w:rPr>
        <w:t>European Social Economy Missions</w:t>
      </w:r>
    </w:p>
    <w:p w14:paraId="07486541" w14:textId="2E57303E" w:rsidR="00BD5B65" w:rsidRPr="005F1FF6" w:rsidRDefault="00BD5B65" w:rsidP="005F1FF6">
      <w:pPr>
        <w:spacing w:before="120" w:after="60" w:line="240" w:lineRule="auto"/>
        <w:jc w:val="both"/>
        <w:rPr>
          <w:rFonts w:ascii="Times New Roman" w:eastAsia="Times New Roman" w:hAnsi="Times New Roman" w:cs="Times New Roman"/>
          <w:bCs/>
          <w:noProof/>
          <w:sz w:val="24"/>
          <w:szCs w:val="24"/>
          <w:lang w:eastAsia="fr-FR"/>
        </w:rPr>
      </w:pPr>
      <w:r w:rsidRPr="005F1FF6">
        <w:rPr>
          <w:rFonts w:ascii="Times New Roman" w:eastAsia="Times New Roman" w:hAnsi="Times New Roman" w:cs="Times New Roman"/>
          <w:bCs/>
          <w:noProof/>
          <w:sz w:val="24"/>
          <w:szCs w:val="24"/>
          <w:lang w:eastAsia="fr-FR"/>
        </w:rPr>
        <w:t xml:space="preserve">The </w:t>
      </w:r>
      <w:r w:rsidRPr="005F1FF6">
        <w:rPr>
          <w:rFonts w:ascii="Times New Roman" w:eastAsia="Times New Roman" w:hAnsi="Times New Roman" w:cs="Times New Roman"/>
          <w:b/>
          <w:bCs/>
          <w:noProof/>
          <w:sz w:val="24"/>
          <w:szCs w:val="24"/>
          <w:lang w:eastAsia="fr-FR"/>
        </w:rPr>
        <w:t>European Social Economy Missions</w:t>
      </w:r>
      <w:r w:rsidRPr="005F1FF6">
        <w:rPr>
          <w:rFonts w:ascii="Times New Roman" w:eastAsia="Times New Roman" w:hAnsi="Times New Roman" w:cs="Times New Roman"/>
          <w:bCs/>
          <w:noProof/>
          <w:sz w:val="24"/>
          <w:szCs w:val="24"/>
          <w:lang w:eastAsia="fr-FR"/>
        </w:rPr>
        <w:t xml:space="preserve"> built on the experiences of a successful pilot initiative held in 2018. This follow-up project </w:t>
      </w:r>
      <w:r w:rsidR="007C3B1C" w:rsidRPr="005F1FF6">
        <w:rPr>
          <w:rFonts w:ascii="Times New Roman" w:eastAsia="Times New Roman" w:hAnsi="Times New Roman" w:cs="Times New Roman"/>
          <w:bCs/>
          <w:noProof/>
          <w:sz w:val="24"/>
          <w:szCs w:val="24"/>
          <w:lang w:eastAsia="fr-FR"/>
        </w:rPr>
        <w:t xml:space="preserve">funded </w:t>
      </w:r>
      <w:r w:rsidR="001207FF" w:rsidRPr="005F1FF6">
        <w:rPr>
          <w:rFonts w:ascii="Times New Roman" w:eastAsia="Times New Roman" w:hAnsi="Times New Roman" w:cs="Times New Roman"/>
          <w:bCs/>
          <w:noProof/>
          <w:sz w:val="24"/>
          <w:szCs w:val="24"/>
          <w:lang w:eastAsia="fr-FR"/>
        </w:rPr>
        <w:t xml:space="preserve">under the </w:t>
      </w:r>
      <w:r w:rsidR="007C3B1C" w:rsidRPr="005F1FF6">
        <w:rPr>
          <w:rFonts w:ascii="Times New Roman" w:eastAsia="Times New Roman" w:hAnsi="Times New Roman" w:cs="Times New Roman"/>
          <w:bCs/>
          <w:noProof/>
          <w:sz w:val="24"/>
          <w:szCs w:val="24"/>
          <w:lang w:eastAsia="fr-FR"/>
        </w:rPr>
        <w:t xml:space="preserve">COSME 2020 budget </w:t>
      </w:r>
      <w:r w:rsidRPr="005F1FF6">
        <w:rPr>
          <w:rFonts w:ascii="Times New Roman" w:eastAsia="Times New Roman" w:hAnsi="Times New Roman" w:cs="Times New Roman"/>
          <w:bCs/>
          <w:noProof/>
          <w:sz w:val="24"/>
          <w:szCs w:val="24"/>
          <w:lang w:eastAsia="fr-FR"/>
        </w:rPr>
        <w:t>organi</w:t>
      </w:r>
      <w:r w:rsidR="00FE2948" w:rsidRPr="005F1FF6">
        <w:rPr>
          <w:rFonts w:ascii="Times New Roman" w:eastAsia="Times New Roman" w:hAnsi="Times New Roman" w:cs="Times New Roman"/>
          <w:bCs/>
          <w:noProof/>
          <w:sz w:val="24"/>
          <w:szCs w:val="24"/>
          <w:lang w:eastAsia="fr-FR"/>
        </w:rPr>
        <w:t>s</w:t>
      </w:r>
      <w:r w:rsidRPr="005F1FF6">
        <w:rPr>
          <w:rFonts w:ascii="Times New Roman" w:eastAsia="Times New Roman" w:hAnsi="Times New Roman" w:cs="Times New Roman"/>
          <w:bCs/>
          <w:noProof/>
          <w:sz w:val="24"/>
          <w:szCs w:val="24"/>
          <w:lang w:eastAsia="fr-FR"/>
        </w:rPr>
        <w:t xml:space="preserve">ed a series of workshops involving a wide range of social economy stakeholders to develop inter-regional collaboration </w:t>
      </w:r>
      <w:r w:rsidR="001207FF" w:rsidRPr="005F1FF6">
        <w:rPr>
          <w:rFonts w:ascii="Times New Roman" w:eastAsia="Times New Roman" w:hAnsi="Times New Roman" w:cs="Times New Roman"/>
          <w:bCs/>
          <w:noProof/>
          <w:sz w:val="24"/>
          <w:szCs w:val="24"/>
          <w:lang w:eastAsia="fr-FR"/>
        </w:rPr>
        <w:t xml:space="preserve">by </w:t>
      </w:r>
      <w:r w:rsidRPr="005F1FF6">
        <w:rPr>
          <w:rFonts w:ascii="Times New Roman" w:eastAsia="Times New Roman" w:hAnsi="Times New Roman" w:cs="Times New Roman"/>
          <w:bCs/>
          <w:noProof/>
          <w:sz w:val="24"/>
          <w:szCs w:val="24"/>
          <w:lang w:eastAsia="fr-FR"/>
        </w:rPr>
        <w:t xml:space="preserve">sharing and replicating best practices and inter-regional learning. There were 88 beneficiary organisations from 27 EU/COSME </w:t>
      </w:r>
      <w:r w:rsidR="001207FF" w:rsidRPr="005F1FF6">
        <w:rPr>
          <w:rFonts w:ascii="Times New Roman" w:eastAsia="Times New Roman" w:hAnsi="Times New Roman" w:cs="Times New Roman"/>
          <w:bCs/>
          <w:noProof/>
          <w:sz w:val="24"/>
          <w:szCs w:val="24"/>
          <w:lang w:eastAsia="fr-FR"/>
        </w:rPr>
        <w:t>c</w:t>
      </w:r>
      <w:r w:rsidRPr="005F1FF6">
        <w:rPr>
          <w:rFonts w:ascii="Times New Roman" w:eastAsia="Times New Roman" w:hAnsi="Times New Roman" w:cs="Times New Roman"/>
          <w:bCs/>
          <w:noProof/>
          <w:sz w:val="24"/>
          <w:szCs w:val="24"/>
          <w:lang w:eastAsia="fr-FR"/>
        </w:rPr>
        <w:t xml:space="preserve">ountries. More than 60 </w:t>
      </w:r>
      <w:r w:rsidR="00C7492F" w:rsidRPr="005F1FF6">
        <w:rPr>
          <w:rFonts w:ascii="Times New Roman" w:eastAsia="Times New Roman" w:hAnsi="Times New Roman" w:cs="Times New Roman"/>
          <w:bCs/>
          <w:noProof/>
          <w:sz w:val="24"/>
          <w:szCs w:val="24"/>
          <w:lang w:eastAsia="fr-FR"/>
        </w:rPr>
        <w:t xml:space="preserve">social economy mission </w:t>
      </w:r>
      <w:r w:rsidRPr="005F1FF6">
        <w:rPr>
          <w:rFonts w:ascii="Times New Roman" w:eastAsia="Times New Roman" w:hAnsi="Times New Roman" w:cs="Times New Roman"/>
          <w:bCs/>
          <w:noProof/>
          <w:sz w:val="24"/>
          <w:szCs w:val="24"/>
          <w:lang w:eastAsia="fr-FR"/>
        </w:rPr>
        <w:t>workshops were organised with approximately 2</w:t>
      </w:r>
      <w:r w:rsidR="001207FF" w:rsidRPr="005F1FF6">
        <w:rPr>
          <w:rFonts w:ascii="Times New Roman" w:eastAsia="Times New Roman" w:hAnsi="Times New Roman" w:cs="Times New Roman"/>
          <w:bCs/>
          <w:noProof/>
          <w:sz w:val="24"/>
          <w:szCs w:val="24"/>
          <w:lang w:eastAsia="fr-FR"/>
        </w:rPr>
        <w:t> </w:t>
      </w:r>
      <w:r w:rsidRPr="005F1FF6">
        <w:rPr>
          <w:rFonts w:ascii="Times New Roman" w:eastAsia="Times New Roman" w:hAnsi="Times New Roman" w:cs="Times New Roman"/>
          <w:bCs/>
          <w:noProof/>
          <w:sz w:val="24"/>
          <w:szCs w:val="24"/>
          <w:lang w:eastAsia="fr-FR"/>
        </w:rPr>
        <w:t>500 participants</w:t>
      </w:r>
      <w:r w:rsidR="001207FF" w:rsidRPr="005F1FF6">
        <w:rPr>
          <w:rFonts w:ascii="Times New Roman" w:eastAsia="Times New Roman" w:hAnsi="Times New Roman" w:cs="Times New Roman"/>
          <w:bCs/>
          <w:noProof/>
          <w:sz w:val="24"/>
          <w:szCs w:val="24"/>
          <w:lang w:eastAsia="fr-FR"/>
        </w:rPr>
        <w:t>,</w:t>
      </w:r>
      <w:r w:rsidRPr="005F1FF6">
        <w:rPr>
          <w:rFonts w:ascii="Times New Roman" w:eastAsia="Times New Roman" w:hAnsi="Times New Roman" w:cs="Times New Roman"/>
          <w:bCs/>
          <w:noProof/>
          <w:sz w:val="24"/>
          <w:szCs w:val="24"/>
          <w:lang w:eastAsia="fr-FR"/>
        </w:rPr>
        <w:t xml:space="preserve"> and 350 good practices</w:t>
      </w:r>
      <w:r w:rsidR="00D966F6" w:rsidRPr="005F1FF6">
        <w:rPr>
          <w:rFonts w:ascii="Times New Roman" w:eastAsia="Times New Roman" w:hAnsi="Times New Roman" w:cs="Times New Roman"/>
          <w:bCs/>
          <w:noProof/>
          <w:sz w:val="24"/>
          <w:szCs w:val="24"/>
          <w:lang w:eastAsia="fr-FR"/>
        </w:rPr>
        <w:t xml:space="preserve"> were reported</w:t>
      </w:r>
      <w:r w:rsidRPr="005F1FF6">
        <w:rPr>
          <w:rFonts w:ascii="Times New Roman" w:eastAsia="Times New Roman" w:hAnsi="Times New Roman" w:cs="Times New Roman"/>
          <w:bCs/>
          <w:noProof/>
          <w:sz w:val="24"/>
          <w:szCs w:val="24"/>
          <w:lang w:eastAsia="fr-FR"/>
        </w:rPr>
        <w:t>. The projects also provided a set of recommendations for improving regional/local social economy and created opportunities and incentives for future partnerships.</w:t>
      </w:r>
    </w:p>
    <w:p w14:paraId="641736E9" w14:textId="61EA1E14" w:rsidR="00660BB3" w:rsidRPr="005F1FF6" w:rsidRDefault="00660BB3" w:rsidP="005F1FF6">
      <w:pPr>
        <w:pStyle w:val="Heading1"/>
        <w:spacing w:line="240" w:lineRule="auto"/>
        <w:jc w:val="both"/>
        <w:rPr>
          <w:noProof/>
        </w:rPr>
      </w:pPr>
      <w:bookmarkStart w:id="25" w:name="_Toc146623399"/>
      <w:r w:rsidRPr="005F1FF6">
        <w:rPr>
          <w:noProof/>
        </w:rPr>
        <w:t>Support measures and administrative expenditure</w:t>
      </w:r>
      <w:bookmarkEnd w:id="25"/>
    </w:p>
    <w:p w14:paraId="302EA6F3" w14:textId="706DAE5D" w:rsidR="003F50F9" w:rsidRPr="005F1FF6" w:rsidRDefault="003F50F9" w:rsidP="005F1FF6">
      <w:pPr>
        <w:spacing w:before="120" w:after="0" w:line="240" w:lineRule="auto"/>
        <w:jc w:val="both"/>
        <w:rPr>
          <w:rFonts w:ascii="Times New Roman" w:hAnsi="Times New Roman" w:cs="Times New Roman"/>
          <w:b/>
          <w:noProof/>
          <w:color w:val="000000" w:themeColor="text1"/>
          <w:sz w:val="24"/>
          <w:szCs w:val="24"/>
        </w:rPr>
      </w:pPr>
      <w:r w:rsidRPr="005F1FF6">
        <w:rPr>
          <w:rFonts w:ascii="Times New Roman" w:hAnsi="Times New Roman" w:cs="Times New Roman"/>
          <w:b/>
          <w:noProof/>
          <w:color w:val="000000" w:themeColor="text1"/>
          <w:sz w:val="24"/>
          <w:szCs w:val="24"/>
        </w:rPr>
        <w:t xml:space="preserve">COSME support measures </w:t>
      </w:r>
      <w:r w:rsidR="006A3769" w:rsidRPr="005F1FF6">
        <w:rPr>
          <w:rFonts w:ascii="Times New Roman" w:hAnsi="Times New Roman" w:cs="Times New Roman"/>
          <w:b/>
          <w:noProof/>
          <w:color w:val="000000" w:themeColor="text1"/>
          <w:sz w:val="24"/>
          <w:szCs w:val="24"/>
        </w:rPr>
        <w:t>were</w:t>
      </w:r>
      <w:r w:rsidRPr="005F1FF6">
        <w:rPr>
          <w:rFonts w:ascii="Times New Roman" w:hAnsi="Times New Roman" w:cs="Times New Roman"/>
          <w:b/>
          <w:noProof/>
          <w:color w:val="000000" w:themeColor="text1"/>
          <w:sz w:val="24"/>
          <w:szCs w:val="24"/>
        </w:rPr>
        <w:t xml:space="preserve"> financed under budget line 02</w:t>
      </w:r>
      <w:r w:rsidR="00F26267" w:rsidRPr="005F1FF6">
        <w:rPr>
          <w:rFonts w:ascii="Times New Roman" w:hAnsi="Times New Roman" w:cs="Times New Roman"/>
          <w:b/>
          <w:noProof/>
          <w:color w:val="000000" w:themeColor="text1"/>
          <w:sz w:val="24"/>
          <w:szCs w:val="24"/>
        </w:rPr>
        <w:t> </w:t>
      </w:r>
      <w:r w:rsidRPr="005F1FF6">
        <w:rPr>
          <w:rFonts w:ascii="Times New Roman" w:hAnsi="Times New Roman" w:cs="Times New Roman"/>
          <w:b/>
          <w:noProof/>
          <w:color w:val="000000" w:themeColor="text1"/>
          <w:sz w:val="24"/>
          <w:szCs w:val="24"/>
        </w:rPr>
        <w:t>02</w:t>
      </w:r>
      <w:r w:rsidR="00F26267" w:rsidRPr="005F1FF6">
        <w:rPr>
          <w:rFonts w:ascii="Times New Roman" w:hAnsi="Times New Roman" w:cs="Times New Roman"/>
          <w:b/>
          <w:noProof/>
          <w:color w:val="000000" w:themeColor="text1"/>
          <w:sz w:val="24"/>
          <w:szCs w:val="24"/>
        </w:rPr>
        <w:t> </w:t>
      </w:r>
      <w:r w:rsidRPr="005F1FF6">
        <w:rPr>
          <w:rFonts w:ascii="Times New Roman" w:hAnsi="Times New Roman" w:cs="Times New Roman"/>
          <w:b/>
          <w:noProof/>
          <w:color w:val="000000" w:themeColor="text1"/>
          <w:sz w:val="24"/>
          <w:szCs w:val="24"/>
        </w:rPr>
        <w:t>01. EUR</w:t>
      </w:r>
      <w:r w:rsidR="00FE2948" w:rsidRPr="005F1FF6">
        <w:rPr>
          <w:rFonts w:ascii="Times New Roman" w:hAnsi="Times New Roman" w:cs="Times New Roman"/>
          <w:b/>
          <w:noProof/>
          <w:color w:val="000000" w:themeColor="text1"/>
          <w:sz w:val="24"/>
          <w:szCs w:val="24"/>
        </w:rPr>
        <w:t> </w:t>
      </w:r>
      <w:r w:rsidR="00757726" w:rsidRPr="005F1FF6">
        <w:rPr>
          <w:rFonts w:ascii="Times New Roman" w:hAnsi="Times New Roman" w:cs="Times New Roman"/>
          <w:b/>
          <w:noProof/>
          <w:color w:val="000000" w:themeColor="text1"/>
          <w:sz w:val="24"/>
          <w:szCs w:val="24"/>
        </w:rPr>
        <w:t>6.2</w:t>
      </w:r>
      <w:r w:rsidR="00684D35" w:rsidRPr="005F1FF6">
        <w:rPr>
          <w:rFonts w:ascii="Times New Roman" w:hAnsi="Times New Roman" w:cs="Times New Roman"/>
          <w:b/>
          <w:noProof/>
          <w:color w:val="000000" w:themeColor="text1"/>
          <w:sz w:val="24"/>
          <w:szCs w:val="24"/>
        </w:rPr>
        <w:t> </w:t>
      </w:r>
      <w:r w:rsidRPr="005F1FF6">
        <w:rPr>
          <w:rFonts w:ascii="Times New Roman" w:hAnsi="Times New Roman" w:cs="Times New Roman"/>
          <w:b/>
          <w:noProof/>
          <w:color w:val="000000" w:themeColor="text1"/>
          <w:sz w:val="24"/>
          <w:szCs w:val="24"/>
        </w:rPr>
        <w:t xml:space="preserve">million </w:t>
      </w:r>
      <w:r w:rsidR="001207FF" w:rsidRPr="005F1FF6">
        <w:rPr>
          <w:rFonts w:ascii="Times New Roman" w:hAnsi="Times New Roman" w:cs="Times New Roman"/>
          <w:b/>
          <w:noProof/>
          <w:color w:val="000000" w:themeColor="text1"/>
          <w:sz w:val="24"/>
          <w:szCs w:val="24"/>
        </w:rPr>
        <w:t xml:space="preserve">were </w:t>
      </w:r>
      <w:r w:rsidRPr="005F1FF6">
        <w:rPr>
          <w:rFonts w:ascii="Times New Roman" w:hAnsi="Times New Roman" w:cs="Times New Roman"/>
          <w:b/>
          <w:noProof/>
          <w:color w:val="000000" w:themeColor="text1"/>
          <w:sz w:val="24"/>
          <w:szCs w:val="24"/>
        </w:rPr>
        <w:t>allocated to support measures</w:t>
      </w:r>
      <w:r w:rsidR="00AE1D5E" w:rsidRPr="005F1FF6">
        <w:rPr>
          <w:rFonts w:ascii="Times New Roman" w:hAnsi="Times New Roman" w:cs="Times New Roman"/>
          <w:b/>
          <w:noProof/>
          <w:color w:val="000000" w:themeColor="text1"/>
          <w:sz w:val="24"/>
          <w:szCs w:val="24"/>
        </w:rPr>
        <w:t xml:space="preserve"> in 20</w:t>
      </w:r>
      <w:r w:rsidR="004D0B11" w:rsidRPr="005F1FF6">
        <w:rPr>
          <w:rFonts w:ascii="Times New Roman" w:hAnsi="Times New Roman" w:cs="Times New Roman"/>
          <w:b/>
          <w:noProof/>
          <w:color w:val="000000" w:themeColor="text1"/>
          <w:sz w:val="24"/>
          <w:szCs w:val="24"/>
        </w:rPr>
        <w:t>20</w:t>
      </w:r>
      <w:r w:rsidRPr="005F1FF6">
        <w:rPr>
          <w:rFonts w:ascii="Times New Roman" w:hAnsi="Times New Roman" w:cs="Times New Roman"/>
          <w:b/>
          <w:noProof/>
          <w:color w:val="000000" w:themeColor="text1"/>
          <w:sz w:val="24"/>
          <w:szCs w:val="24"/>
        </w:rPr>
        <w:t>.</w:t>
      </w:r>
    </w:p>
    <w:p w14:paraId="04EFC416" w14:textId="06FEF647" w:rsidR="006D2272" w:rsidRPr="005F1FF6" w:rsidRDefault="003F50F9"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Conferences and meetings were organised with stakeholders to discuss the challenges facing different industrial sectors.</w:t>
      </w:r>
      <w:r w:rsidR="00CB1BE3" w:rsidRPr="005F1FF6">
        <w:rPr>
          <w:rFonts w:ascii="Times New Roman" w:hAnsi="Times New Roman" w:cs="Times New Roman"/>
          <w:noProof/>
          <w:color w:val="000000" w:themeColor="text1"/>
          <w:sz w:val="24"/>
          <w:szCs w:val="24"/>
        </w:rPr>
        <w:t xml:space="preserve"> Other support measures included </w:t>
      </w:r>
      <w:r w:rsidR="006D2272" w:rsidRPr="005F1FF6">
        <w:rPr>
          <w:rFonts w:ascii="Times New Roman" w:hAnsi="Times New Roman" w:cs="Times New Roman"/>
          <w:noProof/>
          <w:color w:val="000000" w:themeColor="text1"/>
          <w:sz w:val="24"/>
          <w:szCs w:val="24"/>
        </w:rPr>
        <w:t xml:space="preserve">analytical work such as </w:t>
      </w:r>
      <w:r w:rsidR="009C1682" w:rsidRPr="005F1FF6">
        <w:rPr>
          <w:rFonts w:ascii="Times New Roman" w:hAnsi="Times New Roman" w:cs="Times New Roman"/>
          <w:noProof/>
          <w:color w:val="000000" w:themeColor="text1"/>
          <w:sz w:val="24"/>
          <w:szCs w:val="24"/>
        </w:rPr>
        <w:t>studies to support policymaking and information tools providing</w:t>
      </w:r>
      <w:r w:rsidR="006D2272" w:rsidRPr="005F1FF6">
        <w:rPr>
          <w:rFonts w:ascii="Times New Roman" w:hAnsi="Times New Roman" w:cs="Times New Roman"/>
          <w:noProof/>
          <w:color w:val="000000" w:themeColor="text1"/>
          <w:sz w:val="24"/>
          <w:szCs w:val="24"/>
        </w:rPr>
        <w:t xml:space="preserve"> </w:t>
      </w:r>
      <w:r w:rsidR="00EC46F5" w:rsidRPr="005F1FF6">
        <w:rPr>
          <w:rFonts w:ascii="Times New Roman" w:hAnsi="Times New Roman" w:cs="Times New Roman"/>
          <w:noProof/>
          <w:color w:val="000000" w:themeColor="text1"/>
          <w:sz w:val="24"/>
          <w:szCs w:val="24"/>
        </w:rPr>
        <w:t>practical support for SMEs</w:t>
      </w:r>
      <w:r w:rsidR="009C1682" w:rsidRPr="005F1FF6">
        <w:rPr>
          <w:rFonts w:ascii="Times New Roman" w:hAnsi="Times New Roman" w:cs="Times New Roman"/>
          <w:noProof/>
          <w:color w:val="000000" w:themeColor="text1"/>
          <w:sz w:val="24"/>
          <w:szCs w:val="24"/>
        </w:rPr>
        <w:t>.</w:t>
      </w:r>
    </w:p>
    <w:p w14:paraId="6267BF0F" w14:textId="418EF689" w:rsidR="004D0B11" w:rsidRPr="005F1FF6" w:rsidRDefault="00D80C34" w:rsidP="005F1FF6">
      <w:pPr>
        <w:spacing w:before="120" w:after="0" w:line="240" w:lineRule="auto"/>
        <w:jc w:val="both"/>
        <w:rPr>
          <w:rFonts w:ascii="Times New Roman" w:hAnsi="Times New Roman" w:cs="Times New Roman"/>
          <w:noProof/>
          <w:color w:val="000000" w:themeColor="text1"/>
          <w:sz w:val="24"/>
          <w:szCs w:val="24"/>
        </w:rPr>
      </w:pPr>
      <w:bookmarkStart w:id="26" w:name="_Hlk143797480"/>
      <w:r w:rsidRPr="005F1FF6">
        <w:rPr>
          <w:rFonts w:ascii="Times New Roman" w:hAnsi="Times New Roman" w:cs="Times New Roman"/>
          <w:noProof/>
          <w:color w:val="000000" w:themeColor="text1"/>
          <w:sz w:val="24"/>
          <w:szCs w:val="24"/>
        </w:rPr>
        <w:t xml:space="preserve">The </w:t>
      </w:r>
      <w:r w:rsidR="007A1C31" w:rsidRPr="005F1FF6">
        <w:rPr>
          <w:rFonts w:ascii="Times New Roman" w:hAnsi="Times New Roman" w:cs="Times New Roman"/>
          <w:noProof/>
          <w:color w:val="000000" w:themeColor="text1"/>
          <w:sz w:val="24"/>
          <w:szCs w:val="24"/>
        </w:rPr>
        <w:t>s</w:t>
      </w:r>
      <w:r w:rsidRPr="005F1FF6">
        <w:rPr>
          <w:rFonts w:ascii="Times New Roman" w:hAnsi="Times New Roman" w:cs="Times New Roman"/>
          <w:noProof/>
          <w:color w:val="000000" w:themeColor="text1"/>
          <w:sz w:val="24"/>
          <w:szCs w:val="24"/>
        </w:rPr>
        <w:t>tudy on</w:t>
      </w:r>
      <w:r w:rsidR="004D0B11" w:rsidRPr="005F1FF6">
        <w:rPr>
          <w:rFonts w:ascii="Times New Roman" w:hAnsi="Times New Roman" w:cs="Times New Roman"/>
          <w:noProof/>
          <w:color w:val="000000" w:themeColor="text1"/>
          <w:sz w:val="24"/>
          <w:szCs w:val="24"/>
        </w:rPr>
        <w:t xml:space="preserve"> the </w:t>
      </w:r>
      <w:r w:rsidR="004D0B11" w:rsidRPr="005F1FF6">
        <w:rPr>
          <w:rFonts w:ascii="Times New Roman" w:hAnsi="Times New Roman" w:cs="Times New Roman"/>
          <w:b/>
          <w:noProof/>
          <w:color w:val="000000" w:themeColor="text1"/>
          <w:sz w:val="24"/>
          <w:szCs w:val="24"/>
        </w:rPr>
        <w:t>legal protection of trade secrets in the context of the data economy</w:t>
      </w:r>
      <w:bookmarkEnd w:id="26"/>
      <w:r w:rsidR="00C1342B" w:rsidRPr="005F1FF6">
        <w:rPr>
          <w:rStyle w:val="FootnoteReference"/>
          <w:rFonts w:ascii="Times New Roman" w:hAnsi="Times New Roman" w:cs="Times New Roman"/>
          <w:noProof/>
          <w:color w:val="000000" w:themeColor="text1"/>
          <w:sz w:val="24"/>
          <w:szCs w:val="24"/>
        </w:rPr>
        <w:footnoteReference w:id="38"/>
      </w:r>
      <w:r w:rsidR="004D0B11" w:rsidRPr="005F1FF6">
        <w:rPr>
          <w:rFonts w:ascii="Times New Roman" w:hAnsi="Times New Roman" w:cs="Times New Roman"/>
          <w:noProof/>
          <w:color w:val="000000" w:themeColor="text1"/>
          <w:sz w:val="24"/>
          <w:szCs w:val="24"/>
        </w:rPr>
        <w:t xml:space="preserve"> </w:t>
      </w:r>
      <w:r w:rsidR="00D90E6E" w:rsidRPr="005F1FF6">
        <w:rPr>
          <w:rFonts w:ascii="Times New Roman" w:hAnsi="Times New Roman" w:cs="Times New Roman"/>
          <w:noProof/>
          <w:color w:val="000000" w:themeColor="text1"/>
          <w:sz w:val="24"/>
          <w:szCs w:val="24"/>
        </w:rPr>
        <w:t>provides valuable support for policymaking on</w:t>
      </w:r>
      <w:r w:rsidR="007F66EA" w:rsidRPr="005F1FF6">
        <w:rPr>
          <w:rFonts w:ascii="Times New Roman" w:hAnsi="Times New Roman" w:cs="Times New Roman"/>
          <w:noProof/>
          <w:color w:val="000000" w:themeColor="text1"/>
          <w:sz w:val="24"/>
          <w:szCs w:val="24"/>
        </w:rPr>
        <w:t xml:space="preserve"> </w:t>
      </w:r>
      <w:r w:rsidR="00663DD3" w:rsidRPr="005F1FF6">
        <w:rPr>
          <w:rFonts w:ascii="Times New Roman" w:hAnsi="Times New Roman" w:cs="Times New Roman"/>
          <w:noProof/>
          <w:color w:val="000000" w:themeColor="text1"/>
          <w:sz w:val="24"/>
          <w:szCs w:val="24"/>
        </w:rPr>
        <w:t>how</w:t>
      </w:r>
      <w:r w:rsidR="004D0B11" w:rsidRPr="005F1FF6">
        <w:rPr>
          <w:rFonts w:ascii="Times New Roman" w:hAnsi="Times New Roman" w:cs="Times New Roman"/>
          <w:noProof/>
          <w:color w:val="000000" w:themeColor="text1"/>
          <w:sz w:val="24"/>
          <w:szCs w:val="24"/>
        </w:rPr>
        <w:t xml:space="preserve"> the legal protection of trade secrets can help creat</w:t>
      </w:r>
      <w:r w:rsidR="00D966F6" w:rsidRPr="005F1FF6">
        <w:rPr>
          <w:rFonts w:ascii="Times New Roman" w:hAnsi="Times New Roman" w:cs="Times New Roman"/>
          <w:noProof/>
          <w:color w:val="000000" w:themeColor="text1"/>
          <w:sz w:val="24"/>
          <w:szCs w:val="24"/>
        </w:rPr>
        <w:t>e</w:t>
      </w:r>
      <w:r w:rsidR="004D0B11" w:rsidRPr="005F1FF6">
        <w:rPr>
          <w:rFonts w:ascii="Times New Roman" w:hAnsi="Times New Roman" w:cs="Times New Roman"/>
          <w:noProof/>
          <w:color w:val="000000" w:themeColor="text1"/>
          <w:sz w:val="24"/>
          <w:szCs w:val="24"/>
        </w:rPr>
        <w:t xml:space="preserve"> a safe environment for business-to-business data sharing, especially in strategic sectors for the European data economy.</w:t>
      </w:r>
      <w:r w:rsidR="007F66EA" w:rsidRPr="005F1FF6">
        <w:rPr>
          <w:rFonts w:ascii="Times New Roman" w:hAnsi="Times New Roman" w:cs="Times New Roman"/>
          <w:noProof/>
          <w:color w:val="000000" w:themeColor="text1"/>
          <w:sz w:val="24"/>
          <w:szCs w:val="24"/>
        </w:rPr>
        <w:t xml:space="preserve"> </w:t>
      </w:r>
      <w:r w:rsidR="00663DD3" w:rsidRPr="005F1FF6">
        <w:rPr>
          <w:rFonts w:ascii="Times New Roman" w:hAnsi="Times New Roman" w:cs="Times New Roman"/>
          <w:noProof/>
          <w:color w:val="000000" w:themeColor="text1"/>
          <w:sz w:val="24"/>
          <w:szCs w:val="24"/>
        </w:rPr>
        <w:t>It includes 13 case studies</w:t>
      </w:r>
      <w:r w:rsidR="00D90E6E" w:rsidRPr="005F1FF6">
        <w:rPr>
          <w:rFonts w:ascii="Times New Roman" w:hAnsi="Times New Roman" w:cs="Times New Roman"/>
          <w:noProof/>
          <w:color w:val="000000" w:themeColor="text1"/>
          <w:sz w:val="24"/>
          <w:szCs w:val="24"/>
        </w:rPr>
        <w:t xml:space="preserve"> with valuable </w:t>
      </w:r>
      <w:r w:rsidR="00663DD3" w:rsidRPr="005F1FF6">
        <w:rPr>
          <w:rFonts w:ascii="Times New Roman" w:hAnsi="Times New Roman" w:cs="Times New Roman"/>
          <w:noProof/>
          <w:color w:val="000000" w:themeColor="text1"/>
          <w:sz w:val="24"/>
          <w:szCs w:val="24"/>
        </w:rPr>
        <w:t xml:space="preserve">examples of how businesses manage their trade secrets. </w:t>
      </w:r>
      <w:r w:rsidR="00EC33B3" w:rsidRPr="005F1FF6">
        <w:rPr>
          <w:rFonts w:ascii="Times New Roman" w:hAnsi="Times New Roman" w:cs="Times New Roman"/>
          <w:noProof/>
          <w:color w:val="000000" w:themeColor="text1"/>
          <w:sz w:val="24"/>
          <w:szCs w:val="24"/>
        </w:rPr>
        <w:t xml:space="preserve">Many indicators </w:t>
      </w:r>
      <w:r w:rsidR="00D966F6" w:rsidRPr="005F1FF6">
        <w:rPr>
          <w:rFonts w:ascii="Times New Roman" w:hAnsi="Times New Roman" w:cs="Times New Roman"/>
          <w:noProof/>
          <w:color w:val="000000" w:themeColor="text1"/>
          <w:sz w:val="24"/>
          <w:szCs w:val="24"/>
        </w:rPr>
        <w:t xml:space="preserve">for this study </w:t>
      </w:r>
      <w:r w:rsidR="00EC33B3" w:rsidRPr="005F1FF6">
        <w:rPr>
          <w:rFonts w:ascii="Times New Roman" w:hAnsi="Times New Roman" w:cs="Times New Roman"/>
          <w:noProof/>
          <w:color w:val="000000" w:themeColor="text1"/>
          <w:sz w:val="24"/>
          <w:szCs w:val="24"/>
        </w:rPr>
        <w:t>were surpassed but there were s</w:t>
      </w:r>
      <w:r w:rsidR="00D90E6E" w:rsidRPr="005F1FF6">
        <w:rPr>
          <w:rFonts w:ascii="Times New Roman" w:hAnsi="Times New Roman" w:cs="Times New Roman"/>
          <w:noProof/>
          <w:color w:val="000000" w:themeColor="text1"/>
          <w:sz w:val="24"/>
          <w:szCs w:val="24"/>
        </w:rPr>
        <w:t xml:space="preserve">ome difficulties </w:t>
      </w:r>
      <w:r w:rsidR="00EC33B3" w:rsidRPr="005F1FF6">
        <w:rPr>
          <w:rFonts w:ascii="Times New Roman" w:hAnsi="Times New Roman" w:cs="Times New Roman"/>
          <w:noProof/>
          <w:color w:val="000000" w:themeColor="text1"/>
          <w:sz w:val="24"/>
          <w:szCs w:val="24"/>
        </w:rPr>
        <w:t xml:space="preserve">at </w:t>
      </w:r>
      <w:r w:rsidR="00CF65ED" w:rsidRPr="005F1FF6">
        <w:rPr>
          <w:rFonts w:ascii="Times New Roman" w:hAnsi="Times New Roman" w:cs="Times New Roman"/>
          <w:noProof/>
          <w:color w:val="000000" w:themeColor="text1"/>
          <w:sz w:val="24"/>
          <w:szCs w:val="24"/>
        </w:rPr>
        <w:t xml:space="preserve">the </w:t>
      </w:r>
      <w:r w:rsidR="00EC33B3" w:rsidRPr="005F1FF6">
        <w:rPr>
          <w:rFonts w:ascii="Times New Roman" w:hAnsi="Times New Roman" w:cs="Times New Roman"/>
          <w:noProof/>
          <w:color w:val="000000" w:themeColor="text1"/>
          <w:sz w:val="24"/>
          <w:szCs w:val="24"/>
        </w:rPr>
        <w:t xml:space="preserve">intermediate stages (the number of </w:t>
      </w:r>
      <w:r w:rsidR="00D90E6E" w:rsidRPr="005F1FF6">
        <w:rPr>
          <w:rFonts w:ascii="Times New Roman" w:hAnsi="Times New Roman" w:cs="Times New Roman"/>
          <w:noProof/>
          <w:color w:val="000000" w:themeColor="text1"/>
          <w:sz w:val="24"/>
          <w:szCs w:val="24"/>
        </w:rPr>
        <w:t xml:space="preserve">responses to questionnaires </w:t>
      </w:r>
      <w:r w:rsidR="00EC33B3" w:rsidRPr="005F1FF6">
        <w:rPr>
          <w:rFonts w:ascii="Times New Roman" w:hAnsi="Times New Roman" w:cs="Times New Roman"/>
          <w:noProof/>
          <w:color w:val="000000" w:themeColor="text1"/>
          <w:sz w:val="24"/>
          <w:szCs w:val="24"/>
        </w:rPr>
        <w:t xml:space="preserve">was below target </w:t>
      </w:r>
      <w:r w:rsidR="00D90E6E" w:rsidRPr="005F1FF6">
        <w:rPr>
          <w:rFonts w:ascii="Times New Roman" w:hAnsi="Times New Roman" w:cs="Times New Roman"/>
          <w:noProof/>
          <w:color w:val="000000" w:themeColor="text1"/>
          <w:sz w:val="24"/>
          <w:szCs w:val="24"/>
        </w:rPr>
        <w:t>due to the sensitivity of the data</w:t>
      </w:r>
      <w:r w:rsidR="0084636E" w:rsidRPr="005F1FF6">
        <w:rPr>
          <w:rFonts w:ascii="Times New Roman" w:hAnsi="Times New Roman" w:cs="Times New Roman"/>
          <w:noProof/>
          <w:color w:val="000000" w:themeColor="text1"/>
          <w:sz w:val="24"/>
          <w:szCs w:val="24"/>
        </w:rPr>
        <w:t>,</w:t>
      </w:r>
      <w:r w:rsidR="00EC33B3" w:rsidRPr="005F1FF6">
        <w:rPr>
          <w:rFonts w:ascii="Times New Roman" w:hAnsi="Times New Roman" w:cs="Times New Roman"/>
          <w:noProof/>
          <w:color w:val="000000" w:themeColor="text1"/>
          <w:sz w:val="24"/>
          <w:szCs w:val="24"/>
        </w:rPr>
        <w:t xml:space="preserve"> and some re-scheduling was needed due to </w:t>
      </w:r>
      <w:r w:rsidR="001207FF" w:rsidRPr="005F1FF6">
        <w:rPr>
          <w:rFonts w:ascii="Times New Roman" w:hAnsi="Times New Roman" w:cs="Times New Roman"/>
          <w:noProof/>
          <w:color w:val="000000" w:themeColor="text1"/>
          <w:sz w:val="24"/>
          <w:szCs w:val="24"/>
        </w:rPr>
        <w:t>COVID</w:t>
      </w:r>
      <w:r w:rsidR="00EC33B3" w:rsidRPr="005F1FF6">
        <w:rPr>
          <w:rFonts w:ascii="Times New Roman" w:hAnsi="Times New Roman" w:cs="Times New Roman"/>
          <w:noProof/>
          <w:color w:val="000000" w:themeColor="text1"/>
          <w:sz w:val="24"/>
          <w:szCs w:val="24"/>
        </w:rPr>
        <w:t>-19 related issues</w:t>
      </w:r>
      <w:r w:rsidR="0084636E" w:rsidRPr="005F1FF6">
        <w:rPr>
          <w:rFonts w:ascii="Times New Roman" w:hAnsi="Times New Roman" w:cs="Times New Roman"/>
          <w:noProof/>
          <w:color w:val="000000" w:themeColor="text1"/>
          <w:sz w:val="24"/>
          <w:szCs w:val="24"/>
        </w:rPr>
        <w:t>)</w:t>
      </w:r>
      <w:r w:rsidR="00D90E6E" w:rsidRPr="005F1FF6">
        <w:rPr>
          <w:rFonts w:ascii="Times New Roman" w:hAnsi="Times New Roman" w:cs="Times New Roman"/>
          <w:noProof/>
          <w:color w:val="000000" w:themeColor="text1"/>
          <w:sz w:val="24"/>
          <w:szCs w:val="24"/>
        </w:rPr>
        <w:t>.</w:t>
      </w:r>
    </w:p>
    <w:p w14:paraId="462D3D6D" w14:textId="040F397D" w:rsidR="00AC4DCD" w:rsidRPr="005F1FF6" w:rsidRDefault="00AC4DCD" w:rsidP="005F1FF6">
      <w:pPr>
        <w:spacing w:before="120" w:after="0" w:line="240" w:lineRule="auto"/>
        <w:jc w:val="both"/>
        <w:rPr>
          <w:rFonts w:ascii="Times New Roman" w:hAnsi="Times New Roman" w:cs="Times New Roman"/>
          <w:b/>
          <w:noProof/>
          <w:color w:val="000000" w:themeColor="text1"/>
          <w:sz w:val="24"/>
          <w:szCs w:val="24"/>
        </w:rPr>
      </w:pPr>
      <w:r w:rsidRPr="005F1FF6">
        <w:rPr>
          <w:rFonts w:ascii="Times New Roman" w:hAnsi="Times New Roman" w:cs="Times New Roman"/>
          <w:b/>
          <w:noProof/>
          <w:color w:val="000000" w:themeColor="text1"/>
          <w:sz w:val="24"/>
          <w:szCs w:val="24"/>
        </w:rPr>
        <w:t xml:space="preserve">Study on </w:t>
      </w:r>
      <w:r w:rsidR="00A902FC" w:rsidRPr="005F1FF6">
        <w:rPr>
          <w:rFonts w:ascii="Times New Roman" w:hAnsi="Times New Roman" w:cs="Times New Roman"/>
          <w:b/>
          <w:noProof/>
          <w:color w:val="000000" w:themeColor="text1"/>
          <w:sz w:val="24"/>
          <w:szCs w:val="24"/>
        </w:rPr>
        <w:t>m</w:t>
      </w:r>
      <w:r w:rsidRPr="005F1FF6">
        <w:rPr>
          <w:rFonts w:ascii="Times New Roman" w:hAnsi="Times New Roman" w:cs="Times New Roman"/>
          <w:b/>
          <w:noProof/>
          <w:color w:val="000000" w:themeColor="text1"/>
          <w:sz w:val="24"/>
          <w:szCs w:val="24"/>
        </w:rPr>
        <w:t>id</w:t>
      </w:r>
      <w:r w:rsidR="00A902FC" w:rsidRPr="005F1FF6">
        <w:rPr>
          <w:rFonts w:ascii="Times New Roman" w:hAnsi="Times New Roman" w:cs="Times New Roman"/>
          <w:b/>
          <w:noProof/>
          <w:color w:val="000000" w:themeColor="text1"/>
          <w:sz w:val="24"/>
          <w:szCs w:val="24"/>
        </w:rPr>
        <w:t>-caps</w:t>
      </w:r>
    </w:p>
    <w:p w14:paraId="5128A1ED" w14:textId="2B47A02D" w:rsidR="00AC4DCD" w:rsidRPr="005F1FF6" w:rsidRDefault="00AC4DCD" w:rsidP="005F1FF6">
      <w:pPr>
        <w:spacing w:after="60" w:line="240" w:lineRule="auto"/>
        <w:jc w:val="both"/>
        <w:rPr>
          <w:rFonts w:ascii="Times New Roman" w:eastAsia="Times New Roman" w:hAnsi="Times New Roman" w:cs="Times New Roman"/>
          <w:iCs/>
          <w:noProof/>
          <w:color w:val="000000" w:themeColor="text1"/>
          <w:sz w:val="24"/>
          <w:szCs w:val="24"/>
          <w:lang w:eastAsia="fr-FR"/>
        </w:rPr>
      </w:pPr>
      <w:r w:rsidRPr="005F1FF6">
        <w:rPr>
          <w:rFonts w:ascii="Times New Roman" w:eastAsia="Times New Roman" w:hAnsi="Times New Roman" w:cs="Times New Roman"/>
          <w:iCs/>
          <w:noProof/>
          <w:color w:val="000000" w:themeColor="text1"/>
          <w:sz w:val="24"/>
          <w:szCs w:val="24"/>
          <w:lang w:eastAsia="fr-FR"/>
        </w:rPr>
        <w:t>As scale-ups and mid-caps do not fall under the EC SME definition</w:t>
      </w:r>
      <w:r w:rsidRPr="005F1FF6">
        <w:rPr>
          <w:rStyle w:val="FootnoteReference"/>
          <w:rFonts w:ascii="Times New Roman" w:eastAsia="Times New Roman" w:hAnsi="Times New Roman" w:cs="Times New Roman"/>
          <w:iCs/>
          <w:noProof/>
          <w:color w:val="000000" w:themeColor="text1"/>
          <w:sz w:val="24"/>
          <w:szCs w:val="24"/>
          <w:lang w:eastAsia="fr-FR"/>
        </w:rPr>
        <w:footnoteReference w:id="39"/>
      </w:r>
      <w:r w:rsidRPr="005F1FF6">
        <w:rPr>
          <w:rFonts w:ascii="Times New Roman" w:eastAsia="Times New Roman" w:hAnsi="Times New Roman" w:cs="Times New Roman"/>
          <w:iCs/>
          <w:noProof/>
          <w:color w:val="000000" w:themeColor="text1"/>
          <w:sz w:val="24"/>
          <w:szCs w:val="24"/>
          <w:lang w:eastAsia="fr-FR"/>
        </w:rPr>
        <w:t>, they are often excluded from SME support schemes. The objective of this study was to gather information on mid-caps (statistics, and information on the specificities of mid-caps and the hurdles they encounter when doing business and scaling</w:t>
      </w:r>
      <w:r w:rsidR="00CF65ED" w:rsidRPr="005F1FF6">
        <w:rPr>
          <w:rFonts w:ascii="Times New Roman" w:eastAsia="Times New Roman" w:hAnsi="Times New Roman" w:cs="Times New Roman"/>
          <w:iCs/>
          <w:noProof/>
          <w:color w:val="000000" w:themeColor="text1"/>
          <w:sz w:val="24"/>
          <w:szCs w:val="24"/>
          <w:lang w:eastAsia="fr-FR"/>
        </w:rPr>
        <w:t xml:space="preserve"> </w:t>
      </w:r>
      <w:r w:rsidRPr="005F1FF6">
        <w:rPr>
          <w:rFonts w:ascii="Times New Roman" w:eastAsia="Times New Roman" w:hAnsi="Times New Roman" w:cs="Times New Roman"/>
          <w:iCs/>
          <w:noProof/>
          <w:color w:val="000000" w:themeColor="text1"/>
          <w:sz w:val="24"/>
          <w:szCs w:val="24"/>
          <w:lang w:eastAsia="fr-FR"/>
        </w:rPr>
        <w:t>up) and to assess the potential need for a dedicated policy to support these companies and further untap their job-creating ability. The final report was published in November 2022</w:t>
      </w:r>
      <w:r w:rsidRPr="005F1FF6">
        <w:rPr>
          <w:rStyle w:val="FootnoteReference"/>
          <w:rFonts w:ascii="Times New Roman" w:eastAsia="Times New Roman" w:hAnsi="Times New Roman" w:cs="Times New Roman"/>
          <w:iCs/>
          <w:noProof/>
          <w:color w:val="000000" w:themeColor="text1"/>
          <w:sz w:val="24"/>
          <w:szCs w:val="24"/>
          <w:lang w:eastAsia="fr-FR"/>
        </w:rPr>
        <w:footnoteReference w:id="40"/>
      </w:r>
      <w:r w:rsidRPr="005F1FF6">
        <w:rPr>
          <w:rFonts w:ascii="Times New Roman" w:eastAsia="Times New Roman" w:hAnsi="Times New Roman" w:cs="Times New Roman"/>
          <w:iCs/>
          <w:noProof/>
          <w:color w:val="000000" w:themeColor="text1"/>
          <w:sz w:val="24"/>
          <w:szCs w:val="24"/>
          <w:lang w:eastAsia="fr-FR"/>
        </w:rPr>
        <w:t xml:space="preserve"> and disseminated to relevant stakeholders.</w:t>
      </w:r>
    </w:p>
    <w:p w14:paraId="3DBC16DA" w14:textId="51964C5A" w:rsidR="00B72798" w:rsidRPr="005F1FF6" w:rsidRDefault="00C8439D"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b/>
          <w:noProof/>
          <w:color w:val="000000" w:themeColor="text1"/>
          <w:sz w:val="24"/>
          <w:szCs w:val="24"/>
        </w:rPr>
        <w:t>Administrative expenditure</w:t>
      </w:r>
      <w:r w:rsidRPr="005F1FF6">
        <w:rPr>
          <w:rFonts w:ascii="Times New Roman" w:hAnsi="Times New Roman" w:cs="Times New Roman"/>
          <w:noProof/>
          <w:color w:val="000000" w:themeColor="text1"/>
          <w:sz w:val="24"/>
          <w:szCs w:val="24"/>
        </w:rPr>
        <w:t xml:space="preserve"> represented </w:t>
      </w:r>
      <w:r w:rsidR="00BF4D5E" w:rsidRPr="005F1FF6">
        <w:rPr>
          <w:rFonts w:ascii="Times New Roman" w:hAnsi="Times New Roman" w:cs="Times New Roman"/>
          <w:noProof/>
          <w:color w:val="000000" w:themeColor="text1"/>
          <w:sz w:val="24"/>
          <w:szCs w:val="24"/>
        </w:rPr>
        <w:t>3</w:t>
      </w:r>
      <w:r w:rsidRPr="005F1FF6">
        <w:rPr>
          <w:rFonts w:ascii="Times New Roman" w:hAnsi="Times New Roman" w:cs="Times New Roman"/>
          <w:noProof/>
          <w:color w:val="000000" w:themeColor="text1"/>
          <w:sz w:val="24"/>
          <w:szCs w:val="24"/>
        </w:rPr>
        <w:t>% of the budget in 20</w:t>
      </w:r>
      <w:r w:rsidR="00B6082F" w:rsidRPr="005F1FF6">
        <w:rPr>
          <w:rFonts w:ascii="Times New Roman" w:hAnsi="Times New Roman" w:cs="Times New Roman"/>
          <w:noProof/>
          <w:color w:val="000000" w:themeColor="text1"/>
          <w:sz w:val="24"/>
          <w:szCs w:val="24"/>
        </w:rPr>
        <w:t>20</w:t>
      </w:r>
      <w:r w:rsidRPr="005F1FF6">
        <w:rPr>
          <w:rFonts w:ascii="Times New Roman" w:hAnsi="Times New Roman" w:cs="Times New Roman"/>
          <w:noProof/>
          <w:color w:val="000000" w:themeColor="text1"/>
          <w:sz w:val="24"/>
          <w:szCs w:val="24"/>
        </w:rPr>
        <w:t xml:space="preserve">. It covered expert meetings, information and communication </w:t>
      </w:r>
      <w:r w:rsidR="00AB52BF" w:rsidRPr="005F1FF6">
        <w:rPr>
          <w:rFonts w:ascii="Times New Roman" w:hAnsi="Times New Roman" w:cs="Times New Roman"/>
          <w:noProof/>
          <w:color w:val="000000" w:themeColor="text1"/>
          <w:sz w:val="24"/>
          <w:szCs w:val="24"/>
        </w:rPr>
        <w:t>measure</w:t>
      </w:r>
      <w:r w:rsidRPr="005F1FF6">
        <w:rPr>
          <w:rFonts w:ascii="Times New Roman" w:hAnsi="Times New Roman" w:cs="Times New Roman"/>
          <w:noProof/>
          <w:color w:val="000000" w:themeColor="text1"/>
          <w:sz w:val="24"/>
          <w:szCs w:val="24"/>
        </w:rPr>
        <w:t xml:space="preserve">s, </w:t>
      </w:r>
      <w:r w:rsidR="000414C4" w:rsidRPr="005F1FF6">
        <w:rPr>
          <w:rFonts w:ascii="Times New Roman" w:hAnsi="Times New Roman" w:cs="Times New Roman"/>
          <w:noProof/>
          <w:color w:val="000000" w:themeColor="text1"/>
          <w:sz w:val="24"/>
          <w:szCs w:val="24"/>
        </w:rPr>
        <w:t xml:space="preserve">and </w:t>
      </w:r>
      <w:r w:rsidRPr="005F1FF6">
        <w:rPr>
          <w:rFonts w:ascii="Times New Roman" w:hAnsi="Times New Roman" w:cs="Times New Roman"/>
          <w:noProof/>
          <w:color w:val="000000" w:themeColor="text1"/>
          <w:sz w:val="24"/>
          <w:szCs w:val="24"/>
        </w:rPr>
        <w:t xml:space="preserve">the Commission’s (DG GROW’s) expenses </w:t>
      </w:r>
      <w:r w:rsidR="000414C4" w:rsidRPr="005F1FF6">
        <w:rPr>
          <w:rFonts w:ascii="Times New Roman" w:hAnsi="Times New Roman" w:cs="Times New Roman"/>
          <w:noProof/>
          <w:color w:val="000000" w:themeColor="text1"/>
          <w:sz w:val="24"/>
          <w:szCs w:val="24"/>
        </w:rPr>
        <w:t xml:space="preserve">of </w:t>
      </w:r>
      <w:r w:rsidRPr="005F1FF6">
        <w:rPr>
          <w:rFonts w:ascii="Times New Roman" w:hAnsi="Times New Roman" w:cs="Times New Roman"/>
          <w:noProof/>
          <w:color w:val="000000" w:themeColor="text1"/>
          <w:sz w:val="24"/>
          <w:szCs w:val="24"/>
        </w:rPr>
        <w:t>EUR</w:t>
      </w:r>
      <w:r w:rsidR="00684D35" w:rsidRPr="005F1FF6">
        <w:rPr>
          <w:rFonts w:ascii="Times New Roman" w:hAnsi="Times New Roman" w:cs="Times New Roman"/>
          <w:noProof/>
          <w:color w:val="000000" w:themeColor="text1"/>
          <w:sz w:val="24"/>
          <w:szCs w:val="24"/>
        </w:rPr>
        <w:t> </w:t>
      </w:r>
      <w:r w:rsidR="00757726" w:rsidRPr="005F1FF6">
        <w:rPr>
          <w:rFonts w:ascii="Times New Roman" w:hAnsi="Times New Roman" w:cs="Times New Roman"/>
          <w:noProof/>
          <w:color w:val="000000" w:themeColor="text1"/>
          <w:sz w:val="24"/>
          <w:szCs w:val="24"/>
        </w:rPr>
        <w:t>3.3</w:t>
      </w:r>
      <w:r w:rsidR="00684D35" w:rsidRPr="005F1FF6">
        <w:rPr>
          <w:rFonts w:ascii="Times New Roman" w:hAnsi="Times New Roman" w:cs="Times New Roman"/>
          <w:noProof/>
          <w:color w:val="000000" w:themeColor="text1"/>
          <w:sz w:val="24"/>
          <w:szCs w:val="24"/>
        </w:rPr>
        <w:t> </w:t>
      </w:r>
      <w:r w:rsidRPr="005F1FF6">
        <w:rPr>
          <w:rFonts w:ascii="Times New Roman" w:hAnsi="Times New Roman" w:cs="Times New Roman"/>
          <w:noProof/>
          <w:color w:val="000000" w:themeColor="text1"/>
          <w:sz w:val="24"/>
          <w:szCs w:val="24"/>
        </w:rPr>
        <w:t xml:space="preserve">million linked to IT networks and other technical and administrative assistance. The budget </w:t>
      </w:r>
      <w:r w:rsidR="001242B2" w:rsidRPr="005F1FF6">
        <w:rPr>
          <w:rFonts w:ascii="Times New Roman" w:hAnsi="Times New Roman" w:cs="Times New Roman"/>
          <w:noProof/>
          <w:color w:val="000000" w:themeColor="text1"/>
          <w:sz w:val="24"/>
          <w:szCs w:val="24"/>
        </w:rPr>
        <w:t>contribution from the programme for</w:t>
      </w:r>
      <w:r w:rsidRPr="005F1FF6">
        <w:rPr>
          <w:rFonts w:ascii="Times New Roman" w:hAnsi="Times New Roman" w:cs="Times New Roman"/>
          <w:noProof/>
          <w:color w:val="000000" w:themeColor="text1"/>
          <w:sz w:val="24"/>
          <w:szCs w:val="24"/>
        </w:rPr>
        <w:t xml:space="preserve"> the functioning of </w:t>
      </w:r>
      <w:r w:rsidR="00582404" w:rsidRPr="005F1FF6">
        <w:rPr>
          <w:rFonts w:ascii="Times New Roman" w:hAnsi="Times New Roman" w:cs="Times New Roman"/>
          <w:noProof/>
          <w:color w:val="000000" w:themeColor="text1"/>
          <w:sz w:val="24"/>
          <w:szCs w:val="24"/>
        </w:rPr>
        <w:t xml:space="preserve">the </w:t>
      </w:r>
      <w:r w:rsidRPr="005F1FF6">
        <w:rPr>
          <w:rFonts w:ascii="Times New Roman" w:hAnsi="Times New Roman" w:cs="Times New Roman"/>
          <w:noProof/>
          <w:color w:val="000000" w:themeColor="text1"/>
          <w:sz w:val="24"/>
          <w:szCs w:val="24"/>
        </w:rPr>
        <w:t xml:space="preserve">EASME </w:t>
      </w:r>
      <w:r w:rsidR="00582404" w:rsidRPr="005F1FF6">
        <w:rPr>
          <w:rFonts w:ascii="Times New Roman" w:hAnsi="Times New Roman" w:cs="Times New Roman"/>
          <w:noProof/>
          <w:color w:val="000000" w:themeColor="text1"/>
          <w:sz w:val="24"/>
          <w:szCs w:val="24"/>
        </w:rPr>
        <w:t xml:space="preserve">executive agency </w:t>
      </w:r>
      <w:r w:rsidR="000414C4" w:rsidRPr="005F1FF6">
        <w:rPr>
          <w:rFonts w:ascii="Times New Roman" w:hAnsi="Times New Roman" w:cs="Times New Roman"/>
          <w:noProof/>
          <w:color w:val="000000" w:themeColor="text1"/>
          <w:sz w:val="24"/>
          <w:szCs w:val="24"/>
        </w:rPr>
        <w:t>was</w:t>
      </w:r>
      <w:r w:rsidRPr="005F1FF6">
        <w:rPr>
          <w:rFonts w:ascii="Times New Roman" w:hAnsi="Times New Roman" w:cs="Times New Roman"/>
          <w:noProof/>
          <w:color w:val="000000" w:themeColor="text1"/>
          <w:sz w:val="24"/>
          <w:szCs w:val="24"/>
        </w:rPr>
        <w:t xml:space="preserve"> EUR</w:t>
      </w:r>
      <w:r w:rsidR="00FE2948" w:rsidRPr="005F1FF6">
        <w:rPr>
          <w:rFonts w:ascii="Times New Roman" w:hAnsi="Times New Roman" w:cs="Times New Roman"/>
          <w:noProof/>
          <w:color w:val="000000" w:themeColor="text1"/>
          <w:sz w:val="24"/>
          <w:szCs w:val="24"/>
        </w:rPr>
        <w:t> </w:t>
      </w:r>
      <w:r w:rsidR="00757726" w:rsidRPr="005F1FF6">
        <w:rPr>
          <w:rFonts w:ascii="Times New Roman" w:hAnsi="Times New Roman" w:cs="Times New Roman"/>
          <w:noProof/>
          <w:color w:val="000000" w:themeColor="text1"/>
          <w:sz w:val="24"/>
          <w:szCs w:val="24"/>
        </w:rPr>
        <w:t>9.9</w:t>
      </w:r>
      <w:r w:rsidR="00684D35" w:rsidRPr="005F1FF6">
        <w:rPr>
          <w:rFonts w:ascii="Times New Roman" w:hAnsi="Times New Roman" w:cs="Times New Roman"/>
          <w:noProof/>
          <w:color w:val="000000" w:themeColor="text1"/>
          <w:sz w:val="24"/>
          <w:szCs w:val="24"/>
        </w:rPr>
        <w:t> </w:t>
      </w:r>
      <w:r w:rsidR="00B84674" w:rsidRPr="005F1FF6">
        <w:rPr>
          <w:rFonts w:ascii="Times New Roman" w:hAnsi="Times New Roman" w:cs="Times New Roman"/>
          <w:noProof/>
          <w:color w:val="000000" w:themeColor="text1"/>
          <w:sz w:val="24"/>
          <w:szCs w:val="24"/>
        </w:rPr>
        <w:t>million</w:t>
      </w:r>
      <w:r w:rsidR="00E23D18" w:rsidRPr="005F1FF6">
        <w:rPr>
          <w:rFonts w:ascii="Times New Roman" w:hAnsi="Times New Roman" w:cs="Times New Roman"/>
          <w:noProof/>
          <w:color w:val="000000" w:themeColor="text1"/>
          <w:sz w:val="24"/>
          <w:szCs w:val="24"/>
        </w:rPr>
        <w:t>.</w:t>
      </w:r>
    </w:p>
    <w:p w14:paraId="69A267CD" w14:textId="0090C53B" w:rsidR="00660BB3" w:rsidRPr="005F1FF6" w:rsidRDefault="00660BB3" w:rsidP="005F1FF6">
      <w:pPr>
        <w:pStyle w:val="Heading1"/>
        <w:spacing w:line="240" w:lineRule="auto"/>
        <w:jc w:val="both"/>
        <w:rPr>
          <w:noProof/>
        </w:rPr>
      </w:pPr>
      <w:bookmarkStart w:id="27" w:name="_Toc113549638"/>
      <w:bookmarkStart w:id="28" w:name="_Toc113550818"/>
      <w:bookmarkStart w:id="29" w:name="_Toc113551088"/>
      <w:bookmarkStart w:id="30" w:name="_Toc113551378"/>
      <w:bookmarkStart w:id="31" w:name="_Toc113550820"/>
      <w:bookmarkStart w:id="32" w:name="_Toc113551090"/>
      <w:bookmarkStart w:id="33" w:name="_Toc113551380"/>
      <w:bookmarkStart w:id="34" w:name="_Toc146623400"/>
      <w:bookmarkEnd w:id="27"/>
      <w:bookmarkEnd w:id="28"/>
      <w:bookmarkEnd w:id="29"/>
      <w:bookmarkEnd w:id="30"/>
      <w:bookmarkEnd w:id="31"/>
      <w:bookmarkEnd w:id="32"/>
      <w:bookmarkEnd w:id="33"/>
      <w:r w:rsidRPr="005F1FF6">
        <w:rPr>
          <w:noProof/>
        </w:rPr>
        <w:t>Contribution to climate</w:t>
      </w:r>
      <w:r w:rsidR="00AF0D3A">
        <w:rPr>
          <w:noProof/>
        </w:rPr>
        <w:t>, s</w:t>
      </w:r>
      <w:r w:rsidR="002A4F30" w:rsidRPr="005F1FF6">
        <w:rPr>
          <w:noProof/>
        </w:rPr>
        <w:t xml:space="preserve">ustainable </w:t>
      </w:r>
      <w:r w:rsidR="00AF0D3A">
        <w:rPr>
          <w:noProof/>
        </w:rPr>
        <w:t>d</w:t>
      </w:r>
      <w:r w:rsidR="002A4F30" w:rsidRPr="005F1FF6">
        <w:rPr>
          <w:noProof/>
        </w:rPr>
        <w:t>evelopment</w:t>
      </w:r>
      <w:r w:rsidR="00AF0D3A">
        <w:rPr>
          <w:noProof/>
        </w:rPr>
        <w:t xml:space="preserve">, digital </w:t>
      </w:r>
      <w:r w:rsidR="002A4F30" w:rsidRPr="005F1FF6">
        <w:rPr>
          <w:noProof/>
        </w:rPr>
        <w:t xml:space="preserve">and </w:t>
      </w:r>
      <w:r w:rsidR="00B51938" w:rsidRPr="005F1FF6">
        <w:rPr>
          <w:noProof/>
        </w:rPr>
        <w:t>g</w:t>
      </w:r>
      <w:r w:rsidR="002A4F30" w:rsidRPr="005F1FF6">
        <w:rPr>
          <w:noProof/>
        </w:rPr>
        <w:t>ender goals</w:t>
      </w:r>
      <w:bookmarkEnd w:id="34"/>
    </w:p>
    <w:p w14:paraId="5DDB6D67" w14:textId="2F90A5C8" w:rsidR="001A19A4" w:rsidRPr="005F1FF6" w:rsidRDefault="001A19A4"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A brief illustration of how the COSME programme contributes to these goals is provided below</w:t>
      </w:r>
      <w:r w:rsidR="00582404" w:rsidRPr="005F1FF6">
        <w:rPr>
          <w:rFonts w:ascii="Times New Roman" w:hAnsi="Times New Roman" w:cs="Times New Roman"/>
          <w:noProof/>
          <w:color w:val="000000" w:themeColor="text1"/>
          <w:sz w:val="24"/>
          <w:szCs w:val="24"/>
        </w:rPr>
        <w:t>,</w:t>
      </w:r>
      <w:r w:rsidRPr="005F1FF6">
        <w:rPr>
          <w:rFonts w:ascii="Times New Roman" w:hAnsi="Times New Roman" w:cs="Times New Roman"/>
          <w:noProof/>
          <w:color w:val="000000" w:themeColor="text1"/>
          <w:sz w:val="24"/>
          <w:szCs w:val="24"/>
        </w:rPr>
        <w:t xml:space="preserve"> with examples of actions contribut</w:t>
      </w:r>
      <w:r w:rsidR="00582404" w:rsidRPr="005F1FF6">
        <w:rPr>
          <w:rFonts w:ascii="Times New Roman" w:hAnsi="Times New Roman" w:cs="Times New Roman"/>
          <w:noProof/>
          <w:color w:val="000000" w:themeColor="text1"/>
          <w:sz w:val="24"/>
          <w:szCs w:val="24"/>
        </w:rPr>
        <w:t>ing</w:t>
      </w:r>
      <w:r w:rsidRPr="005F1FF6">
        <w:rPr>
          <w:rFonts w:ascii="Times New Roman" w:hAnsi="Times New Roman" w:cs="Times New Roman"/>
          <w:noProof/>
          <w:color w:val="000000" w:themeColor="text1"/>
          <w:sz w:val="24"/>
          <w:szCs w:val="24"/>
        </w:rPr>
        <w:t xml:space="preserve"> to each goal. </w:t>
      </w:r>
      <w:r w:rsidRPr="005F1FF6">
        <w:rPr>
          <w:rFonts w:ascii="Times New Roman" w:hAnsi="Times New Roman" w:cs="Times New Roman"/>
          <w:b/>
          <w:noProof/>
          <w:color w:val="000000" w:themeColor="text1"/>
          <w:sz w:val="24"/>
          <w:szCs w:val="24"/>
        </w:rPr>
        <w:t>Further information on the programme’s contribution to these mainstreaming objectives is provided in Annex 4</w:t>
      </w:r>
      <w:r w:rsidRPr="005F1FF6">
        <w:rPr>
          <w:rFonts w:ascii="Times New Roman" w:hAnsi="Times New Roman" w:cs="Times New Roman"/>
          <w:noProof/>
          <w:color w:val="000000" w:themeColor="text1"/>
          <w:sz w:val="24"/>
          <w:szCs w:val="24"/>
        </w:rPr>
        <w:t>.</w:t>
      </w:r>
    </w:p>
    <w:p w14:paraId="3FC93A12" w14:textId="745652A6" w:rsidR="00350E80" w:rsidRPr="005F1FF6" w:rsidRDefault="001A663F"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 xml:space="preserve">The </w:t>
      </w:r>
      <w:r w:rsidR="001A19A4" w:rsidRPr="005F1FF6">
        <w:rPr>
          <w:rFonts w:ascii="Times New Roman" w:hAnsi="Times New Roman" w:cs="Times New Roman"/>
          <w:noProof/>
          <w:color w:val="000000" w:themeColor="text1"/>
          <w:sz w:val="24"/>
          <w:szCs w:val="24"/>
        </w:rPr>
        <w:t xml:space="preserve">COSME </w:t>
      </w:r>
      <w:r w:rsidRPr="005F1FF6">
        <w:rPr>
          <w:rFonts w:ascii="Times New Roman" w:hAnsi="Times New Roman" w:cs="Times New Roman"/>
          <w:noProof/>
          <w:color w:val="000000" w:themeColor="text1"/>
          <w:sz w:val="24"/>
          <w:szCs w:val="24"/>
        </w:rPr>
        <w:t xml:space="preserve">programme’s </w:t>
      </w:r>
      <w:r w:rsidRPr="005F1FF6">
        <w:rPr>
          <w:rFonts w:ascii="Times New Roman" w:hAnsi="Times New Roman" w:cs="Times New Roman"/>
          <w:b/>
          <w:noProof/>
          <w:color w:val="000000" w:themeColor="text1"/>
          <w:sz w:val="24"/>
          <w:szCs w:val="24"/>
        </w:rPr>
        <w:t>contribution to the climate mainstreaming objective</w:t>
      </w:r>
      <w:r w:rsidRPr="005F1FF6">
        <w:rPr>
          <w:rFonts w:ascii="Times New Roman" w:hAnsi="Times New Roman" w:cs="Times New Roman"/>
          <w:noProof/>
          <w:color w:val="000000" w:themeColor="text1"/>
          <w:sz w:val="24"/>
          <w:szCs w:val="24"/>
        </w:rPr>
        <w:t xml:space="preserve">, set for all Commission programmes </w:t>
      </w:r>
      <w:r w:rsidR="009A6B92" w:rsidRPr="005F1FF6">
        <w:rPr>
          <w:rFonts w:ascii="Times New Roman" w:hAnsi="Times New Roman" w:cs="Times New Roman"/>
          <w:noProof/>
          <w:color w:val="000000" w:themeColor="text1"/>
          <w:sz w:val="24"/>
          <w:szCs w:val="24"/>
        </w:rPr>
        <w:t>(overall 20% of the EU budget 2014-2020</w:t>
      </w:r>
      <w:r w:rsidR="004F4055" w:rsidRPr="005F1FF6">
        <w:rPr>
          <w:rFonts w:ascii="Times New Roman" w:hAnsi="Times New Roman" w:cs="Times New Roman"/>
          <w:noProof/>
          <w:color w:val="000000" w:themeColor="text1"/>
          <w:sz w:val="24"/>
          <w:szCs w:val="24"/>
        </w:rPr>
        <w:t>)</w:t>
      </w:r>
      <w:r w:rsidR="009A6B92" w:rsidRPr="005F1FF6">
        <w:rPr>
          <w:rFonts w:ascii="Times New Roman" w:hAnsi="Times New Roman" w:cs="Times New Roman"/>
          <w:noProof/>
          <w:color w:val="000000" w:themeColor="text1"/>
          <w:sz w:val="24"/>
          <w:szCs w:val="24"/>
        </w:rPr>
        <w:t xml:space="preserve">, </w:t>
      </w:r>
      <w:r w:rsidR="008E136B" w:rsidRPr="005F1FF6">
        <w:rPr>
          <w:rFonts w:ascii="Times New Roman" w:hAnsi="Times New Roman" w:cs="Times New Roman"/>
          <w:noProof/>
          <w:color w:val="000000" w:themeColor="text1"/>
          <w:sz w:val="24"/>
          <w:szCs w:val="24"/>
        </w:rPr>
        <w:t>has been estimated at EUR</w:t>
      </w:r>
      <w:r w:rsidR="00684D35" w:rsidRPr="005F1FF6">
        <w:rPr>
          <w:rFonts w:ascii="Times New Roman" w:hAnsi="Times New Roman" w:cs="Times New Roman"/>
          <w:noProof/>
          <w:color w:val="000000" w:themeColor="text1"/>
          <w:sz w:val="24"/>
          <w:szCs w:val="24"/>
        </w:rPr>
        <w:t> </w:t>
      </w:r>
      <w:r w:rsidR="00C0072C" w:rsidRPr="005F1FF6">
        <w:rPr>
          <w:rFonts w:ascii="Times New Roman" w:hAnsi="Times New Roman" w:cs="Times New Roman"/>
          <w:noProof/>
          <w:color w:val="000000" w:themeColor="text1"/>
          <w:sz w:val="24"/>
          <w:szCs w:val="24"/>
        </w:rPr>
        <w:t>25.6</w:t>
      </w:r>
      <w:r w:rsidR="00684D35" w:rsidRPr="005F1FF6">
        <w:rPr>
          <w:rFonts w:ascii="Times New Roman" w:hAnsi="Times New Roman" w:cs="Times New Roman"/>
          <w:noProof/>
          <w:color w:val="000000" w:themeColor="text1"/>
          <w:sz w:val="24"/>
          <w:szCs w:val="24"/>
        </w:rPr>
        <w:t> </w:t>
      </w:r>
      <w:r w:rsidRPr="005F1FF6">
        <w:rPr>
          <w:rFonts w:ascii="Times New Roman" w:hAnsi="Times New Roman" w:cs="Times New Roman"/>
          <w:noProof/>
          <w:color w:val="000000" w:themeColor="text1"/>
          <w:sz w:val="24"/>
          <w:szCs w:val="24"/>
        </w:rPr>
        <w:t xml:space="preserve">million </w:t>
      </w:r>
      <w:r w:rsidR="00784309" w:rsidRPr="005F1FF6">
        <w:rPr>
          <w:rFonts w:ascii="Times New Roman" w:hAnsi="Times New Roman" w:cs="Times New Roman"/>
          <w:noProof/>
          <w:color w:val="000000" w:themeColor="text1"/>
          <w:sz w:val="24"/>
          <w:szCs w:val="24"/>
        </w:rPr>
        <w:t>(</w:t>
      </w:r>
      <w:r w:rsidR="00A4221A" w:rsidRPr="005F1FF6">
        <w:rPr>
          <w:rFonts w:ascii="Times New Roman" w:hAnsi="Times New Roman" w:cs="Times New Roman"/>
          <w:noProof/>
          <w:color w:val="000000" w:themeColor="text1"/>
          <w:sz w:val="24"/>
          <w:szCs w:val="24"/>
        </w:rPr>
        <w:t>6</w:t>
      </w:r>
      <w:r w:rsidRPr="005F1FF6">
        <w:rPr>
          <w:rFonts w:ascii="Times New Roman" w:hAnsi="Times New Roman" w:cs="Times New Roman"/>
          <w:noProof/>
          <w:color w:val="000000" w:themeColor="text1"/>
          <w:sz w:val="24"/>
          <w:szCs w:val="24"/>
        </w:rPr>
        <w:t>% of the financial allocation in 20</w:t>
      </w:r>
      <w:r w:rsidR="00276E89" w:rsidRPr="005F1FF6">
        <w:rPr>
          <w:rFonts w:ascii="Times New Roman" w:hAnsi="Times New Roman" w:cs="Times New Roman"/>
          <w:noProof/>
          <w:color w:val="000000" w:themeColor="text1"/>
          <w:sz w:val="24"/>
          <w:szCs w:val="24"/>
        </w:rPr>
        <w:t>20</w:t>
      </w:r>
      <w:r w:rsidR="00784309" w:rsidRPr="005F1FF6">
        <w:rPr>
          <w:rFonts w:ascii="Times New Roman" w:hAnsi="Times New Roman" w:cs="Times New Roman"/>
          <w:noProof/>
          <w:color w:val="000000" w:themeColor="text1"/>
          <w:sz w:val="24"/>
          <w:szCs w:val="24"/>
        </w:rPr>
        <w:t>)</w:t>
      </w:r>
      <w:r w:rsidRPr="005F1FF6">
        <w:rPr>
          <w:rFonts w:ascii="Times New Roman" w:hAnsi="Times New Roman" w:cs="Times New Roman"/>
          <w:noProof/>
          <w:color w:val="000000" w:themeColor="text1"/>
          <w:sz w:val="24"/>
          <w:szCs w:val="24"/>
        </w:rPr>
        <w:t>.</w:t>
      </w:r>
      <w:r w:rsidR="004F4055" w:rsidRPr="005F1FF6">
        <w:rPr>
          <w:rFonts w:ascii="Times New Roman" w:hAnsi="Times New Roman" w:cs="Times New Roman"/>
          <w:noProof/>
          <w:color w:val="000000" w:themeColor="text1"/>
          <w:sz w:val="24"/>
          <w:szCs w:val="24"/>
        </w:rPr>
        <w:t xml:space="preserve"> </w:t>
      </w:r>
      <w:r w:rsidR="006A6CC5" w:rsidRPr="005F1FF6">
        <w:rPr>
          <w:rFonts w:ascii="Times New Roman" w:hAnsi="Times New Roman" w:cs="Times New Roman"/>
          <w:noProof/>
          <w:color w:val="000000" w:themeColor="text1"/>
          <w:sz w:val="24"/>
          <w:szCs w:val="24"/>
        </w:rPr>
        <w:t>There is no tracking of the precise contribution of most COSME measures to climate mainstreaming</w:t>
      </w:r>
      <w:r w:rsidR="004F1D98" w:rsidRPr="005F1FF6">
        <w:rPr>
          <w:rStyle w:val="FootnoteReference"/>
          <w:rFonts w:ascii="Times New Roman" w:hAnsi="Times New Roman" w:cs="Times New Roman"/>
          <w:noProof/>
          <w:color w:val="000000" w:themeColor="text1"/>
          <w:sz w:val="24"/>
          <w:szCs w:val="24"/>
        </w:rPr>
        <w:footnoteReference w:id="41"/>
      </w:r>
      <w:r w:rsidR="006A6CC5" w:rsidRPr="005F1FF6">
        <w:rPr>
          <w:rFonts w:ascii="Times New Roman" w:hAnsi="Times New Roman" w:cs="Times New Roman"/>
          <w:noProof/>
          <w:color w:val="000000" w:themeColor="text1"/>
          <w:sz w:val="24"/>
          <w:szCs w:val="24"/>
        </w:rPr>
        <w:t xml:space="preserve">, but many projects and </w:t>
      </w:r>
      <w:r w:rsidR="009A6B92" w:rsidRPr="005F1FF6">
        <w:rPr>
          <w:rFonts w:ascii="Times New Roman" w:hAnsi="Times New Roman" w:cs="Times New Roman"/>
          <w:noProof/>
          <w:color w:val="000000" w:themeColor="text1"/>
          <w:sz w:val="24"/>
          <w:szCs w:val="24"/>
        </w:rPr>
        <w:t>measures</w:t>
      </w:r>
      <w:r w:rsidR="006A6CC5" w:rsidRPr="005F1FF6">
        <w:rPr>
          <w:rFonts w:ascii="Times New Roman" w:hAnsi="Times New Roman" w:cs="Times New Roman"/>
          <w:noProof/>
          <w:color w:val="000000" w:themeColor="text1"/>
          <w:sz w:val="24"/>
          <w:szCs w:val="24"/>
        </w:rPr>
        <w:t xml:space="preserve"> focus some attention on </w:t>
      </w:r>
      <w:r w:rsidR="001A19A4" w:rsidRPr="005F1FF6">
        <w:rPr>
          <w:rFonts w:ascii="Times New Roman" w:hAnsi="Times New Roman" w:cs="Times New Roman"/>
          <w:noProof/>
          <w:color w:val="000000" w:themeColor="text1"/>
          <w:sz w:val="24"/>
          <w:szCs w:val="24"/>
        </w:rPr>
        <w:t>this goal</w:t>
      </w:r>
      <w:r w:rsidR="009B7896" w:rsidRPr="005F1FF6">
        <w:rPr>
          <w:rFonts w:ascii="Times New Roman" w:hAnsi="Times New Roman" w:cs="Times New Roman"/>
          <w:noProof/>
          <w:color w:val="000000" w:themeColor="text1"/>
          <w:sz w:val="24"/>
          <w:szCs w:val="24"/>
        </w:rPr>
        <w:t xml:space="preserve">. Notable examples include </w:t>
      </w:r>
      <w:r w:rsidR="001A19A4" w:rsidRPr="005F1FF6">
        <w:rPr>
          <w:rFonts w:ascii="Times New Roman" w:hAnsi="Times New Roman" w:cs="Times New Roman"/>
          <w:noProof/>
          <w:color w:val="000000" w:themeColor="text1"/>
          <w:sz w:val="24"/>
          <w:szCs w:val="24"/>
        </w:rPr>
        <w:t>the Equity Facility for Growth, the Enterprise Europe Network</w:t>
      </w:r>
      <w:r w:rsidR="009B7896" w:rsidRPr="005F1FF6">
        <w:rPr>
          <w:rFonts w:ascii="Times New Roman" w:hAnsi="Times New Roman" w:cs="Times New Roman"/>
          <w:noProof/>
          <w:color w:val="000000" w:themeColor="text1"/>
          <w:sz w:val="24"/>
          <w:szCs w:val="24"/>
        </w:rPr>
        <w:t xml:space="preserve">, </w:t>
      </w:r>
      <w:r w:rsidR="001A19A4" w:rsidRPr="005F1FF6">
        <w:rPr>
          <w:rFonts w:ascii="Times New Roman" w:hAnsi="Times New Roman" w:cs="Times New Roman"/>
          <w:noProof/>
          <w:color w:val="000000" w:themeColor="text1"/>
          <w:sz w:val="24"/>
          <w:szCs w:val="24"/>
        </w:rPr>
        <w:t xml:space="preserve">various support actions for clusters including </w:t>
      </w:r>
      <w:r w:rsidR="00B51938" w:rsidRPr="005F1FF6">
        <w:rPr>
          <w:rFonts w:ascii="Times New Roman" w:hAnsi="Times New Roman" w:cs="Times New Roman"/>
          <w:noProof/>
          <w:color w:val="000000" w:themeColor="text1"/>
          <w:sz w:val="24"/>
          <w:szCs w:val="24"/>
        </w:rPr>
        <w:t>c</w:t>
      </w:r>
      <w:r w:rsidR="001A19A4" w:rsidRPr="005F1FF6">
        <w:rPr>
          <w:rFonts w:ascii="Times New Roman" w:hAnsi="Times New Roman" w:cs="Times New Roman"/>
          <w:noProof/>
          <w:color w:val="000000" w:themeColor="text1"/>
          <w:sz w:val="24"/>
          <w:szCs w:val="24"/>
        </w:rPr>
        <w:t xml:space="preserve">lusters </w:t>
      </w:r>
      <w:r w:rsidR="00B51938" w:rsidRPr="005F1FF6">
        <w:rPr>
          <w:rFonts w:ascii="Times New Roman" w:hAnsi="Times New Roman" w:cs="Times New Roman"/>
          <w:noProof/>
          <w:color w:val="000000" w:themeColor="text1"/>
          <w:sz w:val="24"/>
          <w:szCs w:val="24"/>
        </w:rPr>
        <w:t>i</w:t>
      </w:r>
      <w:r w:rsidR="001A19A4" w:rsidRPr="005F1FF6">
        <w:rPr>
          <w:rFonts w:ascii="Times New Roman" w:hAnsi="Times New Roman" w:cs="Times New Roman"/>
          <w:noProof/>
          <w:color w:val="000000" w:themeColor="text1"/>
          <w:sz w:val="24"/>
          <w:szCs w:val="24"/>
        </w:rPr>
        <w:t>nternationalisation, and</w:t>
      </w:r>
      <w:r w:rsidR="00310498" w:rsidRPr="005F1FF6">
        <w:rPr>
          <w:rFonts w:ascii="Times New Roman" w:hAnsi="Times New Roman" w:cs="Times New Roman"/>
          <w:noProof/>
          <w:color w:val="000000" w:themeColor="text1"/>
          <w:sz w:val="24"/>
          <w:szCs w:val="24"/>
        </w:rPr>
        <w:t xml:space="preserve"> </w:t>
      </w:r>
      <w:r w:rsidR="001A19A4" w:rsidRPr="005F1FF6">
        <w:rPr>
          <w:rFonts w:ascii="Times New Roman" w:hAnsi="Times New Roman" w:cs="Times New Roman"/>
          <w:noProof/>
          <w:color w:val="000000" w:themeColor="text1"/>
          <w:sz w:val="24"/>
          <w:szCs w:val="24"/>
        </w:rPr>
        <w:t xml:space="preserve">the </w:t>
      </w:r>
      <w:r w:rsidR="00310498" w:rsidRPr="005F1FF6">
        <w:rPr>
          <w:rFonts w:ascii="Times New Roman" w:hAnsi="Times New Roman" w:cs="Times New Roman"/>
          <w:noProof/>
          <w:color w:val="000000" w:themeColor="text1"/>
          <w:sz w:val="24"/>
          <w:szCs w:val="24"/>
        </w:rPr>
        <w:t>WORTH Partnership for boosting competitiveness and innovation capacity of SMEs in lifestyle industries</w:t>
      </w:r>
      <w:r w:rsidR="001A19A4" w:rsidRPr="005F1FF6">
        <w:rPr>
          <w:rFonts w:ascii="Times New Roman" w:hAnsi="Times New Roman" w:cs="Times New Roman"/>
          <w:noProof/>
          <w:color w:val="000000" w:themeColor="text1"/>
          <w:sz w:val="24"/>
          <w:szCs w:val="24"/>
        </w:rPr>
        <w:t>.</w:t>
      </w:r>
    </w:p>
    <w:p w14:paraId="1C7DBD88" w14:textId="0849CA02" w:rsidR="00350E80" w:rsidRPr="005F1FF6" w:rsidRDefault="001A19A4"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There was also a Flash Eurobarometer specifically dedicated to SMEs resource efficiency and green markets</w:t>
      </w:r>
      <w:r w:rsidR="00350E80" w:rsidRPr="005F1FF6">
        <w:rPr>
          <w:rFonts w:ascii="Times New Roman" w:hAnsi="Times New Roman" w:cs="Times New Roman"/>
          <w:noProof/>
          <w:color w:val="000000" w:themeColor="text1"/>
          <w:sz w:val="24"/>
          <w:szCs w:val="24"/>
        </w:rPr>
        <w:t xml:space="preserve">, and </w:t>
      </w:r>
      <w:r w:rsidR="00647236" w:rsidRPr="005F1FF6">
        <w:rPr>
          <w:rFonts w:ascii="Times New Roman" w:hAnsi="Times New Roman" w:cs="Times New Roman"/>
          <w:noProof/>
          <w:color w:val="000000" w:themeColor="text1"/>
          <w:sz w:val="24"/>
          <w:szCs w:val="24"/>
        </w:rPr>
        <w:t>the</w:t>
      </w:r>
      <w:r w:rsidR="00350E80" w:rsidRPr="005F1FF6">
        <w:rPr>
          <w:rFonts w:ascii="Times New Roman" w:hAnsi="Times New Roman" w:cs="Times New Roman"/>
          <w:noProof/>
          <w:color w:val="000000" w:themeColor="text1"/>
          <w:sz w:val="24"/>
          <w:szCs w:val="24"/>
        </w:rPr>
        <w:t xml:space="preserve"> </w:t>
      </w:r>
      <w:r w:rsidR="00350E80" w:rsidRPr="005F1FF6">
        <w:rPr>
          <w:rFonts w:ascii="Times New Roman" w:hAnsi="Times New Roman" w:cs="Times New Roman"/>
          <w:b/>
          <w:noProof/>
          <w:color w:val="000000" w:themeColor="text1"/>
          <w:sz w:val="24"/>
          <w:szCs w:val="24"/>
        </w:rPr>
        <w:t xml:space="preserve">European Climate Neutral Industry Competitiveness Scoreboard (CIndECS) </w:t>
      </w:r>
      <w:r w:rsidR="00647236" w:rsidRPr="005F1FF6">
        <w:rPr>
          <w:rFonts w:ascii="Times New Roman" w:hAnsi="Times New Roman" w:cs="Times New Roman"/>
          <w:noProof/>
          <w:color w:val="000000" w:themeColor="text1"/>
          <w:sz w:val="24"/>
          <w:szCs w:val="24"/>
        </w:rPr>
        <w:t xml:space="preserve">developed </w:t>
      </w:r>
      <w:r w:rsidR="00350E80" w:rsidRPr="005F1FF6">
        <w:rPr>
          <w:rFonts w:ascii="Times New Roman" w:hAnsi="Times New Roman" w:cs="Times New Roman"/>
          <w:noProof/>
          <w:color w:val="000000" w:themeColor="text1"/>
          <w:sz w:val="24"/>
          <w:szCs w:val="24"/>
        </w:rPr>
        <w:t>under an administrative agreement with the JRC is nearing completion. This work has already fed into a number of major policy initiatives, including the supporting reports of the Clean Energy Technology Observatory and the Net Zero Industry Act. Further information is given in Annex 4 below.</w:t>
      </w:r>
    </w:p>
    <w:p w14:paraId="3DD1B21A" w14:textId="229E46C7" w:rsidR="009B7896" w:rsidRPr="005F1FF6" w:rsidRDefault="00B341F7" w:rsidP="005F1FF6">
      <w:pPr>
        <w:spacing w:before="120" w:after="0" w:line="240" w:lineRule="auto"/>
        <w:jc w:val="both"/>
        <w:rPr>
          <w:rFonts w:ascii="Times New Roman" w:hAnsi="Times New Roman" w:cs="Times New Roman"/>
          <w:noProof/>
          <w:color w:val="000000" w:themeColor="text1"/>
          <w:sz w:val="24"/>
          <w:szCs w:val="24"/>
          <w:lang w:eastAsia="fr-FR"/>
        </w:rPr>
      </w:pPr>
      <w:r w:rsidRPr="005F1FF6">
        <w:rPr>
          <w:rFonts w:ascii="Times New Roman" w:hAnsi="Times New Roman" w:cs="Times New Roman"/>
          <w:noProof/>
          <w:color w:val="000000" w:themeColor="text1"/>
          <w:sz w:val="24"/>
          <w:szCs w:val="24"/>
          <w:lang w:eastAsia="fr-FR"/>
        </w:rPr>
        <w:t xml:space="preserve">Many COSME </w:t>
      </w:r>
      <w:r w:rsidR="00AB52BF" w:rsidRPr="005F1FF6">
        <w:rPr>
          <w:rFonts w:ascii="Times New Roman" w:hAnsi="Times New Roman" w:cs="Times New Roman"/>
          <w:noProof/>
          <w:color w:val="000000" w:themeColor="text1"/>
          <w:sz w:val="24"/>
          <w:szCs w:val="24"/>
          <w:lang w:eastAsia="fr-FR"/>
        </w:rPr>
        <w:t>measure</w:t>
      </w:r>
      <w:r w:rsidR="005E7222" w:rsidRPr="005F1FF6">
        <w:rPr>
          <w:rFonts w:ascii="Times New Roman" w:hAnsi="Times New Roman" w:cs="Times New Roman"/>
          <w:noProof/>
          <w:color w:val="000000" w:themeColor="text1"/>
          <w:sz w:val="24"/>
          <w:szCs w:val="24"/>
          <w:lang w:eastAsia="fr-FR"/>
        </w:rPr>
        <w:t>s</w:t>
      </w:r>
      <w:r w:rsidRPr="005F1FF6">
        <w:rPr>
          <w:rFonts w:ascii="Times New Roman" w:hAnsi="Times New Roman" w:cs="Times New Roman"/>
          <w:noProof/>
          <w:color w:val="000000" w:themeColor="text1"/>
          <w:sz w:val="24"/>
          <w:szCs w:val="24"/>
          <w:lang w:eastAsia="fr-FR"/>
        </w:rPr>
        <w:t xml:space="preserve"> </w:t>
      </w:r>
      <w:r w:rsidR="007C004F" w:rsidRPr="005F1FF6">
        <w:rPr>
          <w:rFonts w:ascii="Times New Roman" w:hAnsi="Times New Roman" w:cs="Times New Roman"/>
          <w:b/>
          <w:noProof/>
          <w:color w:val="000000" w:themeColor="text1"/>
          <w:sz w:val="24"/>
          <w:szCs w:val="24"/>
          <w:lang w:eastAsia="fr-FR"/>
        </w:rPr>
        <w:t>contribute to</w:t>
      </w:r>
      <w:r w:rsidRPr="005F1FF6">
        <w:rPr>
          <w:rFonts w:ascii="Times New Roman" w:hAnsi="Times New Roman" w:cs="Times New Roman"/>
          <w:b/>
          <w:noProof/>
          <w:color w:val="000000" w:themeColor="text1"/>
          <w:sz w:val="24"/>
          <w:szCs w:val="24"/>
          <w:lang w:eastAsia="fr-FR"/>
        </w:rPr>
        <w:t xml:space="preserve"> </w:t>
      </w:r>
      <w:r w:rsidR="00105DA6" w:rsidRPr="005F1FF6">
        <w:rPr>
          <w:rFonts w:ascii="Times New Roman" w:hAnsi="Times New Roman" w:cs="Times New Roman"/>
          <w:b/>
          <w:noProof/>
          <w:color w:val="000000" w:themeColor="text1"/>
          <w:sz w:val="24"/>
          <w:szCs w:val="24"/>
          <w:lang w:eastAsia="fr-FR"/>
        </w:rPr>
        <w:t xml:space="preserve">the </w:t>
      </w:r>
      <w:r w:rsidR="006406D7" w:rsidRPr="005F1FF6">
        <w:rPr>
          <w:rFonts w:ascii="Times New Roman" w:hAnsi="Times New Roman" w:cs="Times New Roman"/>
          <w:b/>
          <w:noProof/>
          <w:color w:val="000000" w:themeColor="text1"/>
          <w:sz w:val="24"/>
          <w:szCs w:val="24"/>
          <w:lang w:eastAsia="fr-FR"/>
        </w:rPr>
        <w:t>S</w:t>
      </w:r>
      <w:r w:rsidRPr="005F1FF6">
        <w:rPr>
          <w:rFonts w:ascii="Times New Roman" w:hAnsi="Times New Roman" w:cs="Times New Roman"/>
          <w:b/>
          <w:noProof/>
          <w:color w:val="000000" w:themeColor="text1"/>
          <w:sz w:val="24"/>
          <w:szCs w:val="24"/>
          <w:lang w:eastAsia="fr-FR"/>
        </w:rPr>
        <w:t xml:space="preserve">ustainable </w:t>
      </w:r>
      <w:r w:rsidR="006406D7" w:rsidRPr="005F1FF6">
        <w:rPr>
          <w:rFonts w:ascii="Times New Roman" w:hAnsi="Times New Roman" w:cs="Times New Roman"/>
          <w:b/>
          <w:noProof/>
          <w:color w:val="000000" w:themeColor="text1"/>
          <w:sz w:val="24"/>
          <w:szCs w:val="24"/>
          <w:lang w:eastAsia="fr-FR"/>
        </w:rPr>
        <w:t>D</w:t>
      </w:r>
      <w:r w:rsidRPr="005F1FF6">
        <w:rPr>
          <w:rFonts w:ascii="Times New Roman" w:hAnsi="Times New Roman" w:cs="Times New Roman"/>
          <w:b/>
          <w:noProof/>
          <w:color w:val="000000" w:themeColor="text1"/>
          <w:sz w:val="24"/>
          <w:szCs w:val="24"/>
          <w:lang w:eastAsia="fr-FR"/>
        </w:rPr>
        <w:t xml:space="preserve">evelopment </w:t>
      </w:r>
      <w:r w:rsidR="006406D7" w:rsidRPr="005F1FF6">
        <w:rPr>
          <w:rFonts w:ascii="Times New Roman" w:hAnsi="Times New Roman" w:cs="Times New Roman"/>
          <w:b/>
          <w:noProof/>
          <w:color w:val="000000" w:themeColor="text1"/>
          <w:sz w:val="24"/>
          <w:szCs w:val="24"/>
          <w:lang w:eastAsia="fr-FR"/>
        </w:rPr>
        <w:t>G</w:t>
      </w:r>
      <w:r w:rsidRPr="005F1FF6">
        <w:rPr>
          <w:rFonts w:ascii="Times New Roman" w:hAnsi="Times New Roman" w:cs="Times New Roman"/>
          <w:b/>
          <w:noProof/>
          <w:color w:val="000000" w:themeColor="text1"/>
          <w:sz w:val="24"/>
          <w:szCs w:val="24"/>
          <w:lang w:eastAsia="fr-FR"/>
        </w:rPr>
        <w:t>oals (SDGs)</w:t>
      </w:r>
      <w:r w:rsidRPr="005F1FF6">
        <w:rPr>
          <w:rFonts w:ascii="Times New Roman" w:hAnsi="Times New Roman" w:cs="Times New Roman"/>
          <w:noProof/>
          <w:color w:val="000000" w:themeColor="text1"/>
          <w:sz w:val="24"/>
          <w:szCs w:val="24"/>
          <w:lang w:eastAsia="fr-FR"/>
        </w:rPr>
        <w:t xml:space="preserve"> laid down in the 2030 Agenda for Sustainable Development</w:t>
      </w:r>
      <w:r w:rsidR="00F81C93" w:rsidRPr="005F1FF6">
        <w:rPr>
          <w:rFonts w:ascii="Times New Roman" w:hAnsi="Times New Roman" w:cs="Times New Roman"/>
          <w:noProof/>
          <w:color w:val="000000" w:themeColor="text1"/>
          <w:sz w:val="24"/>
          <w:szCs w:val="24"/>
          <w:lang w:eastAsia="fr-FR"/>
        </w:rPr>
        <w:t xml:space="preserve">. </w:t>
      </w:r>
      <w:r w:rsidR="005E47FA" w:rsidRPr="005F1FF6">
        <w:rPr>
          <w:rFonts w:ascii="Times New Roman" w:hAnsi="Times New Roman" w:cs="Times New Roman"/>
          <w:noProof/>
          <w:color w:val="000000" w:themeColor="text1"/>
          <w:sz w:val="24"/>
          <w:szCs w:val="24"/>
          <w:lang w:eastAsia="fr-FR"/>
        </w:rPr>
        <w:t xml:space="preserve">In particular, the Enterprise Europe Network (EEN) and the Social Economy Missions contribute to </w:t>
      </w:r>
      <w:r w:rsidR="005735D4" w:rsidRPr="005F1FF6">
        <w:rPr>
          <w:rFonts w:ascii="Times New Roman" w:hAnsi="Times New Roman" w:cs="Times New Roman"/>
          <w:noProof/>
          <w:color w:val="000000" w:themeColor="text1"/>
          <w:sz w:val="24"/>
          <w:szCs w:val="24"/>
          <w:lang w:eastAsia="fr-FR"/>
        </w:rPr>
        <w:t>SDG</w:t>
      </w:r>
      <w:r w:rsidR="00A32A73" w:rsidRPr="005F1FF6">
        <w:rPr>
          <w:rFonts w:ascii="Times New Roman" w:hAnsi="Times New Roman" w:cs="Times New Roman"/>
          <w:noProof/>
          <w:color w:val="000000" w:themeColor="text1"/>
          <w:sz w:val="24"/>
          <w:szCs w:val="24"/>
          <w:lang w:eastAsia="fr-FR"/>
        </w:rPr>
        <w:t xml:space="preserve"> </w:t>
      </w:r>
      <w:r w:rsidR="005735D4" w:rsidRPr="005F1FF6">
        <w:rPr>
          <w:rFonts w:ascii="Times New Roman" w:hAnsi="Times New Roman" w:cs="Times New Roman"/>
          <w:noProof/>
          <w:color w:val="000000" w:themeColor="text1"/>
          <w:sz w:val="24"/>
          <w:szCs w:val="24"/>
          <w:lang w:eastAsia="fr-FR"/>
        </w:rPr>
        <w:t>8</w:t>
      </w:r>
      <w:r w:rsidR="00F81C93" w:rsidRPr="005F1FF6">
        <w:rPr>
          <w:rFonts w:ascii="Times New Roman" w:hAnsi="Times New Roman" w:cs="Times New Roman"/>
          <w:noProof/>
          <w:color w:val="000000" w:themeColor="text1"/>
          <w:sz w:val="24"/>
          <w:szCs w:val="24"/>
          <w:lang w:eastAsia="fr-FR"/>
        </w:rPr>
        <w:t xml:space="preserve"> </w:t>
      </w:r>
      <w:r w:rsidR="005E47FA" w:rsidRPr="005F1FF6">
        <w:rPr>
          <w:rFonts w:ascii="Times New Roman" w:hAnsi="Times New Roman" w:cs="Times New Roman"/>
          <w:noProof/>
          <w:color w:val="000000" w:themeColor="text1"/>
          <w:sz w:val="24"/>
          <w:szCs w:val="24"/>
          <w:lang w:eastAsia="fr-FR"/>
        </w:rPr>
        <w:t>(d</w:t>
      </w:r>
      <w:r w:rsidR="00F81C93" w:rsidRPr="005F1FF6">
        <w:rPr>
          <w:rFonts w:ascii="Times New Roman" w:hAnsi="Times New Roman" w:cs="Times New Roman"/>
          <w:noProof/>
          <w:color w:val="000000" w:themeColor="text1"/>
          <w:sz w:val="24"/>
          <w:szCs w:val="24"/>
          <w:lang w:eastAsia="fr-FR"/>
        </w:rPr>
        <w:t>ecent work and sustainable economic growth</w:t>
      </w:r>
      <w:r w:rsidR="005E47FA" w:rsidRPr="005F1FF6">
        <w:rPr>
          <w:rFonts w:ascii="Times New Roman" w:hAnsi="Times New Roman" w:cs="Times New Roman"/>
          <w:noProof/>
          <w:color w:val="000000" w:themeColor="text1"/>
          <w:sz w:val="24"/>
          <w:szCs w:val="24"/>
          <w:lang w:eastAsia="fr-FR"/>
        </w:rPr>
        <w:t>).</w:t>
      </w:r>
      <w:r w:rsidR="005735D4" w:rsidRPr="005F1FF6">
        <w:rPr>
          <w:rFonts w:ascii="Times New Roman" w:hAnsi="Times New Roman" w:cs="Times New Roman"/>
          <w:noProof/>
          <w:color w:val="000000" w:themeColor="text1"/>
          <w:sz w:val="24"/>
          <w:szCs w:val="24"/>
          <w:lang w:eastAsia="fr-FR"/>
        </w:rPr>
        <w:t xml:space="preserve"> </w:t>
      </w:r>
      <w:r w:rsidR="00A32A73" w:rsidRPr="005F1FF6">
        <w:rPr>
          <w:rFonts w:ascii="Times New Roman" w:hAnsi="Times New Roman" w:cs="Times New Roman"/>
          <w:noProof/>
          <w:color w:val="000000" w:themeColor="text1"/>
          <w:sz w:val="24"/>
          <w:szCs w:val="24"/>
          <w:lang w:eastAsia="fr-FR"/>
        </w:rPr>
        <w:t xml:space="preserve">SDG </w:t>
      </w:r>
      <w:r w:rsidR="005735D4" w:rsidRPr="005F1FF6">
        <w:rPr>
          <w:rFonts w:ascii="Times New Roman" w:hAnsi="Times New Roman" w:cs="Times New Roman"/>
          <w:noProof/>
          <w:color w:val="000000" w:themeColor="text1"/>
          <w:sz w:val="24"/>
          <w:szCs w:val="24"/>
          <w:lang w:eastAsia="fr-FR"/>
        </w:rPr>
        <w:t>9</w:t>
      </w:r>
      <w:r w:rsidR="005E47FA" w:rsidRPr="005F1FF6">
        <w:rPr>
          <w:rFonts w:ascii="Times New Roman" w:hAnsi="Times New Roman" w:cs="Times New Roman"/>
          <w:noProof/>
          <w:color w:val="000000" w:themeColor="text1"/>
          <w:sz w:val="24"/>
          <w:szCs w:val="24"/>
          <w:lang w:eastAsia="fr-FR"/>
        </w:rPr>
        <w:t xml:space="preserve"> (i</w:t>
      </w:r>
      <w:r w:rsidR="00F81C93" w:rsidRPr="005F1FF6">
        <w:rPr>
          <w:rFonts w:ascii="Times New Roman" w:hAnsi="Times New Roman" w:cs="Times New Roman"/>
          <w:noProof/>
          <w:color w:val="000000" w:themeColor="text1"/>
          <w:sz w:val="24"/>
          <w:szCs w:val="24"/>
          <w:lang w:eastAsia="fr-FR"/>
        </w:rPr>
        <w:t>nclusive and sustainable industry</w:t>
      </w:r>
      <w:r w:rsidR="00677156" w:rsidRPr="005F1FF6">
        <w:rPr>
          <w:rFonts w:ascii="Times New Roman" w:hAnsi="Times New Roman" w:cs="Times New Roman"/>
          <w:noProof/>
          <w:color w:val="000000" w:themeColor="text1"/>
          <w:sz w:val="24"/>
          <w:szCs w:val="24"/>
          <w:lang w:eastAsia="fr-FR"/>
        </w:rPr>
        <w:t xml:space="preserve"> </w:t>
      </w:r>
      <w:r w:rsidR="00A32A73" w:rsidRPr="005F1FF6">
        <w:rPr>
          <w:rFonts w:ascii="Times New Roman" w:hAnsi="Times New Roman" w:cs="Times New Roman"/>
          <w:noProof/>
          <w:color w:val="000000" w:themeColor="text1"/>
          <w:sz w:val="24"/>
          <w:szCs w:val="24"/>
          <w:lang w:eastAsia="fr-FR"/>
        </w:rPr>
        <w:t>innovation and resilient infrastructure</w:t>
      </w:r>
      <w:r w:rsidR="005E47FA" w:rsidRPr="005F1FF6">
        <w:rPr>
          <w:rFonts w:ascii="Times New Roman" w:hAnsi="Times New Roman" w:cs="Times New Roman"/>
          <w:noProof/>
          <w:color w:val="000000" w:themeColor="text1"/>
          <w:sz w:val="24"/>
          <w:szCs w:val="24"/>
          <w:lang w:eastAsia="fr-FR"/>
        </w:rPr>
        <w:t xml:space="preserve">) is addressed by </w:t>
      </w:r>
      <w:r w:rsidR="00582404" w:rsidRPr="005F1FF6">
        <w:rPr>
          <w:rFonts w:ascii="Times New Roman" w:hAnsi="Times New Roman" w:cs="Times New Roman"/>
          <w:noProof/>
          <w:color w:val="000000" w:themeColor="text1"/>
          <w:sz w:val="24"/>
          <w:szCs w:val="24"/>
          <w:lang w:eastAsia="fr-FR"/>
        </w:rPr>
        <w:t xml:space="preserve">the </w:t>
      </w:r>
      <w:r w:rsidR="00A32A73" w:rsidRPr="005F1FF6">
        <w:rPr>
          <w:rFonts w:ascii="Times New Roman" w:hAnsi="Times New Roman" w:cs="Times New Roman"/>
          <w:noProof/>
          <w:color w:val="000000" w:themeColor="text1"/>
          <w:sz w:val="24"/>
          <w:szCs w:val="24"/>
          <w:lang w:eastAsia="fr-FR"/>
        </w:rPr>
        <w:t>EEN</w:t>
      </w:r>
      <w:r w:rsidR="005E47FA" w:rsidRPr="005F1FF6">
        <w:rPr>
          <w:rFonts w:ascii="Times New Roman" w:hAnsi="Times New Roman" w:cs="Times New Roman"/>
          <w:noProof/>
          <w:color w:val="000000" w:themeColor="text1"/>
          <w:sz w:val="24"/>
          <w:szCs w:val="24"/>
          <w:lang w:eastAsia="fr-FR"/>
        </w:rPr>
        <w:t>,</w:t>
      </w:r>
      <w:r w:rsidR="00A32A73" w:rsidRPr="005F1FF6">
        <w:rPr>
          <w:rFonts w:ascii="Times New Roman" w:hAnsi="Times New Roman" w:cs="Times New Roman"/>
          <w:noProof/>
          <w:color w:val="000000" w:themeColor="text1"/>
          <w:sz w:val="24"/>
          <w:szCs w:val="24"/>
          <w:lang w:eastAsia="fr-FR"/>
        </w:rPr>
        <w:t xml:space="preserve"> the Clusters Excellence projects</w:t>
      </w:r>
      <w:r w:rsidR="00F81C93" w:rsidRPr="005F1FF6">
        <w:rPr>
          <w:rFonts w:ascii="Times New Roman" w:hAnsi="Times New Roman" w:cs="Times New Roman"/>
          <w:noProof/>
          <w:color w:val="000000" w:themeColor="text1"/>
          <w:sz w:val="24"/>
          <w:szCs w:val="24"/>
          <w:lang w:eastAsia="fr-FR"/>
        </w:rPr>
        <w:t xml:space="preserve">, </w:t>
      </w:r>
      <w:r w:rsidR="005E47FA" w:rsidRPr="005F1FF6">
        <w:rPr>
          <w:rFonts w:ascii="Times New Roman" w:hAnsi="Times New Roman" w:cs="Times New Roman"/>
          <w:noProof/>
          <w:color w:val="000000" w:themeColor="text1"/>
          <w:sz w:val="24"/>
          <w:szCs w:val="24"/>
          <w:lang w:eastAsia="fr-FR"/>
        </w:rPr>
        <w:t xml:space="preserve">and support measures for tourism (see also digitalisation below). </w:t>
      </w:r>
      <w:r w:rsidR="00A32A73" w:rsidRPr="005F1FF6">
        <w:rPr>
          <w:rFonts w:ascii="Times New Roman" w:hAnsi="Times New Roman" w:cs="Times New Roman"/>
          <w:noProof/>
          <w:color w:val="000000" w:themeColor="text1"/>
          <w:sz w:val="24"/>
          <w:szCs w:val="24"/>
          <w:lang w:eastAsia="fr-FR"/>
        </w:rPr>
        <w:t xml:space="preserve">SDG </w:t>
      </w:r>
      <w:r w:rsidR="005735D4" w:rsidRPr="005F1FF6">
        <w:rPr>
          <w:rFonts w:ascii="Times New Roman" w:hAnsi="Times New Roman" w:cs="Times New Roman"/>
          <w:noProof/>
          <w:color w:val="000000" w:themeColor="text1"/>
          <w:sz w:val="24"/>
          <w:szCs w:val="24"/>
          <w:lang w:eastAsia="fr-FR"/>
        </w:rPr>
        <w:t>12</w:t>
      </w:r>
      <w:r w:rsidR="00F81C93" w:rsidRPr="005F1FF6">
        <w:rPr>
          <w:rFonts w:ascii="Times New Roman" w:hAnsi="Times New Roman" w:cs="Times New Roman"/>
          <w:noProof/>
          <w:color w:val="000000" w:themeColor="text1"/>
          <w:sz w:val="24"/>
          <w:szCs w:val="24"/>
          <w:lang w:eastAsia="fr-FR"/>
        </w:rPr>
        <w:t xml:space="preserve"> </w:t>
      </w:r>
      <w:r w:rsidR="005E47FA" w:rsidRPr="005F1FF6">
        <w:rPr>
          <w:rFonts w:ascii="Times New Roman" w:hAnsi="Times New Roman" w:cs="Times New Roman"/>
          <w:noProof/>
          <w:color w:val="000000" w:themeColor="text1"/>
          <w:sz w:val="24"/>
          <w:szCs w:val="24"/>
          <w:lang w:eastAsia="fr-FR"/>
        </w:rPr>
        <w:t>(</w:t>
      </w:r>
      <w:r w:rsidR="001A19A4" w:rsidRPr="005F1FF6">
        <w:rPr>
          <w:rFonts w:ascii="Times New Roman" w:hAnsi="Times New Roman" w:cs="Times New Roman"/>
          <w:noProof/>
          <w:color w:val="000000" w:themeColor="text1"/>
          <w:sz w:val="24"/>
          <w:szCs w:val="24"/>
          <w:lang w:eastAsia="fr-FR"/>
        </w:rPr>
        <w:t>S</w:t>
      </w:r>
      <w:r w:rsidR="00F81C93" w:rsidRPr="005F1FF6">
        <w:rPr>
          <w:rFonts w:ascii="Times New Roman" w:hAnsi="Times New Roman" w:cs="Times New Roman"/>
          <w:noProof/>
          <w:color w:val="000000" w:themeColor="text1"/>
          <w:sz w:val="24"/>
          <w:szCs w:val="24"/>
          <w:lang w:eastAsia="fr-FR"/>
        </w:rPr>
        <w:t>ustainable consumption and production patterns</w:t>
      </w:r>
      <w:r w:rsidR="005E47FA" w:rsidRPr="005F1FF6">
        <w:rPr>
          <w:rFonts w:ascii="Times New Roman" w:hAnsi="Times New Roman" w:cs="Times New Roman"/>
          <w:noProof/>
          <w:color w:val="000000" w:themeColor="text1"/>
          <w:sz w:val="24"/>
          <w:szCs w:val="24"/>
          <w:lang w:eastAsia="fr-FR"/>
        </w:rPr>
        <w:t xml:space="preserve">) is addressed </w:t>
      </w:r>
      <w:r w:rsidR="00CF65ED" w:rsidRPr="005F1FF6">
        <w:rPr>
          <w:rFonts w:ascii="Times New Roman" w:hAnsi="Times New Roman" w:cs="Times New Roman"/>
          <w:noProof/>
          <w:color w:val="000000" w:themeColor="text1"/>
          <w:sz w:val="24"/>
          <w:szCs w:val="24"/>
          <w:lang w:eastAsia="fr-FR"/>
        </w:rPr>
        <w:t>among other things</w:t>
      </w:r>
      <w:r w:rsidR="005E47FA" w:rsidRPr="005F1FF6">
        <w:rPr>
          <w:rFonts w:ascii="Times New Roman" w:hAnsi="Times New Roman" w:cs="Times New Roman"/>
          <w:noProof/>
          <w:color w:val="000000" w:themeColor="text1"/>
          <w:sz w:val="24"/>
          <w:szCs w:val="24"/>
          <w:lang w:eastAsia="fr-FR"/>
        </w:rPr>
        <w:t xml:space="preserve"> by the </w:t>
      </w:r>
      <w:r w:rsidR="00310498" w:rsidRPr="005F1FF6">
        <w:rPr>
          <w:rFonts w:ascii="Times New Roman" w:hAnsi="Times New Roman" w:cs="Times New Roman"/>
          <w:noProof/>
          <w:color w:val="000000" w:themeColor="text1"/>
          <w:sz w:val="24"/>
          <w:szCs w:val="24"/>
          <w:lang w:eastAsia="fr-FR"/>
        </w:rPr>
        <w:t xml:space="preserve">WORTH project </w:t>
      </w:r>
      <w:r w:rsidR="00A32A73" w:rsidRPr="005F1FF6">
        <w:rPr>
          <w:rFonts w:ascii="Times New Roman" w:hAnsi="Times New Roman" w:cs="Times New Roman"/>
          <w:noProof/>
          <w:color w:val="000000" w:themeColor="text1"/>
          <w:sz w:val="24"/>
          <w:szCs w:val="24"/>
          <w:lang w:eastAsia="fr-FR"/>
        </w:rPr>
        <w:t>for the</w:t>
      </w:r>
      <w:r w:rsidR="00310498" w:rsidRPr="005F1FF6">
        <w:rPr>
          <w:rFonts w:ascii="Times New Roman" w:hAnsi="Times New Roman" w:cs="Times New Roman"/>
          <w:noProof/>
          <w:color w:val="000000" w:themeColor="text1"/>
          <w:sz w:val="24"/>
          <w:szCs w:val="24"/>
          <w:lang w:eastAsia="fr-FR"/>
        </w:rPr>
        <w:t xml:space="preserve"> lifestyle industries</w:t>
      </w:r>
      <w:r w:rsidR="00A32A73" w:rsidRPr="005F1FF6">
        <w:rPr>
          <w:rFonts w:ascii="Times New Roman" w:hAnsi="Times New Roman" w:cs="Times New Roman"/>
          <w:noProof/>
          <w:color w:val="000000" w:themeColor="text1"/>
          <w:sz w:val="24"/>
          <w:szCs w:val="24"/>
          <w:lang w:eastAsia="fr-FR"/>
        </w:rPr>
        <w:t>.</w:t>
      </w:r>
    </w:p>
    <w:p w14:paraId="312A4E15" w14:textId="69CC6387" w:rsidR="00677156" w:rsidRPr="005F1FF6" w:rsidRDefault="00677156" w:rsidP="005F1FF6">
      <w:pPr>
        <w:spacing w:before="120" w:after="0" w:line="240" w:lineRule="auto"/>
        <w:jc w:val="both"/>
        <w:rPr>
          <w:rStyle w:val="eop"/>
          <w:rFonts w:ascii="Times New Roman" w:hAnsi="Times New Roman" w:cs="Times New Roman"/>
          <w:noProof/>
          <w:color w:val="000000" w:themeColor="text1"/>
          <w:sz w:val="24"/>
          <w:szCs w:val="24"/>
        </w:rPr>
      </w:pPr>
      <w:r w:rsidRPr="005F1FF6">
        <w:rPr>
          <w:rStyle w:val="eop"/>
          <w:rFonts w:ascii="Times New Roman" w:hAnsi="Times New Roman" w:cs="Times New Roman"/>
          <w:noProof/>
          <w:color w:val="000000" w:themeColor="text1"/>
          <w:sz w:val="24"/>
          <w:szCs w:val="24"/>
        </w:rPr>
        <w:t xml:space="preserve">There are also </w:t>
      </w:r>
      <w:r w:rsidR="00712798" w:rsidRPr="005F1FF6">
        <w:rPr>
          <w:rStyle w:val="eop"/>
          <w:rFonts w:ascii="Times New Roman" w:hAnsi="Times New Roman" w:cs="Times New Roman"/>
          <w:noProof/>
          <w:color w:val="000000" w:themeColor="text1"/>
          <w:sz w:val="24"/>
          <w:szCs w:val="24"/>
        </w:rPr>
        <w:t>several</w:t>
      </w:r>
      <w:r w:rsidRPr="005F1FF6">
        <w:rPr>
          <w:rStyle w:val="eop"/>
          <w:rFonts w:ascii="Times New Roman" w:hAnsi="Times New Roman" w:cs="Times New Roman"/>
          <w:noProof/>
          <w:color w:val="000000" w:themeColor="text1"/>
          <w:sz w:val="24"/>
          <w:szCs w:val="24"/>
        </w:rPr>
        <w:t xml:space="preserve"> </w:t>
      </w:r>
      <w:r w:rsidRPr="005F1FF6">
        <w:rPr>
          <w:rStyle w:val="eop"/>
          <w:rFonts w:ascii="Times New Roman" w:hAnsi="Times New Roman" w:cs="Times New Roman"/>
          <w:b/>
          <w:noProof/>
          <w:color w:val="000000" w:themeColor="text1"/>
          <w:sz w:val="24"/>
          <w:szCs w:val="24"/>
        </w:rPr>
        <w:t>COSME measures contributing to digitalisation</w:t>
      </w:r>
      <w:r w:rsidR="00156097" w:rsidRPr="005F1FF6">
        <w:rPr>
          <w:rStyle w:val="eop"/>
          <w:rFonts w:ascii="Times New Roman" w:hAnsi="Times New Roman" w:cs="Times New Roman"/>
          <w:b/>
          <w:noProof/>
          <w:color w:val="000000" w:themeColor="text1"/>
          <w:sz w:val="24"/>
          <w:szCs w:val="24"/>
        </w:rPr>
        <w:t xml:space="preserve"> </w:t>
      </w:r>
      <w:r w:rsidR="00A32A73" w:rsidRPr="005F1FF6">
        <w:rPr>
          <w:rStyle w:val="eop"/>
          <w:rFonts w:ascii="Times New Roman" w:hAnsi="Times New Roman" w:cs="Times New Roman"/>
          <w:b/>
          <w:noProof/>
          <w:color w:val="000000" w:themeColor="text1"/>
          <w:sz w:val="24"/>
          <w:szCs w:val="24"/>
        </w:rPr>
        <w:t>goals</w:t>
      </w:r>
      <w:r w:rsidR="00582404" w:rsidRPr="005F1FF6">
        <w:rPr>
          <w:rStyle w:val="eop"/>
          <w:rFonts w:ascii="Times New Roman" w:hAnsi="Times New Roman" w:cs="Times New Roman"/>
          <w:noProof/>
          <w:color w:val="000000" w:themeColor="text1"/>
          <w:sz w:val="24"/>
          <w:szCs w:val="24"/>
        </w:rPr>
        <w:t xml:space="preserve">. These include </w:t>
      </w:r>
      <w:r w:rsidR="00156097" w:rsidRPr="005F1FF6">
        <w:rPr>
          <w:rStyle w:val="eop"/>
          <w:rFonts w:ascii="Times New Roman" w:hAnsi="Times New Roman" w:cs="Times New Roman"/>
          <w:noProof/>
          <w:color w:val="000000" w:themeColor="text1"/>
          <w:sz w:val="24"/>
          <w:szCs w:val="24"/>
        </w:rPr>
        <w:t>projects to boost digitalisation, innovation and uptake of new technologies in th</w:t>
      </w:r>
      <w:r w:rsidR="00A32A73" w:rsidRPr="005F1FF6">
        <w:rPr>
          <w:rStyle w:val="eop"/>
          <w:rFonts w:ascii="Times New Roman" w:hAnsi="Times New Roman" w:cs="Times New Roman"/>
          <w:noProof/>
          <w:color w:val="000000" w:themeColor="text1"/>
          <w:sz w:val="24"/>
          <w:szCs w:val="24"/>
        </w:rPr>
        <w:t>e tourism</w:t>
      </w:r>
      <w:r w:rsidR="00156097" w:rsidRPr="005F1FF6">
        <w:rPr>
          <w:rStyle w:val="eop"/>
          <w:rFonts w:ascii="Times New Roman" w:hAnsi="Times New Roman" w:cs="Times New Roman"/>
          <w:noProof/>
          <w:color w:val="000000" w:themeColor="text1"/>
          <w:sz w:val="24"/>
          <w:szCs w:val="24"/>
        </w:rPr>
        <w:t xml:space="preserve"> sector</w:t>
      </w:r>
      <w:r w:rsidR="00A32A73" w:rsidRPr="005F1FF6">
        <w:rPr>
          <w:rStyle w:val="eop"/>
          <w:rFonts w:ascii="Times New Roman" w:hAnsi="Times New Roman" w:cs="Times New Roman"/>
          <w:noProof/>
          <w:color w:val="000000" w:themeColor="text1"/>
          <w:sz w:val="24"/>
          <w:szCs w:val="24"/>
        </w:rPr>
        <w:t>, and public procurement of innovation projects to help authorities purchase pre-competitive innovation in areas such as artificial intelligence</w:t>
      </w:r>
      <w:r w:rsidR="00F257AA">
        <w:rPr>
          <w:rStyle w:val="eop"/>
          <w:rFonts w:ascii="Times New Roman" w:hAnsi="Times New Roman" w:cs="Times New Roman"/>
          <w:noProof/>
          <w:color w:val="000000" w:themeColor="text1"/>
          <w:sz w:val="24"/>
          <w:szCs w:val="24"/>
        </w:rPr>
        <w:t xml:space="preserve">, and clusters projects </w:t>
      </w:r>
      <w:r w:rsidR="00F257AA" w:rsidRPr="00F257AA">
        <w:rPr>
          <w:rStyle w:val="eop"/>
          <w:rFonts w:ascii="Times New Roman" w:hAnsi="Times New Roman" w:cs="Times New Roman"/>
          <w:noProof/>
          <w:color w:val="000000" w:themeColor="text1"/>
          <w:sz w:val="24"/>
          <w:szCs w:val="24"/>
        </w:rPr>
        <w:t>to stimulate cross-fertilisation and exchanges of experience related to digital technologies</w:t>
      </w:r>
      <w:r w:rsidR="00F257AA">
        <w:rPr>
          <w:rStyle w:val="eop"/>
          <w:rFonts w:ascii="Times New Roman" w:hAnsi="Times New Roman" w:cs="Times New Roman"/>
          <w:noProof/>
          <w:color w:val="000000" w:themeColor="text1"/>
          <w:sz w:val="24"/>
          <w:szCs w:val="24"/>
        </w:rPr>
        <w:t xml:space="preserve"> </w:t>
      </w:r>
      <w:r w:rsidR="00A825FB">
        <w:rPr>
          <w:rStyle w:val="eop"/>
          <w:rFonts w:ascii="Times New Roman" w:hAnsi="Times New Roman" w:cs="Times New Roman"/>
          <w:noProof/>
          <w:color w:val="000000" w:themeColor="text1"/>
          <w:sz w:val="24"/>
          <w:szCs w:val="24"/>
        </w:rPr>
        <w:t xml:space="preserve">for </w:t>
      </w:r>
      <w:r w:rsidR="00BE7E17">
        <w:rPr>
          <w:rStyle w:val="eop"/>
          <w:rFonts w:ascii="Times New Roman" w:hAnsi="Times New Roman" w:cs="Times New Roman"/>
          <w:noProof/>
          <w:color w:val="000000" w:themeColor="text1"/>
          <w:sz w:val="24"/>
          <w:szCs w:val="24"/>
        </w:rPr>
        <w:t>the</w:t>
      </w:r>
      <w:r w:rsidR="00784CEE">
        <w:rPr>
          <w:rStyle w:val="eop"/>
          <w:rFonts w:ascii="Times New Roman" w:hAnsi="Times New Roman" w:cs="Times New Roman"/>
          <w:noProof/>
          <w:color w:val="000000" w:themeColor="text1"/>
          <w:sz w:val="24"/>
          <w:szCs w:val="24"/>
        </w:rPr>
        <w:t xml:space="preserve"> agri-food,</w:t>
      </w:r>
      <w:r w:rsidR="00F257AA">
        <w:rPr>
          <w:rStyle w:val="eop"/>
          <w:rFonts w:ascii="Times New Roman" w:hAnsi="Times New Roman" w:cs="Times New Roman"/>
          <w:noProof/>
          <w:color w:val="000000" w:themeColor="text1"/>
          <w:sz w:val="24"/>
          <w:szCs w:val="24"/>
        </w:rPr>
        <w:t xml:space="preserve"> </w:t>
      </w:r>
      <w:r w:rsidR="0011593E">
        <w:rPr>
          <w:rStyle w:val="eop"/>
          <w:rFonts w:ascii="Times New Roman" w:hAnsi="Times New Roman" w:cs="Times New Roman"/>
          <w:noProof/>
          <w:color w:val="000000" w:themeColor="text1"/>
          <w:sz w:val="24"/>
          <w:szCs w:val="24"/>
        </w:rPr>
        <w:t xml:space="preserve">automotive, textiles, and </w:t>
      </w:r>
      <w:r w:rsidR="00F257AA">
        <w:rPr>
          <w:rStyle w:val="eop"/>
          <w:rFonts w:ascii="Times New Roman" w:hAnsi="Times New Roman" w:cs="Times New Roman"/>
          <w:noProof/>
          <w:color w:val="000000" w:themeColor="text1"/>
          <w:sz w:val="24"/>
          <w:szCs w:val="24"/>
        </w:rPr>
        <w:t>precision medicine</w:t>
      </w:r>
      <w:r w:rsidR="00BE7E17">
        <w:rPr>
          <w:rStyle w:val="eop"/>
          <w:rFonts w:ascii="Times New Roman" w:hAnsi="Times New Roman" w:cs="Times New Roman"/>
          <w:noProof/>
          <w:color w:val="000000" w:themeColor="text1"/>
          <w:sz w:val="24"/>
          <w:szCs w:val="24"/>
        </w:rPr>
        <w:t xml:space="preserve"> industries</w:t>
      </w:r>
      <w:r w:rsidR="00A32A73" w:rsidRPr="005F1FF6">
        <w:rPr>
          <w:rStyle w:val="eop"/>
          <w:rFonts w:ascii="Times New Roman" w:hAnsi="Times New Roman" w:cs="Times New Roman"/>
          <w:noProof/>
          <w:color w:val="000000" w:themeColor="text1"/>
          <w:sz w:val="24"/>
          <w:szCs w:val="24"/>
        </w:rPr>
        <w:t>.</w:t>
      </w:r>
    </w:p>
    <w:p w14:paraId="5FFF4FF8" w14:textId="7F28A8FD" w:rsidR="00AF2646" w:rsidRPr="005F1FF6" w:rsidRDefault="004A29D5" w:rsidP="005F1FF6">
      <w:pPr>
        <w:spacing w:before="120" w:after="0" w:line="240" w:lineRule="auto"/>
        <w:jc w:val="both"/>
        <w:rPr>
          <w:rStyle w:val="eop"/>
          <w:rFonts w:ascii="Times New Roman" w:hAnsi="Times New Roman" w:cs="Times New Roman"/>
          <w:noProof/>
          <w:color w:val="000000" w:themeColor="text1"/>
          <w:sz w:val="24"/>
          <w:szCs w:val="24"/>
        </w:rPr>
      </w:pPr>
      <w:bookmarkStart w:id="35" w:name="_Toc113550825"/>
      <w:bookmarkStart w:id="36" w:name="_Toc113551095"/>
      <w:bookmarkStart w:id="37" w:name="_Toc113551383"/>
      <w:bookmarkEnd w:id="35"/>
      <w:bookmarkEnd w:id="36"/>
      <w:bookmarkEnd w:id="37"/>
      <w:r w:rsidRPr="005F1FF6">
        <w:rPr>
          <w:rStyle w:val="eop"/>
          <w:rFonts w:ascii="Times New Roman" w:hAnsi="Times New Roman" w:cs="Times New Roman"/>
          <w:noProof/>
          <w:color w:val="000000" w:themeColor="text1"/>
          <w:sz w:val="24"/>
          <w:szCs w:val="24"/>
        </w:rPr>
        <w:t xml:space="preserve">While no </w:t>
      </w:r>
      <w:r w:rsidR="00A90822" w:rsidRPr="005F1FF6">
        <w:rPr>
          <w:rStyle w:val="eop"/>
          <w:rFonts w:ascii="Times New Roman" w:hAnsi="Times New Roman" w:cs="Times New Roman"/>
          <w:b/>
          <w:noProof/>
          <w:color w:val="000000" w:themeColor="text1"/>
          <w:sz w:val="24"/>
          <w:szCs w:val="24"/>
        </w:rPr>
        <w:t>gender</w:t>
      </w:r>
      <w:r w:rsidRPr="005F1FF6">
        <w:rPr>
          <w:rStyle w:val="eop"/>
          <w:rFonts w:ascii="Times New Roman" w:hAnsi="Times New Roman" w:cs="Times New Roman"/>
          <w:b/>
          <w:noProof/>
          <w:color w:val="000000" w:themeColor="text1"/>
          <w:sz w:val="24"/>
          <w:szCs w:val="24"/>
        </w:rPr>
        <w:t xml:space="preserve"> </w:t>
      </w:r>
      <w:r w:rsidRPr="005F1FF6">
        <w:rPr>
          <w:rStyle w:val="eop"/>
          <w:rFonts w:ascii="Times New Roman" w:hAnsi="Times New Roman" w:cs="Times New Roman"/>
          <w:noProof/>
          <w:color w:val="000000" w:themeColor="text1"/>
          <w:sz w:val="24"/>
          <w:szCs w:val="24"/>
        </w:rPr>
        <w:t>objective</w:t>
      </w:r>
      <w:r w:rsidR="00A90822" w:rsidRPr="005F1FF6">
        <w:rPr>
          <w:rStyle w:val="eop"/>
          <w:rFonts w:ascii="Times New Roman" w:hAnsi="Times New Roman" w:cs="Times New Roman"/>
          <w:noProof/>
          <w:color w:val="000000" w:themeColor="text1"/>
          <w:sz w:val="24"/>
          <w:szCs w:val="24"/>
        </w:rPr>
        <w:t xml:space="preserve"> or </w:t>
      </w:r>
      <w:r w:rsidRPr="005F1FF6">
        <w:rPr>
          <w:rStyle w:val="eop"/>
          <w:rFonts w:ascii="Times New Roman" w:hAnsi="Times New Roman" w:cs="Times New Roman"/>
          <w:noProof/>
          <w:color w:val="000000" w:themeColor="text1"/>
          <w:sz w:val="24"/>
          <w:szCs w:val="24"/>
        </w:rPr>
        <w:t xml:space="preserve">target is </w:t>
      </w:r>
      <w:r w:rsidR="00A90822" w:rsidRPr="005F1FF6">
        <w:rPr>
          <w:rStyle w:val="eop"/>
          <w:rFonts w:ascii="Times New Roman" w:hAnsi="Times New Roman" w:cs="Times New Roman"/>
          <w:noProof/>
          <w:color w:val="000000" w:themeColor="text1"/>
          <w:sz w:val="24"/>
          <w:szCs w:val="24"/>
        </w:rPr>
        <w:t xml:space="preserve">specifically </w:t>
      </w:r>
      <w:r w:rsidR="00955241" w:rsidRPr="005F1FF6">
        <w:rPr>
          <w:rStyle w:val="eop"/>
          <w:rFonts w:ascii="Times New Roman" w:hAnsi="Times New Roman" w:cs="Times New Roman"/>
          <w:noProof/>
          <w:color w:val="000000" w:themeColor="text1"/>
          <w:sz w:val="24"/>
          <w:szCs w:val="24"/>
        </w:rPr>
        <w:t>included</w:t>
      </w:r>
      <w:r w:rsidRPr="005F1FF6">
        <w:rPr>
          <w:rStyle w:val="eop"/>
          <w:rFonts w:ascii="Times New Roman" w:hAnsi="Times New Roman" w:cs="Times New Roman"/>
          <w:noProof/>
          <w:color w:val="000000" w:themeColor="text1"/>
          <w:sz w:val="24"/>
          <w:szCs w:val="24"/>
        </w:rPr>
        <w:t xml:space="preserve"> in the COSME </w:t>
      </w:r>
      <w:r w:rsidR="00027360" w:rsidRPr="005F1FF6">
        <w:rPr>
          <w:rStyle w:val="eop"/>
          <w:rFonts w:ascii="Times New Roman" w:hAnsi="Times New Roman" w:cs="Times New Roman"/>
          <w:noProof/>
          <w:color w:val="000000" w:themeColor="text1"/>
          <w:sz w:val="24"/>
          <w:szCs w:val="24"/>
        </w:rPr>
        <w:t>Regulation</w:t>
      </w:r>
      <w:r w:rsidRPr="005F1FF6">
        <w:rPr>
          <w:rStyle w:val="eop"/>
          <w:rFonts w:ascii="Times New Roman" w:hAnsi="Times New Roman" w:cs="Times New Roman"/>
          <w:noProof/>
          <w:color w:val="000000" w:themeColor="text1"/>
          <w:sz w:val="24"/>
          <w:szCs w:val="24"/>
        </w:rPr>
        <w:t xml:space="preserve">, </w:t>
      </w:r>
      <w:r w:rsidR="00AB52BF" w:rsidRPr="005F1FF6">
        <w:rPr>
          <w:rStyle w:val="eop"/>
          <w:rFonts w:ascii="Times New Roman" w:hAnsi="Times New Roman" w:cs="Times New Roman"/>
          <w:noProof/>
          <w:color w:val="000000" w:themeColor="text1"/>
          <w:sz w:val="24"/>
          <w:szCs w:val="24"/>
        </w:rPr>
        <w:t>measure</w:t>
      </w:r>
      <w:r w:rsidRPr="005F1FF6">
        <w:rPr>
          <w:rStyle w:val="eop"/>
          <w:rFonts w:ascii="Times New Roman" w:hAnsi="Times New Roman" w:cs="Times New Roman"/>
          <w:noProof/>
          <w:color w:val="000000" w:themeColor="text1"/>
          <w:sz w:val="24"/>
          <w:szCs w:val="24"/>
        </w:rPr>
        <w:t xml:space="preserve">s </w:t>
      </w:r>
      <w:r w:rsidR="00027360" w:rsidRPr="005F1FF6">
        <w:rPr>
          <w:rStyle w:val="eop"/>
          <w:rFonts w:ascii="Times New Roman" w:hAnsi="Times New Roman" w:cs="Times New Roman"/>
          <w:noProof/>
          <w:color w:val="000000" w:themeColor="text1"/>
          <w:sz w:val="24"/>
          <w:szCs w:val="24"/>
        </w:rPr>
        <w:t xml:space="preserve">supported under </w:t>
      </w:r>
      <w:r w:rsidR="00582404" w:rsidRPr="005F1FF6">
        <w:rPr>
          <w:rStyle w:val="eop"/>
          <w:rFonts w:ascii="Times New Roman" w:hAnsi="Times New Roman" w:cs="Times New Roman"/>
          <w:noProof/>
          <w:color w:val="000000" w:themeColor="text1"/>
          <w:sz w:val="24"/>
          <w:szCs w:val="24"/>
        </w:rPr>
        <w:t xml:space="preserve">the </w:t>
      </w:r>
      <w:r w:rsidR="00027360" w:rsidRPr="005F1FF6">
        <w:rPr>
          <w:rStyle w:val="eop"/>
          <w:rFonts w:ascii="Times New Roman" w:hAnsi="Times New Roman" w:cs="Times New Roman"/>
          <w:noProof/>
          <w:color w:val="000000" w:themeColor="text1"/>
          <w:sz w:val="24"/>
          <w:szCs w:val="24"/>
        </w:rPr>
        <w:t xml:space="preserve">programme </w:t>
      </w:r>
      <w:r w:rsidR="00AF2646" w:rsidRPr="005F1FF6">
        <w:rPr>
          <w:rStyle w:val="eop"/>
          <w:rFonts w:ascii="Times New Roman" w:hAnsi="Times New Roman" w:cs="Times New Roman"/>
          <w:noProof/>
          <w:color w:val="000000" w:themeColor="text1"/>
          <w:sz w:val="24"/>
          <w:szCs w:val="24"/>
        </w:rPr>
        <w:t xml:space="preserve">do </w:t>
      </w:r>
      <w:r w:rsidRPr="005F1FF6">
        <w:rPr>
          <w:rStyle w:val="eop"/>
          <w:rFonts w:ascii="Times New Roman" w:hAnsi="Times New Roman" w:cs="Times New Roman"/>
          <w:noProof/>
          <w:color w:val="000000" w:themeColor="text1"/>
          <w:sz w:val="24"/>
          <w:szCs w:val="24"/>
        </w:rPr>
        <w:t>respect gender equality principles and take the gender dimension into account</w:t>
      </w:r>
      <w:r w:rsidR="00491D85" w:rsidRPr="005F1FF6">
        <w:rPr>
          <w:rStyle w:val="eop"/>
          <w:rFonts w:ascii="Times New Roman" w:hAnsi="Times New Roman" w:cs="Times New Roman"/>
          <w:noProof/>
          <w:color w:val="000000" w:themeColor="text1"/>
          <w:sz w:val="24"/>
          <w:szCs w:val="24"/>
        </w:rPr>
        <w:t>.</w:t>
      </w:r>
      <w:r w:rsidR="009B7896" w:rsidRPr="005F1FF6">
        <w:rPr>
          <w:rStyle w:val="eop"/>
          <w:rFonts w:ascii="Times New Roman" w:hAnsi="Times New Roman" w:cs="Times New Roman"/>
          <w:noProof/>
          <w:color w:val="000000" w:themeColor="text1"/>
          <w:sz w:val="24"/>
          <w:szCs w:val="24"/>
        </w:rPr>
        <w:t xml:space="preserve"> </w:t>
      </w:r>
      <w:r w:rsidR="005A3D31" w:rsidRPr="005F1FF6">
        <w:rPr>
          <w:rStyle w:val="eop"/>
          <w:rFonts w:ascii="Times New Roman" w:hAnsi="Times New Roman" w:cs="Times New Roman"/>
          <w:noProof/>
          <w:color w:val="000000" w:themeColor="text1"/>
          <w:sz w:val="24"/>
          <w:szCs w:val="24"/>
        </w:rPr>
        <w:t>The</w:t>
      </w:r>
      <w:r w:rsidR="008C10D7" w:rsidRPr="005F1FF6">
        <w:rPr>
          <w:rStyle w:val="eop"/>
          <w:rFonts w:ascii="Times New Roman" w:hAnsi="Times New Roman" w:cs="Times New Roman"/>
          <w:noProof/>
          <w:color w:val="000000" w:themeColor="text1"/>
          <w:sz w:val="24"/>
          <w:szCs w:val="24"/>
        </w:rPr>
        <w:t xml:space="preserve"> ESTEAM project mentioned in point 2.4 above aims to </w:t>
      </w:r>
      <w:r w:rsidR="005A3D31" w:rsidRPr="005F1FF6">
        <w:rPr>
          <w:rStyle w:val="eop"/>
          <w:rFonts w:ascii="Times New Roman" w:hAnsi="Times New Roman" w:cs="Times New Roman"/>
          <w:noProof/>
          <w:color w:val="000000" w:themeColor="text1"/>
          <w:sz w:val="24"/>
          <w:szCs w:val="24"/>
        </w:rPr>
        <w:t xml:space="preserve">boost digitalisation and </w:t>
      </w:r>
      <w:r w:rsidR="00CF65ED" w:rsidRPr="005F1FF6">
        <w:rPr>
          <w:rStyle w:val="eop"/>
          <w:rFonts w:ascii="Times New Roman" w:hAnsi="Times New Roman" w:cs="Times New Roman"/>
          <w:noProof/>
          <w:color w:val="000000" w:themeColor="text1"/>
          <w:sz w:val="24"/>
          <w:szCs w:val="24"/>
        </w:rPr>
        <w:t xml:space="preserve">the </w:t>
      </w:r>
      <w:r w:rsidR="005A3D31" w:rsidRPr="005F1FF6">
        <w:rPr>
          <w:rStyle w:val="eop"/>
          <w:rFonts w:ascii="Times New Roman" w:hAnsi="Times New Roman" w:cs="Times New Roman"/>
          <w:noProof/>
          <w:color w:val="000000" w:themeColor="text1"/>
          <w:sz w:val="24"/>
          <w:szCs w:val="24"/>
        </w:rPr>
        <w:t>entrepreneurship capacities and confidence of girls and women entrepreneurs</w:t>
      </w:r>
      <w:r w:rsidR="008C10D7" w:rsidRPr="005F1FF6">
        <w:rPr>
          <w:rStyle w:val="eop"/>
          <w:rFonts w:ascii="Times New Roman" w:hAnsi="Times New Roman" w:cs="Times New Roman"/>
          <w:noProof/>
          <w:color w:val="000000" w:themeColor="text1"/>
          <w:sz w:val="24"/>
          <w:szCs w:val="24"/>
        </w:rPr>
        <w:t xml:space="preserve">. </w:t>
      </w:r>
      <w:r w:rsidR="009B7896" w:rsidRPr="005F1FF6">
        <w:rPr>
          <w:rStyle w:val="eop"/>
          <w:rFonts w:ascii="Times New Roman" w:hAnsi="Times New Roman" w:cs="Times New Roman"/>
          <w:noProof/>
          <w:color w:val="000000" w:themeColor="text1"/>
          <w:sz w:val="24"/>
          <w:szCs w:val="24"/>
        </w:rPr>
        <w:t xml:space="preserve">Some data </w:t>
      </w:r>
      <w:r w:rsidR="00582404" w:rsidRPr="005F1FF6">
        <w:rPr>
          <w:rStyle w:val="eop"/>
          <w:rFonts w:ascii="Times New Roman" w:hAnsi="Times New Roman" w:cs="Times New Roman"/>
          <w:noProof/>
          <w:color w:val="000000" w:themeColor="text1"/>
          <w:sz w:val="24"/>
          <w:szCs w:val="24"/>
        </w:rPr>
        <w:t xml:space="preserve">are </w:t>
      </w:r>
      <w:r w:rsidR="00E138A7" w:rsidRPr="005F1FF6">
        <w:rPr>
          <w:rStyle w:val="eop"/>
          <w:rFonts w:ascii="Times New Roman" w:hAnsi="Times New Roman" w:cs="Times New Roman"/>
          <w:noProof/>
          <w:color w:val="000000" w:themeColor="text1"/>
          <w:sz w:val="24"/>
          <w:szCs w:val="24"/>
        </w:rPr>
        <w:t xml:space="preserve">also </w:t>
      </w:r>
      <w:r w:rsidR="009B7896" w:rsidRPr="005F1FF6">
        <w:rPr>
          <w:rStyle w:val="eop"/>
          <w:rFonts w:ascii="Times New Roman" w:hAnsi="Times New Roman" w:cs="Times New Roman"/>
          <w:noProof/>
          <w:color w:val="000000" w:themeColor="text1"/>
          <w:sz w:val="24"/>
          <w:szCs w:val="24"/>
        </w:rPr>
        <w:t xml:space="preserve">available on </w:t>
      </w:r>
      <w:r w:rsidR="005A3D31" w:rsidRPr="005F1FF6">
        <w:rPr>
          <w:rStyle w:val="eop"/>
          <w:rFonts w:ascii="Times New Roman" w:hAnsi="Times New Roman" w:cs="Times New Roman"/>
          <w:noProof/>
          <w:color w:val="000000" w:themeColor="text1"/>
          <w:sz w:val="24"/>
          <w:szCs w:val="24"/>
        </w:rPr>
        <w:t>female beneficiaries of financial instruments and</w:t>
      </w:r>
      <w:r w:rsidR="009B7896" w:rsidRPr="005F1FF6">
        <w:rPr>
          <w:rStyle w:val="eop"/>
          <w:rFonts w:ascii="Times New Roman" w:hAnsi="Times New Roman" w:cs="Times New Roman"/>
          <w:noProof/>
          <w:color w:val="000000" w:themeColor="text1"/>
          <w:sz w:val="24"/>
          <w:szCs w:val="24"/>
        </w:rPr>
        <w:t xml:space="preserve"> female </w:t>
      </w:r>
      <w:r w:rsidR="005A3D31" w:rsidRPr="005F1FF6">
        <w:rPr>
          <w:rStyle w:val="eop"/>
          <w:rFonts w:ascii="Times New Roman" w:hAnsi="Times New Roman" w:cs="Times New Roman"/>
          <w:noProof/>
          <w:color w:val="000000" w:themeColor="text1"/>
          <w:sz w:val="24"/>
          <w:szCs w:val="24"/>
        </w:rPr>
        <w:t xml:space="preserve">project </w:t>
      </w:r>
      <w:r w:rsidR="009B7896" w:rsidRPr="005F1FF6">
        <w:rPr>
          <w:rStyle w:val="eop"/>
          <w:rFonts w:ascii="Times New Roman" w:hAnsi="Times New Roman" w:cs="Times New Roman"/>
          <w:noProof/>
          <w:color w:val="000000" w:themeColor="text1"/>
          <w:sz w:val="24"/>
          <w:szCs w:val="24"/>
        </w:rPr>
        <w:t>coordinators</w:t>
      </w:r>
      <w:r w:rsidR="005A3D31" w:rsidRPr="005F1FF6">
        <w:rPr>
          <w:rStyle w:val="eop"/>
          <w:rFonts w:ascii="Times New Roman" w:hAnsi="Times New Roman" w:cs="Times New Roman"/>
          <w:noProof/>
          <w:color w:val="000000" w:themeColor="text1"/>
          <w:sz w:val="24"/>
          <w:szCs w:val="24"/>
        </w:rPr>
        <w:t>.</w:t>
      </w:r>
    </w:p>
    <w:p w14:paraId="4EC5D0CC" w14:textId="298F5521" w:rsidR="00660BB3" w:rsidRPr="005F1FF6" w:rsidRDefault="00660BB3" w:rsidP="005F1FF6">
      <w:pPr>
        <w:pStyle w:val="Heading1"/>
        <w:spacing w:line="240" w:lineRule="auto"/>
        <w:jc w:val="both"/>
        <w:rPr>
          <w:noProof/>
        </w:rPr>
      </w:pPr>
      <w:bookmarkStart w:id="38" w:name="_Toc146623401"/>
      <w:r w:rsidRPr="005F1FF6">
        <w:rPr>
          <w:noProof/>
        </w:rPr>
        <w:t>Conclusion</w:t>
      </w:r>
      <w:r w:rsidR="00861092" w:rsidRPr="005F1FF6">
        <w:rPr>
          <w:noProof/>
        </w:rPr>
        <w:t>s</w:t>
      </w:r>
      <w:bookmarkEnd w:id="38"/>
    </w:p>
    <w:p w14:paraId="41082AAA" w14:textId="77777777" w:rsidR="00CE1105" w:rsidRPr="005F1FF6" w:rsidRDefault="00932684" w:rsidP="005F1FF6">
      <w:pPr>
        <w:spacing w:before="120" w:line="240" w:lineRule="auto"/>
        <w:jc w:val="both"/>
        <w:rPr>
          <w:rFonts w:ascii="Times New Roman" w:hAnsi="Times New Roman" w:cs="Times New Roman"/>
          <w:noProof/>
          <w:sz w:val="24"/>
          <w:szCs w:val="24"/>
        </w:rPr>
      </w:pPr>
      <w:r w:rsidRPr="005F1FF6">
        <w:rPr>
          <w:rFonts w:ascii="Times New Roman" w:hAnsi="Times New Roman" w:cs="Times New Roman"/>
          <w:b/>
          <w:bCs/>
          <w:noProof/>
          <w:sz w:val="24"/>
          <w:szCs w:val="24"/>
        </w:rPr>
        <w:t>T</w:t>
      </w:r>
      <w:r w:rsidR="00830EF5" w:rsidRPr="005F1FF6">
        <w:rPr>
          <w:rFonts w:ascii="Times New Roman" w:hAnsi="Times New Roman" w:cs="Times New Roman"/>
          <w:b/>
          <w:bCs/>
          <w:noProof/>
          <w:sz w:val="24"/>
          <w:szCs w:val="24"/>
        </w:rPr>
        <w:t>he execution rate</w:t>
      </w:r>
      <w:r w:rsidRPr="005F1FF6">
        <w:rPr>
          <w:rFonts w:ascii="Times New Roman" w:hAnsi="Times New Roman" w:cs="Times New Roman"/>
          <w:b/>
          <w:bCs/>
          <w:noProof/>
          <w:sz w:val="24"/>
          <w:szCs w:val="24"/>
        </w:rPr>
        <w:t>s</w:t>
      </w:r>
      <w:r w:rsidR="00830EF5" w:rsidRPr="005F1FF6">
        <w:rPr>
          <w:rFonts w:ascii="Times New Roman" w:hAnsi="Times New Roman" w:cs="Times New Roman"/>
          <w:b/>
          <w:bCs/>
          <w:noProof/>
          <w:sz w:val="24"/>
          <w:szCs w:val="24"/>
        </w:rPr>
        <w:t xml:space="preserve"> </w:t>
      </w:r>
      <w:r w:rsidRPr="005F1FF6">
        <w:rPr>
          <w:rFonts w:ascii="Times New Roman" w:hAnsi="Times New Roman" w:cs="Times New Roman"/>
          <w:b/>
          <w:bCs/>
          <w:noProof/>
          <w:sz w:val="24"/>
          <w:szCs w:val="24"/>
        </w:rPr>
        <w:t xml:space="preserve">of operational budget </w:t>
      </w:r>
      <w:r w:rsidR="00830EF5" w:rsidRPr="005F1FF6">
        <w:rPr>
          <w:rFonts w:ascii="Times New Roman" w:hAnsi="Times New Roman" w:cs="Times New Roman"/>
          <w:b/>
          <w:bCs/>
          <w:noProof/>
          <w:sz w:val="24"/>
          <w:szCs w:val="24"/>
        </w:rPr>
        <w:t xml:space="preserve">for </w:t>
      </w:r>
      <w:r w:rsidRPr="005F1FF6">
        <w:rPr>
          <w:rFonts w:ascii="Times New Roman" w:hAnsi="Times New Roman" w:cs="Times New Roman"/>
          <w:b/>
          <w:bCs/>
          <w:noProof/>
          <w:sz w:val="24"/>
          <w:szCs w:val="24"/>
        </w:rPr>
        <w:t xml:space="preserve">both commitments and </w:t>
      </w:r>
      <w:r w:rsidR="00830EF5" w:rsidRPr="005F1FF6">
        <w:rPr>
          <w:rFonts w:ascii="Times New Roman" w:hAnsi="Times New Roman" w:cs="Times New Roman"/>
          <w:b/>
          <w:bCs/>
          <w:noProof/>
          <w:sz w:val="24"/>
          <w:szCs w:val="24"/>
        </w:rPr>
        <w:t xml:space="preserve">payments was </w:t>
      </w:r>
      <w:r w:rsidR="00CE1105" w:rsidRPr="005F1FF6">
        <w:rPr>
          <w:rFonts w:ascii="Times New Roman" w:hAnsi="Times New Roman" w:cs="Times New Roman"/>
          <w:b/>
          <w:bCs/>
          <w:noProof/>
          <w:sz w:val="24"/>
          <w:szCs w:val="24"/>
        </w:rPr>
        <w:t xml:space="preserve">99%. </w:t>
      </w:r>
      <w:r w:rsidR="00CE1105" w:rsidRPr="005F1FF6">
        <w:rPr>
          <w:rFonts w:ascii="Times New Roman" w:hAnsi="Times New Roman" w:cs="Times New Roman"/>
          <w:noProof/>
          <w:sz w:val="24"/>
          <w:szCs w:val="24"/>
        </w:rPr>
        <w:t>This continues the high execution rate of commitments and reflects an improvement in operational payments execution compared to the previous year.</w:t>
      </w:r>
    </w:p>
    <w:p w14:paraId="53B1B61B" w14:textId="62B4A62E" w:rsidR="00B50B74" w:rsidRPr="005F1FF6" w:rsidRDefault="0012614A" w:rsidP="005F1FF6">
      <w:pPr>
        <w:spacing w:before="120" w:after="60" w:line="240" w:lineRule="auto"/>
        <w:jc w:val="both"/>
        <w:rPr>
          <w:rFonts w:ascii="Times New Roman" w:hAnsi="Times New Roman" w:cs="Times New Roman"/>
          <w:bCs/>
          <w:noProof/>
          <w:color w:val="000000" w:themeColor="text1"/>
          <w:sz w:val="24"/>
          <w:szCs w:val="24"/>
          <w:lang w:eastAsia="fr-FR"/>
        </w:rPr>
      </w:pPr>
      <w:r w:rsidRPr="005F1FF6">
        <w:rPr>
          <w:rFonts w:ascii="Times New Roman" w:hAnsi="Times New Roman" w:cs="Times New Roman"/>
          <w:noProof/>
          <w:sz w:val="24"/>
          <w:szCs w:val="24"/>
        </w:rPr>
        <w:t xml:space="preserve">Access to finance was a key </w:t>
      </w:r>
      <w:r w:rsidR="00AB52BF" w:rsidRPr="005F1FF6">
        <w:rPr>
          <w:rFonts w:ascii="Times New Roman" w:hAnsi="Times New Roman" w:cs="Times New Roman"/>
          <w:noProof/>
          <w:sz w:val="24"/>
          <w:szCs w:val="24"/>
        </w:rPr>
        <w:t>objective</w:t>
      </w:r>
      <w:r w:rsidR="00C8439D" w:rsidRPr="005F1FF6">
        <w:rPr>
          <w:rFonts w:ascii="Times New Roman" w:hAnsi="Times New Roman" w:cs="Times New Roman"/>
          <w:noProof/>
          <w:sz w:val="24"/>
          <w:szCs w:val="24"/>
        </w:rPr>
        <w:t>, implementing 66% of executed budget</w:t>
      </w:r>
      <w:r w:rsidRPr="005F1FF6">
        <w:rPr>
          <w:rFonts w:ascii="Times New Roman" w:hAnsi="Times New Roman" w:cs="Times New Roman"/>
          <w:noProof/>
          <w:sz w:val="24"/>
          <w:szCs w:val="24"/>
        </w:rPr>
        <w:t>.</w:t>
      </w:r>
      <w:r w:rsidRPr="005F1FF6">
        <w:rPr>
          <w:rFonts w:ascii="Times New Roman" w:eastAsia="Times New Roman" w:hAnsi="Times New Roman" w:cs="Times New Roman"/>
          <w:bCs/>
          <w:noProof/>
          <w:sz w:val="24"/>
          <w:szCs w:val="24"/>
          <w:lang w:eastAsia="fr-FR"/>
        </w:rPr>
        <w:t xml:space="preserve"> In 20</w:t>
      </w:r>
      <w:r w:rsidR="00B8409B" w:rsidRPr="005F1FF6">
        <w:rPr>
          <w:rFonts w:ascii="Times New Roman" w:eastAsia="Times New Roman" w:hAnsi="Times New Roman" w:cs="Times New Roman"/>
          <w:bCs/>
          <w:noProof/>
          <w:sz w:val="24"/>
          <w:szCs w:val="24"/>
          <w:lang w:eastAsia="fr-FR"/>
        </w:rPr>
        <w:t>20</w:t>
      </w:r>
      <w:r w:rsidRPr="005F1FF6">
        <w:rPr>
          <w:rFonts w:ascii="Times New Roman" w:eastAsia="Times New Roman" w:hAnsi="Times New Roman" w:cs="Times New Roman"/>
          <w:bCs/>
          <w:noProof/>
          <w:sz w:val="24"/>
          <w:szCs w:val="24"/>
          <w:lang w:eastAsia="fr-FR"/>
        </w:rPr>
        <w:t>, the COSME Loan Guarantee Facility (LGF)</w:t>
      </w:r>
      <w:r w:rsidR="0056479B" w:rsidRPr="005F1FF6">
        <w:rPr>
          <w:rFonts w:ascii="Times New Roman" w:eastAsia="Times New Roman" w:hAnsi="Times New Roman" w:cs="Times New Roman"/>
          <w:bCs/>
          <w:noProof/>
          <w:sz w:val="24"/>
          <w:szCs w:val="24"/>
          <w:lang w:eastAsia="fr-FR"/>
        </w:rPr>
        <w:t xml:space="preserve"> allowed</w:t>
      </w:r>
      <w:r w:rsidRPr="005F1FF6">
        <w:rPr>
          <w:rFonts w:ascii="Times New Roman" w:eastAsia="Times New Roman" w:hAnsi="Times New Roman" w:cs="Times New Roman"/>
          <w:bCs/>
          <w:noProof/>
          <w:sz w:val="24"/>
          <w:szCs w:val="24"/>
          <w:lang w:eastAsia="fr-FR"/>
        </w:rPr>
        <w:t xml:space="preserve"> financial intermediaries to </w:t>
      </w:r>
      <w:r w:rsidR="0056479B" w:rsidRPr="005F1FF6">
        <w:rPr>
          <w:rFonts w:ascii="Times New Roman" w:eastAsia="Times New Roman" w:hAnsi="Times New Roman" w:cs="Times New Roman"/>
          <w:bCs/>
          <w:noProof/>
          <w:sz w:val="24"/>
          <w:szCs w:val="24"/>
          <w:lang w:eastAsia="fr-FR"/>
        </w:rPr>
        <w:t xml:space="preserve">continue </w:t>
      </w:r>
      <w:r w:rsidRPr="005F1FF6">
        <w:rPr>
          <w:rFonts w:ascii="Times New Roman" w:eastAsia="Times New Roman" w:hAnsi="Times New Roman" w:cs="Times New Roman"/>
          <w:bCs/>
          <w:noProof/>
          <w:sz w:val="24"/>
          <w:szCs w:val="24"/>
          <w:lang w:eastAsia="fr-FR"/>
        </w:rPr>
        <w:t>provid</w:t>
      </w:r>
      <w:r w:rsidR="0056479B" w:rsidRPr="005F1FF6">
        <w:rPr>
          <w:rFonts w:ascii="Times New Roman" w:eastAsia="Times New Roman" w:hAnsi="Times New Roman" w:cs="Times New Roman"/>
          <w:bCs/>
          <w:noProof/>
          <w:sz w:val="24"/>
          <w:szCs w:val="24"/>
          <w:lang w:eastAsia="fr-FR"/>
        </w:rPr>
        <w:t>ing</w:t>
      </w:r>
      <w:r w:rsidRPr="005F1FF6">
        <w:rPr>
          <w:rFonts w:ascii="Times New Roman" w:eastAsia="Times New Roman" w:hAnsi="Times New Roman" w:cs="Times New Roman"/>
          <w:bCs/>
          <w:noProof/>
          <w:sz w:val="24"/>
          <w:szCs w:val="24"/>
          <w:lang w:eastAsia="fr-FR"/>
        </w:rPr>
        <w:t xml:space="preserve"> financial support to</w:t>
      </w:r>
      <w:r w:rsidR="00452BDC" w:rsidRPr="005F1FF6">
        <w:rPr>
          <w:rFonts w:ascii="Times New Roman" w:eastAsia="Times New Roman" w:hAnsi="Times New Roman" w:cs="Times New Roman"/>
          <w:bCs/>
          <w:noProof/>
          <w:sz w:val="24"/>
          <w:szCs w:val="24"/>
          <w:lang w:eastAsia="fr-FR"/>
        </w:rPr>
        <w:t xml:space="preserve"> SMEs perceived to be</w:t>
      </w:r>
      <w:r w:rsidRPr="005F1FF6">
        <w:rPr>
          <w:rFonts w:ascii="Times New Roman" w:eastAsia="Times New Roman" w:hAnsi="Times New Roman" w:cs="Times New Roman"/>
          <w:bCs/>
          <w:noProof/>
          <w:sz w:val="24"/>
          <w:szCs w:val="24"/>
          <w:lang w:eastAsia="fr-FR"/>
        </w:rPr>
        <w:t xml:space="preserve"> riskier </w:t>
      </w:r>
      <w:r w:rsidR="00C32D53" w:rsidRPr="005F1FF6">
        <w:rPr>
          <w:rFonts w:ascii="Times New Roman" w:eastAsia="Times New Roman" w:hAnsi="Times New Roman" w:cs="Times New Roman"/>
          <w:bCs/>
          <w:noProof/>
          <w:sz w:val="24"/>
          <w:szCs w:val="24"/>
          <w:lang w:eastAsia="fr-FR"/>
        </w:rPr>
        <w:t xml:space="preserve">and </w:t>
      </w:r>
      <w:r w:rsidRPr="005F1FF6">
        <w:rPr>
          <w:rFonts w:ascii="Times New Roman" w:eastAsia="Times New Roman" w:hAnsi="Times New Roman" w:cs="Times New Roman"/>
          <w:bCs/>
          <w:noProof/>
          <w:color w:val="000000" w:themeColor="text1"/>
          <w:sz w:val="24"/>
          <w:szCs w:val="24"/>
          <w:lang w:eastAsia="fr-FR"/>
        </w:rPr>
        <w:t>f</w:t>
      </w:r>
      <w:r w:rsidR="00582404" w:rsidRPr="005F1FF6">
        <w:rPr>
          <w:rFonts w:ascii="Times New Roman" w:eastAsia="Times New Roman" w:hAnsi="Times New Roman" w:cs="Times New Roman"/>
          <w:bCs/>
          <w:noProof/>
          <w:color w:val="000000" w:themeColor="text1"/>
          <w:sz w:val="24"/>
          <w:szCs w:val="24"/>
          <w:lang w:eastAsia="fr-FR"/>
        </w:rPr>
        <w:t>i</w:t>
      </w:r>
      <w:r w:rsidR="00452BDC" w:rsidRPr="005F1FF6">
        <w:rPr>
          <w:rFonts w:ascii="Times New Roman" w:eastAsia="Times New Roman" w:hAnsi="Times New Roman" w:cs="Times New Roman"/>
          <w:bCs/>
          <w:noProof/>
          <w:color w:val="000000" w:themeColor="text1"/>
          <w:sz w:val="24"/>
          <w:szCs w:val="24"/>
          <w:lang w:eastAsia="fr-FR"/>
        </w:rPr>
        <w:t>nd</w:t>
      </w:r>
      <w:r w:rsidR="00582404" w:rsidRPr="005F1FF6">
        <w:rPr>
          <w:rFonts w:ascii="Times New Roman" w:eastAsia="Times New Roman" w:hAnsi="Times New Roman" w:cs="Times New Roman"/>
          <w:bCs/>
          <w:noProof/>
          <w:color w:val="000000" w:themeColor="text1"/>
          <w:sz w:val="24"/>
          <w:szCs w:val="24"/>
          <w:lang w:eastAsia="fr-FR"/>
        </w:rPr>
        <w:t>ing</w:t>
      </w:r>
      <w:r w:rsidR="00452BDC" w:rsidRPr="005F1FF6">
        <w:rPr>
          <w:rFonts w:ascii="Times New Roman" w:eastAsia="Times New Roman" w:hAnsi="Times New Roman" w:cs="Times New Roman"/>
          <w:bCs/>
          <w:noProof/>
          <w:color w:val="000000" w:themeColor="text1"/>
          <w:sz w:val="24"/>
          <w:szCs w:val="24"/>
          <w:lang w:eastAsia="fr-FR"/>
        </w:rPr>
        <w:t xml:space="preserve"> it difficult to</w:t>
      </w:r>
      <w:r w:rsidR="0056479B" w:rsidRPr="005F1FF6">
        <w:rPr>
          <w:rFonts w:ascii="Times New Roman" w:eastAsia="Times New Roman" w:hAnsi="Times New Roman" w:cs="Times New Roman"/>
          <w:bCs/>
          <w:noProof/>
          <w:color w:val="000000" w:themeColor="text1"/>
          <w:sz w:val="24"/>
          <w:szCs w:val="24"/>
          <w:lang w:eastAsia="fr-FR"/>
        </w:rPr>
        <w:t xml:space="preserve"> </w:t>
      </w:r>
      <w:r w:rsidRPr="005F1FF6">
        <w:rPr>
          <w:rFonts w:ascii="Times New Roman" w:eastAsia="Times New Roman" w:hAnsi="Times New Roman" w:cs="Times New Roman"/>
          <w:bCs/>
          <w:noProof/>
          <w:color w:val="000000" w:themeColor="text1"/>
          <w:sz w:val="24"/>
          <w:szCs w:val="24"/>
          <w:lang w:eastAsia="fr-FR"/>
        </w:rPr>
        <w:t>obtain debt financing. Overall, it is expected that the COSME LGF will generate more than EUR</w:t>
      </w:r>
      <w:r w:rsidR="00FE2948" w:rsidRPr="005F1FF6">
        <w:rPr>
          <w:rFonts w:ascii="Times New Roman" w:eastAsia="Times New Roman" w:hAnsi="Times New Roman" w:cs="Times New Roman"/>
          <w:bCs/>
          <w:noProof/>
          <w:color w:val="000000" w:themeColor="text1"/>
          <w:sz w:val="24"/>
          <w:szCs w:val="24"/>
          <w:lang w:eastAsia="fr-FR"/>
        </w:rPr>
        <w:t> </w:t>
      </w:r>
      <w:r w:rsidR="00CA6980" w:rsidRPr="005F1FF6">
        <w:rPr>
          <w:rFonts w:ascii="Times New Roman" w:eastAsia="Times New Roman" w:hAnsi="Times New Roman" w:cs="Times New Roman"/>
          <w:bCs/>
          <w:noProof/>
          <w:color w:val="000000" w:themeColor="text1"/>
          <w:sz w:val="24"/>
          <w:szCs w:val="24"/>
          <w:lang w:eastAsia="fr-FR"/>
        </w:rPr>
        <w:t xml:space="preserve">67 </w:t>
      </w:r>
      <w:r w:rsidRPr="005F1FF6">
        <w:rPr>
          <w:rFonts w:ascii="Times New Roman" w:eastAsia="Times New Roman" w:hAnsi="Times New Roman" w:cs="Times New Roman"/>
          <w:bCs/>
          <w:noProof/>
          <w:color w:val="000000" w:themeColor="text1"/>
          <w:sz w:val="24"/>
          <w:szCs w:val="24"/>
          <w:lang w:eastAsia="fr-FR"/>
        </w:rPr>
        <w:t xml:space="preserve">billion </w:t>
      </w:r>
      <w:r w:rsidR="00582404" w:rsidRPr="005F1FF6">
        <w:rPr>
          <w:rFonts w:ascii="Times New Roman" w:eastAsia="Times New Roman" w:hAnsi="Times New Roman" w:cs="Times New Roman"/>
          <w:bCs/>
          <w:noProof/>
          <w:color w:val="000000" w:themeColor="text1"/>
          <w:sz w:val="24"/>
          <w:szCs w:val="24"/>
          <w:lang w:eastAsia="fr-FR"/>
        </w:rPr>
        <w:t xml:space="preserve">in </w:t>
      </w:r>
      <w:r w:rsidR="00CA6980" w:rsidRPr="005F1FF6">
        <w:rPr>
          <w:rFonts w:ascii="Times New Roman" w:eastAsia="Times New Roman" w:hAnsi="Times New Roman" w:cs="Times New Roman"/>
          <w:bCs/>
          <w:noProof/>
          <w:color w:val="000000" w:themeColor="text1"/>
          <w:sz w:val="24"/>
          <w:szCs w:val="24"/>
          <w:lang w:eastAsia="fr-FR"/>
        </w:rPr>
        <w:t xml:space="preserve">financing over the </w:t>
      </w:r>
      <w:r w:rsidR="00582404" w:rsidRPr="005F1FF6">
        <w:rPr>
          <w:rFonts w:ascii="Times New Roman" w:eastAsia="Times New Roman" w:hAnsi="Times New Roman" w:cs="Times New Roman"/>
          <w:bCs/>
          <w:noProof/>
          <w:color w:val="000000" w:themeColor="text1"/>
          <w:sz w:val="24"/>
          <w:szCs w:val="24"/>
          <w:lang w:eastAsia="fr-FR"/>
        </w:rPr>
        <w:t xml:space="preserve">programme’s </w:t>
      </w:r>
      <w:r w:rsidR="00CA6980" w:rsidRPr="005F1FF6">
        <w:rPr>
          <w:rFonts w:ascii="Times New Roman" w:eastAsia="Times New Roman" w:hAnsi="Times New Roman" w:cs="Times New Roman"/>
          <w:bCs/>
          <w:noProof/>
          <w:color w:val="000000" w:themeColor="text1"/>
          <w:sz w:val="24"/>
          <w:szCs w:val="24"/>
          <w:lang w:eastAsia="fr-FR"/>
        </w:rPr>
        <w:t>lifetime.</w:t>
      </w:r>
      <w:r w:rsidR="00CB1BE3" w:rsidRPr="005F1FF6">
        <w:rPr>
          <w:rFonts w:ascii="Times New Roman" w:eastAsia="Times New Roman" w:hAnsi="Times New Roman" w:cs="Times New Roman"/>
          <w:bCs/>
          <w:noProof/>
          <w:color w:val="000000" w:themeColor="text1"/>
          <w:sz w:val="24"/>
          <w:szCs w:val="24"/>
          <w:lang w:eastAsia="fr-FR"/>
        </w:rPr>
        <w:t xml:space="preserve"> </w:t>
      </w:r>
      <w:r w:rsidR="00CA6980" w:rsidRPr="005F1FF6">
        <w:rPr>
          <w:rFonts w:ascii="Times New Roman" w:eastAsia="Times New Roman" w:hAnsi="Times New Roman" w:cs="Times New Roman"/>
          <w:bCs/>
          <w:noProof/>
          <w:color w:val="000000" w:themeColor="text1"/>
          <w:sz w:val="24"/>
          <w:szCs w:val="24"/>
          <w:lang w:eastAsia="fr-FR"/>
        </w:rPr>
        <w:t xml:space="preserve">For </w:t>
      </w:r>
      <w:r w:rsidR="00B50B74" w:rsidRPr="005F1FF6">
        <w:rPr>
          <w:rFonts w:ascii="Times New Roman" w:eastAsia="Times New Roman" w:hAnsi="Times New Roman" w:cs="Times New Roman"/>
          <w:bCs/>
          <w:noProof/>
          <w:color w:val="000000" w:themeColor="text1"/>
          <w:sz w:val="24"/>
          <w:szCs w:val="24"/>
          <w:lang w:eastAsia="fr-FR"/>
        </w:rPr>
        <w:t>the COSME Equity Facility for Growth (EFG)</w:t>
      </w:r>
      <w:r w:rsidR="00CA6980" w:rsidRPr="005F1FF6">
        <w:rPr>
          <w:rFonts w:ascii="Times New Roman" w:eastAsia="Times New Roman" w:hAnsi="Times New Roman" w:cs="Times New Roman"/>
          <w:bCs/>
          <w:noProof/>
          <w:color w:val="000000" w:themeColor="text1"/>
          <w:sz w:val="24"/>
          <w:szCs w:val="24"/>
          <w:lang w:eastAsia="fr-FR"/>
        </w:rPr>
        <w:t>, t</w:t>
      </w:r>
      <w:r w:rsidR="00B50B74" w:rsidRPr="005F1FF6">
        <w:rPr>
          <w:rFonts w:ascii="Times New Roman" w:eastAsia="Times New Roman" w:hAnsi="Times New Roman" w:cs="Times New Roman"/>
          <w:bCs/>
          <w:noProof/>
          <w:color w:val="000000" w:themeColor="text1"/>
          <w:sz w:val="24"/>
          <w:szCs w:val="24"/>
          <w:lang w:eastAsia="fr-FR"/>
        </w:rPr>
        <w:t xml:space="preserve">he figures for investment in growth and expansion stage SMEs were on track to meet the original long-term targets. </w:t>
      </w:r>
      <w:r w:rsidR="00582404" w:rsidRPr="005F1FF6">
        <w:rPr>
          <w:rFonts w:ascii="Times New Roman" w:hAnsi="Times New Roman" w:cs="Times New Roman"/>
          <w:bCs/>
          <w:noProof/>
          <w:color w:val="000000" w:themeColor="text1"/>
          <w:sz w:val="24"/>
          <w:szCs w:val="24"/>
          <w:lang w:eastAsia="fr-FR"/>
        </w:rPr>
        <w:t>I</w:t>
      </w:r>
      <w:r w:rsidR="00B50B74" w:rsidRPr="005F1FF6">
        <w:rPr>
          <w:rFonts w:ascii="Times New Roman" w:hAnsi="Times New Roman" w:cs="Times New Roman"/>
          <w:bCs/>
          <w:noProof/>
          <w:color w:val="000000" w:themeColor="text1"/>
          <w:sz w:val="24"/>
          <w:szCs w:val="24"/>
          <w:lang w:eastAsia="fr-FR"/>
        </w:rPr>
        <w:t xml:space="preserve">mplementation of the targets took account of the specific challenges </w:t>
      </w:r>
      <w:r w:rsidR="00582404" w:rsidRPr="005F1FF6">
        <w:rPr>
          <w:rFonts w:ascii="Times New Roman" w:hAnsi="Times New Roman" w:cs="Times New Roman"/>
          <w:bCs/>
          <w:noProof/>
          <w:color w:val="000000" w:themeColor="text1"/>
          <w:sz w:val="24"/>
          <w:szCs w:val="24"/>
          <w:lang w:eastAsia="fr-FR"/>
        </w:rPr>
        <w:t xml:space="preserve">involved in </w:t>
      </w:r>
      <w:r w:rsidR="00642E09" w:rsidRPr="005F1FF6">
        <w:rPr>
          <w:rFonts w:ascii="Times New Roman" w:hAnsi="Times New Roman" w:cs="Times New Roman"/>
          <w:bCs/>
          <w:noProof/>
          <w:color w:val="000000" w:themeColor="text1"/>
          <w:sz w:val="24"/>
          <w:szCs w:val="24"/>
          <w:lang w:eastAsia="fr-FR"/>
        </w:rPr>
        <w:t>running</w:t>
      </w:r>
      <w:r w:rsidR="00B50B74" w:rsidRPr="005F1FF6">
        <w:rPr>
          <w:rFonts w:ascii="Times New Roman" w:hAnsi="Times New Roman" w:cs="Times New Roman"/>
          <w:bCs/>
          <w:noProof/>
          <w:color w:val="000000" w:themeColor="text1"/>
          <w:sz w:val="24"/>
          <w:szCs w:val="24"/>
          <w:lang w:eastAsia="fr-FR"/>
        </w:rPr>
        <w:t xml:space="preserve"> </w:t>
      </w:r>
      <w:r w:rsidR="00B529E2" w:rsidRPr="005F1FF6">
        <w:rPr>
          <w:rFonts w:ascii="Times New Roman" w:hAnsi="Times New Roman" w:cs="Times New Roman"/>
          <w:bCs/>
          <w:noProof/>
          <w:color w:val="000000" w:themeColor="text1"/>
          <w:sz w:val="24"/>
          <w:szCs w:val="24"/>
          <w:lang w:eastAsia="fr-FR"/>
        </w:rPr>
        <w:t>this facility.</w:t>
      </w:r>
    </w:p>
    <w:p w14:paraId="41A5F0F2" w14:textId="51BEC7C8" w:rsidR="00555A37" w:rsidRPr="005F1FF6" w:rsidRDefault="00555A37" w:rsidP="005F1FF6">
      <w:pPr>
        <w:spacing w:before="120" w:after="0" w:line="240" w:lineRule="auto"/>
        <w:jc w:val="both"/>
        <w:rPr>
          <w:rFonts w:ascii="Times New Roman" w:eastAsia="Times New Roman" w:hAnsi="Times New Roman" w:cs="Times New Roman"/>
          <w:bCs/>
          <w:noProof/>
          <w:color w:val="000000" w:themeColor="text1"/>
          <w:sz w:val="24"/>
          <w:szCs w:val="24"/>
          <w:lang w:eastAsia="fr-FR"/>
        </w:rPr>
      </w:pPr>
      <w:r w:rsidRPr="005F1FF6">
        <w:rPr>
          <w:rFonts w:ascii="Times New Roman" w:hAnsi="Times New Roman" w:cs="Times New Roman"/>
          <w:b/>
          <w:noProof/>
          <w:sz w:val="24"/>
          <w:szCs w:val="24"/>
        </w:rPr>
        <w:t>The 2020 work programme continued progress towards implementing one of the key recommendations of the programme’s mid-term evaluation</w:t>
      </w:r>
      <w:r w:rsidRPr="005F1FF6">
        <w:rPr>
          <w:rFonts w:ascii="Times New Roman" w:hAnsi="Times New Roman" w:cs="Times New Roman"/>
          <w:bCs/>
          <w:noProof/>
          <w:sz w:val="24"/>
          <w:szCs w:val="24"/>
        </w:rPr>
        <w:t>: to focus on bigger, strategic actions while keeping some flexibility to test new ideas. Flagship initiatives such as EEN, EYE, and the financial instruments accounted for 75%</w:t>
      </w:r>
      <w:r w:rsidRPr="005F1FF6">
        <w:rPr>
          <w:rFonts w:ascii="Times New Roman" w:hAnsi="Times New Roman" w:cs="Times New Roman"/>
          <w:noProof/>
          <w:sz w:val="24"/>
          <w:szCs w:val="24"/>
          <w:lang w:eastAsia="fr-FR"/>
        </w:rPr>
        <w:t xml:space="preserve"> </w:t>
      </w:r>
      <w:r w:rsidRPr="005F1FF6">
        <w:rPr>
          <w:rFonts w:ascii="Times New Roman" w:hAnsi="Times New Roman" w:cs="Times New Roman"/>
          <w:bCs/>
          <w:noProof/>
          <w:sz w:val="24"/>
          <w:szCs w:val="24"/>
        </w:rPr>
        <w:t xml:space="preserve">of commitments for the COSME budget in 2020.  </w:t>
      </w:r>
    </w:p>
    <w:p w14:paraId="5BA10D34" w14:textId="6579960E" w:rsidR="00566B36" w:rsidRPr="005F1FF6" w:rsidRDefault="006A06F3"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In 2021, t</w:t>
      </w:r>
      <w:r w:rsidR="008E204E" w:rsidRPr="005F1FF6">
        <w:rPr>
          <w:rFonts w:ascii="Times New Roman" w:hAnsi="Times New Roman" w:cs="Times New Roman"/>
          <w:noProof/>
          <w:sz w:val="24"/>
          <w:szCs w:val="24"/>
        </w:rPr>
        <w:t xml:space="preserve">he </w:t>
      </w:r>
      <w:r w:rsidR="0056479B" w:rsidRPr="005F1FF6">
        <w:rPr>
          <w:rFonts w:ascii="Times New Roman" w:hAnsi="Times New Roman" w:cs="Times New Roman"/>
          <w:noProof/>
          <w:sz w:val="24"/>
          <w:szCs w:val="24"/>
        </w:rPr>
        <w:t>EEN</w:t>
      </w:r>
      <w:r w:rsidR="00C32D53" w:rsidRPr="005F1FF6">
        <w:rPr>
          <w:rFonts w:ascii="Times New Roman" w:hAnsi="Times New Roman" w:cs="Times New Roman"/>
          <w:noProof/>
          <w:sz w:val="24"/>
          <w:szCs w:val="24"/>
        </w:rPr>
        <w:t xml:space="preserve"> (co-funded </w:t>
      </w:r>
      <w:r w:rsidRPr="005F1FF6">
        <w:rPr>
          <w:rFonts w:ascii="Times New Roman" w:hAnsi="Times New Roman" w:cs="Times New Roman"/>
          <w:noProof/>
          <w:sz w:val="24"/>
          <w:szCs w:val="24"/>
        </w:rPr>
        <w:t>by</w:t>
      </w:r>
      <w:r w:rsidR="00C32D53" w:rsidRPr="005F1FF6">
        <w:rPr>
          <w:rFonts w:ascii="Times New Roman" w:hAnsi="Times New Roman" w:cs="Times New Roman"/>
          <w:noProof/>
          <w:sz w:val="24"/>
          <w:szCs w:val="24"/>
        </w:rPr>
        <w:t xml:space="preserve"> 20</w:t>
      </w:r>
      <w:r w:rsidR="00B8409B" w:rsidRPr="005F1FF6">
        <w:rPr>
          <w:rFonts w:ascii="Times New Roman" w:hAnsi="Times New Roman" w:cs="Times New Roman"/>
          <w:noProof/>
          <w:sz w:val="24"/>
          <w:szCs w:val="24"/>
        </w:rPr>
        <w:t>20</w:t>
      </w:r>
      <w:r w:rsidR="00C32D53" w:rsidRPr="005F1FF6">
        <w:rPr>
          <w:rFonts w:ascii="Times New Roman" w:hAnsi="Times New Roman" w:cs="Times New Roman"/>
          <w:noProof/>
          <w:sz w:val="24"/>
          <w:szCs w:val="24"/>
        </w:rPr>
        <w:t xml:space="preserve"> budget)</w:t>
      </w:r>
      <w:r w:rsidR="001C728C" w:rsidRPr="005F1FF6">
        <w:rPr>
          <w:rFonts w:ascii="Times New Roman" w:hAnsi="Times New Roman" w:cs="Times New Roman"/>
          <w:noProof/>
          <w:sz w:val="24"/>
          <w:szCs w:val="24"/>
        </w:rPr>
        <w:t xml:space="preserve"> </w:t>
      </w:r>
      <w:r w:rsidR="00222504" w:rsidRPr="005F1FF6">
        <w:rPr>
          <w:rFonts w:ascii="Times New Roman" w:hAnsi="Times New Roman" w:cs="Times New Roman"/>
          <w:noProof/>
          <w:sz w:val="24"/>
          <w:szCs w:val="24"/>
        </w:rPr>
        <w:t>provided 37</w:t>
      </w:r>
      <w:r w:rsidR="00FE2948" w:rsidRPr="005F1FF6">
        <w:rPr>
          <w:rFonts w:ascii="Times New Roman" w:hAnsi="Times New Roman" w:cs="Times New Roman"/>
          <w:noProof/>
          <w:sz w:val="24"/>
          <w:szCs w:val="24"/>
        </w:rPr>
        <w:t> </w:t>
      </w:r>
      <w:r w:rsidR="00B529E2" w:rsidRPr="005F1FF6">
        <w:rPr>
          <w:rFonts w:ascii="Times New Roman" w:hAnsi="Times New Roman" w:cs="Times New Roman"/>
          <w:noProof/>
          <w:sz w:val="24"/>
          <w:szCs w:val="24"/>
        </w:rPr>
        <w:t>925</w:t>
      </w:r>
      <w:r w:rsidR="00222504" w:rsidRPr="005F1FF6">
        <w:rPr>
          <w:rFonts w:ascii="Times New Roman" w:hAnsi="Times New Roman" w:cs="Times New Roman"/>
          <w:noProof/>
          <w:sz w:val="24"/>
          <w:szCs w:val="24"/>
        </w:rPr>
        <w:t xml:space="preserve"> SMEs with </w:t>
      </w:r>
      <w:r w:rsidR="00E53589" w:rsidRPr="005F1FF6">
        <w:rPr>
          <w:rFonts w:ascii="Times New Roman" w:hAnsi="Times New Roman" w:cs="Times New Roman"/>
          <w:noProof/>
          <w:sz w:val="24"/>
          <w:szCs w:val="24"/>
        </w:rPr>
        <w:t xml:space="preserve">value-added </w:t>
      </w:r>
      <w:r w:rsidR="00222504" w:rsidRPr="005F1FF6">
        <w:rPr>
          <w:rFonts w:ascii="Times New Roman" w:hAnsi="Times New Roman" w:cs="Times New Roman"/>
          <w:noProof/>
          <w:sz w:val="24"/>
          <w:szCs w:val="24"/>
        </w:rPr>
        <w:t>advisory services</w:t>
      </w:r>
      <w:r w:rsidR="00222504" w:rsidRPr="005F1FF6">
        <w:rPr>
          <w:rStyle w:val="FootnoteReference"/>
          <w:rFonts w:ascii="Times New Roman" w:hAnsi="Times New Roman" w:cs="Times New Roman"/>
          <w:noProof/>
          <w:sz w:val="24"/>
          <w:szCs w:val="24"/>
        </w:rPr>
        <w:footnoteReference w:id="42"/>
      </w:r>
      <w:r w:rsidR="001C728C" w:rsidRPr="005F1FF6">
        <w:rPr>
          <w:rFonts w:ascii="Times New Roman" w:hAnsi="Times New Roman" w:cs="Times New Roman"/>
          <w:noProof/>
          <w:sz w:val="24"/>
          <w:szCs w:val="24"/>
        </w:rPr>
        <w:t xml:space="preserve"> </w:t>
      </w:r>
      <w:r w:rsidR="00E53589" w:rsidRPr="005F1FF6">
        <w:rPr>
          <w:rFonts w:ascii="Times New Roman" w:hAnsi="Times New Roman" w:cs="Times New Roman"/>
          <w:noProof/>
          <w:sz w:val="24"/>
          <w:szCs w:val="24"/>
        </w:rPr>
        <w:t>to boost their international competitiveness and sustainability. The network’s</w:t>
      </w:r>
      <w:r w:rsidR="00C32D53" w:rsidRPr="005F1FF6">
        <w:rPr>
          <w:rFonts w:ascii="Times New Roman" w:hAnsi="Times New Roman" w:cs="Times New Roman"/>
          <w:noProof/>
          <w:sz w:val="24"/>
          <w:szCs w:val="24"/>
        </w:rPr>
        <w:t xml:space="preserve"> digital service</w:t>
      </w:r>
      <w:r w:rsidR="001342AA" w:rsidRPr="005F1FF6">
        <w:rPr>
          <w:rFonts w:ascii="Times New Roman" w:hAnsi="Times New Roman" w:cs="Times New Roman"/>
          <w:noProof/>
          <w:sz w:val="24"/>
          <w:szCs w:val="24"/>
        </w:rPr>
        <w:t>s</w:t>
      </w:r>
      <w:r w:rsidR="00C32D53" w:rsidRPr="005F1FF6">
        <w:rPr>
          <w:rFonts w:ascii="Times New Roman" w:hAnsi="Times New Roman" w:cs="Times New Roman"/>
          <w:noProof/>
          <w:sz w:val="24"/>
          <w:szCs w:val="24"/>
        </w:rPr>
        <w:t xml:space="preserve"> </w:t>
      </w:r>
      <w:r w:rsidR="001C728C" w:rsidRPr="005F1FF6">
        <w:rPr>
          <w:rFonts w:ascii="Times New Roman" w:hAnsi="Times New Roman" w:cs="Times New Roman"/>
          <w:noProof/>
          <w:sz w:val="24"/>
          <w:szCs w:val="24"/>
        </w:rPr>
        <w:t>reach</w:t>
      </w:r>
      <w:r w:rsidR="00C32D53" w:rsidRPr="005F1FF6">
        <w:rPr>
          <w:rFonts w:ascii="Times New Roman" w:hAnsi="Times New Roman" w:cs="Times New Roman"/>
          <w:noProof/>
          <w:sz w:val="24"/>
          <w:szCs w:val="24"/>
        </w:rPr>
        <w:t>ed</w:t>
      </w:r>
      <w:r w:rsidR="001C728C" w:rsidRPr="005F1FF6">
        <w:rPr>
          <w:rFonts w:ascii="Times New Roman" w:hAnsi="Times New Roman" w:cs="Times New Roman"/>
          <w:noProof/>
          <w:sz w:val="24"/>
          <w:szCs w:val="24"/>
        </w:rPr>
        <w:t xml:space="preserve"> </w:t>
      </w:r>
      <w:r w:rsidR="00222504" w:rsidRPr="005F1FF6">
        <w:rPr>
          <w:rFonts w:ascii="Times New Roman" w:hAnsi="Times New Roman" w:cs="Times New Roman"/>
          <w:noProof/>
          <w:sz w:val="24"/>
          <w:szCs w:val="24"/>
        </w:rPr>
        <w:t>over 20 million SMEs</w:t>
      </w:r>
      <w:r w:rsidR="001C728C" w:rsidRPr="005F1FF6">
        <w:rPr>
          <w:rFonts w:ascii="Times New Roman" w:hAnsi="Times New Roman" w:cs="Times New Roman"/>
          <w:noProof/>
          <w:sz w:val="24"/>
          <w:szCs w:val="24"/>
        </w:rPr>
        <w:t xml:space="preserve">. </w:t>
      </w:r>
      <w:r w:rsidR="00582404" w:rsidRPr="005F1FF6">
        <w:rPr>
          <w:rFonts w:ascii="Times New Roman" w:hAnsi="Times New Roman" w:cs="Times New Roman"/>
          <w:noProof/>
          <w:sz w:val="24"/>
          <w:szCs w:val="24"/>
        </w:rPr>
        <w:t xml:space="preserve">The </w:t>
      </w:r>
      <w:r w:rsidR="00CF65ED" w:rsidRPr="005F1FF6">
        <w:rPr>
          <w:rFonts w:ascii="Times New Roman" w:hAnsi="Times New Roman" w:cs="Times New Roman"/>
          <w:noProof/>
          <w:sz w:val="24"/>
          <w:szCs w:val="24"/>
        </w:rPr>
        <w:t>n</w:t>
      </w:r>
      <w:r w:rsidRPr="005F1FF6">
        <w:rPr>
          <w:rFonts w:ascii="Times New Roman" w:hAnsi="Times New Roman" w:cs="Times New Roman"/>
          <w:noProof/>
          <w:sz w:val="24"/>
          <w:szCs w:val="24"/>
        </w:rPr>
        <w:t>etwork also</w:t>
      </w:r>
      <w:r w:rsidR="001823E0" w:rsidRPr="005F1FF6">
        <w:rPr>
          <w:rFonts w:ascii="Times New Roman" w:hAnsi="Times New Roman" w:cs="Times New Roman"/>
          <w:noProof/>
          <w:sz w:val="24"/>
          <w:szCs w:val="24"/>
        </w:rPr>
        <w:t xml:space="preserve"> provided valuable support to SMEs throughout the COVID-19 crisis</w:t>
      </w:r>
      <w:r w:rsidR="00CF65ED" w:rsidRPr="005F1FF6">
        <w:rPr>
          <w:rFonts w:ascii="Times New Roman" w:hAnsi="Times New Roman" w:cs="Times New Roman"/>
          <w:noProof/>
          <w:sz w:val="24"/>
          <w:szCs w:val="24"/>
        </w:rPr>
        <w:t>,</w:t>
      </w:r>
      <w:r w:rsidR="001823E0" w:rsidRPr="005F1FF6">
        <w:rPr>
          <w:rFonts w:ascii="Times New Roman" w:hAnsi="Times New Roman" w:cs="Times New Roman"/>
          <w:noProof/>
          <w:sz w:val="24"/>
          <w:szCs w:val="24"/>
        </w:rPr>
        <w:t xml:space="preserve"> adapting its services and service-delivery models where needed.</w:t>
      </w:r>
    </w:p>
    <w:p w14:paraId="7B809C15" w14:textId="682F40CF" w:rsidR="000A58FE" w:rsidRPr="005F1FF6" w:rsidRDefault="00566B36"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 xml:space="preserve">Many other actions across the programme distinguished themselves </w:t>
      </w:r>
      <w:r w:rsidR="00CF65ED" w:rsidRPr="005F1FF6">
        <w:rPr>
          <w:rFonts w:ascii="Times New Roman" w:hAnsi="Times New Roman" w:cs="Times New Roman"/>
          <w:noProof/>
          <w:sz w:val="24"/>
          <w:szCs w:val="24"/>
        </w:rPr>
        <w:t xml:space="preserve">by their </w:t>
      </w:r>
      <w:r w:rsidRPr="005F1FF6">
        <w:rPr>
          <w:rFonts w:ascii="Times New Roman" w:hAnsi="Times New Roman" w:cs="Times New Roman"/>
          <w:noProof/>
          <w:sz w:val="24"/>
          <w:szCs w:val="24"/>
        </w:rPr>
        <w:t xml:space="preserve">good performance and quality of service. </w:t>
      </w:r>
      <w:r w:rsidR="003C0BF5" w:rsidRPr="005F1FF6">
        <w:rPr>
          <w:rFonts w:ascii="Times New Roman" w:hAnsi="Times New Roman" w:cs="Times New Roman"/>
          <w:noProof/>
          <w:sz w:val="24"/>
          <w:szCs w:val="24"/>
        </w:rPr>
        <w:t>For example, t</w:t>
      </w:r>
      <w:r w:rsidR="00002146" w:rsidRPr="005F1FF6">
        <w:rPr>
          <w:rFonts w:ascii="Times New Roman" w:hAnsi="Times New Roman" w:cs="Times New Roman"/>
          <w:noProof/>
          <w:sz w:val="24"/>
          <w:szCs w:val="24"/>
        </w:rPr>
        <w:t>he EU</w:t>
      </w:r>
      <w:r w:rsidR="00582404" w:rsidRPr="005F1FF6">
        <w:rPr>
          <w:rFonts w:ascii="Times New Roman" w:hAnsi="Times New Roman" w:cs="Times New Roman"/>
          <w:noProof/>
          <w:sz w:val="24"/>
          <w:szCs w:val="24"/>
        </w:rPr>
        <w:t>-</w:t>
      </w:r>
      <w:r w:rsidR="00002146" w:rsidRPr="005F1FF6">
        <w:rPr>
          <w:rFonts w:ascii="Times New Roman" w:hAnsi="Times New Roman" w:cs="Times New Roman"/>
          <w:noProof/>
          <w:sz w:val="24"/>
          <w:szCs w:val="24"/>
        </w:rPr>
        <w:t xml:space="preserve">Japan Centre provided a wide range of services to </w:t>
      </w:r>
      <w:r w:rsidR="00CF65ED" w:rsidRPr="005F1FF6">
        <w:rPr>
          <w:rFonts w:ascii="Times New Roman" w:hAnsi="Times New Roman" w:cs="Times New Roman"/>
          <w:noProof/>
          <w:sz w:val="24"/>
          <w:szCs w:val="24"/>
        </w:rPr>
        <w:t xml:space="preserve">help </w:t>
      </w:r>
      <w:r w:rsidR="000D09FE" w:rsidRPr="005F1FF6">
        <w:rPr>
          <w:rFonts w:ascii="Times New Roman" w:hAnsi="Times New Roman" w:cs="Times New Roman"/>
          <w:noProof/>
          <w:sz w:val="24"/>
          <w:szCs w:val="24"/>
        </w:rPr>
        <w:t>SMEs</w:t>
      </w:r>
      <w:r w:rsidR="00002146" w:rsidRPr="005F1FF6">
        <w:rPr>
          <w:rFonts w:ascii="Times New Roman" w:hAnsi="Times New Roman" w:cs="Times New Roman"/>
          <w:noProof/>
          <w:sz w:val="24"/>
          <w:szCs w:val="24"/>
        </w:rPr>
        <w:t xml:space="preserve"> do business</w:t>
      </w:r>
      <w:r w:rsidRPr="005F1FF6">
        <w:rPr>
          <w:rFonts w:ascii="Times New Roman" w:hAnsi="Times New Roman" w:cs="Times New Roman"/>
          <w:noProof/>
          <w:sz w:val="24"/>
          <w:szCs w:val="24"/>
        </w:rPr>
        <w:t xml:space="preserve"> with Japan</w:t>
      </w:r>
      <w:r w:rsidR="00002146" w:rsidRPr="005F1FF6">
        <w:rPr>
          <w:rFonts w:ascii="Times New Roman" w:hAnsi="Times New Roman" w:cs="Times New Roman"/>
          <w:noProof/>
          <w:sz w:val="24"/>
          <w:szCs w:val="24"/>
        </w:rPr>
        <w:t xml:space="preserve">, and in relation to economic diplomacy. The International IP SME </w:t>
      </w:r>
      <w:r w:rsidR="00CF65ED" w:rsidRPr="005F1FF6">
        <w:rPr>
          <w:rFonts w:ascii="Times New Roman" w:hAnsi="Times New Roman" w:cs="Times New Roman"/>
          <w:noProof/>
          <w:sz w:val="24"/>
          <w:szCs w:val="24"/>
        </w:rPr>
        <w:t>h</w:t>
      </w:r>
      <w:r w:rsidR="00002146" w:rsidRPr="005F1FF6">
        <w:rPr>
          <w:rFonts w:ascii="Times New Roman" w:hAnsi="Times New Roman" w:cs="Times New Roman"/>
          <w:noProof/>
          <w:sz w:val="24"/>
          <w:szCs w:val="24"/>
        </w:rPr>
        <w:t xml:space="preserve">elpdesks </w:t>
      </w:r>
      <w:r w:rsidR="00647236" w:rsidRPr="005F1FF6">
        <w:rPr>
          <w:rFonts w:ascii="Times New Roman" w:hAnsi="Times New Roman" w:cs="Times New Roman"/>
          <w:noProof/>
          <w:sz w:val="24"/>
          <w:szCs w:val="24"/>
        </w:rPr>
        <w:t>provided</w:t>
      </w:r>
      <w:r w:rsidR="00002146" w:rsidRPr="005F1FF6">
        <w:rPr>
          <w:rFonts w:ascii="Times New Roman" w:hAnsi="Times New Roman" w:cs="Times New Roman"/>
          <w:noProof/>
          <w:sz w:val="24"/>
          <w:szCs w:val="24"/>
        </w:rPr>
        <w:t xml:space="preserve"> SMEs with valuable advice, training sessions and events on IP matters related to </w:t>
      </w:r>
      <w:r w:rsidRPr="005F1FF6">
        <w:rPr>
          <w:rFonts w:ascii="Times New Roman" w:hAnsi="Times New Roman" w:cs="Times New Roman"/>
          <w:noProof/>
          <w:sz w:val="24"/>
          <w:szCs w:val="24"/>
        </w:rPr>
        <w:t>C</w:t>
      </w:r>
      <w:r w:rsidR="00002146" w:rsidRPr="005F1FF6">
        <w:rPr>
          <w:rFonts w:ascii="Times New Roman" w:hAnsi="Times New Roman" w:cs="Times New Roman"/>
          <w:noProof/>
          <w:sz w:val="24"/>
          <w:szCs w:val="24"/>
        </w:rPr>
        <w:t>hina, South-</w:t>
      </w:r>
      <w:r w:rsidR="00C511D4" w:rsidRPr="005F1FF6">
        <w:rPr>
          <w:rFonts w:ascii="Times New Roman" w:hAnsi="Times New Roman" w:cs="Times New Roman"/>
          <w:noProof/>
          <w:sz w:val="24"/>
          <w:szCs w:val="24"/>
        </w:rPr>
        <w:t>E</w:t>
      </w:r>
      <w:r w:rsidR="00002146" w:rsidRPr="005F1FF6">
        <w:rPr>
          <w:rFonts w:ascii="Times New Roman" w:hAnsi="Times New Roman" w:cs="Times New Roman"/>
          <w:noProof/>
          <w:sz w:val="24"/>
          <w:szCs w:val="24"/>
        </w:rPr>
        <w:t xml:space="preserve">ast Asia, Latin America </w:t>
      </w:r>
      <w:r w:rsidRPr="005F1FF6">
        <w:rPr>
          <w:rFonts w:ascii="Times New Roman" w:hAnsi="Times New Roman" w:cs="Times New Roman"/>
          <w:noProof/>
          <w:sz w:val="24"/>
          <w:szCs w:val="24"/>
        </w:rPr>
        <w:t>(including 440 training sessions with 6</w:t>
      </w:r>
      <w:r w:rsidR="00FE2948" w:rsidRPr="005F1FF6">
        <w:rPr>
          <w:rFonts w:ascii="Times New Roman" w:hAnsi="Times New Roman" w:cs="Times New Roman"/>
          <w:noProof/>
          <w:sz w:val="24"/>
          <w:szCs w:val="24"/>
        </w:rPr>
        <w:t> </w:t>
      </w:r>
      <w:r w:rsidRPr="005F1FF6">
        <w:rPr>
          <w:rFonts w:ascii="Times New Roman" w:hAnsi="Times New Roman" w:cs="Times New Roman"/>
          <w:noProof/>
          <w:sz w:val="24"/>
          <w:szCs w:val="24"/>
        </w:rPr>
        <w:t>569</w:t>
      </w:r>
      <w:r w:rsidR="00FE2948" w:rsidRPr="005F1FF6">
        <w:rPr>
          <w:rFonts w:ascii="Times New Roman" w:hAnsi="Times New Roman" w:cs="Times New Roman"/>
          <w:noProof/>
          <w:sz w:val="24"/>
          <w:szCs w:val="24"/>
        </w:rPr>
        <w:t xml:space="preserve"> </w:t>
      </w:r>
      <w:r w:rsidRPr="005F1FF6">
        <w:rPr>
          <w:rFonts w:ascii="Times New Roman" w:hAnsi="Times New Roman" w:cs="Times New Roman"/>
          <w:noProof/>
          <w:sz w:val="24"/>
          <w:szCs w:val="24"/>
        </w:rPr>
        <w:t xml:space="preserve">participants) </w:t>
      </w:r>
      <w:r w:rsidR="00002146" w:rsidRPr="005F1FF6">
        <w:rPr>
          <w:rFonts w:ascii="Times New Roman" w:hAnsi="Times New Roman" w:cs="Times New Roman"/>
          <w:noProof/>
          <w:sz w:val="24"/>
          <w:szCs w:val="24"/>
        </w:rPr>
        <w:t>and India.</w:t>
      </w:r>
    </w:p>
    <w:p w14:paraId="7DCD0D08" w14:textId="3CFDC413" w:rsidR="0050340E" w:rsidRPr="005F1FF6" w:rsidRDefault="003C0BF5"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S</w:t>
      </w:r>
      <w:r w:rsidR="002A7774" w:rsidRPr="005F1FF6">
        <w:rPr>
          <w:rFonts w:ascii="Times New Roman" w:hAnsi="Times New Roman" w:cs="Times New Roman"/>
          <w:noProof/>
          <w:sz w:val="24"/>
          <w:szCs w:val="24"/>
        </w:rPr>
        <w:t xml:space="preserve">maller actions also </w:t>
      </w:r>
      <w:r w:rsidRPr="005F1FF6">
        <w:rPr>
          <w:rFonts w:ascii="Times New Roman" w:hAnsi="Times New Roman" w:cs="Times New Roman"/>
          <w:noProof/>
          <w:sz w:val="24"/>
          <w:szCs w:val="24"/>
        </w:rPr>
        <w:t>provided useful support to</w:t>
      </w:r>
      <w:r w:rsidR="002A7774" w:rsidRPr="005F1FF6">
        <w:rPr>
          <w:rFonts w:ascii="Times New Roman" w:hAnsi="Times New Roman" w:cs="Times New Roman"/>
          <w:noProof/>
          <w:sz w:val="24"/>
          <w:szCs w:val="24"/>
        </w:rPr>
        <w:t xml:space="preserve"> help SMEs innovate and improv</w:t>
      </w:r>
      <w:r w:rsidR="00566B36" w:rsidRPr="005F1FF6">
        <w:rPr>
          <w:rFonts w:ascii="Times New Roman" w:hAnsi="Times New Roman" w:cs="Times New Roman"/>
          <w:noProof/>
          <w:sz w:val="24"/>
          <w:szCs w:val="24"/>
        </w:rPr>
        <w:t>e</w:t>
      </w:r>
      <w:r w:rsidR="002A7774" w:rsidRPr="005F1FF6">
        <w:rPr>
          <w:rFonts w:ascii="Times New Roman" w:hAnsi="Times New Roman" w:cs="Times New Roman"/>
          <w:noProof/>
          <w:sz w:val="24"/>
          <w:szCs w:val="24"/>
        </w:rPr>
        <w:t xml:space="preserve"> their competitiveness and sustainability. For example</w:t>
      </w:r>
      <w:r w:rsidR="00CF65ED" w:rsidRPr="005F1FF6">
        <w:rPr>
          <w:rFonts w:ascii="Times New Roman" w:hAnsi="Times New Roman" w:cs="Times New Roman"/>
          <w:noProof/>
          <w:sz w:val="24"/>
          <w:szCs w:val="24"/>
        </w:rPr>
        <w:t>,</w:t>
      </w:r>
      <w:r w:rsidR="002A7774" w:rsidRPr="005F1FF6">
        <w:rPr>
          <w:rFonts w:ascii="Times New Roman" w:hAnsi="Times New Roman" w:cs="Times New Roman"/>
          <w:noProof/>
          <w:sz w:val="24"/>
          <w:szCs w:val="24"/>
        </w:rPr>
        <w:t xml:space="preserve"> the first call for partnerships under the </w:t>
      </w:r>
      <w:r w:rsidR="00741C49" w:rsidRPr="005F1FF6">
        <w:rPr>
          <w:rFonts w:ascii="Times New Roman" w:hAnsi="Times New Roman" w:cs="Times New Roman"/>
          <w:noProof/>
          <w:sz w:val="24"/>
          <w:szCs w:val="24"/>
        </w:rPr>
        <w:t xml:space="preserve">WORTH project for </w:t>
      </w:r>
      <w:r w:rsidR="002A7774" w:rsidRPr="005F1FF6">
        <w:rPr>
          <w:rFonts w:ascii="Times New Roman" w:hAnsi="Times New Roman" w:cs="Times New Roman"/>
          <w:noProof/>
          <w:sz w:val="24"/>
          <w:szCs w:val="24"/>
        </w:rPr>
        <w:t xml:space="preserve">the </w:t>
      </w:r>
      <w:r w:rsidR="00741C49" w:rsidRPr="005F1FF6">
        <w:rPr>
          <w:rFonts w:ascii="Times New Roman" w:hAnsi="Times New Roman" w:cs="Times New Roman"/>
          <w:noProof/>
          <w:sz w:val="24"/>
          <w:szCs w:val="24"/>
        </w:rPr>
        <w:t>fashion industries and lifestyle</w:t>
      </w:r>
      <w:r w:rsidR="001A72F3" w:rsidRPr="005F1FF6">
        <w:rPr>
          <w:rFonts w:ascii="Times New Roman" w:hAnsi="Times New Roman" w:cs="Times New Roman"/>
          <w:noProof/>
          <w:sz w:val="24"/>
          <w:szCs w:val="24"/>
        </w:rPr>
        <w:t xml:space="preserve"> sectors</w:t>
      </w:r>
      <w:r w:rsidRPr="005F1FF6">
        <w:rPr>
          <w:rFonts w:ascii="Times New Roman" w:hAnsi="Times New Roman" w:cs="Times New Roman"/>
          <w:noProof/>
          <w:sz w:val="24"/>
          <w:szCs w:val="24"/>
        </w:rPr>
        <w:t xml:space="preserve"> supported </w:t>
      </w:r>
      <w:r w:rsidR="002A7774" w:rsidRPr="005F1FF6">
        <w:rPr>
          <w:rFonts w:ascii="Times New Roman" w:hAnsi="Times New Roman" w:cs="Times New Roman"/>
          <w:noProof/>
          <w:sz w:val="24"/>
          <w:szCs w:val="24"/>
        </w:rPr>
        <w:t>6</w:t>
      </w:r>
      <w:r w:rsidR="001A72F3" w:rsidRPr="005F1FF6">
        <w:rPr>
          <w:rFonts w:ascii="Times New Roman" w:hAnsi="Times New Roman" w:cs="Times New Roman"/>
          <w:noProof/>
          <w:sz w:val="24"/>
          <w:szCs w:val="24"/>
        </w:rPr>
        <w:t>5 partnerships of designers, SMEs, manufacturers and technology providers</w:t>
      </w:r>
      <w:r w:rsidR="002A7774" w:rsidRPr="005F1FF6">
        <w:rPr>
          <w:rFonts w:ascii="Times New Roman" w:hAnsi="Times New Roman" w:cs="Times New Roman"/>
          <w:noProof/>
          <w:sz w:val="24"/>
          <w:szCs w:val="24"/>
        </w:rPr>
        <w:t xml:space="preserve"> </w:t>
      </w:r>
      <w:r w:rsidR="00CF65ED" w:rsidRPr="005F1FF6">
        <w:rPr>
          <w:rFonts w:ascii="Times New Roman" w:hAnsi="Times New Roman" w:cs="Times New Roman"/>
          <w:noProof/>
          <w:sz w:val="24"/>
          <w:szCs w:val="24"/>
        </w:rPr>
        <w:t xml:space="preserve">via </w:t>
      </w:r>
      <w:r w:rsidR="002A7774" w:rsidRPr="005F1FF6">
        <w:rPr>
          <w:rFonts w:ascii="Times New Roman" w:hAnsi="Times New Roman" w:cs="Times New Roman"/>
          <w:noProof/>
          <w:sz w:val="24"/>
          <w:szCs w:val="24"/>
        </w:rPr>
        <w:t>a</w:t>
      </w:r>
      <w:r w:rsidR="001A72F3" w:rsidRPr="005F1FF6">
        <w:rPr>
          <w:rFonts w:ascii="Times New Roman" w:hAnsi="Times New Roman" w:cs="Times New Roman"/>
          <w:noProof/>
          <w:sz w:val="24"/>
          <w:szCs w:val="24"/>
        </w:rPr>
        <w:t xml:space="preserve"> 10-month incubation programme including 975 hours of tailored mentoring</w:t>
      </w:r>
      <w:r w:rsidR="00A4357F" w:rsidRPr="005F1FF6">
        <w:rPr>
          <w:rFonts w:ascii="Times New Roman" w:hAnsi="Times New Roman" w:cs="Times New Roman"/>
          <w:noProof/>
          <w:sz w:val="24"/>
          <w:szCs w:val="24"/>
        </w:rPr>
        <w:t>. Additional calls for partnerships have been published to continue this support</w:t>
      </w:r>
      <w:r w:rsidR="006A06F3" w:rsidRPr="005F1FF6">
        <w:rPr>
          <w:rFonts w:ascii="Times New Roman" w:hAnsi="Times New Roman" w:cs="Times New Roman"/>
          <w:noProof/>
          <w:sz w:val="24"/>
          <w:szCs w:val="24"/>
        </w:rPr>
        <w:t>.</w:t>
      </w:r>
      <w:r w:rsidR="002A7774" w:rsidRPr="005F1FF6">
        <w:rPr>
          <w:rFonts w:ascii="Times New Roman" w:hAnsi="Times New Roman" w:cs="Times New Roman"/>
          <w:noProof/>
          <w:sz w:val="24"/>
          <w:szCs w:val="24"/>
        </w:rPr>
        <w:t xml:space="preserve"> </w:t>
      </w:r>
      <w:r w:rsidR="00ED35D6" w:rsidRPr="005F1FF6">
        <w:rPr>
          <w:rFonts w:ascii="Times New Roman" w:hAnsi="Times New Roman" w:cs="Times New Roman"/>
          <w:noProof/>
          <w:sz w:val="24"/>
          <w:szCs w:val="24"/>
        </w:rPr>
        <w:t>There were also a number of projects in cooperation with procurement authorities to create new opportunities for SMEs to supply innovative products and services to the public sector.</w:t>
      </w:r>
    </w:p>
    <w:p w14:paraId="5B88F4EF" w14:textId="1B93EFA1" w:rsidR="005A66F7" w:rsidRPr="005F1FF6" w:rsidRDefault="00ED35D6" w:rsidP="005F1FF6">
      <w:pPr>
        <w:spacing w:before="120" w:after="0" w:line="240" w:lineRule="auto"/>
        <w:jc w:val="both"/>
        <w:rPr>
          <w:rFonts w:ascii="Times New Roman" w:hAnsi="Times New Roman" w:cs="Times New Roman"/>
          <w:noProof/>
          <w:sz w:val="24"/>
          <w:szCs w:val="24"/>
        </w:rPr>
      </w:pPr>
      <w:r w:rsidRPr="005F1FF6">
        <w:rPr>
          <w:rFonts w:ascii="Times New Roman" w:hAnsi="Times New Roman" w:cs="Times New Roman"/>
          <w:noProof/>
          <w:sz w:val="24"/>
          <w:szCs w:val="24"/>
        </w:rPr>
        <w:t>Last but not least</w:t>
      </w:r>
      <w:r w:rsidR="00647236" w:rsidRPr="005F1FF6">
        <w:rPr>
          <w:rFonts w:ascii="Times New Roman" w:hAnsi="Times New Roman" w:cs="Times New Roman"/>
          <w:noProof/>
          <w:sz w:val="24"/>
          <w:szCs w:val="24"/>
        </w:rPr>
        <w:t>,</w:t>
      </w:r>
      <w:r w:rsidR="00462383" w:rsidRPr="005F1FF6">
        <w:rPr>
          <w:rFonts w:ascii="Times New Roman" w:hAnsi="Times New Roman" w:cs="Times New Roman"/>
          <w:noProof/>
          <w:sz w:val="24"/>
          <w:szCs w:val="24"/>
        </w:rPr>
        <w:t xml:space="preserve"> several studies</w:t>
      </w:r>
      <w:r w:rsidR="003C0BF5" w:rsidRPr="005F1FF6">
        <w:rPr>
          <w:rFonts w:ascii="Times New Roman" w:hAnsi="Times New Roman" w:cs="Times New Roman"/>
          <w:noProof/>
          <w:sz w:val="24"/>
          <w:szCs w:val="24"/>
        </w:rPr>
        <w:t xml:space="preserve"> </w:t>
      </w:r>
      <w:r w:rsidR="00647236" w:rsidRPr="005F1FF6">
        <w:rPr>
          <w:rFonts w:ascii="Times New Roman" w:hAnsi="Times New Roman" w:cs="Times New Roman"/>
          <w:noProof/>
          <w:sz w:val="24"/>
          <w:szCs w:val="24"/>
        </w:rPr>
        <w:t>funded under the programme</w:t>
      </w:r>
      <w:r w:rsidR="00720082" w:rsidRPr="005F1FF6">
        <w:rPr>
          <w:rFonts w:ascii="Times New Roman" w:hAnsi="Times New Roman" w:cs="Times New Roman"/>
          <w:noProof/>
          <w:sz w:val="24"/>
          <w:szCs w:val="24"/>
        </w:rPr>
        <w:t>, including the European Climate Neutral Industry Competitiveness Scoreboard (CIndECS),</w:t>
      </w:r>
      <w:r w:rsidRPr="005F1FF6">
        <w:rPr>
          <w:rFonts w:ascii="Times New Roman" w:hAnsi="Times New Roman" w:cs="Times New Roman"/>
          <w:noProof/>
          <w:sz w:val="24"/>
          <w:szCs w:val="24"/>
        </w:rPr>
        <w:t xml:space="preserve"> </w:t>
      </w:r>
      <w:r w:rsidR="00765D2D" w:rsidRPr="005F1FF6">
        <w:rPr>
          <w:rFonts w:ascii="Times New Roman" w:hAnsi="Times New Roman" w:cs="Times New Roman"/>
          <w:noProof/>
          <w:sz w:val="24"/>
          <w:szCs w:val="24"/>
        </w:rPr>
        <w:t>t</w:t>
      </w:r>
      <w:r w:rsidR="00765D2D" w:rsidRPr="005F1FF6">
        <w:rPr>
          <w:rFonts w:ascii="Times New Roman" w:hAnsi="Times New Roman" w:cs="Times New Roman"/>
          <w:bCs/>
          <w:noProof/>
          <w:color w:val="000000" w:themeColor="text1"/>
          <w:sz w:val="24"/>
          <w:szCs w:val="24"/>
        </w:rPr>
        <w:t>he study on the legal protection of trade secrets in the context of the data economy, and the study on mid-caps</w:t>
      </w:r>
      <w:r w:rsidR="00765D2D" w:rsidRPr="005F1FF6">
        <w:rPr>
          <w:rFonts w:ascii="Times New Roman" w:hAnsi="Times New Roman" w:cs="Times New Roman"/>
          <w:noProof/>
          <w:sz w:val="24"/>
          <w:szCs w:val="24"/>
        </w:rPr>
        <w:t xml:space="preserve"> </w:t>
      </w:r>
      <w:r w:rsidRPr="005F1FF6">
        <w:rPr>
          <w:rFonts w:ascii="Times New Roman" w:hAnsi="Times New Roman" w:cs="Times New Roman"/>
          <w:noProof/>
          <w:sz w:val="24"/>
          <w:szCs w:val="24"/>
        </w:rPr>
        <w:t>delivered valuable findings and</w:t>
      </w:r>
      <w:r w:rsidR="0050340E" w:rsidRPr="005F1FF6">
        <w:rPr>
          <w:rFonts w:ascii="Times New Roman" w:hAnsi="Times New Roman" w:cs="Times New Roman"/>
          <w:noProof/>
          <w:sz w:val="24"/>
          <w:szCs w:val="24"/>
        </w:rPr>
        <w:t xml:space="preserve"> robust analysis </w:t>
      </w:r>
      <w:r w:rsidR="00720082" w:rsidRPr="005F1FF6">
        <w:rPr>
          <w:rFonts w:ascii="Times New Roman" w:hAnsi="Times New Roman" w:cs="Times New Roman"/>
          <w:noProof/>
          <w:sz w:val="24"/>
          <w:szCs w:val="24"/>
        </w:rPr>
        <w:t xml:space="preserve">that were used </w:t>
      </w:r>
      <w:r w:rsidR="0050340E" w:rsidRPr="005F1FF6">
        <w:rPr>
          <w:rFonts w:ascii="Times New Roman" w:hAnsi="Times New Roman" w:cs="Times New Roman"/>
          <w:noProof/>
          <w:sz w:val="24"/>
          <w:szCs w:val="24"/>
        </w:rPr>
        <w:t>to support policy</w:t>
      </w:r>
      <w:r w:rsidR="003C0BF5" w:rsidRPr="005F1FF6">
        <w:rPr>
          <w:rFonts w:ascii="Times New Roman" w:hAnsi="Times New Roman" w:cs="Times New Roman"/>
          <w:noProof/>
          <w:sz w:val="24"/>
          <w:szCs w:val="24"/>
        </w:rPr>
        <w:t xml:space="preserve"> work</w:t>
      </w:r>
      <w:r w:rsidR="00720082" w:rsidRPr="005F1FF6">
        <w:rPr>
          <w:rFonts w:ascii="Times New Roman" w:hAnsi="Times New Roman" w:cs="Times New Roman"/>
          <w:noProof/>
          <w:sz w:val="24"/>
          <w:szCs w:val="24"/>
        </w:rPr>
        <w:t>.</w:t>
      </w:r>
    </w:p>
    <w:p w14:paraId="64CA1834" w14:textId="4FCFDCC4" w:rsidR="00A25331" w:rsidRPr="005F1FF6" w:rsidRDefault="00225F6F"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 xml:space="preserve">The COSME programme also demonstrated its effectiveness </w:t>
      </w:r>
      <w:r w:rsidR="00582404" w:rsidRPr="005F1FF6">
        <w:rPr>
          <w:rFonts w:ascii="Times New Roman" w:hAnsi="Times New Roman" w:cs="Times New Roman"/>
          <w:noProof/>
          <w:color w:val="000000" w:themeColor="text1"/>
          <w:sz w:val="24"/>
          <w:szCs w:val="24"/>
        </w:rPr>
        <w:t xml:space="preserve">in </w:t>
      </w:r>
      <w:r w:rsidRPr="005F1FF6">
        <w:rPr>
          <w:rFonts w:ascii="Times New Roman" w:hAnsi="Times New Roman" w:cs="Times New Roman"/>
          <w:noProof/>
          <w:color w:val="000000" w:themeColor="text1"/>
          <w:sz w:val="24"/>
          <w:szCs w:val="24"/>
        </w:rPr>
        <w:t xml:space="preserve">helping SMEs tackle new challenges. </w:t>
      </w:r>
      <w:r w:rsidR="000749A8" w:rsidRPr="005F1FF6">
        <w:rPr>
          <w:rFonts w:ascii="Times New Roman" w:hAnsi="Times New Roman" w:cs="Times New Roman"/>
          <w:noProof/>
          <w:color w:val="000000" w:themeColor="text1"/>
          <w:sz w:val="24"/>
          <w:szCs w:val="24"/>
        </w:rPr>
        <w:t>Several actions and projects supported under 2020 budget, including EEN</w:t>
      </w:r>
      <w:r w:rsidR="00CF65ED" w:rsidRPr="005F1FF6">
        <w:rPr>
          <w:rFonts w:ascii="Times New Roman" w:hAnsi="Times New Roman" w:cs="Times New Roman"/>
          <w:noProof/>
          <w:color w:val="000000" w:themeColor="text1"/>
          <w:sz w:val="24"/>
          <w:szCs w:val="24"/>
        </w:rPr>
        <w:t>,</w:t>
      </w:r>
      <w:r w:rsidR="00A25331" w:rsidRPr="005F1FF6">
        <w:rPr>
          <w:rFonts w:ascii="Times New Roman" w:hAnsi="Times New Roman" w:cs="Times New Roman"/>
          <w:noProof/>
          <w:color w:val="000000" w:themeColor="text1"/>
          <w:sz w:val="24"/>
          <w:szCs w:val="24"/>
        </w:rPr>
        <w:t xml:space="preserve"> launched specific services to help SMEs deal with issues related to the </w:t>
      </w:r>
      <w:r w:rsidR="001207FF" w:rsidRPr="005F1FF6">
        <w:rPr>
          <w:rFonts w:ascii="Times New Roman" w:hAnsi="Times New Roman" w:cs="Times New Roman"/>
          <w:noProof/>
          <w:color w:val="000000" w:themeColor="text1"/>
          <w:sz w:val="24"/>
          <w:szCs w:val="24"/>
        </w:rPr>
        <w:t>COVID</w:t>
      </w:r>
      <w:r w:rsidR="00A25331" w:rsidRPr="005F1FF6">
        <w:rPr>
          <w:rFonts w:ascii="Times New Roman" w:hAnsi="Times New Roman" w:cs="Times New Roman"/>
          <w:noProof/>
          <w:color w:val="000000" w:themeColor="text1"/>
          <w:sz w:val="24"/>
          <w:szCs w:val="24"/>
        </w:rPr>
        <w:t>-</w:t>
      </w:r>
      <w:r w:rsidR="001207FF" w:rsidRPr="005F1FF6">
        <w:rPr>
          <w:rFonts w:ascii="Times New Roman" w:hAnsi="Times New Roman" w:cs="Times New Roman"/>
          <w:noProof/>
          <w:color w:val="000000" w:themeColor="text1"/>
          <w:sz w:val="24"/>
          <w:szCs w:val="24"/>
        </w:rPr>
        <w:t xml:space="preserve">19 </w:t>
      </w:r>
      <w:r w:rsidR="00A25331" w:rsidRPr="005F1FF6">
        <w:rPr>
          <w:rFonts w:ascii="Times New Roman" w:hAnsi="Times New Roman" w:cs="Times New Roman"/>
          <w:noProof/>
          <w:color w:val="000000" w:themeColor="text1"/>
          <w:sz w:val="24"/>
          <w:szCs w:val="24"/>
        </w:rPr>
        <w:t>crisis</w:t>
      </w:r>
      <w:r w:rsidR="004061B3" w:rsidRPr="005F1FF6">
        <w:rPr>
          <w:rFonts w:ascii="Times New Roman" w:hAnsi="Times New Roman" w:cs="Times New Roman"/>
          <w:noProof/>
          <w:color w:val="000000" w:themeColor="text1"/>
          <w:sz w:val="24"/>
          <w:szCs w:val="24"/>
        </w:rPr>
        <w:t>.</w:t>
      </w:r>
      <w:r w:rsidR="004A5C16" w:rsidRPr="005F1FF6">
        <w:rPr>
          <w:rFonts w:ascii="Times New Roman" w:hAnsi="Times New Roman" w:cs="Times New Roman"/>
          <w:noProof/>
          <w:color w:val="000000" w:themeColor="text1"/>
          <w:sz w:val="24"/>
          <w:szCs w:val="24"/>
        </w:rPr>
        <w:t xml:space="preserve"> </w:t>
      </w:r>
      <w:r w:rsidR="004A5C16" w:rsidRPr="005F1FF6">
        <w:rPr>
          <w:rFonts w:ascii="Times New Roman" w:hAnsi="Times New Roman" w:cs="Times New Roman"/>
          <w:noProof/>
          <w:sz w:val="24"/>
          <w:szCs w:val="24"/>
        </w:rPr>
        <w:t xml:space="preserve">Many COSME projects have a duration of 3-4 years. A small number of ongoing projects funded by 2020 budget were affected as from 2022 by the </w:t>
      </w:r>
      <w:r w:rsidR="004A5C16" w:rsidRPr="005F1FF6">
        <w:rPr>
          <w:rFonts w:ascii="Times New Roman" w:hAnsi="Times New Roman" w:cs="Times New Roman"/>
          <w:b/>
          <w:bCs/>
          <w:noProof/>
          <w:sz w:val="24"/>
          <w:szCs w:val="24"/>
        </w:rPr>
        <w:t>Russian military aggression in Ukraine</w:t>
      </w:r>
      <w:r w:rsidR="004A5C16" w:rsidRPr="005F1FF6">
        <w:rPr>
          <w:rFonts w:ascii="Times New Roman" w:hAnsi="Times New Roman" w:cs="Times New Roman"/>
          <w:noProof/>
          <w:sz w:val="24"/>
          <w:szCs w:val="24"/>
        </w:rPr>
        <w:t>. When appropriate, extensions to the duration of these projects were approved with adjustments to activities to take account of the crisis conditions. One example is the P2GREEN-EST project that aimed to help EU SMEs to access procurement outside the EU with Ukraine as the designated target market</w:t>
      </w:r>
      <w:r w:rsidR="004A5C16" w:rsidRPr="005F1FF6">
        <w:rPr>
          <w:rStyle w:val="FootnoteReference"/>
          <w:rFonts w:ascii="Times New Roman" w:hAnsi="Times New Roman" w:cs="Times New Roman"/>
          <w:noProof/>
          <w:sz w:val="24"/>
          <w:szCs w:val="24"/>
        </w:rPr>
        <w:footnoteReference w:id="43"/>
      </w:r>
      <w:r w:rsidR="004A5C16" w:rsidRPr="005F1FF6">
        <w:rPr>
          <w:rFonts w:ascii="Times New Roman" w:hAnsi="Times New Roman" w:cs="Times New Roman"/>
          <w:noProof/>
          <w:sz w:val="24"/>
          <w:szCs w:val="24"/>
        </w:rPr>
        <w:t xml:space="preserve">. </w:t>
      </w:r>
      <w:r w:rsidR="004061B3" w:rsidRPr="005F1FF6">
        <w:rPr>
          <w:rFonts w:ascii="Times New Roman" w:hAnsi="Times New Roman" w:cs="Times New Roman"/>
          <w:noProof/>
          <w:color w:val="000000" w:themeColor="text1"/>
          <w:sz w:val="24"/>
          <w:szCs w:val="24"/>
        </w:rPr>
        <w:t xml:space="preserve"> </w:t>
      </w:r>
      <w:r w:rsidR="000749A8" w:rsidRPr="005F1FF6">
        <w:rPr>
          <w:rFonts w:ascii="Times New Roman" w:hAnsi="Times New Roman" w:cs="Times New Roman"/>
          <w:noProof/>
          <w:color w:val="000000" w:themeColor="text1"/>
          <w:sz w:val="24"/>
          <w:szCs w:val="24"/>
        </w:rPr>
        <w:t>More recently,</w:t>
      </w:r>
      <w:r w:rsidR="004061B3" w:rsidRPr="005F1FF6">
        <w:rPr>
          <w:rFonts w:ascii="Times New Roman" w:hAnsi="Times New Roman" w:cs="Times New Roman"/>
          <w:noProof/>
          <w:color w:val="000000" w:themeColor="text1"/>
          <w:sz w:val="24"/>
          <w:szCs w:val="24"/>
        </w:rPr>
        <w:t xml:space="preserve"> some of the</w:t>
      </w:r>
      <w:r w:rsidRPr="005F1FF6">
        <w:rPr>
          <w:rFonts w:ascii="Times New Roman" w:hAnsi="Times New Roman" w:cs="Times New Roman"/>
          <w:noProof/>
          <w:color w:val="000000" w:themeColor="text1"/>
          <w:sz w:val="24"/>
          <w:szCs w:val="24"/>
        </w:rPr>
        <w:t xml:space="preserve"> COSME 2020 </w:t>
      </w:r>
      <w:r w:rsidR="004061B3" w:rsidRPr="005F1FF6">
        <w:rPr>
          <w:rFonts w:ascii="Times New Roman" w:hAnsi="Times New Roman" w:cs="Times New Roman"/>
          <w:noProof/>
          <w:color w:val="000000" w:themeColor="text1"/>
          <w:sz w:val="24"/>
          <w:szCs w:val="24"/>
        </w:rPr>
        <w:t xml:space="preserve">projects </w:t>
      </w:r>
      <w:r w:rsidR="000749A8" w:rsidRPr="005F1FF6">
        <w:rPr>
          <w:rFonts w:ascii="Times New Roman" w:hAnsi="Times New Roman" w:cs="Times New Roman"/>
          <w:noProof/>
          <w:color w:val="000000" w:themeColor="text1"/>
          <w:sz w:val="24"/>
          <w:szCs w:val="24"/>
        </w:rPr>
        <w:t>still</w:t>
      </w:r>
      <w:r w:rsidRPr="005F1FF6">
        <w:rPr>
          <w:rFonts w:ascii="Times New Roman" w:hAnsi="Times New Roman" w:cs="Times New Roman"/>
          <w:noProof/>
          <w:color w:val="000000" w:themeColor="text1"/>
          <w:sz w:val="24"/>
          <w:szCs w:val="24"/>
        </w:rPr>
        <w:t xml:space="preserve"> </w:t>
      </w:r>
      <w:r w:rsidR="00FE2948" w:rsidRPr="005F1FF6">
        <w:rPr>
          <w:rFonts w:ascii="Times New Roman" w:hAnsi="Times New Roman" w:cs="Times New Roman"/>
          <w:noProof/>
          <w:color w:val="000000" w:themeColor="text1"/>
          <w:sz w:val="24"/>
          <w:szCs w:val="24"/>
        </w:rPr>
        <w:t>ongoing</w:t>
      </w:r>
      <w:r w:rsidRPr="005F1FF6">
        <w:rPr>
          <w:rFonts w:ascii="Times New Roman" w:hAnsi="Times New Roman" w:cs="Times New Roman"/>
          <w:noProof/>
          <w:color w:val="000000" w:themeColor="text1"/>
          <w:sz w:val="24"/>
          <w:szCs w:val="24"/>
        </w:rPr>
        <w:t xml:space="preserve"> at the outbreak of the Russian aggression in Ukraine were able to adapt their services to help EU businesses to deal with related challenges such as supply chain issues</w:t>
      </w:r>
      <w:r w:rsidR="000749A8" w:rsidRPr="005F1FF6">
        <w:rPr>
          <w:rFonts w:ascii="Times New Roman" w:hAnsi="Times New Roman" w:cs="Times New Roman"/>
          <w:noProof/>
          <w:color w:val="000000" w:themeColor="text1"/>
          <w:sz w:val="24"/>
          <w:szCs w:val="24"/>
        </w:rPr>
        <w:t xml:space="preserve"> and to offer some support to Ukrainian businesses</w:t>
      </w:r>
      <w:r w:rsidR="00B76EB0" w:rsidRPr="005F1FF6">
        <w:rPr>
          <w:rFonts w:ascii="Times New Roman" w:hAnsi="Times New Roman" w:cs="Times New Roman"/>
          <w:noProof/>
          <w:color w:val="000000" w:themeColor="text1"/>
          <w:sz w:val="24"/>
          <w:szCs w:val="24"/>
        </w:rPr>
        <w:t xml:space="preserve"> (</w:t>
      </w:r>
      <w:r w:rsidRPr="005F1FF6">
        <w:rPr>
          <w:rFonts w:ascii="Times New Roman" w:hAnsi="Times New Roman" w:cs="Times New Roman"/>
          <w:noProof/>
          <w:color w:val="000000" w:themeColor="text1"/>
          <w:sz w:val="24"/>
          <w:szCs w:val="24"/>
        </w:rPr>
        <w:t xml:space="preserve">see </w:t>
      </w:r>
      <w:r w:rsidR="00B76EB0" w:rsidRPr="005F1FF6">
        <w:rPr>
          <w:rFonts w:ascii="Times New Roman" w:hAnsi="Times New Roman" w:cs="Times New Roman"/>
          <w:noProof/>
          <w:color w:val="000000" w:themeColor="text1"/>
          <w:sz w:val="24"/>
          <w:szCs w:val="24"/>
        </w:rPr>
        <w:t>point 2.3 above</w:t>
      </w:r>
      <w:r w:rsidR="000749A8" w:rsidRPr="005F1FF6">
        <w:rPr>
          <w:rFonts w:ascii="Times New Roman" w:hAnsi="Times New Roman" w:cs="Times New Roman"/>
          <w:noProof/>
          <w:color w:val="000000" w:themeColor="text1"/>
          <w:sz w:val="24"/>
          <w:szCs w:val="24"/>
        </w:rPr>
        <w:t>)</w:t>
      </w:r>
      <w:r w:rsidR="00B76EB0" w:rsidRPr="005F1FF6">
        <w:rPr>
          <w:rFonts w:ascii="Times New Roman" w:hAnsi="Times New Roman" w:cs="Times New Roman"/>
          <w:noProof/>
          <w:color w:val="000000" w:themeColor="text1"/>
          <w:sz w:val="24"/>
          <w:szCs w:val="24"/>
        </w:rPr>
        <w:t>.</w:t>
      </w:r>
    </w:p>
    <w:p w14:paraId="076240A7" w14:textId="45913DF8" w:rsidR="004B6495" w:rsidRPr="005F1FF6" w:rsidRDefault="00434441"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noProof/>
          <w:color w:val="000000" w:themeColor="text1"/>
          <w:sz w:val="24"/>
          <w:szCs w:val="24"/>
        </w:rPr>
        <w:t>L</w:t>
      </w:r>
      <w:r w:rsidR="004B6495" w:rsidRPr="005F1FF6">
        <w:rPr>
          <w:rFonts w:ascii="Times New Roman" w:hAnsi="Times New Roman" w:cs="Times New Roman"/>
          <w:noProof/>
          <w:color w:val="000000" w:themeColor="text1"/>
          <w:sz w:val="24"/>
          <w:szCs w:val="24"/>
        </w:rPr>
        <w:t xml:space="preserve">inks with other EU programmes and funds were optimised. For </w:t>
      </w:r>
      <w:r w:rsidR="00B66EF3" w:rsidRPr="005F1FF6">
        <w:rPr>
          <w:rFonts w:ascii="Times New Roman" w:hAnsi="Times New Roman" w:cs="Times New Roman"/>
          <w:noProof/>
          <w:color w:val="000000" w:themeColor="text1"/>
          <w:sz w:val="24"/>
          <w:szCs w:val="24"/>
        </w:rPr>
        <w:t>example,</w:t>
      </w:r>
      <w:r w:rsidR="00774536" w:rsidRPr="005F1FF6">
        <w:rPr>
          <w:rFonts w:ascii="Times New Roman" w:hAnsi="Times New Roman" w:cs="Times New Roman"/>
          <w:noProof/>
          <w:color w:val="000000" w:themeColor="text1"/>
          <w:sz w:val="24"/>
          <w:szCs w:val="24"/>
        </w:rPr>
        <w:t xml:space="preserve"> the C</w:t>
      </w:r>
      <w:r w:rsidR="001F1C77" w:rsidRPr="005F1FF6">
        <w:rPr>
          <w:rFonts w:ascii="Times New Roman" w:hAnsi="Times New Roman" w:cs="Times New Roman"/>
          <w:noProof/>
          <w:color w:val="000000" w:themeColor="text1"/>
          <w:sz w:val="24"/>
          <w:szCs w:val="24"/>
        </w:rPr>
        <w:t xml:space="preserve">OSME LGF </w:t>
      </w:r>
      <w:r w:rsidR="00582404" w:rsidRPr="005F1FF6">
        <w:rPr>
          <w:rFonts w:ascii="Times New Roman" w:hAnsi="Times New Roman" w:cs="Times New Roman"/>
          <w:noProof/>
          <w:color w:val="000000" w:themeColor="text1"/>
          <w:sz w:val="24"/>
          <w:szCs w:val="24"/>
        </w:rPr>
        <w:t>received</w:t>
      </w:r>
      <w:r w:rsidR="00774536" w:rsidRPr="005F1FF6">
        <w:rPr>
          <w:rFonts w:ascii="Times New Roman" w:eastAsia="Times New Roman" w:hAnsi="Times New Roman" w:cs="Times New Roman"/>
          <w:bCs/>
          <w:iCs/>
          <w:noProof/>
          <w:sz w:val="24"/>
          <w:szCs w:val="24"/>
          <w:lang w:eastAsia="fr-FR"/>
        </w:rPr>
        <w:t xml:space="preserve"> an additional </w:t>
      </w:r>
      <w:r w:rsidR="00CF65ED" w:rsidRPr="005F1FF6">
        <w:rPr>
          <w:rFonts w:ascii="Times New Roman" w:eastAsia="Times New Roman" w:hAnsi="Times New Roman" w:cs="Times New Roman"/>
          <w:bCs/>
          <w:iCs/>
          <w:noProof/>
          <w:sz w:val="24"/>
          <w:szCs w:val="24"/>
          <w:lang w:eastAsia="fr-FR"/>
        </w:rPr>
        <w:t>EUR </w:t>
      </w:r>
      <w:r w:rsidR="00774536" w:rsidRPr="005F1FF6">
        <w:rPr>
          <w:rFonts w:ascii="Times New Roman" w:eastAsia="Times New Roman" w:hAnsi="Times New Roman" w:cs="Times New Roman"/>
          <w:bCs/>
          <w:iCs/>
          <w:noProof/>
          <w:sz w:val="24"/>
          <w:szCs w:val="24"/>
          <w:lang w:eastAsia="fr-FR"/>
        </w:rPr>
        <w:t xml:space="preserve">714 million </w:t>
      </w:r>
      <w:r w:rsidR="00582404" w:rsidRPr="005F1FF6">
        <w:rPr>
          <w:rFonts w:ascii="Times New Roman" w:eastAsia="Times New Roman" w:hAnsi="Times New Roman" w:cs="Times New Roman"/>
          <w:bCs/>
          <w:iCs/>
          <w:noProof/>
          <w:sz w:val="24"/>
          <w:szCs w:val="24"/>
          <w:lang w:eastAsia="fr-FR"/>
        </w:rPr>
        <w:t>thanks to</w:t>
      </w:r>
      <w:r w:rsidR="00774536" w:rsidRPr="005F1FF6">
        <w:rPr>
          <w:rFonts w:ascii="Times New Roman" w:eastAsia="Times New Roman" w:hAnsi="Times New Roman" w:cs="Times New Roman"/>
          <w:bCs/>
          <w:iCs/>
          <w:noProof/>
          <w:sz w:val="24"/>
          <w:szCs w:val="24"/>
          <w:lang w:eastAsia="fr-FR"/>
        </w:rPr>
        <w:t xml:space="preserve"> a 1 billion guarantee </w:t>
      </w:r>
      <w:r w:rsidR="00582404" w:rsidRPr="005F1FF6">
        <w:rPr>
          <w:rFonts w:ascii="Times New Roman" w:hAnsi="Times New Roman" w:cs="Times New Roman"/>
          <w:noProof/>
          <w:color w:val="000000" w:themeColor="text1"/>
          <w:sz w:val="24"/>
          <w:szCs w:val="24"/>
        </w:rPr>
        <w:t xml:space="preserve">to the </w:t>
      </w:r>
      <w:r w:rsidR="00582404" w:rsidRPr="005F1FF6">
        <w:rPr>
          <w:rFonts w:ascii="Times New Roman" w:eastAsia="Times New Roman" w:hAnsi="Times New Roman" w:cs="Times New Roman"/>
          <w:bCs/>
          <w:iCs/>
          <w:noProof/>
          <w:sz w:val="24"/>
          <w:szCs w:val="24"/>
          <w:lang w:eastAsia="fr-FR"/>
        </w:rPr>
        <w:t>EIF</w:t>
      </w:r>
      <w:r w:rsidR="00582404" w:rsidRPr="005F1FF6" w:rsidDel="00582404">
        <w:rPr>
          <w:rFonts w:ascii="Times New Roman" w:eastAsia="Times New Roman" w:hAnsi="Times New Roman" w:cs="Times New Roman"/>
          <w:bCs/>
          <w:iCs/>
          <w:noProof/>
          <w:sz w:val="24"/>
          <w:szCs w:val="24"/>
          <w:lang w:eastAsia="fr-FR"/>
        </w:rPr>
        <w:t xml:space="preserve"> </w:t>
      </w:r>
      <w:r w:rsidR="00582404" w:rsidRPr="005F1FF6">
        <w:rPr>
          <w:rFonts w:ascii="Times New Roman" w:eastAsia="Times New Roman" w:hAnsi="Times New Roman" w:cs="Times New Roman"/>
          <w:bCs/>
          <w:iCs/>
          <w:noProof/>
          <w:sz w:val="24"/>
          <w:szCs w:val="24"/>
          <w:lang w:eastAsia="fr-FR"/>
        </w:rPr>
        <w:t>from</w:t>
      </w:r>
      <w:r w:rsidR="00774536" w:rsidRPr="005F1FF6">
        <w:rPr>
          <w:rFonts w:ascii="Times New Roman" w:eastAsia="Times New Roman" w:hAnsi="Times New Roman" w:cs="Times New Roman"/>
          <w:bCs/>
          <w:iCs/>
          <w:noProof/>
          <w:sz w:val="24"/>
          <w:szCs w:val="24"/>
          <w:lang w:eastAsia="fr-FR"/>
        </w:rPr>
        <w:t xml:space="preserve"> the</w:t>
      </w:r>
      <w:r w:rsidR="00774536" w:rsidRPr="005F1FF6">
        <w:rPr>
          <w:rFonts w:ascii="Times New Roman" w:hAnsi="Times New Roman" w:cs="Times New Roman"/>
          <w:noProof/>
          <w:color w:val="000000" w:themeColor="text1"/>
          <w:sz w:val="24"/>
          <w:szCs w:val="24"/>
        </w:rPr>
        <w:t xml:space="preserve"> European Fund for Strategic Investments. This was used to support SMEs </w:t>
      </w:r>
      <w:r w:rsidR="001F1C77" w:rsidRPr="005F1FF6">
        <w:rPr>
          <w:rFonts w:ascii="Times New Roman" w:hAnsi="Times New Roman" w:cs="Times New Roman"/>
          <w:noProof/>
          <w:color w:val="000000" w:themeColor="text1"/>
          <w:sz w:val="24"/>
          <w:szCs w:val="24"/>
        </w:rPr>
        <w:t xml:space="preserve">facing liquidity issues due to the COVID-19 </w:t>
      </w:r>
      <w:r w:rsidR="00CF65ED" w:rsidRPr="005F1FF6">
        <w:rPr>
          <w:rFonts w:ascii="Times New Roman" w:hAnsi="Times New Roman" w:cs="Times New Roman"/>
          <w:noProof/>
          <w:color w:val="000000" w:themeColor="text1"/>
          <w:sz w:val="24"/>
          <w:szCs w:val="24"/>
        </w:rPr>
        <w:t>c</w:t>
      </w:r>
      <w:r w:rsidR="001F1C77" w:rsidRPr="005F1FF6">
        <w:rPr>
          <w:rFonts w:ascii="Times New Roman" w:hAnsi="Times New Roman" w:cs="Times New Roman"/>
          <w:noProof/>
          <w:color w:val="000000" w:themeColor="text1"/>
          <w:sz w:val="24"/>
          <w:szCs w:val="24"/>
        </w:rPr>
        <w:t>risis.</w:t>
      </w:r>
      <w:r w:rsidR="004B6495" w:rsidRPr="005F1FF6">
        <w:rPr>
          <w:rFonts w:ascii="Times New Roman" w:hAnsi="Times New Roman" w:cs="Times New Roman"/>
          <w:noProof/>
          <w:color w:val="000000" w:themeColor="text1"/>
          <w:sz w:val="24"/>
          <w:szCs w:val="24"/>
        </w:rPr>
        <w:t xml:space="preserve"> The</w:t>
      </w:r>
      <w:r w:rsidR="00F832CA" w:rsidRPr="005F1FF6">
        <w:rPr>
          <w:rFonts w:ascii="Times New Roman" w:hAnsi="Times New Roman" w:cs="Times New Roman"/>
          <w:noProof/>
          <w:color w:val="000000" w:themeColor="text1"/>
          <w:sz w:val="24"/>
          <w:szCs w:val="24"/>
        </w:rPr>
        <w:t xml:space="preserve"> EEN Network developed synergies with </w:t>
      </w:r>
      <w:r w:rsidR="00774536" w:rsidRPr="005F1FF6">
        <w:rPr>
          <w:rFonts w:ascii="Times New Roman" w:hAnsi="Times New Roman" w:cs="Times New Roman"/>
          <w:noProof/>
          <w:color w:val="000000" w:themeColor="text1"/>
          <w:sz w:val="24"/>
          <w:szCs w:val="24"/>
        </w:rPr>
        <w:t>Horizon 2020, the E</w:t>
      </w:r>
      <w:r w:rsidR="00EC20C2" w:rsidRPr="005F1FF6">
        <w:rPr>
          <w:rFonts w:ascii="Times New Roman" w:hAnsi="Times New Roman" w:cs="Times New Roman"/>
          <w:noProof/>
          <w:color w:val="000000" w:themeColor="text1"/>
          <w:sz w:val="24"/>
          <w:szCs w:val="24"/>
        </w:rPr>
        <w:t xml:space="preserve">uropean </w:t>
      </w:r>
      <w:r w:rsidR="00774536" w:rsidRPr="005F1FF6">
        <w:rPr>
          <w:rFonts w:ascii="Times New Roman" w:hAnsi="Times New Roman" w:cs="Times New Roman"/>
          <w:noProof/>
          <w:color w:val="000000" w:themeColor="text1"/>
          <w:sz w:val="24"/>
          <w:szCs w:val="24"/>
        </w:rPr>
        <w:t>I</w:t>
      </w:r>
      <w:r w:rsidR="00EC20C2" w:rsidRPr="005F1FF6">
        <w:rPr>
          <w:rFonts w:ascii="Times New Roman" w:hAnsi="Times New Roman" w:cs="Times New Roman"/>
          <w:noProof/>
          <w:color w:val="000000" w:themeColor="text1"/>
          <w:sz w:val="24"/>
          <w:szCs w:val="24"/>
        </w:rPr>
        <w:t xml:space="preserve">nnovation </w:t>
      </w:r>
      <w:r w:rsidR="00774536" w:rsidRPr="005F1FF6">
        <w:rPr>
          <w:rFonts w:ascii="Times New Roman" w:hAnsi="Times New Roman" w:cs="Times New Roman"/>
          <w:noProof/>
          <w:color w:val="000000" w:themeColor="text1"/>
          <w:sz w:val="24"/>
          <w:szCs w:val="24"/>
        </w:rPr>
        <w:t>C</w:t>
      </w:r>
      <w:r w:rsidR="00EC20C2" w:rsidRPr="005F1FF6">
        <w:rPr>
          <w:rFonts w:ascii="Times New Roman" w:hAnsi="Times New Roman" w:cs="Times New Roman"/>
          <w:noProof/>
          <w:color w:val="000000" w:themeColor="text1"/>
          <w:sz w:val="24"/>
          <w:szCs w:val="24"/>
        </w:rPr>
        <w:t>ouncil (EIC)</w:t>
      </w:r>
      <w:r w:rsidR="00774536" w:rsidRPr="005F1FF6">
        <w:rPr>
          <w:rFonts w:ascii="Times New Roman" w:hAnsi="Times New Roman" w:cs="Times New Roman"/>
          <w:noProof/>
          <w:color w:val="000000" w:themeColor="text1"/>
          <w:sz w:val="24"/>
          <w:szCs w:val="24"/>
        </w:rPr>
        <w:t xml:space="preserve"> and </w:t>
      </w:r>
      <w:r w:rsidR="00F832CA" w:rsidRPr="005F1FF6">
        <w:rPr>
          <w:rFonts w:ascii="Times New Roman" w:hAnsi="Times New Roman" w:cs="Times New Roman"/>
          <w:noProof/>
          <w:color w:val="000000" w:themeColor="text1"/>
          <w:sz w:val="24"/>
          <w:szCs w:val="24"/>
        </w:rPr>
        <w:t xml:space="preserve">a wide range of EU programmes and support schemes. </w:t>
      </w:r>
      <w:r w:rsidR="00774536" w:rsidRPr="005F1FF6">
        <w:rPr>
          <w:rFonts w:ascii="Times New Roman" w:hAnsi="Times New Roman" w:cs="Times New Roman"/>
          <w:noProof/>
          <w:color w:val="000000" w:themeColor="text1"/>
          <w:sz w:val="24"/>
          <w:szCs w:val="24"/>
        </w:rPr>
        <w:t>The</w:t>
      </w:r>
      <w:r w:rsidR="00E64DBC" w:rsidRPr="005F1FF6">
        <w:rPr>
          <w:rFonts w:ascii="Times New Roman" w:hAnsi="Times New Roman" w:cs="Times New Roman"/>
          <w:noProof/>
          <w:color w:val="000000" w:themeColor="text1"/>
          <w:sz w:val="24"/>
          <w:szCs w:val="24"/>
        </w:rPr>
        <w:t xml:space="preserve">re </w:t>
      </w:r>
      <w:r w:rsidR="00CF65ED" w:rsidRPr="005F1FF6">
        <w:rPr>
          <w:rFonts w:ascii="Times New Roman" w:hAnsi="Times New Roman" w:cs="Times New Roman"/>
          <w:noProof/>
          <w:color w:val="000000" w:themeColor="text1"/>
          <w:sz w:val="24"/>
          <w:szCs w:val="24"/>
        </w:rPr>
        <w:t xml:space="preserve">were </w:t>
      </w:r>
      <w:r w:rsidR="00E64DBC" w:rsidRPr="005F1FF6">
        <w:rPr>
          <w:rFonts w:ascii="Times New Roman" w:hAnsi="Times New Roman" w:cs="Times New Roman"/>
          <w:noProof/>
          <w:color w:val="000000" w:themeColor="text1"/>
          <w:sz w:val="24"/>
          <w:szCs w:val="24"/>
        </w:rPr>
        <w:t>also several examples of cooperation with</w:t>
      </w:r>
      <w:r w:rsidR="006C0065" w:rsidRPr="005F1FF6">
        <w:rPr>
          <w:rFonts w:ascii="Times New Roman" w:hAnsi="Times New Roman" w:cs="Times New Roman"/>
          <w:noProof/>
          <w:color w:val="000000" w:themeColor="text1"/>
          <w:sz w:val="24"/>
          <w:szCs w:val="24"/>
        </w:rPr>
        <w:t xml:space="preserve"> ongoing or previous </w:t>
      </w:r>
      <w:r w:rsidR="00E64DBC" w:rsidRPr="005F1FF6">
        <w:rPr>
          <w:rFonts w:ascii="Times New Roman" w:hAnsi="Times New Roman" w:cs="Times New Roman"/>
          <w:noProof/>
          <w:color w:val="000000" w:themeColor="text1"/>
          <w:sz w:val="24"/>
          <w:szCs w:val="24"/>
        </w:rPr>
        <w:t xml:space="preserve">COSME </w:t>
      </w:r>
      <w:r w:rsidR="006C0065" w:rsidRPr="005F1FF6">
        <w:rPr>
          <w:rFonts w:ascii="Times New Roman" w:hAnsi="Times New Roman" w:cs="Times New Roman"/>
          <w:noProof/>
          <w:color w:val="000000" w:themeColor="text1"/>
          <w:sz w:val="24"/>
          <w:szCs w:val="24"/>
        </w:rPr>
        <w:t xml:space="preserve">projects. This was notably the case for </w:t>
      </w:r>
      <w:r w:rsidR="00F21267" w:rsidRPr="005F1FF6">
        <w:rPr>
          <w:rFonts w:ascii="Times New Roman" w:hAnsi="Times New Roman" w:cs="Times New Roman"/>
          <w:noProof/>
          <w:color w:val="000000" w:themeColor="text1"/>
          <w:sz w:val="24"/>
          <w:szCs w:val="24"/>
        </w:rPr>
        <w:t xml:space="preserve">EEN, </w:t>
      </w:r>
      <w:r w:rsidR="006C0065" w:rsidRPr="005F1FF6">
        <w:rPr>
          <w:rFonts w:ascii="Times New Roman" w:hAnsi="Times New Roman" w:cs="Times New Roman"/>
          <w:noProof/>
          <w:color w:val="000000" w:themeColor="text1"/>
          <w:sz w:val="24"/>
          <w:szCs w:val="24"/>
        </w:rPr>
        <w:t>WORTH and several of the procurement actions.</w:t>
      </w:r>
    </w:p>
    <w:p w14:paraId="54D6E605" w14:textId="2EC9DD9C" w:rsidR="0064442A" w:rsidRPr="005F1FF6" w:rsidRDefault="004A5C16"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b/>
          <w:bCs/>
          <w:noProof/>
          <w:color w:val="000000" w:themeColor="text1"/>
          <w:sz w:val="24"/>
          <w:szCs w:val="24"/>
        </w:rPr>
        <w:t>Regarding ongoing COSME measures from 2020, monitoring will continue</w:t>
      </w:r>
      <w:r w:rsidR="00DE7E12" w:rsidRPr="005F1FF6">
        <w:rPr>
          <w:rFonts w:ascii="Times New Roman" w:hAnsi="Times New Roman" w:cs="Times New Roman"/>
          <w:noProof/>
          <w:color w:val="000000" w:themeColor="text1"/>
          <w:sz w:val="24"/>
          <w:szCs w:val="24"/>
        </w:rPr>
        <w:t xml:space="preserve">, </w:t>
      </w:r>
      <w:r w:rsidR="00A4739F" w:rsidRPr="005F1FF6">
        <w:rPr>
          <w:rFonts w:ascii="Times New Roman" w:hAnsi="Times New Roman" w:cs="Times New Roman"/>
          <w:noProof/>
          <w:color w:val="000000" w:themeColor="text1"/>
          <w:sz w:val="24"/>
          <w:szCs w:val="24"/>
        </w:rPr>
        <w:t>paying special attention to</w:t>
      </w:r>
      <w:r w:rsidR="006F5ADC" w:rsidRPr="005F1FF6">
        <w:rPr>
          <w:rFonts w:ascii="Times New Roman" w:hAnsi="Times New Roman" w:cs="Times New Roman"/>
          <w:noProof/>
          <w:color w:val="000000" w:themeColor="text1"/>
          <w:sz w:val="24"/>
          <w:szCs w:val="24"/>
        </w:rPr>
        <w:t xml:space="preserve"> </w:t>
      </w:r>
      <w:r w:rsidR="00CF65ED" w:rsidRPr="005F1FF6">
        <w:rPr>
          <w:rFonts w:ascii="Times New Roman" w:hAnsi="Times New Roman" w:cs="Times New Roman"/>
          <w:noProof/>
          <w:color w:val="000000" w:themeColor="text1"/>
          <w:sz w:val="24"/>
          <w:szCs w:val="24"/>
        </w:rPr>
        <w:t>measures</w:t>
      </w:r>
      <w:r w:rsidR="00B90C2A" w:rsidRPr="005F1FF6">
        <w:rPr>
          <w:rFonts w:ascii="Times New Roman" w:hAnsi="Times New Roman" w:cs="Times New Roman"/>
          <w:noProof/>
          <w:color w:val="000000" w:themeColor="text1"/>
          <w:sz w:val="24"/>
          <w:szCs w:val="24"/>
        </w:rPr>
        <w:t xml:space="preserve"> </w:t>
      </w:r>
      <w:r w:rsidR="0093051E" w:rsidRPr="005F1FF6">
        <w:rPr>
          <w:rFonts w:ascii="Times New Roman" w:hAnsi="Times New Roman" w:cs="Times New Roman"/>
          <w:noProof/>
          <w:color w:val="000000" w:themeColor="text1"/>
          <w:sz w:val="24"/>
          <w:szCs w:val="24"/>
        </w:rPr>
        <w:t xml:space="preserve">re-scheduled due to </w:t>
      </w:r>
      <w:r w:rsidR="009D0C05" w:rsidRPr="005F1FF6">
        <w:rPr>
          <w:rFonts w:ascii="Times New Roman" w:hAnsi="Times New Roman" w:cs="Times New Roman"/>
          <w:noProof/>
          <w:color w:val="000000" w:themeColor="text1"/>
          <w:sz w:val="24"/>
          <w:szCs w:val="24"/>
        </w:rPr>
        <w:t>COVID</w:t>
      </w:r>
      <w:r w:rsidR="003C0BF5" w:rsidRPr="005F1FF6">
        <w:rPr>
          <w:rFonts w:ascii="Times New Roman" w:hAnsi="Times New Roman" w:cs="Times New Roman"/>
          <w:noProof/>
          <w:color w:val="000000" w:themeColor="text1"/>
          <w:sz w:val="24"/>
          <w:szCs w:val="24"/>
        </w:rPr>
        <w:t xml:space="preserve"> and cases where specific issues were identified</w:t>
      </w:r>
      <w:r w:rsidR="003917EC" w:rsidRPr="005F1FF6">
        <w:rPr>
          <w:rFonts w:ascii="Times New Roman" w:hAnsi="Times New Roman" w:cs="Times New Roman"/>
          <w:noProof/>
          <w:color w:val="000000" w:themeColor="text1"/>
          <w:sz w:val="24"/>
          <w:szCs w:val="24"/>
        </w:rPr>
        <w:t>.</w:t>
      </w:r>
      <w:r w:rsidR="00B90C2A" w:rsidRPr="005F1FF6">
        <w:rPr>
          <w:rFonts w:ascii="Times New Roman" w:hAnsi="Times New Roman" w:cs="Times New Roman"/>
          <w:noProof/>
          <w:color w:val="000000" w:themeColor="text1"/>
          <w:sz w:val="24"/>
          <w:szCs w:val="24"/>
        </w:rPr>
        <w:t xml:space="preserve"> </w:t>
      </w:r>
      <w:r w:rsidR="00E73EAB" w:rsidRPr="005F1FF6">
        <w:rPr>
          <w:rFonts w:ascii="Times New Roman" w:hAnsi="Times New Roman" w:cs="Times New Roman"/>
          <w:noProof/>
          <w:color w:val="000000" w:themeColor="text1"/>
          <w:sz w:val="24"/>
          <w:szCs w:val="24"/>
        </w:rPr>
        <w:t>Th</w:t>
      </w:r>
      <w:r w:rsidR="00503839" w:rsidRPr="005F1FF6">
        <w:rPr>
          <w:rFonts w:ascii="Times New Roman" w:hAnsi="Times New Roman" w:cs="Times New Roman"/>
          <w:noProof/>
          <w:color w:val="000000" w:themeColor="text1"/>
          <w:sz w:val="24"/>
          <w:szCs w:val="24"/>
        </w:rPr>
        <w:t>e</w:t>
      </w:r>
      <w:r w:rsidR="00E73EAB" w:rsidRPr="005F1FF6">
        <w:rPr>
          <w:rFonts w:ascii="Times New Roman" w:hAnsi="Times New Roman" w:cs="Times New Roman"/>
          <w:noProof/>
          <w:color w:val="000000" w:themeColor="text1"/>
          <w:sz w:val="24"/>
          <w:szCs w:val="24"/>
        </w:rPr>
        <w:t xml:space="preserve"> regular m</w:t>
      </w:r>
      <w:r w:rsidR="00786FAC" w:rsidRPr="005F1FF6">
        <w:rPr>
          <w:rFonts w:ascii="Times New Roman" w:hAnsi="Times New Roman" w:cs="Times New Roman"/>
          <w:noProof/>
          <w:color w:val="000000" w:themeColor="text1"/>
          <w:sz w:val="24"/>
          <w:szCs w:val="24"/>
        </w:rPr>
        <w:t xml:space="preserve">onitoring </w:t>
      </w:r>
      <w:r w:rsidR="003C0BF5" w:rsidRPr="005F1FF6">
        <w:rPr>
          <w:rFonts w:ascii="Times New Roman" w:hAnsi="Times New Roman" w:cs="Times New Roman"/>
          <w:noProof/>
          <w:color w:val="000000" w:themeColor="text1"/>
          <w:sz w:val="24"/>
          <w:szCs w:val="24"/>
        </w:rPr>
        <w:t xml:space="preserve">also </w:t>
      </w:r>
      <w:r w:rsidR="00467F1E" w:rsidRPr="005F1FF6">
        <w:rPr>
          <w:rFonts w:ascii="Times New Roman" w:hAnsi="Times New Roman" w:cs="Times New Roman"/>
          <w:noProof/>
          <w:color w:val="000000" w:themeColor="text1"/>
          <w:sz w:val="24"/>
          <w:szCs w:val="24"/>
        </w:rPr>
        <w:t>ensured that the budget was reallocated to the most successful and oversubscribed activities</w:t>
      </w:r>
      <w:r w:rsidR="00726E61" w:rsidRPr="005F1FF6">
        <w:rPr>
          <w:rFonts w:ascii="Times New Roman" w:hAnsi="Times New Roman" w:cs="Times New Roman"/>
          <w:noProof/>
          <w:color w:val="000000" w:themeColor="text1"/>
          <w:sz w:val="24"/>
          <w:szCs w:val="24"/>
        </w:rPr>
        <w:t>. For example, EUR</w:t>
      </w:r>
      <w:r w:rsidR="00FE2948" w:rsidRPr="005F1FF6">
        <w:rPr>
          <w:rFonts w:ascii="Times New Roman" w:hAnsi="Times New Roman" w:cs="Times New Roman"/>
          <w:noProof/>
          <w:color w:val="000000" w:themeColor="text1"/>
          <w:sz w:val="24"/>
          <w:szCs w:val="24"/>
        </w:rPr>
        <w:t> </w:t>
      </w:r>
      <w:r w:rsidR="00726E61" w:rsidRPr="005F1FF6">
        <w:rPr>
          <w:rFonts w:ascii="Times New Roman" w:hAnsi="Times New Roman" w:cs="Times New Roman"/>
          <w:noProof/>
          <w:color w:val="000000" w:themeColor="text1"/>
          <w:sz w:val="24"/>
          <w:szCs w:val="24"/>
        </w:rPr>
        <w:t>815</w:t>
      </w:r>
      <w:r w:rsidR="00582404" w:rsidRPr="005F1FF6">
        <w:rPr>
          <w:rFonts w:ascii="Times New Roman" w:hAnsi="Times New Roman" w:cs="Times New Roman"/>
          <w:noProof/>
          <w:color w:val="000000" w:themeColor="text1"/>
          <w:sz w:val="24"/>
          <w:szCs w:val="24"/>
        </w:rPr>
        <w:t> </w:t>
      </w:r>
      <w:r w:rsidR="00726E61" w:rsidRPr="005F1FF6">
        <w:rPr>
          <w:rFonts w:ascii="Times New Roman" w:hAnsi="Times New Roman" w:cs="Times New Roman"/>
          <w:noProof/>
          <w:color w:val="000000" w:themeColor="text1"/>
          <w:sz w:val="24"/>
          <w:szCs w:val="24"/>
        </w:rPr>
        <w:t xml:space="preserve">107 of leftovers from </w:t>
      </w:r>
      <w:r w:rsidR="00CF65ED" w:rsidRPr="005F1FF6">
        <w:rPr>
          <w:rFonts w:ascii="Times New Roman" w:hAnsi="Times New Roman" w:cs="Times New Roman"/>
          <w:noProof/>
          <w:color w:val="000000" w:themeColor="text1"/>
          <w:sz w:val="24"/>
          <w:szCs w:val="24"/>
        </w:rPr>
        <w:t xml:space="preserve">the 2020 </w:t>
      </w:r>
      <w:r w:rsidR="00726E61" w:rsidRPr="005F1FF6">
        <w:rPr>
          <w:rFonts w:ascii="Times New Roman" w:hAnsi="Times New Roman" w:cs="Times New Roman"/>
          <w:noProof/>
          <w:color w:val="000000" w:themeColor="text1"/>
          <w:sz w:val="24"/>
          <w:szCs w:val="24"/>
        </w:rPr>
        <w:t>work programme w</w:t>
      </w:r>
      <w:r w:rsidR="000D09FE" w:rsidRPr="005F1FF6">
        <w:rPr>
          <w:rFonts w:ascii="Times New Roman" w:hAnsi="Times New Roman" w:cs="Times New Roman"/>
          <w:noProof/>
          <w:color w:val="000000" w:themeColor="text1"/>
          <w:sz w:val="24"/>
          <w:szCs w:val="24"/>
        </w:rPr>
        <w:t>ere</w:t>
      </w:r>
      <w:r w:rsidR="00726E61" w:rsidRPr="005F1FF6">
        <w:rPr>
          <w:rFonts w:ascii="Times New Roman" w:hAnsi="Times New Roman" w:cs="Times New Roman"/>
          <w:noProof/>
          <w:color w:val="000000" w:themeColor="text1"/>
          <w:sz w:val="24"/>
          <w:szCs w:val="24"/>
        </w:rPr>
        <w:t xml:space="preserve"> allocated to </w:t>
      </w:r>
      <w:r w:rsidR="00467F1E" w:rsidRPr="005F1FF6">
        <w:rPr>
          <w:rFonts w:ascii="Times New Roman" w:hAnsi="Times New Roman" w:cs="Times New Roman"/>
          <w:noProof/>
          <w:color w:val="000000" w:themeColor="text1"/>
          <w:sz w:val="24"/>
          <w:szCs w:val="24"/>
        </w:rPr>
        <w:t>reserve list projects</w:t>
      </w:r>
      <w:r w:rsidR="00726E61" w:rsidRPr="005F1FF6">
        <w:rPr>
          <w:rFonts w:ascii="Times New Roman" w:hAnsi="Times New Roman" w:cs="Times New Roman"/>
          <w:noProof/>
          <w:color w:val="000000" w:themeColor="text1"/>
          <w:sz w:val="24"/>
          <w:szCs w:val="24"/>
        </w:rPr>
        <w:t xml:space="preserve"> for the tourism call to boost uptake of digitalisation, innovation and new technologies in the sector. Another example is the transfer from COSME EFG to</w:t>
      </w:r>
      <w:r w:rsidR="00467F1E" w:rsidRPr="005F1FF6">
        <w:rPr>
          <w:rFonts w:ascii="Times New Roman" w:hAnsi="Times New Roman" w:cs="Times New Roman"/>
          <w:noProof/>
          <w:color w:val="000000" w:themeColor="text1"/>
          <w:sz w:val="24"/>
          <w:szCs w:val="24"/>
        </w:rPr>
        <w:t xml:space="preserve"> COSME LGF.</w:t>
      </w:r>
    </w:p>
    <w:p w14:paraId="607E58A9" w14:textId="1147780D" w:rsidR="00DE0DD1" w:rsidRPr="005F1FF6" w:rsidRDefault="00DE0DD1"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b/>
          <w:bCs/>
          <w:noProof/>
          <w:color w:val="000000" w:themeColor="text1"/>
          <w:sz w:val="24"/>
          <w:szCs w:val="24"/>
        </w:rPr>
        <w:t xml:space="preserve">The experiences from this monitoring exercise </w:t>
      </w:r>
      <w:r w:rsidR="00935DB6" w:rsidRPr="005F1FF6">
        <w:rPr>
          <w:rFonts w:ascii="Times New Roman" w:hAnsi="Times New Roman" w:cs="Times New Roman"/>
          <w:b/>
          <w:bCs/>
          <w:noProof/>
          <w:color w:val="000000" w:themeColor="text1"/>
          <w:sz w:val="24"/>
          <w:szCs w:val="24"/>
        </w:rPr>
        <w:t xml:space="preserve">will </w:t>
      </w:r>
      <w:r w:rsidRPr="005F1FF6">
        <w:rPr>
          <w:rFonts w:ascii="Times New Roman" w:hAnsi="Times New Roman" w:cs="Times New Roman"/>
          <w:b/>
          <w:bCs/>
          <w:noProof/>
          <w:color w:val="000000" w:themeColor="text1"/>
          <w:sz w:val="24"/>
          <w:szCs w:val="24"/>
        </w:rPr>
        <w:t>also fe</w:t>
      </w:r>
      <w:r w:rsidR="00935DB6" w:rsidRPr="005F1FF6">
        <w:rPr>
          <w:rFonts w:ascii="Times New Roman" w:hAnsi="Times New Roman" w:cs="Times New Roman"/>
          <w:b/>
          <w:bCs/>
          <w:noProof/>
          <w:color w:val="000000" w:themeColor="text1"/>
          <w:sz w:val="24"/>
          <w:szCs w:val="24"/>
        </w:rPr>
        <w:t>e</w:t>
      </w:r>
      <w:r w:rsidRPr="005F1FF6">
        <w:rPr>
          <w:rFonts w:ascii="Times New Roman" w:hAnsi="Times New Roman" w:cs="Times New Roman"/>
          <w:b/>
          <w:bCs/>
          <w:noProof/>
          <w:color w:val="000000" w:themeColor="text1"/>
          <w:sz w:val="24"/>
          <w:szCs w:val="24"/>
        </w:rPr>
        <w:t xml:space="preserve">d into the shaping of </w:t>
      </w:r>
      <w:r w:rsidR="003917EC" w:rsidRPr="005F1FF6">
        <w:rPr>
          <w:rFonts w:ascii="Times New Roman" w:hAnsi="Times New Roman" w:cs="Times New Roman"/>
          <w:b/>
          <w:bCs/>
          <w:noProof/>
          <w:color w:val="000000" w:themeColor="text1"/>
          <w:sz w:val="24"/>
          <w:szCs w:val="24"/>
        </w:rPr>
        <w:t>measures</w:t>
      </w:r>
      <w:r w:rsidRPr="005F1FF6">
        <w:rPr>
          <w:rFonts w:ascii="Times New Roman" w:hAnsi="Times New Roman" w:cs="Times New Roman"/>
          <w:b/>
          <w:bCs/>
          <w:noProof/>
          <w:color w:val="000000" w:themeColor="text1"/>
          <w:sz w:val="24"/>
          <w:szCs w:val="24"/>
        </w:rPr>
        <w:t xml:space="preserve"> for future years,</w:t>
      </w:r>
      <w:r w:rsidRPr="005F1FF6">
        <w:rPr>
          <w:rFonts w:ascii="Times New Roman" w:hAnsi="Times New Roman" w:cs="Times New Roman"/>
          <w:noProof/>
          <w:color w:val="000000" w:themeColor="text1"/>
          <w:sz w:val="24"/>
          <w:szCs w:val="24"/>
        </w:rPr>
        <w:t xml:space="preserve"> notably the work to ensure better continuity of the flagship actions</w:t>
      </w:r>
      <w:r w:rsidRPr="005F1FF6">
        <w:rPr>
          <w:rStyle w:val="FootnoteReference"/>
          <w:rFonts w:ascii="Times New Roman" w:hAnsi="Times New Roman" w:cs="Times New Roman"/>
          <w:noProof/>
          <w:color w:val="000000" w:themeColor="text1"/>
          <w:sz w:val="24"/>
          <w:szCs w:val="24"/>
        </w:rPr>
        <w:footnoteReference w:id="44"/>
      </w:r>
      <w:r w:rsidRPr="005F1FF6">
        <w:rPr>
          <w:rFonts w:ascii="Times New Roman" w:hAnsi="Times New Roman" w:cs="Times New Roman"/>
          <w:noProof/>
          <w:color w:val="000000" w:themeColor="text1"/>
          <w:sz w:val="24"/>
          <w:szCs w:val="24"/>
        </w:rPr>
        <w:t xml:space="preserve"> and the ongoing work to prepare </w:t>
      </w:r>
      <w:r w:rsidR="00CF65ED" w:rsidRPr="005F1FF6">
        <w:rPr>
          <w:rFonts w:ascii="Times New Roman" w:hAnsi="Times New Roman" w:cs="Times New Roman"/>
          <w:noProof/>
          <w:color w:val="000000" w:themeColor="text1"/>
          <w:sz w:val="24"/>
          <w:szCs w:val="24"/>
        </w:rPr>
        <w:t xml:space="preserve">the 2024 </w:t>
      </w:r>
      <w:r w:rsidRPr="005F1FF6">
        <w:rPr>
          <w:rFonts w:ascii="Times New Roman" w:hAnsi="Times New Roman" w:cs="Times New Roman"/>
          <w:noProof/>
          <w:color w:val="000000" w:themeColor="text1"/>
          <w:sz w:val="24"/>
          <w:szCs w:val="24"/>
        </w:rPr>
        <w:t>SME Pillar work programme.</w:t>
      </w:r>
    </w:p>
    <w:p w14:paraId="4A4D0FED" w14:textId="604DB6B2" w:rsidR="007418A9" w:rsidRPr="005F1FF6" w:rsidRDefault="006F5ADC" w:rsidP="005F1FF6">
      <w:pPr>
        <w:spacing w:before="120" w:after="0" w:line="240" w:lineRule="auto"/>
        <w:jc w:val="both"/>
        <w:rPr>
          <w:rFonts w:ascii="Times New Roman" w:hAnsi="Times New Roman" w:cs="Times New Roman"/>
          <w:noProof/>
          <w:color w:val="000000" w:themeColor="text1"/>
          <w:sz w:val="24"/>
          <w:szCs w:val="24"/>
        </w:rPr>
      </w:pPr>
      <w:r w:rsidRPr="005F1FF6">
        <w:rPr>
          <w:rFonts w:ascii="Times New Roman" w:hAnsi="Times New Roman" w:cs="Times New Roman"/>
          <w:b/>
          <w:bCs/>
          <w:noProof/>
          <w:color w:val="000000" w:themeColor="text1"/>
          <w:sz w:val="24"/>
          <w:szCs w:val="24"/>
        </w:rPr>
        <w:t>Overall, the COSME</w:t>
      </w:r>
      <w:r w:rsidRPr="005F1FF6">
        <w:rPr>
          <w:rFonts w:ascii="Times New Roman" w:hAnsi="Times New Roman" w:cs="Times New Roman"/>
          <w:b/>
          <w:noProof/>
          <w:color w:val="000000" w:themeColor="text1"/>
          <w:sz w:val="24"/>
          <w:szCs w:val="24"/>
        </w:rPr>
        <w:t xml:space="preserve"> </w:t>
      </w:r>
      <w:r w:rsidR="00C02038" w:rsidRPr="005F1FF6">
        <w:rPr>
          <w:rFonts w:ascii="Times New Roman" w:hAnsi="Times New Roman" w:cs="Times New Roman"/>
          <w:b/>
          <w:noProof/>
          <w:color w:val="000000" w:themeColor="text1"/>
          <w:sz w:val="24"/>
          <w:szCs w:val="24"/>
        </w:rPr>
        <w:t>2020 measures are on</w:t>
      </w:r>
      <w:r w:rsidRPr="005F1FF6">
        <w:rPr>
          <w:rFonts w:ascii="Times New Roman" w:hAnsi="Times New Roman" w:cs="Times New Roman"/>
          <w:b/>
          <w:noProof/>
          <w:color w:val="000000" w:themeColor="text1"/>
          <w:sz w:val="24"/>
          <w:szCs w:val="24"/>
        </w:rPr>
        <w:t xml:space="preserve"> track </w:t>
      </w:r>
      <w:r w:rsidR="00CF65ED" w:rsidRPr="005F1FF6">
        <w:rPr>
          <w:rFonts w:ascii="Times New Roman" w:hAnsi="Times New Roman" w:cs="Times New Roman"/>
          <w:b/>
          <w:noProof/>
          <w:color w:val="000000" w:themeColor="text1"/>
          <w:sz w:val="24"/>
          <w:szCs w:val="24"/>
        </w:rPr>
        <w:t xml:space="preserve">to </w:t>
      </w:r>
      <w:r w:rsidR="00C02038" w:rsidRPr="005F1FF6">
        <w:rPr>
          <w:rFonts w:ascii="Times New Roman" w:hAnsi="Times New Roman" w:cs="Times New Roman"/>
          <w:b/>
          <w:noProof/>
          <w:color w:val="000000" w:themeColor="text1"/>
          <w:sz w:val="24"/>
          <w:szCs w:val="24"/>
        </w:rPr>
        <w:t>reach their</w:t>
      </w:r>
      <w:r w:rsidRPr="005F1FF6">
        <w:rPr>
          <w:rFonts w:ascii="Times New Roman" w:hAnsi="Times New Roman" w:cs="Times New Roman"/>
          <w:b/>
          <w:noProof/>
          <w:color w:val="000000" w:themeColor="text1"/>
          <w:sz w:val="24"/>
          <w:szCs w:val="24"/>
        </w:rPr>
        <w:t xml:space="preserve"> objectives</w:t>
      </w:r>
      <w:r w:rsidRPr="005F1FF6">
        <w:rPr>
          <w:rFonts w:ascii="Times New Roman" w:hAnsi="Times New Roman" w:cs="Times New Roman"/>
          <w:noProof/>
          <w:color w:val="000000" w:themeColor="text1"/>
          <w:sz w:val="24"/>
          <w:szCs w:val="24"/>
        </w:rPr>
        <w:t xml:space="preserve">. Many measures </w:t>
      </w:r>
      <w:r w:rsidR="00C02038" w:rsidRPr="005F1FF6">
        <w:rPr>
          <w:rFonts w:ascii="Times New Roman" w:hAnsi="Times New Roman" w:cs="Times New Roman"/>
          <w:noProof/>
          <w:color w:val="000000" w:themeColor="text1"/>
          <w:sz w:val="24"/>
          <w:szCs w:val="24"/>
        </w:rPr>
        <w:t xml:space="preserve">have </w:t>
      </w:r>
      <w:r w:rsidR="00DE0DD1" w:rsidRPr="005F1FF6">
        <w:rPr>
          <w:rFonts w:ascii="Times New Roman" w:hAnsi="Times New Roman" w:cs="Times New Roman"/>
          <w:noProof/>
          <w:color w:val="000000" w:themeColor="text1"/>
          <w:sz w:val="24"/>
          <w:szCs w:val="24"/>
        </w:rPr>
        <w:t xml:space="preserve">already </w:t>
      </w:r>
      <w:r w:rsidR="00C02038" w:rsidRPr="005F1FF6">
        <w:rPr>
          <w:rFonts w:ascii="Times New Roman" w:hAnsi="Times New Roman" w:cs="Times New Roman"/>
          <w:noProof/>
          <w:color w:val="000000" w:themeColor="text1"/>
          <w:sz w:val="24"/>
          <w:szCs w:val="24"/>
        </w:rPr>
        <w:t>met their targets</w:t>
      </w:r>
      <w:r w:rsidR="00DE0DD1" w:rsidRPr="005F1FF6">
        <w:rPr>
          <w:rFonts w:ascii="Times New Roman" w:hAnsi="Times New Roman" w:cs="Times New Roman"/>
          <w:noProof/>
          <w:color w:val="000000" w:themeColor="text1"/>
          <w:sz w:val="24"/>
          <w:szCs w:val="24"/>
        </w:rPr>
        <w:t xml:space="preserve"> </w:t>
      </w:r>
      <w:r w:rsidR="00C02038" w:rsidRPr="005F1FF6">
        <w:rPr>
          <w:rFonts w:ascii="Times New Roman" w:hAnsi="Times New Roman" w:cs="Times New Roman"/>
          <w:noProof/>
          <w:color w:val="000000" w:themeColor="text1"/>
          <w:sz w:val="24"/>
          <w:szCs w:val="24"/>
        </w:rPr>
        <w:t>and those</w:t>
      </w:r>
      <w:r w:rsidRPr="005F1FF6">
        <w:rPr>
          <w:rFonts w:ascii="Times New Roman" w:hAnsi="Times New Roman" w:cs="Times New Roman"/>
          <w:noProof/>
          <w:color w:val="000000" w:themeColor="text1"/>
          <w:sz w:val="24"/>
          <w:szCs w:val="24"/>
        </w:rPr>
        <w:t xml:space="preserve"> projects </w:t>
      </w:r>
      <w:r w:rsidR="00C02038" w:rsidRPr="005F1FF6">
        <w:rPr>
          <w:rFonts w:ascii="Times New Roman" w:hAnsi="Times New Roman" w:cs="Times New Roman"/>
          <w:noProof/>
          <w:color w:val="000000" w:themeColor="text1"/>
          <w:sz w:val="24"/>
          <w:szCs w:val="24"/>
        </w:rPr>
        <w:t xml:space="preserve">that were </w:t>
      </w:r>
      <w:r w:rsidRPr="005F1FF6">
        <w:rPr>
          <w:rFonts w:ascii="Times New Roman" w:hAnsi="Times New Roman" w:cs="Times New Roman"/>
          <w:noProof/>
          <w:color w:val="000000" w:themeColor="text1"/>
          <w:sz w:val="24"/>
          <w:szCs w:val="24"/>
        </w:rPr>
        <w:t xml:space="preserve">affected by the COVID crisis </w:t>
      </w:r>
      <w:r w:rsidR="00CF65ED" w:rsidRPr="005F1FF6">
        <w:rPr>
          <w:rFonts w:ascii="Times New Roman" w:hAnsi="Times New Roman" w:cs="Times New Roman"/>
          <w:noProof/>
          <w:color w:val="000000" w:themeColor="text1"/>
          <w:sz w:val="24"/>
          <w:szCs w:val="24"/>
        </w:rPr>
        <w:t>are</w:t>
      </w:r>
      <w:r w:rsidRPr="005F1FF6">
        <w:rPr>
          <w:rFonts w:ascii="Times New Roman" w:hAnsi="Times New Roman" w:cs="Times New Roman"/>
          <w:noProof/>
          <w:color w:val="000000" w:themeColor="text1"/>
          <w:sz w:val="24"/>
          <w:szCs w:val="24"/>
        </w:rPr>
        <w:t xml:space="preserve"> back on track.</w:t>
      </w:r>
      <w:r w:rsidR="007307EC" w:rsidRPr="005F1FF6">
        <w:rPr>
          <w:rFonts w:ascii="Times New Roman" w:hAnsi="Times New Roman" w:cs="Times New Roman"/>
          <w:noProof/>
          <w:color w:val="000000" w:themeColor="text1"/>
          <w:sz w:val="24"/>
          <w:szCs w:val="24"/>
        </w:rPr>
        <w:t xml:space="preserve"> </w:t>
      </w:r>
      <w:r w:rsidR="00B90C2A" w:rsidRPr="005F1FF6">
        <w:rPr>
          <w:rFonts w:ascii="Times New Roman" w:hAnsi="Times New Roman" w:cs="Times New Roman"/>
          <w:noProof/>
          <w:color w:val="000000" w:themeColor="text1"/>
          <w:sz w:val="24"/>
          <w:szCs w:val="24"/>
        </w:rPr>
        <w:t xml:space="preserve">The </w:t>
      </w:r>
      <w:r w:rsidR="00AB52BF" w:rsidRPr="005F1FF6">
        <w:rPr>
          <w:rFonts w:ascii="Times New Roman" w:hAnsi="Times New Roman" w:cs="Times New Roman"/>
          <w:noProof/>
          <w:color w:val="000000" w:themeColor="text1"/>
          <w:sz w:val="24"/>
          <w:szCs w:val="24"/>
        </w:rPr>
        <w:t>measure</w:t>
      </w:r>
      <w:r w:rsidR="00B90C2A" w:rsidRPr="005F1FF6">
        <w:rPr>
          <w:rFonts w:ascii="Times New Roman" w:hAnsi="Times New Roman" w:cs="Times New Roman"/>
          <w:noProof/>
          <w:color w:val="000000" w:themeColor="text1"/>
          <w:sz w:val="24"/>
          <w:szCs w:val="24"/>
        </w:rPr>
        <w:t>s supported under th</w:t>
      </w:r>
      <w:r w:rsidR="00786FAC" w:rsidRPr="005F1FF6">
        <w:rPr>
          <w:rFonts w:ascii="Times New Roman" w:hAnsi="Times New Roman" w:cs="Times New Roman"/>
          <w:noProof/>
          <w:color w:val="000000" w:themeColor="text1"/>
          <w:sz w:val="24"/>
          <w:szCs w:val="24"/>
        </w:rPr>
        <w:t>e</w:t>
      </w:r>
      <w:r w:rsidR="00B90C2A" w:rsidRPr="005F1FF6">
        <w:rPr>
          <w:rFonts w:ascii="Times New Roman" w:hAnsi="Times New Roman" w:cs="Times New Roman"/>
          <w:noProof/>
          <w:color w:val="000000" w:themeColor="text1"/>
          <w:sz w:val="24"/>
          <w:szCs w:val="24"/>
        </w:rPr>
        <w:t xml:space="preserve"> programme continue to </w:t>
      </w:r>
      <w:r w:rsidR="00AE3049" w:rsidRPr="005F1FF6">
        <w:rPr>
          <w:rFonts w:ascii="Times New Roman" w:hAnsi="Times New Roman" w:cs="Times New Roman"/>
          <w:noProof/>
          <w:color w:val="000000" w:themeColor="text1"/>
          <w:sz w:val="24"/>
          <w:szCs w:val="24"/>
        </w:rPr>
        <w:t>foster</w:t>
      </w:r>
      <w:r w:rsidR="00B90C2A" w:rsidRPr="005F1FF6">
        <w:rPr>
          <w:rFonts w:ascii="Times New Roman" w:hAnsi="Times New Roman" w:cs="Times New Roman"/>
          <w:noProof/>
          <w:color w:val="000000" w:themeColor="text1"/>
          <w:sz w:val="24"/>
          <w:szCs w:val="24"/>
        </w:rPr>
        <w:t xml:space="preserve"> </w:t>
      </w:r>
      <w:r w:rsidR="00E361AF" w:rsidRPr="005F1FF6">
        <w:rPr>
          <w:rFonts w:ascii="Times New Roman" w:hAnsi="Times New Roman" w:cs="Times New Roman"/>
          <w:noProof/>
          <w:color w:val="000000" w:themeColor="text1"/>
          <w:sz w:val="24"/>
          <w:szCs w:val="24"/>
        </w:rPr>
        <w:t>competitiveness</w:t>
      </w:r>
      <w:r w:rsidR="00AE3049" w:rsidRPr="005F1FF6">
        <w:rPr>
          <w:rFonts w:ascii="Times New Roman" w:hAnsi="Times New Roman" w:cs="Times New Roman"/>
          <w:noProof/>
          <w:color w:val="000000" w:themeColor="text1"/>
          <w:sz w:val="24"/>
          <w:szCs w:val="24"/>
        </w:rPr>
        <w:t xml:space="preserve">, </w:t>
      </w:r>
      <w:r w:rsidR="00E361AF" w:rsidRPr="005F1FF6">
        <w:rPr>
          <w:rFonts w:ascii="Times New Roman" w:hAnsi="Times New Roman" w:cs="Times New Roman"/>
          <w:noProof/>
          <w:color w:val="000000" w:themeColor="text1"/>
          <w:sz w:val="24"/>
          <w:szCs w:val="24"/>
        </w:rPr>
        <w:t>growth</w:t>
      </w:r>
      <w:r w:rsidR="00AE3049" w:rsidRPr="005F1FF6">
        <w:rPr>
          <w:rFonts w:ascii="Times New Roman" w:hAnsi="Times New Roman" w:cs="Times New Roman"/>
          <w:noProof/>
          <w:color w:val="000000" w:themeColor="text1"/>
          <w:sz w:val="24"/>
          <w:szCs w:val="24"/>
        </w:rPr>
        <w:t xml:space="preserve"> </w:t>
      </w:r>
      <w:r w:rsidR="00E361AF" w:rsidRPr="005F1FF6">
        <w:rPr>
          <w:rFonts w:ascii="Times New Roman" w:hAnsi="Times New Roman" w:cs="Times New Roman"/>
          <w:noProof/>
          <w:color w:val="000000" w:themeColor="text1"/>
          <w:sz w:val="24"/>
          <w:szCs w:val="24"/>
        </w:rPr>
        <w:t xml:space="preserve">and </w:t>
      </w:r>
      <w:r w:rsidR="00B90C2A" w:rsidRPr="005F1FF6">
        <w:rPr>
          <w:rFonts w:ascii="Times New Roman" w:hAnsi="Times New Roman" w:cs="Times New Roman"/>
          <w:noProof/>
          <w:color w:val="000000" w:themeColor="text1"/>
          <w:sz w:val="24"/>
          <w:szCs w:val="24"/>
        </w:rPr>
        <w:t>employment</w:t>
      </w:r>
      <w:r w:rsidR="00CF65ED" w:rsidRPr="005F1FF6">
        <w:rPr>
          <w:rFonts w:ascii="Times New Roman" w:hAnsi="Times New Roman" w:cs="Times New Roman"/>
          <w:noProof/>
          <w:color w:val="000000" w:themeColor="text1"/>
          <w:sz w:val="24"/>
          <w:szCs w:val="24"/>
        </w:rPr>
        <w:t>,</w:t>
      </w:r>
      <w:r w:rsidR="00DE0DD1" w:rsidRPr="005F1FF6">
        <w:rPr>
          <w:rFonts w:ascii="Times New Roman" w:hAnsi="Times New Roman" w:cs="Times New Roman"/>
          <w:noProof/>
          <w:color w:val="000000" w:themeColor="text1"/>
          <w:sz w:val="24"/>
          <w:szCs w:val="24"/>
        </w:rPr>
        <w:t xml:space="preserve"> </w:t>
      </w:r>
      <w:r w:rsidR="00CF65ED" w:rsidRPr="005F1FF6">
        <w:rPr>
          <w:rFonts w:ascii="Times New Roman" w:hAnsi="Times New Roman" w:cs="Times New Roman"/>
          <w:noProof/>
          <w:color w:val="000000" w:themeColor="text1"/>
          <w:sz w:val="24"/>
          <w:szCs w:val="24"/>
        </w:rPr>
        <w:t xml:space="preserve">while </w:t>
      </w:r>
      <w:r w:rsidR="00DE0DD1" w:rsidRPr="005F1FF6">
        <w:rPr>
          <w:rFonts w:ascii="Times New Roman" w:hAnsi="Times New Roman" w:cs="Times New Roman"/>
          <w:noProof/>
          <w:color w:val="000000" w:themeColor="text1"/>
          <w:sz w:val="24"/>
          <w:szCs w:val="24"/>
        </w:rPr>
        <w:t>many projects across the programme, in particular EEN and the support measures for clusters</w:t>
      </w:r>
      <w:r w:rsidR="00CF65ED" w:rsidRPr="005F1FF6">
        <w:rPr>
          <w:rFonts w:ascii="Times New Roman" w:hAnsi="Times New Roman" w:cs="Times New Roman"/>
          <w:noProof/>
          <w:color w:val="000000" w:themeColor="text1"/>
          <w:sz w:val="24"/>
          <w:szCs w:val="24"/>
        </w:rPr>
        <w:t>,</w:t>
      </w:r>
      <w:r w:rsidR="00DE0DD1" w:rsidRPr="005F1FF6">
        <w:rPr>
          <w:rFonts w:ascii="Times New Roman" w:hAnsi="Times New Roman" w:cs="Times New Roman"/>
          <w:noProof/>
          <w:color w:val="000000" w:themeColor="text1"/>
          <w:sz w:val="24"/>
          <w:szCs w:val="24"/>
        </w:rPr>
        <w:t xml:space="preserve"> have demonstrated their capacity to address</w:t>
      </w:r>
      <w:r w:rsidR="00B90C2A" w:rsidRPr="005F1FF6">
        <w:rPr>
          <w:rFonts w:ascii="Times New Roman" w:hAnsi="Times New Roman" w:cs="Times New Roman"/>
          <w:noProof/>
          <w:color w:val="000000" w:themeColor="text1"/>
          <w:sz w:val="24"/>
          <w:szCs w:val="24"/>
        </w:rPr>
        <w:t xml:space="preserve"> </w:t>
      </w:r>
      <w:r w:rsidR="00CF65ED" w:rsidRPr="005F1FF6">
        <w:rPr>
          <w:rFonts w:ascii="Times New Roman" w:hAnsi="Times New Roman" w:cs="Times New Roman"/>
          <w:noProof/>
          <w:color w:val="000000" w:themeColor="text1"/>
          <w:sz w:val="24"/>
          <w:szCs w:val="24"/>
        </w:rPr>
        <w:t xml:space="preserve">SMEs’ </w:t>
      </w:r>
      <w:r w:rsidR="00B90C2A" w:rsidRPr="005F1FF6">
        <w:rPr>
          <w:rFonts w:ascii="Times New Roman" w:hAnsi="Times New Roman" w:cs="Times New Roman"/>
          <w:noProof/>
          <w:color w:val="000000" w:themeColor="text1"/>
          <w:sz w:val="24"/>
          <w:szCs w:val="24"/>
        </w:rPr>
        <w:t>evolving needs</w:t>
      </w:r>
      <w:r w:rsidR="00AE3049" w:rsidRPr="005F1FF6">
        <w:rPr>
          <w:rFonts w:ascii="Times New Roman" w:hAnsi="Times New Roman" w:cs="Times New Roman"/>
          <w:noProof/>
          <w:color w:val="000000" w:themeColor="text1"/>
          <w:sz w:val="24"/>
          <w:szCs w:val="24"/>
        </w:rPr>
        <w:t xml:space="preserve"> and respond flexibly to</w:t>
      </w:r>
      <w:r w:rsidR="00B90C2A" w:rsidRPr="005F1FF6">
        <w:rPr>
          <w:rFonts w:ascii="Times New Roman" w:hAnsi="Times New Roman" w:cs="Times New Roman"/>
          <w:noProof/>
          <w:color w:val="000000" w:themeColor="text1"/>
          <w:sz w:val="24"/>
          <w:szCs w:val="24"/>
        </w:rPr>
        <w:t xml:space="preserve"> new challenges.</w:t>
      </w:r>
    </w:p>
    <w:p w14:paraId="134CEE12" w14:textId="77777777" w:rsidR="007418A9" w:rsidRPr="005F1FF6" w:rsidRDefault="007418A9" w:rsidP="005F1FF6">
      <w:pPr>
        <w:spacing w:before="120" w:after="0" w:line="240" w:lineRule="auto"/>
        <w:jc w:val="both"/>
        <w:rPr>
          <w:rFonts w:ascii="Times New Roman" w:hAnsi="Times New Roman" w:cs="Times New Roman"/>
          <w:noProof/>
          <w:color w:val="000000" w:themeColor="text1"/>
          <w:sz w:val="24"/>
          <w:szCs w:val="24"/>
        </w:rPr>
      </w:pPr>
    </w:p>
    <w:p w14:paraId="69E53744" w14:textId="0968C4A7" w:rsidR="007418A9" w:rsidRPr="005E76F6" w:rsidRDefault="007418A9" w:rsidP="007418A9">
      <w:pPr>
        <w:spacing w:before="120" w:after="0"/>
        <w:jc w:val="both"/>
        <w:rPr>
          <w:rFonts w:ascii="Times New Roman" w:hAnsi="Times New Roman" w:cs="Times New Roman"/>
          <w:noProof/>
          <w:color w:val="000000" w:themeColor="text1"/>
          <w:sz w:val="24"/>
          <w:szCs w:val="24"/>
        </w:rPr>
        <w:sectPr w:rsidR="007418A9" w:rsidRPr="005E76F6" w:rsidSect="003F50F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20"/>
          <w:docGrid w:linePitch="360"/>
        </w:sectPr>
      </w:pPr>
    </w:p>
    <w:p w14:paraId="39B7FCC9" w14:textId="50BE1198" w:rsidR="0099280E" w:rsidRPr="005E76F6" w:rsidRDefault="00660BB3" w:rsidP="007418A9">
      <w:pPr>
        <w:pStyle w:val="Heading1"/>
        <w:numPr>
          <w:ilvl w:val="0"/>
          <w:numId w:val="0"/>
        </w:numPr>
        <w:rPr>
          <w:noProof/>
        </w:rPr>
      </w:pPr>
      <w:bookmarkStart w:id="39" w:name="_Toc146623402"/>
      <w:r w:rsidRPr="005E76F6">
        <w:rPr>
          <w:noProof/>
        </w:rPr>
        <w:t>Annex</w:t>
      </w:r>
      <w:r w:rsidR="000136F5" w:rsidRPr="005E76F6">
        <w:rPr>
          <w:noProof/>
        </w:rPr>
        <w:t xml:space="preserve"> </w:t>
      </w:r>
      <w:r w:rsidR="00B8409B" w:rsidRPr="005E76F6">
        <w:rPr>
          <w:noProof/>
        </w:rPr>
        <w:t>1</w:t>
      </w:r>
      <w:r w:rsidR="000B392D" w:rsidRPr="005E76F6">
        <w:rPr>
          <w:noProof/>
        </w:rPr>
        <w:t xml:space="preserve"> </w:t>
      </w:r>
      <w:r w:rsidR="00A902FC" w:rsidRPr="005E76F6">
        <w:rPr>
          <w:noProof/>
        </w:rPr>
        <w:t>–</w:t>
      </w:r>
      <w:r w:rsidR="000B392D" w:rsidRPr="005E76F6">
        <w:rPr>
          <w:noProof/>
        </w:rPr>
        <w:t xml:space="preserve"> </w:t>
      </w:r>
      <w:r w:rsidR="0099280E" w:rsidRPr="005E76F6">
        <w:rPr>
          <w:noProof/>
        </w:rPr>
        <w:t>Implementation of the COSME 20</w:t>
      </w:r>
      <w:r w:rsidR="00B8409B" w:rsidRPr="005E76F6">
        <w:rPr>
          <w:noProof/>
        </w:rPr>
        <w:t>20</w:t>
      </w:r>
      <w:r w:rsidR="0099280E" w:rsidRPr="005E76F6">
        <w:rPr>
          <w:noProof/>
        </w:rPr>
        <w:t xml:space="preserve"> </w:t>
      </w:r>
      <w:r w:rsidR="00321AB8" w:rsidRPr="005E76F6">
        <w:rPr>
          <w:noProof/>
        </w:rPr>
        <w:t>b</w:t>
      </w:r>
      <w:r w:rsidR="00661F85" w:rsidRPr="005E76F6">
        <w:rPr>
          <w:noProof/>
        </w:rPr>
        <w:t>udget</w:t>
      </w:r>
      <w:bookmarkEnd w:id="39"/>
    </w:p>
    <w:p w14:paraId="23F03714" w14:textId="4C11EBAD" w:rsidR="00661F85" w:rsidRPr="00B834DC" w:rsidRDefault="00661F85" w:rsidP="00676DFD">
      <w:pPr>
        <w:spacing w:after="60"/>
        <w:rPr>
          <w:rFonts w:ascii="Times New Roman" w:hAnsi="Times New Roman" w:cs="Times New Roman"/>
          <w:b/>
          <w:noProof/>
          <w:sz w:val="24"/>
          <w:szCs w:val="24"/>
        </w:rPr>
      </w:pPr>
      <w:r w:rsidRPr="00B834DC">
        <w:rPr>
          <w:rFonts w:ascii="Times New Roman" w:hAnsi="Times New Roman" w:cs="Times New Roman"/>
          <w:b/>
          <w:noProof/>
          <w:sz w:val="24"/>
          <w:szCs w:val="24"/>
        </w:rPr>
        <w:t xml:space="preserve">(all figures are in </w:t>
      </w:r>
      <w:r w:rsidR="00FE2948" w:rsidRPr="00B834DC">
        <w:rPr>
          <w:rFonts w:ascii="Times New Roman" w:hAnsi="Times New Roman" w:cs="Times New Roman"/>
          <w:b/>
          <w:noProof/>
          <w:sz w:val="24"/>
          <w:szCs w:val="24"/>
        </w:rPr>
        <w:t>euro</w:t>
      </w:r>
      <w:r w:rsidRPr="00B834DC">
        <w:rPr>
          <w:rFonts w:ascii="Times New Roman" w:hAnsi="Times New Roman" w:cs="Times New Roman"/>
          <w:b/>
          <w:noProof/>
          <w:sz w:val="24"/>
          <w:szCs w:val="24"/>
        </w:rPr>
        <w:t>)</w:t>
      </w:r>
    </w:p>
    <w:p w14:paraId="671006EA" w14:textId="2732D7D7" w:rsidR="00B8409B" w:rsidRPr="00B834DC" w:rsidRDefault="00B8409B" w:rsidP="00676DFD">
      <w:pPr>
        <w:spacing w:after="60"/>
        <w:rPr>
          <w:rFonts w:ascii="Times New Roman" w:hAnsi="Times New Roman" w:cs="Times New Roman"/>
          <w:b/>
          <w:noProof/>
          <w:sz w:val="24"/>
          <w:szCs w:val="24"/>
        </w:rPr>
      </w:pPr>
    </w:p>
    <w:tbl>
      <w:tblPr>
        <w:tblW w:w="14056" w:type="dxa"/>
        <w:tblInd w:w="118" w:type="dxa"/>
        <w:tblLook w:val="04A0" w:firstRow="1" w:lastRow="0" w:firstColumn="1" w:lastColumn="0" w:noHBand="0" w:noVBand="1"/>
      </w:tblPr>
      <w:tblGrid>
        <w:gridCol w:w="1190"/>
        <w:gridCol w:w="2003"/>
        <w:gridCol w:w="1759"/>
        <w:gridCol w:w="1984"/>
        <w:gridCol w:w="1276"/>
        <w:gridCol w:w="425"/>
        <w:gridCol w:w="1985"/>
        <w:gridCol w:w="1984"/>
        <w:gridCol w:w="1450"/>
      </w:tblGrid>
      <w:tr w:rsidR="00B834DC" w:rsidRPr="00B06C73" w14:paraId="28B114FD" w14:textId="77777777" w:rsidTr="00B834DC">
        <w:trPr>
          <w:trHeight w:val="315"/>
        </w:trPr>
        <w:tc>
          <w:tcPr>
            <w:tcW w:w="1190" w:type="dxa"/>
            <w:vMerge w:val="restart"/>
            <w:tcBorders>
              <w:top w:val="single" w:sz="8" w:space="0" w:color="auto"/>
              <w:left w:val="single" w:sz="8" w:space="0" w:color="auto"/>
              <w:bottom w:val="single" w:sz="8" w:space="0" w:color="000000"/>
              <w:right w:val="single" w:sz="8" w:space="0" w:color="auto"/>
            </w:tcBorders>
            <w:shd w:val="clear" w:color="000000" w:fill="FFFFFF"/>
            <w:noWrap/>
            <w:hideMark/>
          </w:tcPr>
          <w:p w14:paraId="205ED3BC" w14:textId="36FEBE90"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200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ED8858" w14:textId="1CE93496"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5019" w:type="dxa"/>
            <w:gridSpan w:val="3"/>
            <w:tcBorders>
              <w:top w:val="single" w:sz="8" w:space="0" w:color="auto"/>
              <w:left w:val="nil"/>
              <w:bottom w:val="single" w:sz="8" w:space="0" w:color="auto"/>
              <w:right w:val="single" w:sz="8" w:space="0" w:color="000000"/>
            </w:tcBorders>
            <w:shd w:val="clear" w:color="000000" w:fill="C0C0C0"/>
            <w:vAlign w:val="center"/>
            <w:hideMark/>
          </w:tcPr>
          <w:p w14:paraId="639488E2" w14:textId="77777777" w:rsidR="00253611" w:rsidRPr="00B834DC" w:rsidRDefault="00253611" w:rsidP="00253611">
            <w:pPr>
              <w:spacing w:after="0" w:line="240" w:lineRule="auto"/>
              <w:jc w:val="center"/>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Commitments</w:t>
            </w:r>
          </w:p>
        </w:tc>
        <w:tc>
          <w:tcPr>
            <w:tcW w:w="425" w:type="dxa"/>
            <w:tcBorders>
              <w:top w:val="single" w:sz="8" w:space="0" w:color="auto"/>
              <w:left w:val="nil"/>
              <w:bottom w:val="single" w:sz="8" w:space="0" w:color="auto"/>
              <w:right w:val="single" w:sz="8" w:space="0" w:color="auto"/>
            </w:tcBorders>
            <w:shd w:val="clear" w:color="000000" w:fill="D9D9D9"/>
            <w:vAlign w:val="center"/>
            <w:hideMark/>
          </w:tcPr>
          <w:p w14:paraId="54543C1D" w14:textId="3993272C" w:rsidR="00253611" w:rsidRPr="00B834DC" w:rsidRDefault="00253611" w:rsidP="00253611">
            <w:pPr>
              <w:spacing w:after="0" w:line="240" w:lineRule="auto"/>
              <w:jc w:val="center"/>
              <w:rPr>
                <w:rFonts w:ascii="Times New Roman" w:eastAsia="Times New Roman" w:hAnsi="Times New Roman" w:cs="Times New Roman"/>
                <w:b/>
                <w:bCs/>
                <w:noProof/>
                <w:color w:val="000000"/>
                <w:sz w:val="24"/>
                <w:szCs w:val="24"/>
                <w:lang w:eastAsia="en-IE"/>
              </w:rPr>
            </w:pPr>
          </w:p>
        </w:tc>
        <w:tc>
          <w:tcPr>
            <w:tcW w:w="5419" w:type="dxa"/>
            <w:gridSpan w:val="3"/>
            <w:tcBorders>
              <w:top w:val="single" w:sz="8" w:space="0" w:color="auto"/>
              <w:left w:val="nil"/>
              <w:bottom w:val="single" w:sz="8" w:space="0" w:color="auto"/>
              <w:right w:val="single" w:sz="8" w:space="0" w:color="000000"/>
            </w:tcBorders>
            <w:shd w:val="clear" w:color="000000" w:fill="C0C0C0"/>
            <w:vAlign w:val="center"/>
            <w:hideMark/>
          </w:tcPr>
          <w:p w14:paraId="3E930199" w14:textId="77777777" w:rsidR="00253611" w:rsidRPr="00B834DC" w:rsidRDefault="00253611" w:rsidP="00253611">
            <w:pPr>
              <w:spacing w:after="0" w:line="240" w:lineRule="auto"/>
              <w:jc w:val="center"/>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Payments</w:t>
            </w:r>
          </w:p>
        </w:tc>
      </w:tr>
      <w:tr w:rsidR="00B834DC" w:rsidRPr="00B06C73" w14:paraId="042396D9" w14:textId="77777777" w:rsidTr="00B834DC">
        <w:trPr>
          <w:trHeight w:val="315"/>
        </w:trPr>
        <w:tc>
          <w:tcPr>
            <w:tcW w:w="1190" w:type="dxa"/>
            <w:vMerge/>
            <w:tcBorders>
              <w:top w:val="single" w:sz="8" w:space="0" w:color="auto"/>
              <w:left w:val="single" w:sz="8" w:space="0" w:color="auto"/>
              <w:bottom w:val="single" w:sz="8" w:space="0" w:color="000000"/>
              <w:right w:val="single" w:sz="8" w:space="0" w:color="auto"/>
            </w:tcBorders>
            <w:vAlign w:val="center"/>
            <w:hideMark/>
          </w:tcPr>
          <w:p w14:paraId="2C7EEF8D"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2003" w:type="dxa"/>
            <w:vMerge/>
            <w:tcBorders>
              <w:top w:val="single" w:sz="8" w:space="0" w:color="auto"/>
              <w:left w:val="single" w:sz="8" w:space="0" w:color="auto"/>
              <w:bottom w:val="single" w:sz="8" w:space="0" w:color="000000"/>
              <w:right w:val="single" w:sz="8" w:space="0" w:color="auto"/>
            </w:tcBorders>
            <w:vAlign w:val="center"/>
            <w:hideMark/>
          </w:tcPr>
          <w:p w14:paraId="1CB8AC32"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5019" w:type="dxa"/>
            <w:gridSpan w:val="3"/>
            <w:tcBorders>
              <w:top w:val="single" w:sz="8" w:space="0" w:color="auto"/>
              <w:left w:val="nil"/>
              <w:bottom w:val="single" w:sz="8" w:space="0" w:color="auto"/>
              <w:right w:val="single" w:sz="8" w:space="0" w:color="000000"/>
            </w:tcBorders>
            <w:shd w:val="clear" w:color="000000" w:fill="C0C0C0"/>
            <w:vAlign w:val="center"/>
            <w:hideMark/>
          </w:tcPr>
          <w:p w14:paraId="73B2C7F0" w14:textId="77777777" w:rsidR="00253611" w:rsidRPr="00B834DC" w:rsidRDefault="00253611" w:rsidP="00253611">
            <w:pPr>
              <w:spacing w:after="0" w:line="240" w:lineRule="auto"/>
              <w:rPr>
                <w:rFonts w:ascii="Times New Roman" w:eastAsia="Times New Roman" w:hAnsi="Times New Roman" w:cs="Times New Roman"/>
                <w:i/>
                <w:iCs/>
                <w:noProof/>
                <w:color w:val="000000"/>
                <w:sz w:val="24"/>
                <w:szCs w:val="24"/>
                <w:lang w:eastAsia="en-IE"/>
              </w:rPr>
            </w:pPr>
            <w:r w:rsidRPr="00B834DC">
              <w:rPr>
                <w:rFonts w:ascii="Times New Roman" w:eastAsia="Times New Roman" w:hAnsi="Times New Roman" w:cs="Times New Roman"/>
                <w:i/>
                <w:iCs/>
                <w:noProof/>
                <w:color w:val="000000"/>
                <w:sz w:val="24"/>
                <w:szCs w:val="24"/>
                <w:lang w:eastAsia="en-IE"/>
              </w:rPr>
              <w:t>all fund sources</w:t>
            </w:r>
          </w:p>
        </w:tc>
        <w:tc>
          <w:tcPr>
            <w:tcW w:w="425" w:type="dxa"/>
            <w:tcBorders>
              <w:top w:val="nil"/>
              <w:left w:val="nil"/>
              <w:bottom w:val="single" w:sz="8" w:space="0" w:color="auto"/>
              <w:right w:val="single" w:sz="8" w:space="0" w:color="auto"/>
            </w:tcBorders>
            <w:shd w:val="clear" w:color="000000" w:fill="D9D9D9"/>
            <w:vAlign w:val="center"/>
            <w:hideMark/>
          </w:tcPr>
          <w:p w14:paraId="2CAD30DC" w14:textId="5D52A42A"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5419" w:type="dxa"/>
            <w:gridSpan w:val="3"/>
            <w:tcBorders>
              <w:top w:val="single" w:sz="8" w:space="0" w:color="auto"/>
              <w:left w:val="nil"/>
              <w:bottom w:val="single" w:sz="8" w:space="0" w:color="auto"/>
              <w:right w:val="single" w:sz="8" w:space="0" w:color="000000"/>
            </w:tcBorders>
            <w:shd w:val="clear" w:color="000000" w:fill="C0C0C0"/>
            <w:vAlign w:val="center"/>
            <w:hideMark/>
          </w:tcPr>
          <w:p w14:paraId="0B382657" w14:textId="77777777" w:rsidR="00253611" w:rsidRPr="00B834DC" w:rsidRDefault="00253611" w:rsidP="00253611">
            <w:pPr>
              <w:spacing w:after="0" w:line="240" w:lineRule="auto"/>
              <w:rPr>
                <w:rFonts w:ascii="Times New Roman" w:eastAsia="Times New Roman" w:hAnsi="Times New Roman" w:cs="Times New Roman"/>
                <w:i/>
                <w:iCs/>
                <w:noProof/>
                <w:color w:val="000000"/>
                <w:sz w:val="24"/>
                <w:szCs w:val="24"/>
                <w:lang w:eastAsia="en-IE"/>
              </w:rPr>
            </w:pPr>
            <w:r w:rsidRPr="00B834DC">
              <w:rPr>
                <w:rFonts w:ascii="Times New Roman" w:eastAsia="Times New Roman" w:hAnsi="Times New Roman" w:cs="Times New Roman"/>
                <w:i/>
                <w:iCs/>
                <w:noProof/>
                <w:color w:val="000000"/>
                <w:sz w:val="24"/>
                <w:szCs w:val="24"/>
                <w:lang w:eastAsia="en-IE"/>
              </w:rPr>
              <w:t>all fund sources</w:t>
            </w:r>
          </w:p>
        </w:tc>
      </w:tr>
      <w:tr w:rsidR="00B06C73" w:rsidRPr="00B06C73" w14:paraId="5C78454E" w14:textId="77777777" w:rsidTr="00B834DC">
        <w:trPr>
          <w:trHeight w:val="705"/>
        </w:trPr>
        <w:tc>
          <w:tcPr>
            <w:tcW w:w="1190" w:type="dxa"/>
            <w:vMerge w:val="restart"/>
            <w:tcBorders>
              <w:top w:val="nil"/>
              <w:left w:val="single" w:sz="8" w:space="0" w:color="auto"/>
              <w:bottom w:val="single" w:sz="8" w:space="0" w:color="000000"/>
              <w:right w:val="single" w:sz="8" w:space="0" w:color="auto"/>
            </w:tcBorders>
            <w:shd w:val="clear" w:color="000000" w:fill="C0C0C0"/>
            <w:noWrap/>
            <w:hideMark/>
          </w:tcPr>
          <w:p w14:paraId="645EC1FF" w14:textId="4670CFA6"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 xml:space="preserve">Budget </w:t>
            </w:r>
            <w:r w:rsidR="00841D24" w:rsidRPr="00B834DC">
              <w:rPr>
                <w:rFonts w:ascii="Times New Roman" w:eastAsia="Times New Roman" w:hAnsi="Times New Roman" w:cs="Times New Roman"/>
                <w:noProof/>
                <w:color w:val="000000"/>
                <w:sz w:val="24"/>
                <w:szCs w:val="24"/>
                <w:lang w:eastAsia="en-IE"/>
              </w:rPr>
              <w:t>l</w:t>
            </w:r>
            <w:r w:rsidRPr="00B834DC">
              <w:rPr>
                <w:rFonts w:ascii="Times New Roman" w:eastAsia="Times New Roman" w:hAnsi="Times New Roman" w:cs="Times New Roman"/>
                <w:noProof/>
                <w:color w:val="000000"/>
                <w:sz w:val="24"/>
                <w:szCs w:val="24"/>
                <w:lang w:eastAsia="en-IE"/>
              </w:rPr>
              <w:t>ine</w:t>
            </w:r>
          </w:p>
        </w:tc>
        <w:tc>
          <w:tcPr>
            <w:tcW w:w="2003"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2453233" w14:textId="70DAFED3"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1759"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53A38AD8"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Initial budget</w:t>
            </w:r>
          </w:p>
        </w:tc>
        <w:tc>
          <w:tcPr>
            <w:tcW w:w="1984"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441262C6"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Budget implemented</w:t>
            </w:r>
          </w:p>
        </w:tc>
        <w:tc>
          <w:tcPr>
            <w:tcW w:w="1276" w:type="dxa"/>
            <w:tcBorders>
              <w:top w:val="nil"/>
              <w:left w:val="nil"/>
              <w:bottom w:val="single" w:sz="8" w:space="0" w:color="auto"/>
              <w:right w:val="single" w:sz="8" w:space="0" w:color="auto"/>
            </w:tcBorders>
            <w:shd w:val="clear" w:color="000000" w:fill="C0C0C0"/>
            <w:vAlign w:val="center"/>
            <w:hideMark/>
          </w:tcPr>
          <w:p w14:paraId="10642BC3"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Execution</w:t>
            </w:r>
          </w:p>
        </w:tc>
        <w:tc>
          <w:tcPr>
            <w:tcW w:w="425" w:type="dxa"/>
            <w:tcBorders>
              <w:top w:val="nil"/>
              <w:left w:val="nil"/>
              <w:bottom w:val="single" w:sz="8" w:space="0" w:color="auto"/>
              <w:right w:val="single" w:sz="8" w:space="0" w:color="auto"/>
            </w:tcBorders>
            <w:shd w:val="clear" w:color="000000" w:fill="D9D9D9"/>
            <w:vAlign w:val="center"/>
            <w:hideMark/>
          </w:tcPr>
          <w:p w14:paraId="6DEF858B" w14:textId="1C6ED798"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p>
        </w:tc>
        <w:tc>
          <w:tcPr>
            <w:tcW w:w="1985"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8E31E0F"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Credits available for payments</w:t>
            </w:r>
          </w:p>
        </w:tc>
        <w:tc>
          <w:tcPr>
            <w:tcW w:w="1984"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5C04E2F7"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Payment executed</w:t>
            </w:r>
          </w:p>
        </w:tc>
        <w:tc>
          <w:tcPr>
            <w:tcW w:w="1450" w:type="dxa"/>
            <w:tcBorders>
              <w:top w:val="nil"/>
              <w:left w:val="nil"/>
              <w:bottom w:val="single" w:sz="8" w:space="0" w:color="auto"/>
              <w:right w:val="single" w:sz="8" w:space="0" w:color="auto"/>
            </w:tcBorders>
            <w:shd w:val="clear" w:color="000000" w:fill="C0C0C0"/>
            <w:vAlign w:val="center"/>
            <w:hideMark/>
          </w:tcPr>
          <w:p w14:paraId="4283FC71"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Execution</w:t>
            </w:r>
          </w:p>
        </w:tc>
      </w:tr>
      <w:tr w:rsidR="00B06C73" w:rsidRPr="00B06C73" w14:paraId="0C3A373A" w14:textId="77777777" w:rsidTr="00B834DC">
        <w:trPr>
          <w:trHeight w:val="315"/>
        </w:trPr>
        <w:tc>
          <w:tcPr>
            <w:tcW w:w="1190" w:type="dxa"/>
            <w:vMerge/>
            <w:tcBorders>
              <w:top w:val="nil"/>
              <w:left w:val="single" w:sz="8" w:space="0" w:color="auto"/>
              <w:bottom w:val="single" w:sz="8" w:space="0" w:color="000000"/>
              <w:right w:val="single" w:sz="8" w:space="0" w:color="auto"/>
            </w:tcBorders>
            <w:vAlign w:val="center"/>
            <w:hideMark/>
          </w:tcPr>
          <w:p w14:paraId="0D079B67"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2003" w:type="dxa"/>
            <w:vMerge/>
            <w:tcBorders>
              <w:top w:val="nil"/>
              <w:left w:val="single" w:sz="8" w:space="0" w:color="auto"/>
              <w:bottom w:val="single" w:sz="8" w:space="0" w:color="000000"/>
              <w:right w:val="single" w:sz="8" w:space="0" w:color="auto"/>
            </w:tcBorders>
            <w:vAlign w:val="center"/>
            <w:hideMark/>
          </w:tcPr>
          <w:p w14:paraId="77E17EA1"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1759" w:type="dxa"/>
            <w:vMerge/>
            <w:tcBorders>
              <w:top w:val="nil"/>
              <w:left w:val="single" w:sz="8" w:space="0" w:color="auto"/>
              <w:bottom w:val="single" w:sz="8" w:space="0" w:color="000000"/>
              <w:right w:val="single" w:sz="8" w:space="0" w:color="auto"/>
            </w:tcBorders>
            <w:vAlign w:val="center"/>
            <w:hideMark/>
          </w:tcPr>
          <w:p w14:paraId="20C3D9E1"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1984" w:type="dxa"/>
            <w:vMerge/>
            <w:tcBorders>
              <w:top w:val="nil"/>
              <w:left w:val="single" w:sz="8" w:space="0" w:color="auto"/>
              <w:bottom w:val="single" w:sz="8" w:space="0" w:color="000000"/>
              <w:right w:val="single" w:sz="8" w:space="0" w:color="auto"/>
            </w:tcBorders>
            <w:vAlign w:val="center"/>
            <w:hideMark/>
          </w:tcPr>
          <w:p w14:paraId="148A5C17"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1276" w:type="dxa"/>
            <w:tcBorders>
              <w:top w:val="nil"/>
              <w:left w:val="nil"/>
              <w:bottom w:val="single" w:sz="8" w:space="0" w:color="auto"/>
              <w:right w:val="single" w:sz="8" w:space="0" w:color="auto"/>
            </w:tcBorders>
            <w:shd w:val="clear" w:color="000000" w:fill="C0C0C0"/>
            <w:vAlign w:val="center"/>
            <w:hideMark/>
          </w:tcPr>
          <w:p w14:paraId="1AFB9F8C"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w:t>
            </w:r>
          </w:p>
        </w:tc>
        <w:tc>
          <w:tcPr>
            <w:tcW w:w="425" w:type="dxa"/>
            <w:tcBorders>
              <w:top w:val="nil"/>
              <w:left w:val="nil"/>
              <w:bottom w:val="single" w:sz="8" w:space="0" w:color="auto"/>
              <w:right w:val="single" w:sz="8" w:space="0" w:color="auto"/>
            </w:tcBorders>
            <w:shd w:val="clear" w:color="000000" w:fill="D9D9D9"/>
            <w:vAlign w:val="center"/>
            <w:hideMark/>
          </w:tcPr>
          <w:p w14:paraId="42247262" w14:textId="6351AE45"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p>
        </w:tc>
        <w:tc>
          <w:tcPr>
            <w:tcW w:w="1985" w:type="dxa"/>
            <w:vMerge/>
            <w:tcBorders>
              <w:top w:val="nil"/>
              <w:left w:val="single" w:sz="8" w:space="0" w:color="auto"/>
              <w:bottom w:val="single" w:sz="8" w:space="0" w:color="000000"/>
              <w:right w:val="single" w:sz="8" w:space="0" w:color="auto"/>
            </w:tcBorders>
            <w:vAlign w:val="center"/>
            <w:hideMark/>
          </w:tcPr>
          <w:p w14:paraId="0B45001B"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1984" w:type="dxa"/>
            <w:vMerge/>
            <w:tcBorders>
              <w:top w:val="nil"/>
              <w:left w:val="single" w:sz="8" w:space="0" w:color="auto"/>
              <w:bottom w:val="single" w:sz="8" w:space="0" w:color="000000"/>
              <w:right w:val="single" w:sz="8" w:space="0" w:color="auto"/>
            </w:tcBorders>
            <w:vAlign w:val="center"/>
            <w:hideMark/>
          </w:tcPr>
          <w:p w14:paraId="7121D1DD" w14:textId="77777777"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1450" w:type="dxa"/>
            <w:tcBorders>
              <w:top w:val="nil"/>
              <w:left w:val="nil"/>
              <w:bottom w:val="single" w:sz="8" w:space="0" w:color="auto"/>
              <w:right w:val="single" w:sz="8" w:space="0" w:color="auto"/>
            </w:tcBorders>
            <w:shd w:val="clear" w:color="000000" w:fill="C0C0C0"/>
            <w:vAlign w:val="center"/>
            <w:hideMark/>
          </w:tcPr>
          <w:p w14:paraId="397D051F" w14:textId="77777777" w:rsidR="00253611" w:rsidRPr="00B834DC" w:rsidRDefault="00253611" w:rsidP="00253611">
            <w:pPr>
              <w:spacing w:after="0" w:line="240" w:lineRule="auto"/>
              <w:jc w:val="center"/>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w:t>
            </w:r>
          </w:p>
        </w:tc>
      </w:tr>
      <w:tr w:rsidR="00B06C73" w:rsidRPr="00B06C73" w14:paraId="733DE7FA" w14:textId="77777777" w:rsidTr="00B834DC">
        <w:trPr>
          <w:trHeight w:val="315"/>
        </w:trPr>
        <w:tc>
          <w:tcPr>
            <w:tcW w:w="1190" w:type="dxa"/>
            <w:tcBorders>
              <w:top w:val="nil"/>
              <w:left w:val="single" w:sz="8" w:space="0" w:color="auto"/>
              <w:bottom w:val="single" w:sz="8" w:space="0" w:color="auto"/>
              <w:right w:val="single" w:sz="8" w:space="0" w:color="auto"/>
            </w:tcBorders>
            <w:shd w:val="clear" w:color="auto" w:fill="auto"/>
            <w:noWrap/>
            <w:hideMark/>
          </w:tcPr>
          <w:p w14:paraId="3065720E"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02 02 02</w:t>
            </w:r>
          </w:p>
        </w:tc>
        <w:tc>
          <w:tcPr>
            <w:tcW w:w="2003" w:type="dxa"/>
            <w:tcBorders>
              <w:top w:val="nil"/>
              <w:left w:val="nil"/>
              <w:bottom w:val="single" w:sz="8" w:space="0" w:color="auto"/>
              <w:right w:val="single" w:sz="8" w:space="0" w:color="auto"/>
            </w:tcBorders>
            <w:shd w:val="clear" w:color="auto" w:fill="auto"/>
            <w:noWrap/>
            <w:vAlign w:val="center"/>
            <w:hideMark/>
          </w:tcPr>
          <w:p w14:paraId="3ED54F97"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Access to finance</w:t>
            </w:r>
          </w:p>
        </w:tc>
        <w:tc>
          <w:tcPr>
            <w:tcW w:w="1759" w:type="dxa"/>
            <w:tcBorders>
              <w:top w:val="nil"/>
              <w:left w:val="nil"/>
              <w:bottom w:val="single" w:sz="8" w:space="0" w:color="auto"/>
              <w:right w:val="single" w:sz="8" w:space="0" w:color="auto"/>
            </w:tcBorders>
            <w:shd w:val="clear" w:color="auto" w:fill="auto"/>
            <w:noWrap/>
            <w:vAlign w:val="center"/>
            <w:hideMark/>
          </w:tcPr>
          <w:p w14:paraId="185B18CB" w14:textId="006D2BC6"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290</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041</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750</w:t>
            </w:r>
          </w:p>
        </w:tc>
        <w:tc>
          <w:tcPr>
            <w:tcW w:w="1984" w:type="dxa"/>
            <w:tcBorders>
              <w:top w:val="nil"/>
              <w:left w:val="nil"/>
              <w:bottom w:val="single" w:sz="8" w:space="0" w:color="auto"/>
              <w:right w:val="single" w:sz="8" w:space="0" w:color="auto"/>
            </w:tcBorders>
            <w:shd w:val="clear" w:color="auto" w:fill="auto"/>
            <w:noWrap/>
            <w:vAlign w:val="center"/>
            <w:hideMark/>
          </w:tcPr>
          <w:p w14:paraId="79D2DB6A" w14:textId="467E140D"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290</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041</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750</w:t>
            </w:r>
          </w:p>
        </w:tc>
        <w:tc>
          <w:tcPr>
            <w:tcW w:w="1276" w:type="dxa"/>
            <w:tcBorders>
              <w:top w:val="nil"/>
              <w:left w:val="nil"/>
              <w:bottom w:val="single" w:sz="8" w:space="0" w:color="auto"/>
              <w:right w:val="single" w:sz="8" w:space="0" w:color="auto"/>
            </w:tcBorders>
            <w:shd w:val="clear" w:color="auto" w:fill="auto"/>
            <w:vAlign w:val="center"/>
            <w:hideMark/>
          </w:tcPr>
          <w:p w14:paraId="29387023" w14:textId="77777777"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100%</w:t>
            </w:r>
          </w:p>
        </w:tc>
        <w:tc>
          <w:tcPr>
            <w:tcW w:w="425" w:type="dxa"/>
            <w:tcBorders>
              <w:top w:val="nil"/>
              <w:left w:val="nil"/>
              <w:bottom w:val="single" w:sz="8" w:space="0" w:color="auto"/>
              <w:right w:val="single" w:sz="8" w:space="0" w:color="auto"/>
            </w:tcBorders>
            <w:shd w:val="clear" w:color="auto" w:fill="auto"/>
            <w:vAlign w:val="center"/>
            <w:hideMark/>
          </w:tcPr>
          <w:p w14:paraId="7532C7A7" w14:textId="6DD407B8" w:rsidR="00253611" w:rsidRPr="0018775F" w:rsidRDefault="00253611" w:rsidP="0018775F">
            <w:pPr>
              <w:spacing w:after="0" w:line="240" w:lineRule="auto"/>
              <w:jc w:val="center"/>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382242CF" w14:textId="788B0ED6"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333</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931</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327</w:t>
            </w:r>
          </w:p>
        </w:tc>
        <w:tc>
          <w:tcPr>
            <w:tcW w:w="1984" w:type="dxa"/>
            <w:tcBorders>
              <w:top w:val="nil"/>
              <w:left w:val="nil"/>
              <w:bottom w:val="single" w:sz="8" w:space="0" w:color="auto"/>
              <w:right w:val="single" w:sz="8" w:space="0" w:color="auto"/>
            </w:tcBorders>
            <w:shd w:val="clear" w:color="auto" w:fill="auto"/>
            <w:noWrap/>
            <w:vAlign w:val="center"/>
            <w:hideMark/>
          </w:tcPr>
          <w:p w14:paraId="1569E3D5" w14:textId="68FF5EAA"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328</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837</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656</w:t>
            </w:r>
          </w:p>
        </w:tc>
        <w:tc>
          <w:tcPr>
            <w:tcW w:w="1450" w:type="dxa"/>
            <w:tcBorders>
              <w:top w:val="nil"/>
              <w:left w:val="nil"/>
              <w:bottom w:val="single" w:sz="8" w:space="0" w:color="auto"/>
              <w:right w:val="single" w:sz="8" w:space="0" w:color="auto"/>
            </w:tcBorders>
            <w:shd w:val="clear" w:color="auto" w:fill="auto"/>
            <w:vAlign w:val="center"/>
            <w:hideMark/>
          </w:tcPr>
          <w:p w14:paraId="1A5613AF" w14:textId="77777777"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98%</w:t>
            </w:r>
          </w:p>
        </w:tc>
      </w:tr>
      <w:tr w:rsidR="00B06C73" w:rsidRPr="00B06C73" w14:paraId="11FC5315" w14:textId="77777777" w:rsidTr="00E43F2A">
        <w:trPr>
          <w:trHeight w:val="1035"/>
        </w:trPr>
        <w:tc>
          <w:tcPr>
            <w:tcW w:w="1190" w:type="dxa"/>
            <w:tcBorders>
              <w:top w:val="nil"/>
              <w:left w:val="single" w:sz="8" w:space="0" w:color="auto"/>
              <w:bottom w:val="single" w:sz="8" w:space="0" w:color="auto"/>
              <w:right w:val="single" w:sz="8" w:space="0" w:color="auto"/>
            </w:tcBorders>
            <w:shd w:val="clear" w:color="auto" w:fill="auto"/>
            <w:noWrap/>
            <w:hideMark/>
          </w:tcPr>
          <w:p w14:paraId="28F965FF"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02 02 01</w:t>
            </w:r>
          </w:p>
        </w:tc>
        <w:tc>
          <w:tcPr>
            <w:tcW w:w="2003" w:type="dxa"/>
            <w:tcBorders>
              <w:top w:val="nil"/>
              <w:left w:val="nil"/>
              <w:bottom w:val="nil"/>
              <w:right w:val="single" w:sz="8" w:space="0" w:color="auto"/>
            </w:tcBorders>
            <w:shd w:val="clear" w:color="auto" w:fill="auto"/>
            <w:vAlign w:val="center"/>
            <w:hideMark/>
          </w:tcPr>
          <w:p w14:paraId="02CAAB00"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 xml:space="preserve">Access to markets, business environment &amp; entrepreneurship </w:t>
            </w:r>
          </w:p>
        </w:tc>
        <w:tc>
          <w:tcPr>
            <w:tcW w:w="1759" w:type="dxa"/>
            <w:tcBorders>
              <w:top w:val="nil"/>
              <w:left w:val="nil"/>
              <w:bottom w:val="nil"/>
              <w:right w:val="single" w:sz="8" w:space="0" w:color="auto"/>
            </w:tcBorders>
            <w:shd w:val="clear" w:color="auto" w:fill="auto"/>
            <w:noWrap/>
            <w:vAlign w:val="center"/>
            <w:hideMark/>
          </w:tcPr>
          <w:p w14:paraId="340EDDCA" w14:textId="27DF7D1F"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p>
        </w:tc>
        <w:tc>
          <w:tcPr>
            <w:tcW w:w="1984" w:type="dxa"/>
            <w:tcBorders>
              <w:top w:val="nil"/>
              <w:left w:val="nil"/>
              <w:bottom w:val="nil"/>
              <w:right w:val="single" w:sz="8" w:space="0" w:color="auto"/>
            </w:tcBorders>
            <w:shd w:val="clear" w:color="auto" w:fill="auto"/>
            <w:noWrap/>
            <w:vAlign w:val="center"/>
            <w:hideMark/>
          </w:tcPr>
          <w:p w14:paraId="395F7078" w14:textId="43CFCE2D"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p>
        </w:tc>
        <w:tc>
          <w:tcPr>
            <w:tcW w:w="1276" w:type="dxa"/>
            <w:tcBorders>
              <w:top w:val="nil"/>
              <w:left w:val="nil"/>
              <w:bottom w:val="single" w:sz="8" w:space="0" w:color="auto"/>
              <w:right w:val="single" w:sz="8" w:space="0" w:color="auto"/>
            </w:tcBorders>
            <w:shd w:val="clear" w:color="auto" w:fill="auto"/>
            <w:noWrap/>
            <w:vAlign w:val="center"/>
            <w:hideMark/>
          </w:tcPr>
          <w:p w14:paraId="1D6A6D29" w14:textId="16256BDE"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p>
        </w:tc>
        <w:tc>
          <w:tcPr>
            <w:tcW w:w="425" w:type="dxa"/>
            <w:tcBorders>
              <w:top w:val="nil"/>
              <w:left w:val="nil"/>
              <w:bottom w:val="single" w:sz="8" w:space="0" w:color="auto"/>
              <w:right w:val="single" w:sz="8" w:space="0" w:color="auto"/>
            </w:tcBorders>
            <w:shd w:val="clear" w:color="auto" w:fill="auto"/>
            <w:noWrap/>
            <w:vAlign w:val="center"/>
            <w:hideMark/>
          </w:tcPr>
          <w:p w14:paraId="16EA6EE7" w14:textId="34A7DD1F" w:rsidR="00253611" w:rsidRPr="0018775F" w:rsidRDefault="00253611" w:rsidP="0018775F">
            <w:pPr>
              <w:spacing w:after="0" w:line="240" w:lineRule="auto"/>
              <w:jc w:val="center"/>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3AAD3F74" w14:textId="26DAADF4"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p>
        </w:tc>
        <w:tc>
          <w:tcPr>
            <w:tcW w:w="1984" w:type="dxa"/>
            <w:tcBorders>
              <w:top w:val="nil"/>
              <w:left w:val="nil"/>
              <w:bottom w:val="single" w:sz="8" w:space="0" w:color="auto"/>
              <w:right w:val="single" w:sz="8" w:space="0" w:color="auto"/>
            </w:tcBorders>
            <w:shd w:val="clear" w:color="auto" w:fill="auto"/>
            <w:noWrap/>
            <w:vAlign w:val="center"/>
            <w:hideMark/>
          </w:tcPr>
          <w:p w14:paraId="23680D13" w14:textId="2E502C41"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p>
        </w:tc>
        <w:tc>
          <w:tcPr>
            <w:tcW w:w="1450" w:type="dxa"/>
            <w:tcBorders>
              <w:top w:val="nil"/>
              <w:left w:val="nil"/>
              <w:bottom w:val="single" w:sz="8" w:space="0" w:color="auto"/>
              <w:right w:val="single" w:sz="8" w:space="0" w:color="auto"/>
            </w:tcBorders>
            <w:shd w:val="clear" w:color="auto" w:fill="auto"/>
            <w:noWrap/>
            <w:vAlign w:val="center"/>
            <w:hideMark/>
          </w:tcPr>
          <w:p w14:paraId="69CA53C3" w14:textId="54BE7F72"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p>
        </w:tc>
      </w:tr>
      <w:tr w:rsidR="00B06C73" w:rsidRPr="00B06C73" w14:paraId="2A598BC0" w14:textId="77777777" w:rsidTr="00E43F2A">
        <w:trPr>
          <w:trHeight w:val="315"/>
        </w:trPr>
        <w:tc>
          <w:tcPr>
            <w:tcW w:w="1190" w:type="dxa"/>
            <w:tcBorders>
              <w:top w:val="single" w:sz="8" w:space="0" w:color="auto"/>
              <w:left w:val="single" w:sz="4" w:space="0" w:color="auto"/>
              <w:bottom w:val="nil"/>
              <w:right w:val="nil"/>
            </w:tcBorders>
            <w:shd w:val="clear" w:color="auto" w:fill="auto"/>
            <w:noWrap/>
            <w:hideMark/>
          </w:tcPr>
          <w:p w14:paraId="180C0E0B" w14:textId="2B2C1D58" w:rsidR="00253611" w:rsidRPr="00B834DC" w:rsidRDefault="00253611" w:rsidP="00253611">
            <w:pPr>
              <w:spacing w:after="0" w:line="240" w:lineRule="auto"/>
              <w:rPr>
                <w:rFonts w:ascii="Times New Roman" w:eastAsia="Times New Roman" w:hAnsi="Times New Roman" w:cs="Times New Roman"/>
                <w:noProof/>
                <w:color w:val="000000"/>
                <w:sz w:val="24"/>
                <w:szCs w:val="24"/>
                <w:lang w:eastAsia="en-IE"/>
              </w:rPr>
            </w:pP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856E" w14:textId="77777777"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implemented by GROW</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4DA280BC" w14:textId="691D16BA"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10</w:t>
            </w:r>
            <w:r w:rsidR="000D09FE" w:rsidRPr="00B834DC">
              <w:rPr>
                <w:rFonts w:ascii="Times New Roman" w:eastAsia="Times New Roman" w:hAnsi="Times New Roman" w:cs="Times New Roman"/>
                <w:noProof/>
                <w:color w:val="000000"/>
                <w:sz w:val="24"/>
                <w:szCs w:val="24"/>
                <w:lang w:eastAsia="en-IE"/>
              </w:rPr>
              <w:t> </w:t>
            </w:r>
            <w:r w:rsidRPr="00B834DC">
              <w:rPr>
                <w:rFonts w:ascii="Times New Roman" w:eastAsia="Times New Roman" w:hAnsi="Times New Roman" w:cs="Times New Roman"/>
                <w:noProof/>
                <w:color w:val="000000"/>
                <w:sz w:val="24"/>
                <w:szCs w:val="24"/>
                <w:lang w:eastAsia="en-IE"/>
              </w:rPr>
              <w:t>049</w:t>
            </w:r>
            <w:r w:rsidR="000D09FE" w:rsidRPr="00B834DC">
              <w:rPr>
                <w:rFonts w:ascii="Times New Roman" w:eastAsia="Times New Roman" w:hAnsi="Times New Roman" w:cs="Times New Roman"/>
                <w:noProof/>
                <w:color w:val="000000"/>
                <w:sz w:val="24"/>
                <w:szCs w:val="24"/>
                <w:lang w:eastAsia="en-IE"/>
              </w:rPr>
              <w:t> </w:t>
            </w:r>
            <w:r w:rsidRPr="00B834DC">
              <w:rPr>
                <w:rFonts w:ascii="Times New Roman" w:eastAsia="Times New Roman" w:hAnsi="Times New Roman" w:cs="Times New Roman"/>
                <w:noProof/>
                <w:color w:val="000000"/>
                <w:sz w:val="24"/>
                <w:szCs w:val="24"/>
                <w:lang w:eastAsia="en-IE"/>
              </w:rPr>
              <w:t>697</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3199D7" w14:textId="7043DF5F"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10</w:t>
            </w:r>
            <w:r w:rsidR="009377DD" w:rsidRPr="00B834DC">
              <w:rPr>
                <w:rFonts w:ascii="Times New Roman" w:eastAsia="Times New Roman" w:hAnsi="Times New Roman" w:cs="Times New Roman"/>
                <w:noProof/>
                <w:color w:val="000000"/>
                <w:sz w:val="24"/>
                <w:szCs w:val="24"/>
                <w:lang w:eastAsia="en-IE"/>
              </w:rPr>
              <w:t> </w:t>
            </w:r>
            <w:r w:rsidRPr="00B834DC">
              <w:rPr>
                <w:rFonts w:ascii="Times New Roman" w:eastAsia="Times New Roman" w:hAnsi="Times New Roman" w:cs="Times New Roman"/>
                <w:noProof/>
                <w:color w:val="000000"/>
                <w:sz w:val="24"/>
                <w:szCs w:val="24"/>
                <w:lang w:eastAsia="en-IE"/>
              </w:rPr>
              <w:t>026</w:t>
            </w:r>
            <w:r w:rsidR="009377DD" w:rsidRPr="00B834DC">
              <w:rPr>
                <w:rFonts w:ascii="Times New Roman" w:eastAsia="Times New Roman" w:hAnsi="Times New Roman" w:cs="Times New Roman"/>
                <w:noProof/>
                <w:color w:val="000000"/>
                <w:sz w:val="24"/>
                <w:szCs w:val="24"/>
                <w:lang w:eastAsia="en-IE"/>
              </w:rPr>
              <w:t> </w:t>
            </w:r>
            <w:r w:rsidRPr="00B834DC">
              <w:rPr>
                <w:rFonts w:ascii="Times New Roman" w:eastAsia="Times New Roman" w:hAnsi="Times New Roman" w:cs="Times New Roman"/>
                <w:noProof/>
                <w:color w:val="000000"/>
                <w:sz w:val="24"/>
                <w:szCs w:val="24"/>
                <w:lang w:eastAsia="en-IE"/>
              </w:rPr>
              <w:t>133</w:t>
            </w:r>
          </w:p>
        </w:tc>
        <w:tc>
          <w:tcPr>
            <w:tcW w:w="1276" w:type="dxa"/>
            <w:tcBorders>
              <w:top w:val="nil"/>
              <w:left w:val="nil"/>
              <w:bottom w:val="single" w:sz="8" w:space="0" w:color="auto"/>
              <w:right w:val="single" w:sz="8" w:space="0" w:color="auto"/>
            </w:tcBorders>
            <w:shd w:val="clear" w:color="auto" w:fill="auto"/>
            <w:vAlign w:val="center"/>
            <w:hideMark/>
          </w:tcPr>
          <w:p w14:paraId="7FE7BC5F"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100%</w:t>
            </w:r>
          </w:p>
        </w:tc>
        <w:tc>
          <w:tcPr>
            <w:tcW w:w="425" w:type="dxa"/>
            <w:tcBorders>
              <w:top w:val="nil"/>
              <w:left w:val="nil"/>
              <w:bottom w:val="single" w:sz="8" w:space="0" w:color="auto"/>
              <w:right w:val="single" w:sz="8" w:space="0" w:color="auto"/>
            </w:tcBorders>
            <w:shd w:val="clear" w:color="auto" w:fill="auto"/>
            <w:noWrap/>
            <w:vAlign w:val="center"/>
            <w:hideMark/>
          </w:tcPr>
          <w:p w14:paraId="78327EAC" w14:textId="76DD4555" w:rsidR="00253611" w:rsidRPr="0018775F" w:rsidRDefault="00253611" w:rsidP="0018775F">
            <w:pPr>
              <w:spacing w:after="0" w:line="240" w:lineRule="auto"/>
              <w:jc w:val="center"/>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4432778F" w14:textId="6CC5742C" w:rsidR="00253611" w:rsidRPr="00B834DC" w:rsidRDefault="00253611" w:rsidP="00253611">
            <w:pPr>
              <w:spacing w:after="0" w:line="240" w:lineRule="auto"/>
              <w:jc w:val="right"/>
              <w:rPr>
                <w:rFonts w:ascii="Times New Roman" w:eastAsia="Times New Roman" w:hAnsi="Times New Roman" w:cs="Times New Roman"/>
                <w:i/>
                <w:iCs/>
                <w:noProof/>
                <w:color w:val="000000"/>
                <w:sz w:val="24"/>
                <w:szCs w:val="24"/>
                <w:lang w:eastAsia="en-IE"/>
              </w:rPr>
            </w:pPr>
            <w:r w:rsidRPr="00B834DC">
              <w:rPr>
                <w:rFonts w:ascii="Times New Roman" w:eastAsia="Times New Roman" w:hAnsi="Times New Roman" w:cs="Times New Roman"/>
                <w:i/>
                <w:iCs/>
                <w:noProof/>
                <w:color w:val="000000"/>
                <w:sz w:val="24"/>
                <w:szCs w:val="24"/>
                <w:lang w:eastAsia="en-IE"/>
              </w:rPr>
              <w:t>8</w:t>
            </w:r>
            <w:r w:rsidR="00E340E6" w:rsidRPr="00B834DC">
              <w:rPr>
                <w:rFonts w:ascii="Times New Roman" w:eastAsia="Times New Roman" w:hAnsi="Times New Roman" w:cs="Times New Roman"/>
                <w:i/>
                <w:iCs/>
                <w:noProof/>
                <w:color w:val="000000"/>
                <w:sz w:val="24"/>
                <w:szCs w:val="24"/>
                <w:lang w:eastAsia="en-IE"/>
              </w:rPr>
              <w:t> </w:t>
            </w:r>
            <w:r w:rsidRPr="00B834DC">
              <w:rPr>
                <w:rFonts w:ascii="Times New Roman" w:eastAsia="Times New Roman" w:hAnsi="Times New Roman" w:cs="Times New Roman"/>
                <w:i/>
                <w:iCs/>
                <w:noProof/>
                <w:color w:val="000000"/>
                <w:sz w:val="24"/>
                <w:szCs w:val="24"/>
                <w:lang w:eastAsia="en-IE"/>
              </w:rPr>
              <w:t>901</w:t>
            </w:r>
            <w:r w:rsidR="00E340E6" w:rsidRPr="00B834DC">
              <w:rPr>
                <w:rFonts w:ascii="Times New Roman" w:eastAsia="Times New Roman" w:hAnsi="Times New Roman" w:cs="Times New Roman"/>
                <w:i/>
                <w:iCs/>
                <w:noProof/>
                <w:color w:val="000000"/>
                <w:sz w:val="24"/>
                <w:szCs w:val="24"/>
                <w:lang w:eastAsia="en-IE"/>
              </w:rPr>
              <w:t> </w:t>
            </w:r>
            <w:r w:rsidRPr="00B834DC">
              <w:rPr>
                <w:rFonts w:ascii="Times New Roman" w:eastAsia="Times New Roman" w:hAnsi="Times New Roman" w:cs="Times New Roman"/>
                <w:i/>
                <w:iCs/>
                <w:noProof/>
                <w:color w:val="000000"/>
                <w:sz w:val="24"/>
                <w:szCs w:val="24"/>
                <w:lang w:eastAsia="en-IE"/>
              </w:rPr>
              <w:t>623</w:t>
            </w:r>
          </w:p>
        </w:tc>
        <w:tc>
          <w:tcPr>
            <w:tcW w:w="1984" w:type="dxa"/>
            <w:tcBorders>
              <w:top w:val="nil"/>
              <w:left w:val="nil"/>
              <w:bottom w:val="single" w:sz="8" w:space="0" w:color="auto"/>
              <w:right w:val="single" w:sz="8" w:space="0" w:color="auto"/>
            </w:tcBorders>
            <w:shd w:val="clear" w:color="auto" w:fill="auto"/>
            <w:noWrap/>
            <w:vAlign w:val="center"/>
            <w:hideMark/>
          </w:tcPr>
          <w:p w14:paraId="5F217227" w14:textId="0FF61739" w:rsidR="00253611" w:rsidRPr="00B834DC" w:rsidRDefault="00253611" w:rsidP="00253611">
            <w:pPr>
              <w:spacing w:after="0" w:line="240" w:lineRule="auto"/>
              <w:jc w:val="right"/>
              <w:rPr>
                <w:rFonts w:ascii="Times New Roman" w:eastAsia="Times New Roman" w:hAnsi="Times New Roman" w:cs="Times New Roman"/>
                <w:i/>
                <w:iCs/>
                <w:noProof/>
                <w:color w:val="000000"/>
                <w:sz w:val="24"/>
                <w:szCs w:val="24"/>
                <w:lang w:eastAsia="en-IE"/>
              </w:rPr>
            </w:pPr>
            <w:r w:rsidRPr="00B834DC">
              <w:rPr>
                <w:rFonts w:ascii="Times New Roman" w:eastAsia="Times New Roman" w:hAnsi="Times New Roman" w:cs="Times New Roman"/>
                <w:i/>
                <w:iCs/>
                <w:noProof/>
                <w:color w:val="000000"/>
                <w:sz w:val="24"/>
                <w:szCs w:val="24"/>
                <w:lang w:eastAsia="en-IE"/>
              </w:rPr>
              <w:t>8</w:t>
            </w:r>
            <w:r w:rsidR="00E340E6" w:rsidRPr="00B834DC">
              <w:rPr>
                <w:rFonts w:ascii="Times New Roman" w:eastAsia="Times New Roman" w:hAnsi="Times New Roman" w:cs="Times New Roman"/>
                <w:i/>
                <w:iCs/>
                <w:noProof/>
                <w:color w:val="000000"/>
                <w:sz w:val="24"/>
                <w:szCs w:val="24"/>
                <w:lang w:eastAsia="en-IE"/>
              </w:rPr>
              <w:t> </w:t>
            </w:r>
            <w:r w:rsidRPr="00B834DC">
              <w:rPr>
                <w:rFonts w:ascii="Times New Roman" w:eastAsia="Times New Roman" w:hAnsi="Times New Roman" w:cs="Times New Roman"/>
                <w:i/>
                <w:iCs/>
                <w:noProof/>
                <w:color w:val="000000"/>
                <w:sz w:val="24"/>
                <w:szCs w:val="24"/>
                <w:lang w:eastAsia="en-IE"/>
              </w:rPr>
              <w:t>878</w:t>
            </w:r>
            <w:r w:rsidR="00E340E6" w:rsidRPr="00B834DC">
              <w:rPr>
                <w:rFonts w:ascii="Times New Roman" w:eastAsia="Times New Roman" w:hAnsi="Times New Roman" w:cs="Times New Roman"/>
                <w:i/>
                <w:iCs/>
                <w:noProof/>
                <w:color w:val="000000"/>
                <w:sz w:val="24"/>
                <w:szCs w:val="24"/>
                <w:lang w:eastAsia="en-IE"/>
              </w:rPr>
              <w:t> </w:t>
            </w:r>
            <w:r w:rsidRPr="00B834DC">
              <w:rPr>
                <w:rFonts w:ascii="Times New Roman" w:eastAsia="Times New Roman" w:hAnsi="Times New Roman" w:cs="Times New Roman"/>
                <w:i/>
                <w:iCs/>
                <w:noProof/>
                <w:color w:val="000000"/>
                <w:sz w:val="24"/>
                <w:szCs w:val="24"/>
                <w:lang w:eastAsia="en-IE"/>
              </w:rPr>
              <w:t>059</w:t>
            </w:r>
          </w:p>
        </w:tc>
        <w:tc>
          <w:tcPr>
            <w:tcW w:w="1450" w:type="dxa"/>
            <w:tcBorders>
              <w:top w:val="nil"/>
              <w:left w:val="nil"/>
              <w:bottom w:val="single" w:sz="8" w:space="0" w:color="auto"/>
              <w:right w:val="single" w:sz="8" w:space="0" w:color="auto"/>
            </w:tcBorders>
            <w:shd w:val="clear" w:color="auto" w:fill="auto"/>
            <w:vAlign w:val="center"/>
            <w:hideMark/>
          </w:tcPr>
          <w:p w14:paraId="21252DC4"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100%</w:t>
            </w:r>
          </w:p>
        </w:tc>
      </w:tr>
      <w:tr w:rsidR="00B06C73" w:rsidRPr="00B06C73" w14:paraId="4015B0BD" w14:textId="77777777" w:rsidTr="00E43F2A">
        <w:trPr>
          <w:trHeight w:val="315"/>
        </w:trPr>
        <w:tc>
          <w:tcPr>
            <w:tcW w:w="1190" w:type="dxa"/>
            <w:tcBorders>
              <w:top w:val="nil"/>
              <w:left w:val="single" w:sz="4" w:space="0" w:color="auto"/>
              <w:bottom w:val="nil"/>
              <w:right w:val="nil"/>
            </w:tcBorders>
            <w:shd w:val="clear" w:color="auto" w:fill="auto"/>
            <w:noWrap/>
            <w:hideMark/>
          </w:tcPr>
          <w:p w14:paraId="48530C88"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p>
        </w:tc>
        <w:tc>
          <w:tcPr>
            <w:tcW w:w="2003" w:type="dxa"/>
            <w:tcBorders>
              <w:top w:val="nil"/>
              <w:left w:val="single" w:sz="4" w:space="0" w:color="auto"/>
              <w:bottom w:val="single" w:sz="4" w:space="0" w:color="auto"/>
              <w:right w:val="single" w:sz="4" w:space="0" w:color="auto"/>
            </w:tcBorders>
            <w:shd w:val="clear" w:color="auto" w:fill="auto"/>
            <w:noWrap/>
            <w:hideMark/>
          </w:tcPr>
          <w:p w14:paraId="351497B2" w14:textId="77777777"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delegated to EASME</w:t>
            </w:r>
          </w:p>
        </w:tc>
        <w:tc>
          <w:tcPr>
            <w:tcW w:w="1759" w:type="dxa"/>
            <w:tcBorders>
              <w:top w:val="nil"/>
              <w:left w:val="nil"/>
              <w:bottom w:val="single" w:sz="4" w:space="0" w:color="auto"/>
              <w:right w:val="single" w:sz="4" w:space="0" w:color="auto"/>
            </w:tcBorders>
            <w:shd w:val="clear" w:color="auto" w:fill="auto"/>
            <w:noWrap/>
            <w:vAlign w:val="center"/>
            <w:hideMark/>
          </w:tcPr>
          <w:p w14:paraId="720C5CC8" w14:textId="7C574D88"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126</w:t>
            </w:r>
            <w:r w:rsidR="000D09FE" w:rsidRPr="00B834DC">
              <w:rPr>
                <w:rFonts w:ascii="Times New Roman" w:eastAsia="Times New Roman" w:hAnsi="Times New Roman" w:cs="Times New Roman"/>
                <w:noProof/>
                <w:color w:val="000000"/>
                <w:sz w:val="24"/>
                <w:szCs w:val="24"/>
                <w:lang w:eastAsia="en-IE"/>
              </w:rPr>
              <w:t> </w:t>
            </w:r>
            <w:r w:rsidRPr="00B834DC">
              <w:rPr>
                <w:rFonts w:ascii="Times New Roman" w:eastAsia="Times New Roman" w:hAnsi="Times New Roman" w:cs="Times New Roman"/>
                <w:noProof/>
                <w:color w:val="000000"/>
                <w:sz w:val="24"/>
                <w:szCs w:val="24"/>
                <w:lang w:eastAsia="en-IE"/>
              </w:rPr>
              <w:t>489</w:t>
            </w:r>
            <w:r w:rsidR="000D09FE" w:rsidRPr="00B834DC">
              <w:rPr>
                <w:rFonts w:ascii="Times New Roman" w:eastAsia="Times New Roman" w:hAnsi="Times New Roman" w:cs="Times New Roman"/>
                <w:noProof/>
                <w:color w:val="000000"/>
                <w:sz w:val="24"/>
                <w:szCs w:val="24"/>
                <w:lang w:eastAsia="en-IE"/>
              </w:rPr>
              <w:t> </w:t>
            </w:r>
            <w:r w:rsidRPr="00B834DC">
              <w:rPr>
                <w:rFonts w:ascii="Times New Roman" w:eastAsia="Times New Roman" w:hAnsi="Times New Roman" w:cs="Times New Roman"/>
                <w:noProof/>
                <w:color w:val="000000"/>
                <w:sz w:val="24"/>
                <w:szCs w:val="24"/>
                <w:lang w:eastAsia="en-IE"/>
              </w:rPr>
              <w:t>262</w:t>
            </w:r>
          </w:p>
        </w:tc>
        <w:tc>
          <w:tcPr>
            <w:tcW w:w="1984" w:type="dxa"/>
            <w:tcBorders>
              <w:top w:val="nil"/>
              <w:left w:val="nil"/>
              <w:bottom w:val="single" w:sz="4" w:space="0" w:color="auto"/>
              <w:right w:val="single" w:sz="4" w:space="0" w:color="auto"/>
            </w:tcBorders>
            <w:shd w:val="clear" w:color="auto" w:fill="auto"/>
            <w:noWrap/>
            <w:vAlign w:val="center"/>
            <w:hideMark/>
          </w:tcPr>
          <w:p w14:paraId="5F504BAE" w14:textId="71906A1B" w:rsidR="00253611" w:rsidRPr="00B834DC" w:rsidRDefault="00253611" w:rsidP="00253611">
            <w:pPr>
              <w:spacing w:after="0" w:line="240" w:lineRule="auto"/>
              <w:jc w:val="right"/>
              <w:rPr>
                <w:rFonts w:ascii="Times New Roman" w:eastAsia="Times New Roman" w:hAnsi="Times New Roman" w:cs="Times New Roman"/>
                <w:noProof/>
                <w:color w:val="333333"/>
                <w:sz w:val="24"/>
                <w:szCs w:val="24"/>
                <w:lang w:eastAsia="en-IE"/>
              </w:rPr>
            </w:pPr>
            <w:r w:rsidRPr="00B834DC">
              <w:rPr>
                <w:rFonts w:ascii="Times New Roman" w:eastAsia="Times New Roman" w:hAnsi="Times New Roman" w:cs="Times New Roman"/>
                <w:noProof/>
                <w:color w:val="333333"/>
                <w:sz w:val="24"/>
                <w:szCs w:val="24"/>
                <w:lang w:eastAsia="en-IE"/>
              </w:rPr>
              <w:t>123</w:t>
            </w:r>
            <w:r w:rsidR="009377DD" w:rsidRPr="00B834DC">
              <w:rPr>
                <w:rFonts w:ascii="Times New Roman" w:eastAsia="Times New Roman" w:hAnsi="Times New Roman" w:cs="Times New Roman"/>
                <w:noProof/>
                <w:color w:val="333333"/>
                <w:sz w:val="24"/>
                <w:szCs w:val="24"/>
                <w:lang w:eastAsia="en-IE"/>
              </w:rPr>
              <w:t> </w:t>
            </w:r>
            <w:r w:rsidRPr="00B834DC">
              <w:rPr>
                <w:rFonts w:ascii="Times New Roman" w:eastAsia="Times New Roman" w:hAnsi="Times New Roman" w:cs="Times New Roman"/>
                <w:noProof/>
                <w:color w:val="333333"/>
                <w:sz w:val="24"/>
                <w:szCs w:val="24"/>
                <w:lang w:eastAsia="en-IE"/>
              </w:rPr>
              <w:t>066</w:t>
            </w:r>
            <w:r w:rsidR="009377DD" w:rsidRPr="00B834DC">
              <w:rPr>
                <w:rFonts w:ascii="Times New Roman" w:eastAsia="Times New Roman" w:hAnsi="Times New Roman" w:cs="Times New Roman"/>
                <w:noProof/>
                <w:color w:val="333333"/>
                <w:sz w:val="24"/>
                <w:szCs w:val="24"/>
                <w:lang w:eastAsia="en-IE"/>
              </w:rPr>
              <w:t> </w:t>
            </w:r>
            <w:r w:rsidRPr="00B834DC">
              <w:rPr>
                <w:rFonts w:ascii="Times New Roman" w:eastAsia="Times New Roman" w:hAnsi="Times New Roman" w:cs="Times New Roman"/>
                <w:noProof/>
                <w:color w:val="333333"/>
                <w:sz w:val="24"/>
                <w:szCs w:val="24"/>
                <w:lang w:eastAsia="en-IE"/>
              </w:rPr>
              <w:t>819</w:t>
            </w:r>
          </w:p>
        </w:tc>
        <w:tc>
          <w:tcPr>
            <w:tcW w:w="1276" w:type="dxa"/>
            <w:tcBorders>
              <w:top w:val="nil"/>
              <w:left w:val="nil"/>
              <w:bottom w:val="single" w:sz="8" w:space="0" w:color="auto"/>
              <w:right w:val="single" w:sz="8" w:space="0" w:color="auto"/>
            </w:tcBorders>
            <w:shd w:val="clear" w:color="auto" w:fill="auto"/>
            <w:vAlign w:val="center"/>
            <w:hideMark/>
          </w:tcPr>
          <w:p w14:paraId="26744920" w14:textId="77777777" w:rsidR="00253611" w:rsidRPr="00B834DC" w:rsidRDefault="00253611" w:rsidP="00253611">
            <w:pPr>
              <w:spacing w:after="0" w:line="240" w:lineRule="auto"/>
              <w:jc w:val="right"/>
              <w:rPr>
                <w:rFonts w:ascii="Times New Roman" w:eastAsia="Times New Roman" w:hAnsi="Times New Roman" w:cs="Times New Roman"/>
                <w:noProof/>
                <w:color w:val="000000"/>
                <w:sz w:val="24"/>
                <w:szCs w:val="24"/>
                <w:lang w:eastAsia="en-IE"/>
              </w:rPr>
            </w:pPr>
            <w:r w:rsidRPr="00B834DC">
              <w:rPr>
                <w:rFonts w:ascii="Times New Roman" w:eastAsia="Times New Roman" w:hAnsi="Times New Roman" w:cs="Times New Roman"/>
                <w:noProof/>
                <w:color w:val="000000"/>
                <w:sz w:val="24"/>
                <w:szCs w:val="24"/>
                <w:lang w:eastAsia="en-IE"/>
              </w:rPr>
              <w:t>97%</w:t>
            </w:r>
          </w:p>
        </w:tc>
        <w:tc>
          <w:tcPr>
            <w:tcW w:w="425" w:type="dxa"/>
            <w:tcBorders>
              <w:top w:val="nil"/>
              <w:left w:val="nil"/>
              <w:bottom w:val="single" w:sz="8" w:space="0" w:color="auto"/>
              <w:right w:val="single" w:sz="8" w:space="0" w:color="auto"/>
            </w:tcBorders>
            <w:shd w:val="clear" w:color="auto" w:fill="auto"/>
            <w:noWrap/>
            <w:vAlign w:val="center"/>
            <w:hideMark/>
          </w:tcPr>
          <w:p w14:paraId="56260E37" w14:textId="4C438A0A" w:rsidR="00253611" w:rsidRPr="0018775F" w:rsidRDefault="00253611" w:rsidP="0018775F">
            <w:pPr>
              <w:spacing w:after="0" w:line="240" w:lineRule="auto"/>
              <w:jc w:val="center"/>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0CFC39A9" w14:textId="456617C4" w:rsidR="00253611" w:rsidRPr="00B834DC" w:rsidRDefault="00253611" w:rsidP="00253611">
            <w:pPr>
              <w:spacing w:after="0" w:line="240" w:lineRule="auto"/>
              <w:jc w:val="right"/>
              <w:rPr>
                <w:rFonts w:ascii="Times New Roman" w:eastAsia="Times New Roman" w:hAnsi="Times New Roman" w:cs="Times New Roman"/>
                <w:i/>
                <w:iCs/>
                <w:noProof/>
                <w:color w:val="333333"/>
                <w:sz w:val="24"/>
                <w:szCs w:val="24"/>
                <w:lang w:eastAsia="en-IE"/>
              </w:rPr>
            </w:pPr>
            <w:r w:rsidRPr="00B834DC">
              <w:rPr>
                <w:rFonts w:ascii="Times New Roman" w:eastAsia="Times New Roman" w:hAnsi="Times New Roman" w:cs="Times New Roman"/>
                <w:i/>
                <w:iCs/>
                <w:noProof/>
                <w:color w:val="333333"/>
                <w:sz w:val="24"/>
                <w:szCs w:val="24"/>
                <w:lang w:eastAsia="en-IE"/>
              </w:rPr>
              <w:t>132</w:t>
            </w:r>
            <w:r w:rsidR="00E340E6" w:rsidRPr="00B834DC">
              <w:rPr>
                <w:rFonts w:ascii="Times New Roman" w:eastAsia="Times New Roman" w:hAnsi="Times New Roman" w:cs="Times New Roman"/>
                <w:i/>
                <w:iCs/>
                <w:noProof/>
                <w:color w:val="333333"/>
                <w:sz w:val="24"/>
                <w:szCs w:val="24"/>
                <w:lang w:eastAsia="en-IE"/>
              </w:rPr>
              <w:t> </w:t>
            </w:r>
            <w:r w:rsidRPr="00B834DC">
              <w:rPr>
                <w:rFonts w:ascii="Times New Roman" w:eastAsia="Times New Roman" w:hAnsi="Times New Roman" w:cs="Times New Roman"/>
                <w:i/>
                <w:iCs/>
                <w:noProof/>
                <w:color w:val="333333"/>
                <w:sz w:val="24"/>
                <w:szCs w:val="24"/>
                <w:lang w:eastAsia="en-IE"/>
              </w:rPr>
              <w:t>390</w:t>
            </w:r>
            <w:r w:rsidR="00E340E6" w:rsidRPr="00B834DC">
              <w:rPr>
                <w:rFonts w:ascii="Times New Roman" w:eastAsia="Times New Roman" w:hAnsi="Times New Roman" w:cs="Times New Roman"/>
                <w:i/>
                <w:iCs/>
                <w:noProof/>
                <w:color w:val="333333"/>
                <w:sz w:val="24"/>
                <w:szCs w:val="24"/>
                <w:lang w:eastAsia="en-IE"/>
              </w:rPr>
              <w:t> </w:t>
            </w:r>
            <w:r w:rsidRPr="00B834DC">
              <w:rPr>
                <w:rFonts w:ascii="Times New Roman" w:eastAsia="Times New Roman" w:hAnsi="Times New Roman" w:cs="Times New Roman"/>
                <w:i/>
                <w:iCs/>
                <w:noProof/>
                <w:color w:val="333333"/>
                <w:sz w:val="24"/>
                <w:szCs w:val="24"/>
                <w:lang w:eastAsia="en-IE"/>
              </w:rPr>
              <w:t>902</w:t>
            </w:r>
          </w:p>
        </w:tc>
        <w:tc>
          <w:tcPr>
            <w:tcW w:w="1984" w:type="dxa"/>
            <w:tcBorders>
              <w:top w:val="nil"/>
              <w:left w:val="nil"/>
              <w:bottom w:val="single" w:sz="8" w:space="0" w:color="auto"/>
              <w:right w:val="single" w:sz="8" w:space="0" w:color="auto"/>
            </w:tcBorders>
            <w:shd w:val="clear" w:color="auto" w:fill="auto"/>
            <w:noWrap/>
            <w:vAlign w:val="center"/>
            <w:hideMark/>
          </w:tcPr>
          <w:p w14:paraId="433CCE87" w14:textId="42CA7DFF" w:rsidR="00253611" w:rsidRPr="00B834DC" w:rsidRDefault="00253611" w:rsidP="00253611">
            <w:pPr>
              <w:spacing w:after="0" w:line="240" w:lineRule="auto"/>
              <w:jc w:val="right"/>
              <w:rPr>
                <w:rFonts w:ascii="Times New Roman" w:eastAsia="Times New Roman" w:hAnsi="Times New Roman" w:cs="Times New Roman"/>
                <w:i/>
                <w:iCs/>
                <w:noProof/>
                <w:color w:val="333333"/>
                <w:sz w:val="24"/>
                <w:szCs w:val="24"/>
                <w:lang w:eastAsia="en-IE"/>
              </w:rPr>
            </w:pPr>
            <w:r w:rsidRPr="00B834DC">
              <w:rPr>
                <w:rFonts w:ascii="Times New Roman" w:eastAsia="Times New Roman" w:hAnsi="Times New Roman" w:cs="Times New Roman"/>
                <w:i/>
                <w:iCs/>
                <w:noProof/>
                <w:color w:val="333333"/>
                <w:sz w:val="24"/>
                <w:szCs w:val="24"/>
                <w:lang w:eastAsia="en-IE"/>
              </w:rPr>
              <w:t>132</w:t>
            </w:r>
            <w:r w:rsidR="00E340E6" w:rsidRPr="00B834DC">
              <w:rPr>
                <w:rFonts w:ascii="Times New Roman" w:eastAsia="Times New Roman" w:hAnsi="Times New Roman" w:cs="Times New Roman"/>
                <w:i/>
                <w:iCs/>
                <w:noProof/>
                <w:color w:val="333333"/>
                <w:sz w:val="24"/>
                <w:szCs w:val="24"/>
                <w:lang w:eastAsia="en-IE"/>
              </w:rPr>
              <w:t> </w:t>
            </w:r>
            <w:r w:rsidRPr="00B834DC">
              <w:rPr>
                <w:rFonts w:ascii="Times New Roman" w:eastAsia="Times New Roman" w:hAnsi="Times New Roman" w:cs="Times New Roman"/>
                <w:i/>
                <w:iCs/>
                <w:noProof/>
                <w:color w:val="333333"/>
                <w:sz w:val="24"/>
                <w:szCs w:val="24"/>
                <w:lang w:eastAsia="en-IE"/>
              </w:rPr>
              <w:t>390</w:t>
            </w:r>
            <w:r w:rsidR="00E340E6" w:rsidRPr="00B834DC">
              <w:rPr>
                <w:rFonts w:ascii="Times New Roman" w:eastAsia="Times New Roman" w:hAnsi="Times New Roman" w:cs="Times New Roman"/>
                <w:i/>
                <w:iCs/>
                <w:noProof/>
                <w:color w:val="333333"/>
                <w:sz w:val="24"/>
                <w:szCs w:val="24"/>
                <w:lang w:eastAsia="en-IE"/>
              </w:rPr>
              <w:t> </w:t>
            </w:r>
            <w:r w:rsidRPr="00B834DC">
              <w:rPr>
                <w:rFonts w:ascii="Times New Roman" w:eastAsia="Times New Roman" w:hAnsi="Times New Roman" w:cs="Times New Roman"/>
                <w:i/>
                <w:iCs/>
                <w:noProof/>
                <w:color w:val="333333"/>
                <w:sz w:val="24"/>
                <w:szCs w:val="24"/>
                <w:lang w:eastAsia="en-IE"/>
              </w:rPr>
              <w:t>902</w:t>
            </w:r>
          </w:p>
        </w:tc>
        <w:tc>
          <w:tcPr>
            <w:tcW w:w="1450" w:type="dxa"/>
            <w:tcBorders>
              <w:top w:val="nil"/>
              <w:left w:val="nil"/>
              <w:bottom w:val="single" w:sz="8" w:space="0" w:color="auto"/>
              <w:right w:val="single" w:sz="8" w:space="0" w:color="auto"/>
            </w:tcBorders>
            <w:shd w:val="clear" w:color="auto" w:fill="auto"/>
            <w:vAlign w:val="center"/>
            <w:hideMark/>
          </w:tcPr>
          <w:p w14:paraId="0ECBEB7C"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100%</w:t>
            </w:r>
          </w:p>
        </w:tc>
      </w:tr>
      <w:tr w:rsidR="00B06C73" w:rsidRPr="00B06C73" w14:paraId="49DAC620" w14:textId="77777777" w:rsidTr="00B834DC">
        <w:trPr>
          <w:trHeight w:val="315"/>
        </w:trPr>
        <w:tc>
          <w:tcPr>
            <w:tcW w:w="1190" w:type="dxa"/>
            <w:tcBorders>
              <w:top w:val="nil"/>
              <w:left w:val="single" w:sz="8" w:space="0" w:color="auto"/>
              <w:bottom w:val="single" w:sz="8" w:space="0" w:color="auto"/>
              <w:right w:val="single" w:sz="8" w:space="0" w:color="auto"/>
            </w:tcBorders>
            <w:shd w:val="clear" w:color="auto" w:fill="auto"/>
            <w:noWrap/>
            <w:hideMark/>
          </w:tcPr>
          <w:p w14:paraId="1B2A2172" w14:textId="6D50767A"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p>
        </w:tc>
        <w:tc>
          <w:tcPr>
            <w:tcW w:w="2003" w:type="dxa"/>
            <w:tcBorders>
              <w:top w:val="nil"/>
              <w:left w:val="nil"/>
              <w:bottom w:val="single" w:sz="8" w:space="0" w:color="auto"/>
              <w:right w:val="single" w:sz="8" w:space="0" w:color="auto"/>
            </w:tcBorders>
            <w:shd w:val="clear" w:color="auto" w:fill="auto"/>
            <w:vAlign w:val="center"/>
            <w:hideMark/>
          </w:tcPr>
          <w:p w14:paraId="3A51E3A3"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total</w:t>
            </w:r>
          </w:p>
        </w:tc>
        <w:tc>
          <w:tcPr>
            <w:tcW w:w="1759" w:type="dxa"/>
            <w:tcBorders>
              <w:top w:val="nil"/>
              <w:left w:val="nil"/>
              <w:bottom w:val="single" w:sz="8" w:space="0" w:color="auto"/>
              <w:right w:val="single" w:sz="8" w:space="0" w:color="auto"/>
            </w:tcBorders>
            <w:shd w:val="clear" w:color="auto" w:fill="auto"/>
            <w:noWrap/>
            <w:vAlign w:val="center"/>
            <w:hideMark/>
          </w:tcPr>
          <w:p w14:paraId="7296BA28" w14:textId="5CB8742F"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136</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538</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959</w:t>
            </w:r>
          </w:p>
        </w:tc>
        <w:tc>
          <w:tcPr>
            <w:tcW w:w="1984" w:type="dxa"/>
            <w:tcBorders>
              <w:top w:val="nil"/>
              <w:left w:val="nil"/>
              <w:bottom w:val="single" w:sz="8" w:space="0" w:color="auto"/>
              <w:right w:val="single" w:sz="8" w:space="0" w:color="auto"/>
            </w:tcBorders>
            <w:shd w:val="clear" w:color="auto" w:fill="auto"/>
            <w:noWrap/>
            <w:vAlign w:val="center"/>
            <w:hideMark/>
          </w:tcPr>
          <w:p w14:paraId="1B70777C" w14:textId="6F92BE51"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133</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092</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952</w:t>
            </w:r>
          </w:p>
        </w:tc>
        <w:tc>
          <w:tcPr>
            <w:tcW w:w="1276" w:type="dxa"/>
            <w:tcBorders>
              <w:top w:val="nil"/>
              <w:left w:val="nil"/>
              <w:bottom w:val="single" w:sz="8" w:space="0" w:color="auto"/>
              <w:right w:val="single" w:sz="8" w:space="0" w:color="auto"/>
            </w:tcBorders>
            <w:shd w:val="clear" w:color="auto" w:fill="auto"/>
            <w:vAlign w:val="center"/>
            <w:hideMark/>
          </w:tcPr>
          <w:p w14:paraId="44A499B4"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97%</w:t>
            </w:r>
          </w:p>
        </w:tc>
        <w:tc>
          <w:tcPr>
            <w:tcW w:w="425" w:type="dxa"/>
            <w:tcBorders>
              <w:top w:val="nil"/>
              <w:left w:val="nil"/>
              <w:bottom w:val="single" w:sz="8" w:space="0" w:color="auto"/>
              <w:right w:val="single" w:sz="8" w:space="0" w:color="auto"/>
            </w:tcBorders>
            <w:shd w:val="clear" w:color="auto" w:fill="auto"/>
            <w:noWrap/>
            <w:vAlign w:val="center"/>
            <w:hideMark/>
          </w:tcPr>
          <w:p w14:paraId="79A95711" w14:textId="6B9C2F18" w:rsidR="00253611" w:rsidRPr="0018775F" w:rsidRDefault="00253611" w:rsidP="0018775F">
            <w:pPr>
              <w:spacing w:after="0" w:line="240" w:lineRule="auto"/>
              <w:jc w:val="center"/>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707E2EB8" w14:textId="44604B61"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141</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292</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525</w:t>
            </w:r>
          </w:p>
        </w:tc>
        <w:tc>
          <w:tcPr>
            <w:tcW w:w="1984" w:type="dxa"/>
            <w:tcBorders>
              <w:top w:val="nil"/>
              <w:left w:val="nil"/>
              <w:bottom w:val="single" w:sz="8" w:space="0" w:color="auto"/>
              <w:right w:val="single" w:sz="8" w:space="0" w:color="auto"/>
            </w:tcBorders>
            <w:shd w:val="clear" w:color="auto" w:fill="auto"/>
            <w:noWrap/>
            <w:vAlign w:val="center"/>
            <w:hideMark/>
          </w:tcPr>
          <w:p w14:paraId="33D33950" w14:textId="3E55E5F8"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141</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268</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961</w:t>
            </w:r>
          </w:p>
        </w:tc>
        <w:tc>
          <w:tcPr>
            <w:tcW w:w="1450" w:type="dxa"/>
            <w:tcBorders>
              <w:top w:val="nil"/>
              <w:left w:val="nil"/>
              <w:bottom w:val="single" w:sz="8" w:space="0" w:color="auto"/>
              <w:right w:val="single" w:sz="8" w:space="0" w:color="auto"/>
            </w:tcBorders>
            <w:shd w:val="clear" w:color="auto" w:fill="auto"/>
            <w:vAlign w:val="center"/>
            <w:hideMark/>
          </w:tcPr>
          <w:p w14:paraId="494A7E44"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100%</w:t>
            </w:r>
          </w:p>
        </w:tc>
      </w:tr>
      <w:tr w:rsidR="00B06C73" w:rsidRPr="00B06C73" w14:paraId="3043DAE3" w14:textId="77777777" w:rsidTr="00B834DC">
        <w:trPr>
          <w:trHeight w:val="315"/>
        </w:trPr>
        <w:tc>
          <w:tcPr>
            <w:tcW w:w="1190" w:type="dxa"/>
            <w:tcBorders>
              <w:top w:val="nil"/>
              <w:left w:val="single" w:sz="8" w:space="0" w:color="auto"/>
              <w:bottom w:val="single" w:sz="8" w:space="0" w:color="auto"/>
              <w:right w:val="single" w:sz="8" w:space="0" w:color="auto"/>
            </w:tcBorders>
            <w:shd w:val="clear" w:color="auto" w:fill="auto"/>
            <w:noWrap/>
            <w:hideMark/>
          </w:tcPr>
          <w:p w14:paraId="68EFA824"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02 01 04 01</w:t>
            </w:r>
          </w:p>
        </w:tc>
        <w:tc>
          <w:tcPr>
            <w:tcW w:w="2003" w:type="dxa"/>
            <w:tcBorders>
              <w:top w:val="nil"/>
              <w:left w:val="nil"/>
              <w:bottom w:val="single" w:sz="8" w:space="0" w:color="auto"/>
              <w:right w:val="single" w:sz="8" w:space="0" w:color="auto"/>
            </w:tcBorders>
            <w:shd w:val="clear" w:color="auto" w:fill="auto"/>
            <w:noWrap/>
            <w:vAlign w:val="center"/>
            <w:hideMark/>
          </w:tcPr>
          <w:p w14:paraId="4D126A35"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Administrative budget</w:t>
            </w:r>
          </w:p>
        </w:tc>
        <w:tc>
          <w:tcPr>
            <w:tcW w:w="1759" w:type="dxa"/>
            <w:tcBorders>
              <w:top w:val="nil"/>
              <w:left w:val="nil"/>
              <w:bottom w:val="single" w:sz="8" w:space="0" w:color="auto"/>
              <w:right w:val="single" w:sz="8" w:space="0" w:color="auto"/>
            </w:tcBorders>
            <w:shd w:val="clear" w:color="auto" w:fill="auto"/>
            <w:noWrap/>
            <w:vAlign w:val="center"/>
            <w:hideMark/>
          </w:tcPr>
          <w:p w14:paraId="56815A21" w14:textId="1C168B9D"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3</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619</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046</w:t>
            </w:r>
          </w:p>
        </w:tc>
        <w:tc>
          <w:tcPr>
            <w:tcW w:w="1984" w:type="dxa"/>
            <w:tcBorders>
              <w:top w:val="nil"/>
              <w:left w:val="nil"/>
              <w:bottom w:val="single" w:sz="8" w:space="0" w:color="auto"/>
              <w:right w:val="single" w:sz="8" w:space="0" w:color="auto"/>
            </w:tcBorders>
            <w:shd w:val="clear" w:color="auto" w:fill="auto"/>
            <w:noWrap/>
            <w:vAlign w:val="center"/>
            <w:hideMark/>
          </w:tcPr>
          <w:p w14:paraId="3B6B8CE3" w14:textId="43EC2076"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3</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333</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968</w:t>
            </w:r>
          </w:p>
        </w:tc>
        <w:tc>
          <w:tcPr>
            <w:tcW w:w="1276" w:type="dxa"/>
            <w:tcBorders>
              <w:top w:val="nil"/>
              <w:left w:val="nil"/>
              <w:bottom w:val="single" w:sz="8" w:space="0" w:color="auto"/>
              <w:right w:val="single" w:sz="8" w:space="0" w:color="auto"/>
            </w:tcBorders>
            <w:shd w:val="clear" w:color="auto" w:fill="auto"/>
            <w:vAlign w:val="center"/>
            <w:hideMark/>
          </w:tcPr>
          <w:p w14:paraId="2808C5B2"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92%</w:t>
            </w:r>
          </w:p>
        </w:tc>
        <w:tc>
          <w:tcPr>
            <w:tcW w:w="425" w:type="dxa"/>
            <w:tcBorders>
              <w:top w:val="nil"/>
              <w:left w:val="nil"/>
              <w:bottom w:val="single" w:sz="8" w:space="0" w:color="auto"/>
              <w:right w:val="single" w:sz="8" w:space="0" w:color="auto"/>
            </w:tcBorders>
            <w:shd w:val="clear" w:color="000000" w:fill="D9D9D9"/>
            <w:vAlign w:val="center"/>
            <w:hideMark/>
          </w:tcPr>
          <w:p w14:paraId="73950059" w14:textId="54A62316"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363B497F" w14:textId="11C21E31"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3</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619</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046</w:t>
            </w:r>
          </w:p>
        </w:tc>
        <w:tc>
          <w:tcPr>
            <w:tcW w:w="1984" w:type="dxa"/>
            <w:tcBorders>
              <w:top w:val="nil"/>
              <w:left w:val="nil"/>
              <w:bottom w:val="single" w:sz="8" w:space="0" w:color="auto"/>
              <w:right w:val="single" w:sz="8" w:space="0" w:color="auto"/>
            </w:tcBorders>
            <w:shd w:val="clear" w:color="auto" w:fill="auto"/>
            <w:noWrap/>
            <w:vAlign w:val="center"/>
            <w:hideMark/>
          </w:tcPr>
          <w:p w14:paraId="1B7F6E06" w14:textId="0E5D44CC"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033</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829</w:t>
            </w:r>
          </w:p>
        </w:tc>
        <w:tc>
          <w:tcPr>
            <w:tcW w:w="1450" w:type="dxa"/>
            <w:tcBorders>
              <w:top w:val="nil"/>
              <w:left w:val="nil"/>
              <w:bottom w:val="single" w:sz="8" w:space="0" w:color="auto"/>
              <w:right w:val="single" w:sz="8" w:space="0" w:color="auto"/>
            </w:tcBorders>
            <w:shd w:val="clear" w:color="auto" w:fill="auto"/>
            <w:vAlign w:val="center"/>
            <w:hideMark/>
          </w:tcPr>
          <w:p w14:paraId="02AC8A57"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29%</w:t>
            </w:r>
          </w:p>
        </w:tc>
      </w:tr>
      <w:tr w:rsidR="00B06C73" w:rsidRPr="00B06C73" w14:paraId="4849BB13" w14:textId="77777777" w:rsidTr="00B834DC">
        <w:trPr>
          <w:trHeight w:val="780"/>
        </w:trPr>
        <w:tc>
          <w:tcPr>
            <w:tcW w:w="1190" w:type="dxa"/>
            <w:tcBorders>
              <w:top w:val="nil"/>
              <w:left w:val="single" w:sz="8" w:space="0" w:color="auto"/>
              <w:bottom w:val="single" w:sz="8" w:space="0" w:color="auto"/>
              <w:right w:val="single" w:sz="8" w:space="0" w:color="auto"/>
            </w:tcBorders>
            <w:shd w:val="clear" w:color="auto" w:fill="auto"/>
            <w:noWrap/>
            <w:hideMark/>
          </w:tcPr>
          <w:p w14:paraId="3631018C"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02 01 06 01</w:t>
            </w:r>
          </w:p>
        </w:tc>
        <w:tc>
          <w:tcPr>
            <w:tcW w:w="2003" w:type="dxa"/>
            <w:tcBorders>
              <w:top w:val="nil"/>
              <w:left w:val="nil"/>
              <w:bottom w:val="single" w:sz="8" w:space="0" w:color="auto"/>
              <w:right w:val="single" w:sz="8" w:space="0" w:color="auto"/>
            </w:tcBorders>
            <w:shd w:val="clear" w:color="auto" w:fill="auto"/>
            <w:vAlign w:val="center"/>
            <w:hideMark/>
          </w:tcPr>
          <w:p w14:paraId="1115227E" w14:textId="2B24F69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 xml:space="preserve">EASME </w:t>
            </w:r>
            <w:r w:rsidR="00A902FC" w:rsidRPr="00B834DC">
              <w:rPr>
                <w:rFonts w:ascii="Times New Roman" w:eastAsia="Times New Roman" w:hAnsi="Times New Roman" w:cs="Times New Roman"/>
                <w:b/>
                <w:bCs/>
                <w:noProof/>
                <w:color w:val="000000"/>
                <w:sz w:val="24"/>
                <w:szCs w:val="24"/>
                <w:lang w:eastAsia="en-IE"/>
              </w:rPr>
              <w:t>–</w:t>
            </w:r>
            <w:r w:rsidRPr="00B834DC">
              <w:rPr>
                <w:rFonts w:ascii="Times New Roman" w:eastAsia="Times New Roman" w:hAnsi="Times New Roman" w:cs="Times New Roman"/>
                <w:b/>
                <w:bCs/>
                <w:noProof/>
                <w:color w:val="000000"/>
                <w:sz w:val="24"/>
                <w:szCs w:val="24"/>
                <w:lang w:eastAsia="en-IE"/>
              </w:rPr>
              <w:t xml:space="preserve"> administrative (operating) budget</w:t>
            </w:r>
          </w:p>
        </w:tc>
        <w:tc>
          <w:tcPr>
            <w:tcW w:w="1759" w:type="dxa"/>
            <w:tcBorders>
              <w:top w:val="nil"/>
              <w:left w:val="nil"/>
              <w:bottom w:val="single" w:sz="8" w:space="0" w:color="auto"/>
              <w:right w:val="single" w:sz="8" w:space="0" w:color="auto"/>
            </w:tcBorders>
            <w:shd w:val="clear" w:color="auto" w:fill="auto"/>
            <w:noWrap/>
            <w:vAlign w:val="center"/>
            <w:hideMark/>
          </w:tcPr>
          <w:p w14:paraId="72D8EBF3" w14:textId="6C09B605"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10</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330</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544</w:t>
            </w:r>
          </w:p>
        </w:tc>
        <w:tc>
          <w:tcPr>
            <w:tcW w:w="1984" w:type="dxa"/>
            <w:tcBorders>
              <w:top w:val="nil"/>
              <w:left w:val="nil"/>
              <w:bottom w:val="single" w:sz="8" w:space="0" w:color="auto"/>
              <w:right w:val="single" w:sz="8" w:space="0" w:color="auto"/>
            </w:tcBorders>
            <w:shd w:val="clear" w:color="auto" w:fill="auto"/>
            <w:noWrap/>
            <w:vAlign w:val="center"/>
            <w:hideMark/>
          </w:tcPr>
          <w:p w14:paraId="06E0C19E" w14:textId="3E8DC566"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916</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195</w:t>
            </w:r>
          </w:p>
        </w:tc>
        <w:tc>
          <w:tcPr>
            <w:tcW w:w="1276" w:type="dxa"/>
            <w:tcBorders>
              <w:top w:val="nil"/>
              <w:left w:val="nil"/>
              <w:bottom w:val="single" w:sz="8" w:space="0" w:color="auto"/>
              <w:right w:val="single" w:sz="8" w:space="0" w:color="auto"/>
            </w:tcBorders>
            <w:shd w:val="clear" w:color="auto" w:fill="auto"/>
            <w:vAlign w:val="center"/>
            <w:hideMark/>
          </w:tcPr>
          <w:p w14:paraId="77707315"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96%</w:t>
            </w:r>
          </w:p>
        </w:tc>
        <w:tc>
          <w:tcPr>
            <w:tcW w:w="425" w:type="dxa"/>
            <w:tcBorders>
              <w:top w:val="nil"/>
              <w:left w:val="nil"/>
              <w:bottom w:val="single" w:sz="8" w:space="0" w:color="auto"/>
              <w:right w:val="single" w:sz="8" w:space="0" w:color="auto"/>
            </w:tcBorders>
            <w:shd w:val="clear" w:color="000000" w:fill="D9D9D9"/>
            <w:vAlign w:val="center"/>
            <w:hideMark/>
          </w:tcPr>
          <w:p w14:paraId="2FFBDEAC" w14:textId="5FDAB89D"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6C9A31A4" w14:textId="638AEBC9"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10</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330</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544</w:t>
            </w:r>
          </w:p>
        </w:tc>
        <w:tc>
          <w:tcPr>
            <w:tcW w:w="1984" w:type="dxa"/>
            <w:tcBorders>
              <w:top w:val="nil"/>
              <w:left w:val="nil"/>
              <w:bottom w:val="single" w:sz="8" w:space="0" w:color="auto"/>
              <w:right w:val="single" w:sz="8" w:space="0" w:color="auto"/>
            </w:tcBorders>
            <w:shd w:val="clear" w:color="auto" w:fill="auto"/>
            <w:noWrap/>
            <w:vAlign w:val="center"/>
            <w:hideMark/>
          </w:tcPr>
          <w:p w14:paraId="726F5384" w14:textId="68F74FE6"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916</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195</w:t>
            </w:r>
          </w:p>
        </w:tc>
        <w:tc>
          <w:tcPr>
            <w:tcW w:w="1450" w:type="dxa"/>
            <w:tcBorders>
              <w:top w:val="nil"/>
              <w:left w:val="nil"/>
              <w:bottom w:val="single" w:sz="8" w:space="0" w:color="auto"/>
              <w:right w:val="single" w:sz="8" w:space="0" w:color="auto"/>
            </w:tcBorders>
            <w:shd w:val="clear" w:color="auto" w:fill="auto"/>
            <w:vAlign w:val="center"/>
            <w:hideMark/>
          </w:tcPr>
          <w:p w14:paraId="33E3E15F"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96%</w:t>
            </w:r>
          </w:p>
        </w:tc>
      </w:tr>
      <w:tr w:rsidR="00B06C73" w:rsidRPr="00B06C73" w14:paraId="36CB4548" w14:textId="77777777" w:rsidTr="00B834DC">
        <w:trPr>
          <w:trHeight w:val="315"/>
        </w:trPr>
        <w:tc>
          <w:tcPr>
            <w:tcW w:w="1190" w:type="dxa"/>
            <w:tcBorders>
              <w:top w:val="nil"/>
              <w:left w:val="single" w:sz="8" w:space="0" w:color="auto"/>
              <w:bottom w:val="single" w:sz="8" w:space="0" w:color="auto"/>
              <w:right w:val="single" w:sz="8" w:space="0" w:color="auto"/>
            </w:tcBorders>
            <w:shd w:val="clear" w:color="auto" w:fill="auto"/>
            <w:noWrap/>
            <w:hideMark/>
          </w:tcPr>
          <w:p w14:paraId="4F9A9F45" w14:textId="72C1231D"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p>
        </w:tc>
        <w:tc>
          <w:tcPr>
            <w:tcW w:w="2003" w:type="dxa"/>
            <w:tcBorders>
              <w:top w:val="nil"/>
              <w:left w:val="nil"/>
              <w:bottom w:val="single" w:sz="8" w:space="0" w:color="auto"/>
              <w:right w:val="single" w:sz="8" w:space="0" w:color="auto"/>
            </w:tcBorders>
            <w:shd w:val="clear" w:color="auto" w:fill="auto"/>
            <w:vAlign w:val="center"/>
            <w:hideMark/>
          </w:tcPr>
          <w:p w14:paraId="79DCEBF6" w14:textId="77777777" w:rsidR="00253611" w:rsidRPr="00B834DC" w:rsidRDefault="00253611" w:rsidP="00253611">
            <w:pPr>
              <w:spacing w:after="0" w:line="240" w:lineRule="auto"/>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Total budget</w:t>
            </w:r>
          </w:p>
        </w:tc>
        <w:tc>
          <w:tcPr>
            <w:tcW w:w="1759" w:type="dxa"/>
            <w:tcBorders>
              <w:top w:val="nil"/>
              <w:left w:val="nil"/>
              <w:bottom w:val="single" w:sz="8" w:space="0" w:color="auto"/>
              <w:right w:val="single" w:sz="8" w:space="0" w:color="auto"/>
            </w:tcBorders>
            <w:shd w:val="clear" w:color="auto" w:fill="auto"/>
            <w:noWrap/>
            <w:vAlign w:val="center"/>
            <w:hideMark/>
          </w:tcPr>
          <w:p w14:paraId="2B552AAA" w14:textId="4CC02859"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440</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530</w:t>
            </w:r>
            <w:r w:rsidR="000D09FE"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299</w:t>
            </w:r>
          </w:p>
        </w:tc>
        <w:tc>
          <w:tcPr>
            <w:tcW w:w="1984" w:type="dxa"/>
            <w:tcBorders>
              <w:top w:val="nil"/>
              <w:left w:val="nil"/>
              <w:bottom w:val="single" w:sz="8" w:space="0" w:color="auto"/>
              <w:right w:val="single" w:sz="8" w:space="0" w:color="auto"/>
            </w:tcBorders>
            <w:shd w:val="clear" w:color="auto" w:fill="auto"/>
            <w:noWrap/>
            <w:vAlign w:val="center"/>
            <w:hideMark/>
          </w:tcPr>
          <w:p w14:paraId="7D527D9E" w14:textId="4D695550"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436</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384</w:t>
            </w:r>
            <w:r w:rsidR="009377DD"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865</w:t>
            </w:r>
          </w:p>
        </w:tc>
        <w:tc>
          <w:tcPr>
            <w:tcW w:w="1276" w:type="dxa"/>
            <w:tcBorders>
              <w:top w:val="nil"/>
              <w:left w:val="nil"/>
              <w:bottom w:val="single" w:sz="8" w:space="0" w:color="auto"/>
              <w:right w:val="single" w:sz="8" w:space="0" w:color="auto"/>
            </w:tcBorders>
            <w:shd w:val="clear" w:color="auto" w:fill="auto"/>
            <w:vAlign w:val="center"/>
            <w:hideMark/>
          </w:tcPr>
          <w:p w14:paraId="60AA09A3"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99%</w:t>
            </w:r>
          </w:p>
        </w:tc>
        <w:tc>
          <w:tcPr>
            <w:tcW w:w="425" w:type="dxa"/>
            <w:tcBorders>
              <w:top w:val="nil"/>
              <w:left w:val="nil"/>
              <w:bottom w:val="single" w:sz="8" w:space="0" w:color="auto"/>
              <w:right w:val="single" w:sz="8" w:space="0" w:color="auto"/>
            </w:tcBorders>
            <w:shd w:val="clear" w:color="000000" w:fill="D9D9D9"/>
            <w:noWrap/>
            <w:vAlign w:val="center"/>
            <w:hideMark/>
          </w:tcPr>
          <w:p w14:paraId="76409A23" w14:textId="5CFAC40A"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p>
        </w:tc>
        <w:tc>
          <w:tcPr>
            <w:tcW w:w="1985" w:type="dxa"/>
            <w:tcBorders>
              <w:top w:val="nil"/>
              <w:left w:val="nil"/>
              <w:bottom w:val="single" w:sz="8" w:space="0" w:color="auto"/>
              <w:right w:val="single" w:sz="8" w:space="0" w:color="auto"/>
            </w:tcBorders>
            <w:shd w:val="clear" w:color="auto" w:fill="auto"/>
            <w:noWrap/>
            <w:vAlign w:val="center"/>
            <w:hideMark/>
          </w:tcPr>
          <w:p w14:paraId="27662E72" w14:textId="74CEF6D4"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489</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173</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442</w:t>
            </w:r>
          </w:p>
        </w:tc>
        <w:tc>
          <w:tcPr>
            <w:tcW w:w="1984" w:type="dxa"/>
            <w:tcBorders>
              <w:top w:val="nil"/>
              <w:left w:val="nil"/>
              <w:bottom w:val="single" w:sz="8" w:space="0" w:color="auto"/>
              <w:right w:val="single" w:sz="8" w:space="0" w:color="auto"/>
            </w:tcBorders>
            <w:shd w:val="clear" w:color="auto" w:fill="auto"/>
            <w:noWrap/>
            <w:vAlign w:val="center"/>
            <w:hideMark/>
          </w:tcPr>
          <w:p w14:paraId="16109D77" w14:textId="27AEDB64"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481</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056</w:t>
            </w:r>
            <w:r w:rsidR="00E340E6" w:rsidRPr="00B834DC">
              <w:rPr>
                <w:rFonts w:ascii="Times New Roman" w:eastAsia="Times New Roman" w:hAnsi="Times New Roman" w:cs="Times New Roman"/>
                <w:b/>
                <w:bCs/>
                <w:noProof/>
                <w:color w:val="000000"/>
                <w:sz w:val="24"/>
                <w:szCs w:val="24"/>
                <w:lang w:eastAsia="en-IE"/>
              </w:rPr>
              <w:t> </w:t>
            </w:r>
            <w:r w:rsidRPr="00B834DC">
              <w:rPr>
                <w:rFonts w:ascii="Times New Roman" w:eastAsia="Times New Roman" w:hAnsi="Times New Roman" w:cs="Times New Roman"/>
                <w:b/>
                <w:bCs/>
                <w:noProof/>
                <w:color w:val="000000"/>
                <w:sz w:val="24"/>
                <w:szCs w:val="24"/>
                <w:lang w:eastAsia="en-IE"/>
              </w:rPr>
              <w:t>641</w:t>
            </w:r>
          </w:p>
        </w:tc>
        <w:tc>
          <w:tcPr>
            <w:tcW w:w="1450" w:type="dxa"/>
            <w:tcBorders>
              <w:top w:val="nil"/>
              <w:left w:val="nil"/>
              <w:bottom w:val="single" w:sz="8" w:space="0" w:color="auto"/>
              <w:right w:val="single" w:sz="8" w:space="0" w:color="auto"/>
            </w:tcBorders>
            <w:shd w:val="clear" w:color="auto" w:fill="auto"/>
            <w:vAlign w:val="center"/>
            <w:hideMark/>
          </w:tcPr>
          <w:p w14:paraId="16758DBD" w14:textId="77777777" w:rsidR="00253611" w:rsidRPr="00B834DC" w:rsidRDefault="00253611" w:rsidP="00253611">
            <w:pPr>
              <w:spacing w:after="0" w:line="240" w:lineRule="auto"/>
              <w:jc w:val="right"/>
              <w:rPr>
                <w:rFonts w:ascii="Times New Roman" w:eastAsia="Times New Roman" w:hAnsi="Times New Roman" w:cs="Times New Roman"/>
                <w:b/>
                <w:bCs/>
                <w:noProof/>
                <w:color w:val="000000"/>
                <w:sz w:val="24"/>
                <w:szCs w:val="24"/>
                <w:lang w:eastAsia="en-IE"/>
              </w:rPr>
            </w:pPr>
            <w:r w:rsidRPr="00B834DC">
              <w:rPr>
                <w:rFonts w:ascii="Times New Roman" w:eastAsia="Times New Roman" w:hAnsi="Times New Roman" w:cs="Times New Roman"/>
                <w:b/>
                <w:bCs/>
                <w:noProof/>
                <w:color w:val="000000"/>
                <w:sz w:val="24"/>
                <w:szCs w:val="24"/>
                <w:lang w:eastAsia="en-IE"/>
              </w:rPr>
              <w:t>98%</w:t>
            </w:r>
          </w:p>
        </w:tc>
      </w:tr>
    </w:tbl>
    <w:p w14:paraId="648F284C" w14:textId="55C1B587" w:rsidR="00B8409B" w:rsidRPr="00B834DC" w:rsidRDefault="00B8409B" w:rsidP="00676DFD">
      <w:pPr>
        <w:spacing w:after="60"/>
        <w:rPr>
          <w:rFonts w:ascii="Times New Roman" w:hAnsi="Times New Roman" w:cs="Times New Roman"/>
          <w:b/>
          <w:noProof/>
          <w:sz w:val="24"/>
          <w:szCs w:val="24"/>
        </w:rPr>
      </w:pPr>
    </w:p>
    <w:p w14:paraId="035DCD4F" w14:textId="23AAFF54" w:rsidR="00B8409B" w:rsidRPr="00B834DC" w:rsidRDefault="00B8409B" w:rsidP="00676DFD">
      <w:pPr>
        <w:spacing w:after="60"/>
        <w:rPr>
          <w:rFonts w:ascii="Times New Roman" w:hAnsi="Times New Roman" w:cs="Times New Roman"/>
          <w:b/>
          <w:noProof/>
          <w:sz w:val="24"/>
          <w:szCs w:val="24"/>
        </w:rPr>
      </w:pPr>
    </w:p>
    <w:p w14:paraId="5891BBF9" w14:textId="77777777" w:rsidR="007418A9" w:rsidRPr="0018775F" w:rsidRDefault="007418A9" w:rsidP="00676DFD">
      <w:pPr>
        <w:spacing w:after="60"/>
        <w:rPr>
          <w:rFonts w:ascii="Times New Roman" w:hAnsi="Times New Roman" w:cs="Times New Roman"/>
          <w:b/>
          <w:noProof/>
          <w:sz w:val="24"/>
          <w:szCs w:val="24"/>
        </w:rPr>
        <w:sectPr w:rsidR="007418A9" w:rsidRPr="0018775F" w:rsidSect="007418A9">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40" w:right="1440" w:bottom="1440" w:left="1440" w:header="709" w:footer="709" w:gutter="0"/>
          <w:cols w:space="720"/>
          <w:docGrid w:linePitch="360"/>
        </w:sectPr>
      </w:pPr>
    </w:p>
    <w:p w14:paraId="04DC07A3" w14:textId="39DDE53D" w:rsidR="00163500" w:rsidRPr="005E76F6" w:rsidRDefault="00163500" w:rsidP="0048653D">
      <w:pPr>
        <w:pStyle w:val="Heading1"/>
        <w:numPr>
          <w:ilvl w:val="0"/>
          <w:numId w:val="0"/>
        </w:numPr>
        <w:shd w:val="clear" w:color="auto" w:fill="FFFFFF" w:themeFill="background1"/>
        <w:ind w:left="360" w:hanging="360"/>
        <w:rPr>
          <w:noProof/>
        </w:rPr>
      </w:pPr>
      <w:bookmarkStart w:id="40" w:name="_Toc146623403"/>
      <w:r w:rsidRPr="005E76F6">
        <w:rPr>
          <w:noProof/>
        </w:rPr>
        <w:t>Annex 2</w:t>
      </w:r>
      <w:r w:rsidR="00320C84" w:rsidRPr="005E76F6">
        <w:rPr>
          <w:noProof/>
        </w:rPr>
        <w:t xml:space="preserve"> </w:t>
      </w:r>
      <w:r w:rsidR="00A902FC" w:rsidRPr="005E76F6">
        <w:rPr>
          <w:noProof/>
        </w:rPr>
        <w:t>–</w:t>
      </w:r>
      <w:r w:rsidR="00320C84" w:rsidRPr="005E76F6">
        <w:rPr>
          <w:noProof/>
        </w:rPr>
        <w:t xml:space="preserve"> C</w:t>
      </w:r>
      <w:r w:rsidR="001B53A3" w:rsidRPr="005E76F6">
        <w:rPr>
          <w:noProof/>
        </w:rPr>
        <w:t>ountry information</w:t>
      </w:r>
      <w:bookmarkEnd w:id="40"/>
    </w:p>
    <w:p w14:paraId="1187832B" w14:textId="578D6775" w:rsidR="00163500" w:rsidRPr="005E76F6" w:rsidRDefault="008B4A12" w:rsidP="00D773A9">
      <w:pPr>
        <w:pStyle w:val="ListParagraph"/>
        <w:numPr>
          <w:ilvl w:val="0"/>
          <w:numId w:val="5"/>
        </w:numPr>
        <w:spacing w:before="240"/>
        <w:ind w:left="357" w:hanging="357"/>
        <w:contextualSpacing w:val="0"/>
        <w:rPr>
          <w:rFonts w:ascii="Times New Roman" w:hAnsi="Times New Roman" w:cs="Times New Roman"/>
          <w:b/>
          <w:noProof/>
          <w:color w:val="000000" w:themeColor="text1"/>
          <w:sz w:val="24"/>
          <w:szCs w:val="24"/>
        </w:rPr>
      </w:pPr>
      <w:r w:rsidRPr="005E76F6">
        <w:rPr>
          <w:rFonts w:ascii="Times New Roman" w:hAnsi="Times New Roman" w:cs="Times New Roman"/>
          <w:b/>
          <w:noProof/>
          <w:color w:val="000000" w:themeColor="text1"/>
          <w:sz w:val="24"/>
          <w:szCs w:val="24"/>
        </w:rPr>
        <w:t xml:space="preserve">Financial </w:t>
      </w:r>
      <w:r w:rsidR="00321AB8" w:rsidRPr="005E76F6">
        <w:rPr>
          <w:rFonts w:ascii="Times New Roman" w:hAnsi="Times New Roman" w:cs="Times New Roman"/>
          <w:b/>
          <w:noProof/>
          <w:color w:val="000000" w:themeColor="text1"/>
          <w:sz w:val="24"/>
          <w:szCs w:val="24"/>
        </w:rPr>
        <w:t>i</w:t>
      </w:r>
      <w:r w:rsidRPr="005E76F6">
        <w:rPr>
          <w:rFonts w:ascii="Times New Roman" w:hAnsi="Times New Roman" w:cs="Times New Roman"/>
          <w:b/>
          <w:noProof/>
          <w:color w:val="000000" w:themeColor="text1"/>
          <w:sz w:val="24"/>
          <w:szCs w:val="24"/>
        </w:rPr>
        <w:t>nstruments</w:t>
      </w:r>
    </w:p>
    <w:p w14:paraId="669E24DD" w14:textId="175BF4AB" w:rsidR="0008538D" w:rsidRPr="005E76F6" w:rsidRDefault="0008538D" w:rsidP="0008538D">
      <w:pPr>
        <w:spacing w:after="120" w:line="240" w:lineRule="auto"/>
        <w:ind w:left="357"/>
        <w:jc w:val="both"/>
        <w:rPr>
          <w:rFonts w:ascii="Times New Roman" w:eastAsia="Times New Roman" w:hAnsi="Times New Roman" w:cs="Times New Roman"/>
          <w:bCs/>
          <w:iCs/>
          <w:noProof/>
          <w:sz w:val="24"/>
          <w:szCs w:val="24"/>
          <w:lang w:eastAsia="fr-FR"/>
        </w:rPr>
      </w:pPr>
      <w:r w:rsidRPr="005E76F6">
        <w:rPr>
          <w:rFonts w:ascii="Times New Roman" w:eastAsia="Times New Roman" w:hAnsi="Times New Roman" w:cs="Times New Roman"/>
          <w:bCs/>
          <w:iCs/>
          <w:noProof/>
          <w:sz w:val="24"/>
          <w:szCs w:val="24"/>
          <w:lang w:eastAsia="fr-FR"/>
        </w:rPr>
        <w:t xml:space="preserve">The graphs below represent a geographical breakdown of the financial support received by SMEs in different countries. The country information is </w:t>
      </w:r>
      <w:r w:rsidR="00841D24" w:rsidRPr="005E76F6">
        <w:rPr>
          <w:rFonts w:ascii="Times New Roman" w:eastAsia="Times New Roman" w:hAnsi="Times New Roman" w:cs="Times New Roman"/>
          <w:bCs/>
          <w:iCs/>
          <w:noProof/>
          <w:sz w:val="24"/>
          <w:szCs w:val="24"/>
          <w:lang w:eastAsia="fr-FR"/>
        </w:rPr>
        <w:t xml:space="preserve">a </w:t>
      </w:r>
      <w:r w:rsidRPr="005E76F6">
        <w:rPr>
          <w:rFonts w:ascii="Times New Roman" w:eastAsia="Times New Roman" w:hAnsi="Times New Roman" w:cs="Times New Roman"/>
          <w:bCs/>
          <w:iCs/>
          <w:noProof/>
          <w:sz w:val="24"/>
          <w:szCs w:val="24"/>
          <w:lang w:eastAsia="fr-FR"/>
        </w:rPr>
        <w:t>cumulative result based on all 2014-2020 commitments. In the case of financial instruments</w:t>
      </w:r>
      <w:r w:rsidR="00321AB8" w:rsidRPr="005E76F6">
        <w:rPr>
          <w:rFonts w:ascii="Times New Roman" w:eastAsia="Times New Roman" w:hAnsi="Times New Roman" w:cs="Times New Roman"/>
          <w:bCs/>
          <w:iCs/>
          <w:noProof/>
          <w:sz w:val="24"/>
          <w:szCs w:val="24"/>
          <w:lang w:eastAsia="fr-FR"/>
        </w:rPr>
        <w:t>,</w:t>
      </w:r>
      <w:r w:rsidRPr="005E76F6">
        <w:rPr>
          <w:rFonts w:ascii="Times New Roman" w:eastAsia="Times New Roman" w:hAnsi="Times New Roman" w:cs="Times New Roman"/>
          <w:bCs/>
          <w:iCs/>
          <w:noProof/>
          <w:sz w:val="24"/>
          <w:szCs w:val="24"/>
          <w:lang w:eastAsia="fr-FR"/>
        </w:rPr>
        <w:t xml:space="preserve"> due to their implementation design yearly commitments contribute to the overall results, which are based on budgets </w:t>
      </w:r>
      <w:r w:rsidR="00B31971" w:rsidRPr="005E76F6">
        <w:rPr>
          <w:rFonts w:ascii="Times New Roman" w:eastAsia="Times New Roman" w:hAnsi="Times New Roman" w:cs="Times New Roman"/>
          <w:bCs/>
          <w:iCs/>
          <w:noProof/>
          <w:sz w:val="24"/>
          <w:szCs w:val="24"/>
          <w:lang w:eastAsia="fr-FR"/>
        </w:rPr>
        <w:t xml:space="preserve">also </w:t>
      </w:r>
      <w:r w:rsidRPr="005E76F6">
        <w:rPr>
          <w:rFonts w:ascii="Times New Roman" w:eastAsia="Times New Roman" w:hAnsi="Times New Roman" w:cs="Times New Roman"/>
          <w:bCs/>
          <w:iCs/>
          <w:noProof/>
          <w:sz w:val="24"/>
          <w:szCs w:val="24"/>
          <w:lang w:eastAsia="fr-FR"/>
        </w:rPr>
        <w:t>committed in previous years.</w:t>
      </w:r>
    </w:p>
    <w:p w14:paraId="4E67CBDD" w14:textId="77777777" w:rsidR="0008538D" w:rsidRPr="005E76F6" w:rsidRDefault="0008538D" w:rsidP="00B96933">
      <w:pPr>
        <w:spacing w:after="120" w:line="240" w:lineRule="auto"/>
        <w:ind w:left="357"/>
        <w:jc w:val="both"/>
        <w:rPr>
          <w:rFonts w:ascii="Times New Roman" w:eastAsia="Times New Roman" w:hAnsi="Times New Roman" w:cs="Times New Roman"/>
          <w:bCs/>
          <w:iCs/>
          <w:noProof/>
          <w:sz w:val="24"/>
          <w:szCs w:val="24"/>
          <w:lang w:eastAsia="fr-FR"/>
        </w:rPr>
      </w:pPr>
    </w:p>
    <w:p w14:paraId="7C883D08" w14:textId="5DB22A1F" w:rsidR="00163500" w:rsidRPr="005E76F6" w:rsidRDefault="00163500" w:rsidP="00320C84">
      <w:pPr>
        <w:ind w:left="357"/>
        <w:rPr>
          <w:rFonts w:ascii="Times New Roman" w:hAnsi="Times New Roman" w:cs="Times New Roman"/>
          <w:b/>
          <w:noProof/>
          <w:color w:val="000000" w:themeColor="text1"/>
          <w:sz w:val="24"/>
          <w:szCs w:val="24"/>
        </w:rPr>
      </w:pPr>
      <w:r w:rsidRPr="005E76F6">
        <w:rPr>
          <w:rFonts w:ascii="Times New Roman" w:hAnsi="Times New Roman" w:cs="Times New Roman"/>
          <w:b/>
          <w:noProof/>
          <w:color w:val="000000" w:themeColor="text1"/>
          <w:sz w:val="24"/>
          <w:szCs w:val="24"/>
        </w:rPr>
        <w:t>Equity Facility for Growth</w:t>
      </w:r>
    </w:p>
    <w:p w14:paraId="7BC5134D" w14:textId="1B24DE9D" w:rsidR="00163500" w:rsidRPr="005E76F6" w:rsidRDefault="00163500" w:rsidP="00320C84">
      <w:pPr>
        <w:spacing w:after="120" w:line="240" w:lineRule="auto"/>
        <w:ind w:left="357"/>
        <w:jc w:val="both"/>
        <w:rPr>
          <w:rFonts w:ascii="Times New Roman" w:eastAsia="Times New Roman" w:hAnsi="Times New Roman" w:cs="Times New Roman"/>
          <w:bCs/>
          <w:iCs/>
          <w:noProof/>
          <w:sz w:val="24"/>
          <w:szCs w:val="24"/>
          <w:lang w:eastAsia="fr-FR"/>
        </w:rPr>
      </w:pPr>
      <w:r w:rsidRPr="005E76F6">
        <w:rPr>
          <w:rFonts w:ascii="Times New Roman" w:eastAsia="Times New Roman" w:hAnsi="Times New Roman" w:cs="Times New Roman"/>
          <w:bCs/>
          <w:iCs/>
          <w:noProof/>
          <w:sz w:val="24"/>
          <w:szCs w:val="24"/>
          <w:lang w:eastAsia="fr-FR"/>
        </w:rPr>
        <w:t>At the end of 2021, total investments of EUR</w:t>
      </w:r>
      <w:r w:rsidR="00FE2948" w:rsidRPr="005E76F6">
        <w:rPr>
          <w:rFonts w:ascii="Times New Roman" w:eastAsia="Times New Roman" w:hAnsi="Times New Roman" w:cs="Times New Roman"/>
          <w:bCs/>
          <w:iCs/>
          <w:noProof/>
          <w:sz w:val="24"/>
          <w:szCs w:val="24"/>
          <w:lang w:eastAsia="fr-FR"/>
        </w:rPr>
        <w:t> </w:t>
      </w:r>
      <w:r w:rsidRPr="005E76F6">
        <w:rPr>
          <w:rFonts w:ascii="Times New Roman" w:eastAsia="Times New Roman" w:hAnsi="Times New Roman" w:cs="Times New Roman"/>
          <w:bCs/>
          <w:iCs/>
          <w:noProof/>
          <w:sz w:val="24"/>
          <w:szCs w:val="24"/>
          <w:lang w:eastAsia="fr-FR"/>
        </w:rPr>
        <w:t>2.6 billion from COSME</w:t>
      </w:r>
      <w:r w:rsidR="00841D24" w:rsidRPr="005E76F6">
        <w:rPr>
          <w:rFonts w:ascii="Times New Roman" w:eastAsia="Times New Roman" w:hAnsi="Times New Roman" w:cs="Times New Roman"/>
          <w:bCs/>
          <w:iCs/>
          <w:noProof/>
          <w:sz w:val="24"/>
          <w:szCs w:val="24"/>
          <w:lang w:eastAsia="fr-FR"/>
        </w:rPr>
        <w:t>’s</w:t>
      </w:r>
      <w:r w:rsidRPr="005E76F6">
        <w:rPr>
          <w:rFonts w:ascii="Times New Roman" w:eastAsia="Times New Roman" w:hAnsi="Times New Roman" w:cs="Times New Roman"/>
          <w:bCs/>
          <w:iCs/>
          <w:noProof/>
          <w:sz w:val="24"/>
          <w:szCs w:val="24"/>
          <w:lang w:eastAsia="fr-FR"/>
        </w:rPr>
        <w:t xml:space="preserve"> 2014-</w:t>
      </w:r>
      <w:r w:rsidR="00841D24" w:rsidRPr="005E76F6">
        <w:rPr>
          <w:rFonts w:ascii="Times New Roman" w:eastAsia="Times New Roman" w:hAnsi="Times New Roman" w:cs="Times New Roman"/>
          <w:bCs/>
          <w:iCs/>
          <w:noProof/>
          <w:sz w:val="24"/>
          <w:szCs w:val="24"/>
          <w:lang w:eastAsia="fr-FR"/>
        </w:rPr>
        <w:t>20</w:t>
      </w:r>
      <w:r w:rsidRPr="005E76F6">
        <w:rPr>
          <w:rFonts w:ascii="Times New Roman" w:eastAsia="Times New Roman" w:hAnsi="Times New Roman" w:cs="Times New Roman"/>
          <w:bCs/>
          <w:iCs/>
          <w:noProof/>
          <w:sz w:val="24"/>
          <w:szCs w:val="24"/>
          <w:lang w:eastAsia="fr-FR"/>
        </w:rPr>
        <w:t xml:space="preserve">20 budget </w:t>
      </w:r>
      <w:r w:rsidR="00D773A9" w:rsidRPr="005E76F6">
        <w:rPr>
          <w:rFonts w:ascii="Times New Roman" w:eastAsia="Times New Roman" w:hAnsi="Times New Roman" w:cs="Times New Roman"/>
          <w:bCs/>
          <w:iCs/>
          <w:noProof/>
          <w:sz w:val="24"/>
          <w:szCs w:val="24"/>
          <w:lang w:eastAsia="fr-FR"/>
        </w:rPr>
        <w:t>had been</w:t>
      </w:r>
      <w:r w:rsidRPr="005E76F6">
        <w:rPr>
          <w:rFonts w:ascii="Times New Roman" w:eastAsia="Times New Roman" w:hAnsi="Times New Roman" w:cs="Times New Roman"/>
          <w:bCs/>
          <w:iCs/>
          <w:noProof/>
          <w:sz w:val="24"/>
          <w:szCs w:val="24"/>
          <w:lang w:eastAsia="fr-FR"/>
        </w:rPr>
        <w:t xml:space="preserve"> made in 28 countries</w:t>
      </w:r>
      <w:r w:rsidR="008B4A12" w:rsidRPr="005E76F6">
        <w:rPr>
          <w:rFonts w:ascii="Times New Roman" w:eastAsia="Times New Roman" w:hAnsi="Times New Roman" w:cs="Times New Roman"/>
          <w:bCs/>
          <w:iCs/>
          <w:noProof/>
          <w:sz w:val="24"/>
          <w:szCs w:val="24"/>
          <w:lang w:eastAsia="fr-FR"/>
        </w:rPr>
        <w:t xml:space="preserve"> (</w:t>
      </w:r>
      <w:r w:rsidRPr="005E76F6">
        <w:rPr>
          <w:rFonts w:ascii="Times New Roman" w:eastAsia="Times New Roman" w:hAnsi="Times New Roman" w:cs="Times New Roman"/>
          <w:bCs/>
          <w:iCs/>
          <w:noProof/>
          <w:sz w:val="24"/>
          <w:szCs w:val="24"/>
          <w:lang w:eastAsia="fr-FR"/>
        </w:rPr>
        <w:t xml:space="preserve">25% </w:t>
      </w:r>
      <w:r w:rsidR="008B4A12" w:rsidRPr="005E76F6">
        <w:rPr>
          <w:rFonts w:ascii="Times New Roman" w:eastAsia="Times New Roman" w:hAnsi="Times New Roman" w:cs="Times New Roman"/>
          <w:bCs/>
          <w:iCs/>
          <w:noProof/>
          <w:sz w:val="24"/>
          <w:szCs w:val="24"/>
          <w:lang w:eastAsia="fr-FR"/>
        </w:rPr>
        <w:t xml:space="preserve">of this amount was invested </w:t>
      </w:r>
      <w:r w:rsidRPr="005E76F6">
        <w:rPr>
          <w:rFonts w:ascii="Times New Roman" w:eastAsia="Times New Roman" w:hAnsi="Times New Roman" w:cs="Times New Roman"/>
          <w:bCs/>
          <w:iCs/>
          <w:noProof/>
          <w:sz w:val="24"/>
          <w:szCs w:val="24"/>
          <w:lang w:eastAsia="fr-FR"/>
        </w:rPr>
        <w:t>in Germany, 19% in France and 15% in the United Kingdom</w:t>
      </w:r>
      <w:r w:rsidR="008B4A12" w:rsidRPr="005E76F6">
        <w:rPr>
          <w:rFonts w:ascii="Times New Roman" w:eastAsia="Times New Roman" w:hAnsi="Times New Roman" w:cs="Times New Roman"/>
          <w:bCs/>
          <w:iCs/>
          <w:noProof/>
          <w:sz w:val="24"/>
          <w:szCs w:val="24"/>
          <w:lang w:eastAsia="fr-FR"/>
        </w:rPr>
        <w:t>)</w:t>
      </w:r>
      <w:r w:rsidR="00841D24" w:rsidRPr="005E76F6">
        <w:rPr>
          <w:rFonts w:ascii="Times New Roman" w:eastAsia="Times New Roman" w:hAnsi="Times New Roman" w:cs="Times New Roman"/>
          <w:bCs/>
          <w:iCs/>
          <w:noProof/>
          <w:sz w:val="24"/>
          <w:szCs w:val="24"/>
          <w:lang w:eastAsia="fr-FR"/>
        </w:rPr>
        <w:t>.</w:t>
      </w:r>
    </w:p>
    <w:p w14:paraId="6F77CD36" w14:textId="77777777" w:rsidR="00BD137E" w:rsidRPr="005E76F6" w:rsidRDefault="00BD137E" w:rsidP="00320C84">
      <w:pPr>
        <w:spacing w:after="120" w:line="240" w:lineRule="auto"/>
        <w:ind w:left="357"/>
        <w:jc w:val="both"/>
        <w:rPr>
          <w:rFonts w:ascii="Times New Roman" w:eastAsia="Times New Roman" w:hAnsi="Times New Roman" w:cs="Times New Roman"/>
          <w:bCs/>
          <w:iCs/>
          <w:noProof/>
          <w:sz w:val="24"/>
          <w:szCs w:val="24"/>
          <w:lang w:eastAsia="fr-FR"/>
        </w:rPr>
      </w:pPr>
    </w:p>
    <w:p w14:paraId="0764C816" w14:textId="70EA348E" w:rsidR="008B4A12" w:rsidRPr="005E76F6" w:rsidRDefault="00BD137E" w:rsidP="00163500">
      <w:pPr>
        <w:spacing w:after="60" w:line="240" w:lineRule="auto"/>
        <w:jc w:val="both"/>
        <w:rPr>
          <w:rFonts w:ascii="Times New Roman" w:eastAsia="Times New Roman" w:hAnsi="Times New Roman" w:cs="Times New Roman"/>
          <w:bCs/>
          <w:iCs/>
          <w:noProof/>
          <w:sz w:val="24"/>
          <w:szCs w:val="24"/>
          <w:lang w:eastAsia="fr-FR"/>
        </w:rPr>
      </w:pPr>
      <w:r w:rsidRPr="001D708B">
        <w:rPr>
          <w:rFonts w:ascii="Times New Roman" w:hAnsi="Times New Roman" w:cs="Times New Roman"/>
          <w:noProof/>
          <w:sz w:val="24"/>
          <w:szCs w:val="24"/>
          <w:lang w:eastAsia="en-GB"/>
        </w:rPr>
        <w:drawing>
          <wp:inline distT="0" distB="0" distL="0" distR="0" wp14:anchorId="63EF2545" wp14:editId="1E15B69E">
            <wp:extent cx="5731510" cy="5320665"/>
            <wp:effectExtent l="0" t="0" r="2540" b="0"/>
            <wp:docPr id="3" name="Chart 3">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20C1A43" w14:textId="1BC15CC9" w:rsidR="0063035A" w:rsidRPr="005E76F6" w:rsidRDefault="0063035A" w:rsidP="0063035A">
      <w:pPr>
        <w:widowControl w:val="0"/>
        <w:autoSpaceDE w:val="0"/>
        <w:autoSpaceDN w:val="0"/>
        <w:adjustRightInd w:val="0"/>
        <w:spacing w:before="240" w:after="60" w:line="240" w:lineRule="auto"/>
        <w:jc w:val="both"/>
        <w:rPr>
          <w:rFonts w:ascii="Times New Roman" w:eastAsia="Times New Roman" w:hAnsi="Times New Roman" w:cs="Times New Roman"/>
          <w:bCs/>
          <w:iCs/>
          <w:noProof/>
          <w:color w:val="000000" w:themeColor="text1"/>
          <w:sz w:val="24"/>
          <w:szCs w:val="24"/>
          <w:lang w:eastAsia="fr-FR"/>
        </w:rPr>
      </w:pPr>
    </w:p>
    <w:p w14:paraId="793ABFF1" w14:textId="3B9A3A7C" w:rsidR="00CA6980" w:rsidRPr="005E76F6" w:rsidRDefault="00AC7825" w:rsidP="0063035A">
      <w:pPr>
        <w:widowControl w:val="0"/>
        <w:autoSpaceDE w:val="0"/>
        <w:autoSpaceDN w:val="0"/>
        <w:adjustRightInd w:val="0"/>
        <w:spacing w:before="240" w:after="60" w:line="240" w:lineRule="auto"/>
        <w:jc w:val="both"/>
        <w:rPr>
          <w:rFonts w:ascii="Times New Roman" w:eastAsia="Times New Roman" w:hAnsi="Times New Roman" w:cs="Times New Roman"/>
          <w:b/>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br w:type="column"/>
      </w:r>
      <w:r w:rsidR="00CA6980" w:rsidRPr="005E76F6">
        <w:rPr>
          <w:rFonts w:ascii="Times New Roman" w:eastAsia="Times New Roman" w:hAnsi="Times New Roman" w:cs="Times New Roman"/>
          <w:b/>
          <w:bCs/>
          <w:iCs/>
          <w:noProof/>
          <w:color w:val="000000" w:themeColor="text1"/>
          <w:sz w:val="24"/>
          <w:szCs w:val="24"/>
          <w:lang w:eastAsia="fr-FR"/>
        </w:rPr>
        <w:t>Loan Guarantee Facility</w:t>
      </w:r>
    </w:p>
    <w:p w14:paraId="4F0D0C3E" w14:textId="77777777" w:rsidR="00E24F48" w:rsidRPr="005E76F6" w:rsidRDefault="00E24F48" w:rsidP="00E24F48">
      <w:pPr>
        <w:spacing w:after="120" w:line="240" w:lineRule="auto"/>
        <w:jc w:val="both"/>
        <w:rPr>
          <w:rFonts w:ascii="Times New Roman" w:eastAsia="Times New Roman" w:hAnsi="Times New Roman" w:cs="Times New Roman"/>
          <w:bCs/>
          <w:iCs/>
          <w:noProof/>
          <w:sz w:val="24"/>
          <w:szCs w:val="24"/>
          <w:lang w:eastAsia="fr-FR"/>
        </w:rPr>
      </w:pPr>
      <w:r w:rsidRPr="005E76F6">
        <w:rPr>
          <w:rFonts w:ascii="Times New Roman" w:eastAsia="Times New Roman" w:hAnsi="Times New Roman" w:cs="Times New Roman"/>
          <w:bCs/>
          <w:iCs/>
          <w:noProof/>
          <w:sz w:val="24"/>
          <w:szCs w:val="24"/>
          <w:lang w:eastAsia="fr-FR"/>
        </w:rPr>
        <w:t>Geographical diversification</w:t>
      </w:r>
    </w:p>
    <w:p w14:paraId="429B763F" w14:textId="77242FF0" w:rsidR="00E24F48" w:rsidRPr="005E76F6" w:rsidRDefault="00E24F48" w:rsidP="00E24F48">
      <w:pPr>
        <w:spacing w:after="120" w:line="240" w:lineRule="auto"/>
        <w:jc w:val="both"/>
        <w:rPr>
          <w:rFonts w:ascii="Times New Roman" w:eastAsia="Times New Roman" w:hAnsi="Times New Roman" w:cs="Times New Roman"/>
          <w:bCs/>
          <w:iCs/>
          <w:noProof/>
          <w:sz w:val="24"/>
          <w:szCs w:val="24"/>
          <w:lang w:eastAsia="fr-FR"/>
        </w:rPr>
      </w:pPr>
      <w:r w:rsidRPr="005E76F6">
        <w:rPr>
          <w:rFonts w:ascii="Times New Roman" w:eastAsia="Times New Roman" w:hAnsi="Times New Roman" w:cs="Times New Roman"/>
          <w:bCs/>
          <w:iCs/>
          <w:noProof/>
          <w:sz w:val="24"/>
          <w:szCs w:val="24"/>
          <w:lang w:eastAsia="fr-FR"/>
        </w:rPr>
        <w:t xml:space="preserve">By the end of 2021, the LGF </w:t>
      </w:r>
      <w:r w:rsidR="00321AB8" w:rsidRPr="005E76F6">
        <w:rPr>
          <w:rFonts w:ascii="Times New Roman" w:eastAsia="Times New Roman" w:hAnsi="Times New Roman" w:cs="Times New Roman"/>
          <w:bCs/>
          <w:iCs/>
          <w:noProof/>
          <w:sz w:val="24"/>
          <w:szCs w:val="24"/>
          <w:lang w:eastAsia="fr-FR"/>
        </w:rPr>
        <w:t xml:space="preserve">had </w:t>
      </w:r>
      <w:r w:rsidRPr="005E76F6">
        <w:rPr>
          <w:rFonts w:ascii="Times New Roman" w:eastAsia="Times New Roman" w:hAnsi="Times New Roman" w:cs="Times New Roman"/>
          <w:bCs/>
          <w:iCs/>
          <w:noProof/>
          <w:sz w:val="24"/>
          <w:szCs w:val="24"/>
          <w:lang w:eastAsia="fr-FR"/>
        </w:rPr>
        <w:t xml:space="preserve">provided guarantees and counter-guarantees to financial intermediaries in 33 countries (26 Member States and 7 countries participating </w:t>
      </w:r>
      <w:r w:rsidR="00321AB8" w:rsidRPr="005E76F6">
        <w:rPr>
          <w:rFonts w:ascii="Times New Roman" w:eastAsia="Times New Roman" w:hAnsi="Times New Roman" w:cs="Times New Roman"/>
          <w:bCs/>
          <w:iCs/>
          <w:noProof/>
          <w:sz w:val="24"/>
          <w:szCs w:val="24"/>
          <w:lang w:eastAsia="fr-FR"/>
        </w:rPr>
        <w:t xml:space="preserve">in </w:t>
      </w:r>
      <w:r w:rsidRPr="005E76F6">
        <w:rPr>
          <w:rFonts w:ascii="Times New Roman" w:eastAsia="Times New Roman" w:hAnsi="Times New Roman" w:cs="Times New Roman"/>
          <w:bCs/>
          <w:iCs/>
          <w:noProof/>
          <w:sz w:val="24"/>
          <w:szCs w:val="24"/>
          <w:lang w:eastAsia="fr-FR"/>
        </w:rPr>
        <w:t>COSME)</w:t>
      </w:r>
      <w:r w:rsidR="00321AB8" w:rsidRPr="005E76F6">
        <w:rPr>
          <w:rFonts w:ascii="Times New Roman" w:eastAsia="Times New Roman" w:hAnsi="Times New Roman" w:cs="Times New Roman"/>
          <w:bCs/>
          <w:iCs/>
          <w:noProof/>
          <w:sz w:val="24"/>
          <w:szCs w:val="24"/>
          <w:lang w:eastAsia="fr-FR"/>
        </w:rPr>
        <w:t>. This</w:t>
      </w:r>
      <w:r w:rsidRPr="005E76F6">
        <w:rPr>
          <w:rFonts w:ascii="Times New Roman" w:eastAsia="Times New Roman" w:hAnsi="Times New Roman" w:cs="Times New Roman"/>
          <w:bCs/>
          <w:iCs/>
          <w:noProof/>
          <w:sz w:val="24"/>
          <w:szCs w:val="24"/>
          <w:lang w:eastAsia="fr-FR"/>
        </w:rPr>
        <w:t xml:space="preserve"> supported the distribution of EUR</w:t>
      </w:r>
      <w:r w:rsidR="00FE2948" w:rsidRPr="005E76F6">
        <w:rPr>
          <w:rFonts w:ascii="Times New Roman" w:eastAsia="Times New Roman" w:hAnsi="Times New Roman" w:cs="Times New Roman"/>
          <w:bCs/>
          <w:iCs/>
          <w:noProof/>
          <w:sz w:val="24"/>
          <w:szCs w:val="24"/>
          <w:lang w:eastAsia="fr-FR"/>
        </w:rPr>
        <w:t> </w:t>
      </w:r>
      <w:r w:rsidRPr="005E76F6">
        <w:rPr>
          <w:rFonts w:ascii="Times New Roman" w:eastAsia="Times New Roman" w:hAnsi="Times New Roman" w:cs="Times New Roman"/>
          <w:bCs/>
          <w:iCs/>
          <w:noProof/>
          <w:sz w:val="24"/>
          <w:szCs w:val="24"/>
          <w:lang w:eastAsia="fr-FR"/>
        </w:rPr>
        <w:t>50 billion financing to more than 800</w:t>
      </w:r>
      <w:r w:rsidR="00FE2948" w:rsidRPr="005E76F6">
        <w:rPr>
          <w:rFonts w:ascii="Times New Roman" w:eastAsia="Times New Roman" w:hAnsi="Times New Roman" w:cs="Times New Roman"/>
          <w:bCs/>
          <w:iCs/>
          <w:noProof/>
          <w:sz w:val="24"/>
          <w:szCs w:val="24"/>
          <w:lang w:eastAsia="fr-FR"/>
        </w:rPr>
        <w:t> </w:t>
      </w:r>
      <w:r w:rsidRPr="005E76F6">
        <w:rPr>
          <w:rFonts w:ascii="Times New Roman" w:eastAsia="Times New Roman" w:hAnsi="Times New Roman" w:cs="Times New Roman"/>
          <w:bCs/>
          <w:iCs/>
          <w:noProof/>
          <w:sz w:val="24"/>
          <w:szCs w:val="24"/>
          <w:lang w:eastAsia="fr-FR"/>
        </w:rPr>
        <w:t>000 SMEs.</w:t>
      </w:r>
    </w:p>
    <w:p w14:paraId="10F82FBF" w14:textId="77777777" w:rsidR="00BD137E" w:rsidRPr="005E76F6" w:rsidRDefault="00BD137E" w:rsidP="00E24F48">
      <w:pPr>
        <w:spacing w:after="120" w:line="240" w:lineRule="auto"/>
        <w:jc w:val="both"/>
        <w:rPr>
          <w:rFonts w:ascii="Times New Roman" w:eastAsia="Times New Roman" w:hAnsi="Times New Roman" w:cs="Times New Roman"/>
          <w:bCs/>
          <w:iCs/>
          <w:noProof/>
          <w:sz w:val="24"/>
          <w:szCs w:val="24"/>
          <w:lang w:eastAsia="fr-FR"/>
        </w:rPr>
      </w:pPr>
    </w:p>
    <w:p w14:paraId="611432EA" w14:textId="5493F681" w:rsidR="00E24F48" w:rsidRPr="0018775F" w:rsidRDefault="00BD137E" w:rsidP="00E24F48">
      <w:pPr>
        <w:rPr>
          <w:rFonts w:ascii="Times New Roman" w:hAnsi="Times New Roman" w:cs="Times New Roman"/>
          <w:noProof/>
          <w:sz w:val="24"/>
          <w:szCs w:val="24"/>
        </w:rPr>
      </w:pPr>
      <w:r w:rsidRPr="0018775F">
        <w:rPr>
          <w:rFonts w:ascii="Times New Roman" w:hAnsi="Times New Roman" w:cs="Times New Roman"/>
          <w:noProof/>
          <w:sz w:val="24"/>
          <w:szCs w:val="24"/>
          <w:lang w:eastAsia="en-GB"/>
        </w:rPr>
        <w:drawing>
          <wp:inline distT="0" distB="0" distL="0" distR="0" wp14:anchorId="4B6497B7" wp14:editId="6023D443">
            <wp:extent cx="5879805" cy="5592726"/>
            <wp:effectExtent l="0" t="0" r="6985" b="8255"/>
            <wp:docPr id="1" name="Chart 1">
              <a:extLst xmlns:a="http://schemas.openxmlformats.org/drawingml/2006/main">
                <a:ext uri="{FF2B5EF4-FFF2-40B4-BE49-F238E27FC236}">
                  <a16:creationId xmlns:a16="http://schemas.microsoft.com/office/drawing/2014/main" id="{7348D9F2-E0BF-4531-896B-20C468871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EF227A7" w14:textId="017D5C75" w:rsidR="00E24F48" w:rsidRPr="0018775F" w:rsidRDefault="00E24F48" w:rsidP="00E24F48">
      <w:pPr>
        <w:pBdr>
          <w:bottom w:val="single" w:sz="12" w:space="1" w:color="auto"/>
        </w:pBdr>
        <w:rPr>
          <w:rFonts w:ascii="Times New Roman" w:hAnsi="Times New Roman" w:cs="Times New Roman"/>
          <w:noProof/>
          <w:sz w:val="24"/>
          <w:szCs w:val="24"/>
        </w:rPr>
      </w:pPr>
    </w:p>
    <w:p w14:paraId="62B39602" w14:textId="56128517" w:rsidR="00BD137E" w:rsidRPr="0018775F" w:rsidRDefault="00BD137E" w:rsidP="00E24F48">
      <w:pPr>
        <w:pBdr>
          <w:bottom w:val="single" w:sz="12" w:space="1" w:color="auto"/>
        </w:pBdr>
        <w:rPr>
          <w:rFonts w:ascii="Times New Roman" w:hAnsi="Times New Roman" w:cs="Times New Roman"/>
          <w:noProof/>
          <w:sz w:val="24"/>
          <w:szCs w:val="24"/>
        </w:rPr>
      </w:pPr>
    </w:p>
    <w:p w14:paraId="7FAFAF7B" w14:textId="77777777" w:rsidR="00BD137E" w:rsidRPr="0018775F" w:rsidRDefault="00BD137E" w:rsidP="00E24F48">
      <w:pPr>
        <w:pBdr>
          <w:bottom w:val="single" w:sz="12" w:space="1" w:color="auto"/>
        </w:pBdr>
        <w:rPr>
          <w:rFonts w:ascii="Times New Roman" w:hAnsi="Times New Roman" w:cs="Times New Roman"/>
          <w:noProof/>
          <w:sz w:val="24"/>
          <w:szCs w:val="24"/>
        </w:rPr>
      </w:pPr>
    </w:p>
    <w:p w14:paraId="677516F3" w14:textId="388F0098" w:rsidR="00163500" w:rsidRPr="005E76F6" w:rsidRDefault="00E24F48" w:rsidP="00BD137E">
      <w:pPr>
        <w:rPr>
          <w:rFonts w:ascii="Times New Roman" w:eastAsia="Times New Roman" w:hAnsi="Times New Roman" w:cs="Times New Roman"/>
          <w:b/>
          <w:bCs/>
          <w:iCs/>
          <w:noProof/>
          <w:color w:val="000000" w:themeColor="text1"/>
          <w:sz w:val="24"/>
          <w:szCs w:val="24"/>
          <w:lang w:eastAsia="fr-FR"/>
        </w:rPr>
      </w:pPr>
      <w:r w:rsidRPr="00B834DC">
        <w:rPr>
          <w:rFonts w:ascii="Times New Roman" w:hAnsi="Times New Roman" w:cs="Times New Roman"/>
          <w:noProof/>
          <w:sz w:val="24"/>
          <w:szCs w:val="24"/>
        </w:rPr>
        <w:t xml:space="preserve">* </w:t>
      </w:r>
      <w:r w:rsidRPr="00B834DC">
        <w:rPr>
          <w:rFonts w:ascii="Times New Roman" w:hAnsi="Times New Roman" w:cs="Times New Roman"/>
          <w:noProof/>
          <w:sz w:val="20"/>
          <w:szCs w:val="20"/>
        </w:rPr>
        <w:t>This designation is without prejudice to positions on status, and is in line with UNSCR 1244/1999 and the ICJ Opinion on the Kosovo declaration of independence.</w:t>
      </w:r>
      <w:r w:rsidRPr="00B834DC">
        <w:rPr>
          <w:rFonts w:ascii="Times New Roman" w:hAnsi="Times New Roman" w:cs="Times New Roman"/>
          <w:noProof/>
          <w:sz w:val="20"/>
          <w:szCs w:val="20"/>
        </w:rPr>
        <w:cr/>
      </w:r>
      <w:r w:rsidR="0086527C" w:rsidRPr="005E76F6">
        <w:rPr>
          <w:rFonts w:ascii="Times New Roman" w:eastAsia="Times New Roman" w:hAnsi="Times New Roman" w:cs="Times New Roman"/>
          <w:bCs/>
          <w:iCs/>
          <w:noProof/>
          <w:color w:val="000000" w:themeColor="text1"/>
          <w:sz w:val="24"/>
          <w:szCs w:val="24"/>
          <w:lang w:eastAsia="fr-FR"/>
        </w:rPr>
        <w:br w:type="column"/>
      </w:r>
      <w:r w:rsidR="008B4A12" w:rsidRPr="005E76F6">
        <w:rPr>
          <w:rFonts w:ascii="Times New Roman" w:eastAsia="Times New Roman" w:hAnsi="Times New Roman" w:cs="Times New Roman"/>
          <w:b/>
          <w:bCs/>
          <w:iCs/>
          <w:noProof/>
          <w:color w:val="000000" w:themeColor="text1"/>
          <w:sz w:val="24"/>
          <w:szCs w:val="24"/>
          <w:lang w:eastAsia="fr-FR"/>
        </w:rPr>
        <w:t>C</w:t>
      </w:r>
      <w:r w:rsidR="0086527C" w:rsidRPr="005E76F6">
        <w:rPr>
          <w:rFonts w:ascii="Times New Roman" w:eastAsia="Times New Roman" w:hAnsi="Times New Roman" w:cs="Times New Roman"/>
          <w:b/>
          <w:bCs/>
          <w:iCs/>
          <w:noProof/>
          <w:color w:val="000000" w:themeColor="text1"/>
          <w:sz w:val="24"/>
          <w:szCs w:val="24"/>
          <w:lang w:eastAsia="fr-FR"/>
        </w:rPr>
        <w:t>ountry participation for s</w:t>
      </w:r>
      <w:r w:rsidR="00E87490" w:rsidRPr="005E76F6">
        <w:rPr>
          <w:rFonts w:ascii="Times New Roman" w:eastAsia="Times New Roman" w:hAnsi="Times New Roman" w:cs="Times New Roman"/>
          <w:b/>
          <w:bCs/>
          <w:iCs/>
          <w:noProof/>
          <w:color w:val="000000" w:themeColor="text1"/>
          <w:sz w:val="24"/>
          <w:szCs w:val="24"/>
          <w:lang w:eastAsia="fr-FR"/>
        </w:rPr>
        <w:t>pecific objectives 2-4 (</w:t>
      </w:r>
      <w:r w:rsidR="00E87490" w:rsidRPr="005E76F6">
        <w:rPr>
          <w:rFonts w:ascii="Times New Roman" w:eastAsia="Calibri" w:hAnsi="Times New Roman" w:cs="Times New Roman"/>
          <w:b/>
          <w:noProof/>
          <w:sz w:val="24"/>
          <w:szCs w:val="24"/>
        </w:rPr>
        <w:t>access to markets, improving framework conditions and competitiveness, and entrepreneurship)</w:t>
      </w:r>
    </w:p>
    <w:p w14:paraId="282D64F2" w14:textId="18926C2B" w:rsidR="007F3372" w:rsidRPr="005E76F6" w:rsidRDefault="007F3372">
      <w:pPr>
        <w:spacing w:before="120" w:after="60" w:line="240" w:lineRule="auto"/>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 xml:space="preserve">COSME projects were selected </w:t>
      </w:r>
      <w:r w:rsidR="00321AB8" w:rsidRPr="005E76F6">
        <w:rPr>
          <w:rFonts w:ascii="Times New Roman" w:eastAsia="Times New Roman" w:hAnsi="Times New Roman" w:cs="Times New Roman"/>
          <w:bCs/>
          <w:iCs/>
          <w:noProof/>
          <w:color w:val="000000" w:themeColor="text1"/>
          <w:sz w:val="24"/>
          <w:szCs w:val="24"/>
          <w:lang w:eastAsia="fr-FR"/>
        </w:rPr>
        <w:t>using</w:t>
      </w:r>
      <w:r w:rsidRPr="005E76F6">
        <w:rPr>
          <w:rFonts w:ascii="Times New Roman" w:eastAsia="Times New Roman" w:hAnsi="Times New Roman" w:cs="Times New Roman"/>
          <w:bCs/>
          <w:iCs/>
          <w:noProof/>
          <w:color w:val="000000" w:themeColor="text1"/>
          <w:sz w:val="24"/>
          <w:szCs w:val="24"/>
          <w:lang w:eastAsia="fr-FR"/>
        </w:rPr>
        <w:t xml:space="preserve"> the criteria laid down in the calls, in particular</w:t>
      </w:r>
      <w:r w:rsidR="00841D24" w:rsidRPr="005E76F6">
        <w:rPr>
          <w:rFonts w:ascii="Times New Roman" w:eastAsia="Times New Roman" w:hAnsi="Times New Roman" w:cs="Times New Roman"/>
          <w:bCs/>
          <w:iCs/>
          <w:noProof/>
          <w:color w:val="000000" w:themeColor="text1"/>
          <w:sz w:val="24"/>
          <w:szCs w:val="24"/>
          <w:lang w:eastAsia="fr-FR"/>
        </w:rPr>
        <w:t xml:space="preserve"> the proposals’</w:t>
      </w:r>
      <w:r w:rsidRPr="005E76F6">
        <w:rPr>
          <w:rFonts w:ascii="Times New Roman" w:eastAsia="Times New Roman" w:hAnsi="Times New Roman" w:cs="Times New Roman"/>
          <w:bCs/>
          <w:iCs/>
          <w:noProof/>
          <w:color w:val="000000" w:themeColor="text1"/>
          <w:sz w:val="24"/>
          <w:szCs w:val="24"/>
          <w:lang w:eastAsia="fr-FR"/>
        </w:rPr>
        <w:t xml:space="preserve"> relevance, quality and impact. The European dimension is</w:t>
      </w:r>
      <w:r w:rsidR="00841D24" w:rsidRPr="005E76F6">
        <w:rPr>
          <w:rFonts w:ascii="Times New Roman" w:eastAsia="Times New Roman" w:hAnsi="Times New Roman" w:cs="Times New Roman"/>
          <w:bCs/>
          <w:iCs/>
          <w:noProof/>
          <w:color w:val="000000" w:themeColor="text1"/>
          <w:sz w:val="24"/>
          <w:szCs w:val="24"/>
          <w:lang w:eastAsia="fr-FR"/>
        </w:rPr>
        <w:t xml:space="preserve"> also</w:t>
      </w:r>
      <w:r w:rsidRPr="005E76F6">
        <w:rPr>
          <w:rFonts w:ascii="Times New Roman" w:eastAsia="Times New Roman" w:hAnsi="Times New Roman" w:cs="Times New Roman"/>
          <w:bCs/>
          <w:iCs/>
          <w:noProof/>
          <w:color w:val="000000" w:themeColor="text1"/>
          <w:sz w:val="24"/>
          <w:szCs w:val="24"/>
          <w:lang w:eastAsia="fr-FR"/>
        </w:rPr>
        <w:t xml:space="preserve"> taken into account. However, projects </w:t>
      </w:r>
      <w:r w:rsidR="00F31EBB" w:rsidRPr="005E76F6">
        <w:rPr>
          <w:rFonts w:ascii="Times New Roman" w:eastAsia="Times New Roman" w:hAnsi="Times New Roman" w:cs="Times New Roman"/>
          <w:bCs/>
          <w:iCs/>
          <w:noProof/>
          <w:color w:val="000000" w:themeColor="text1"/>
          <w:sz w:val="24"/>
          <w:szCs w:val="24"/>
          <w:lang w:eastAsia="fr-FR"/>
        </w:rPr>
        <w:t>were</w:t>
      </w:r>
      <w:r w:rsidRPr="005E76F6">
        <w:rPr>
          <w:rFonts w:ascii="Times New Roman" w:eastAsia="Times New Roman" w:hAnsi="Times New Roman" w:cs="Times New Roman"/>
          <w:bCs/>
          <w:iCs/>
          <w:noProof/>
          <w:color w:val="000000" w:themeColor="text1"/>
          <w:sz w:val="24"/>
          <w:szCs w:val="24"/>
          <w:lang w:eastAsia="fr-FR"/>
        </w:rPr>
        <w:t xml:space="preserve"> not selected purely </w:t>
      </w:r>
      <w:r w:rsidR="00321AB8" w:rsidRPr="005E76F6">
        <w:rPr>
          <w:rFonts w:ascii="Times New Roman" w:eastAsia="Times New Roman" w:hAnsi="Times New Roman" w:cs="Times New Roman"/>
          <w:bCs/>
          <w:iCs/>
          <w:noProof/>
          <w:color w:val="000000" w:themeColor="text1"/>
          <w:sz w:val="24"/>
          <w:szCs w:val="24"/>
          <w:lang w:eastAsia="fr-FR"/>
        </w:rPr>
        <w:t>based on</w:t>
      </w:r>
      <w:r w:rsidRPr="005E76F6">
        <w:rPr>
          <w:rFonts w:ascii="Times New Roman" w:eastAsia="Times New Roman" w:hAnsi="Times New Roman" w:cs="Times New Roman"/>
          <w:bCs/>
          <w:iCs/>
          <w:noProof/>
          <w:color w:val="000000" w:themeColor="text1"/>
          <w:sz w:val="24"/>
          <w:szCs w:val="24"/>
          <w:lang w:eastAsia="fr-FR"/>
        </w:rPr>
        <w:t xml:space="preserve"> geographical criteria.</w:t>
      </w:r>
    </w:p>
    <w:p w14:paraId="31523652" w14:textId="4388D2FC" w:rsidR="00177956" w:rsidRPr="00B834DC" w:rsidRDefault="008B4A12" w:rsidP="00177956">
      <w:pPr>
        <w:spacing w:before="120" w:after="60" w:line="240" w:lineRule="auto"/>
        <w:jc w:val="both"/>
        <w:rPr>
          <w:rFonts w:ascii="Times New Roman" w:eastAsia="Times New Roman" w:hAnsi="Times New Roman" w:cs="Times New Roman"/>
          <w:bCs/>
          <w:iCs/>
          <w:noProof/>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The</w:t>
      </w:r>
      <w:r w:rsidR="003441EA" w:rsidRPr="005E76F6">
        <w:rPr>
          <w:rFonts w:ascii="Times New Roman" w:eastAsia="Times New Roman" w:hAnsi="Times New Roman" w:cs="Times New Roman"/>
          <w:bCs/>
          <w:iCs/>
          <w:noProof/>
          <w:color w:val="000000" w:themeColor="text1"/>
          <w:sz w:val="24"/>
          <w:szCs w:val="24"/>
          <w:lang w:eastAsia="fr-FR"/>
        </w:rPr>
        <w:t xml:space="preserve"> EEN Network as funded under the 2020 budget covered all EU Member States and provided services to SMEs in all EU regions. There were also EEN members in Iceland</w:t>
      </w:r>
      <w:r w:rsidR="00177956" w:rsidRPr="005E76F6">
        <w:rPr>
          <w:rFonts w:ascii="Times New Roman" w:eastAsia="Times New Roman" w:hAnsi="Times New Roman" w:cs="Times New Roman"/>
          <w:bCs/>
          <w:iCs/>
          <w:noProof/>
          <w:color w:val="000000" w:themeColor="text1"/>
          <w:sz w:val="24"/>
          <w:szCs w:val="24"/>
          <w:lang w:eastAsia="fr-FR"/>
        </w:rPr>
        <w:t xml:space="preserve"> and </w:t>
      </w:r>
      <w:r w:rsidR="003441EA" w:rsidRPr="005E76F6">
        <w:rPr>
          <w:rFonts w:ascii="Times New Roman" w:eastAsia="Times New Roman" w:hAnsi="Times New Roman" w:cs="Times New Roman"/>
          <w:bCs/>
          <w:iCs/>
          <w:noProof/>
          <w:color w:val="000000" w:themeColor="text1"/>
          <w:sz w:val="24"/>
          <w:szCs w:val="24"/>
          <w:lang w:eastAsia="fr-FR"/>
        </w:rPr>
        <w:t>associated countries participating in the programme.</w:t>
      </w:r>
      <w:r w:rsidR="00AC7825" w:rsidRPr="005E76F6">
        <w:rPr>
          <w:rFonts w:ascii="Times New Roman" w:eastAsia="Times New Roman" w:hAnsi="Times New Roman" w:cs="Times New Roman"/>
          <w:bCs/>
          <w:iCs/>
          <w:noProof/>
          <w:color w:val="000000" w:themeColor="text1"/>
          <w:sz w:val="24"/>
          <w:szCs w:val="24"/>
          <w:lang w:eastAsia="fr-FR"/>
        </w:rPr>
        <w:t xml:space="preserve"> </w:t>
      </w:r>
      <w:r w:rsidR="00177956" w:rsidRPr="005E76F6">
        <w:rPr>
          <w:rFonts w:ascii="Times New Roman" w:eastAsia="Times New Roman" w:hAnsi="Times New Roman" w:cs="Times New Roman"/>
          <w:bCs/>
          <w:iCs/>
          <w:noProof/>
          <w:color w:val="000000" w:themeColor="text1"/>
          <w:sz w:val="24"/>
          <w:szCs w:val="24"/>
          <w:lang w:eastAsia="fr-FR"/>
        </w:rPr>
        <w:t>Although the UK formally left the EU on 31</w:t>
      </w:r>
      <w:r w:rsidR="00FE2948" w:rsidRPr="005E76F6">
        <w:rPr>
          <w:rFonts w:ascii="Times New Roman" w:eastAsia="Times New Roman" w:hAnsi="Times New Roman" w:cs="Times New Roman"/>
          <w:bCs/>
          <w:iCs/>
          <w:noProof/>
          <w:color w:val="000000" w:themeColor="text1"/>
          <w:sz w:val="24"/>
          <w:szCs w:val="24"/>
          <w:lang w:eastAsia="fr-FR"/>
        </w:rPr>
        <w:t> </w:t>
      </w:r>
      <w:r w:rsidR="00177956" w:rsidRPr="005E76F6">
        <w:rPr>
          <w:rFonts w:ascii="Times New Roman" w:eastAsia="Times New Roman" w:hAnsi="Times New Roman" w:cs="Times New Roman"/>
          <w:bCs/>
          <w:iCs/>
          <w:noProof/>
          <w:color w:val="000000" w:themeColor="text1"/>
          <w:sz w:val="24"/>
          <w:szCs w:val="24"/>
          <w:lang w:eastAsia="fr-FR"/>
        </w:rPr>
        <w:t xml:space="preserve">January 2020 it continued to participate in EEN until the </w:t>
      </w:r>
      <w:r w:rsidR="00321AB8" w:rsidRPr="00B834DC">
        <w:rPr>
          <w:rFonts w:ascii="Times New Roman" w:eastAsia="Times New Roman" w:hAnsi="Times New Roman" w:cs="Times New Roman"/>
          <w:bCs/>
          <w:iCs/>
          <w:noProof/>
          <w:sz w:val="24"/>
          <w:szCs w:val="24"/>
          <w:lang w:eastAsia="fr-FR"/>
        </w:rPr>
        <w:t xml:space="preserve">programme’s </w:t>
      </w:r>
      <w:r w:rsidR="00177956" w:rsidRPr="00B834DC">
        <w:rPr>
          <w:rFonts w:ascii="Times New Roman" w:eastAsia="Times New Roman" w:hAnsi="Times New Roman" w:cs="Times New Roman"/>
          <w:bCs/>
          <w:iCs/>
          <w:noProof/>
          <w:sz w:val="24"/>
          <w:szCs w:val="24"/>
          <w:lang w:eastAsia="fr-FR"/>
        </w:rPr>
        <w:t>end, but no longer participated in governance structures.</w:t>
      </w:r>
    </w:p>
    <w:p w14:paraId="4162F04C" w14:textId="6BEE2315" w:rsidR="007227EB" w:rsidRPr="00B834DC" w:rsidRDefault="00AC7825" w:rsidP="00844C3A">
      <w:pPr>
        <w:widowControl w:val="0"/>
        <w:autoSpaceDE w:val="0"/>
        <w:autoSpaceDN w:val="0"/>
        <w:adjustRightInd w:val="0"/>
        <w:spacing w:before="120" w:after="120" w:line="240" w:lineRule="auto"/>
        <w:jc w:val="both"/>
        <w:rPr>
          <w:rFonts w:ascii="Times New Roman" w:eastAsia="Times New Roman" w:hAnsi="Times New Roman" w:cs="Times New Roman"/>
          <w:bCs/>
          <w:iCs/>
          <w:noProof/>
          <w:sz w:val="24"/>
          <w:szCs w:val="24"/>
          <w:lang w:eastAsia="fr-FR"/>
        </w:rPr>
      </w:pPr>
      <w:r w:rsidRPr="00B834DC">
        <w:rPr>
          <w:rFonts w:ascii="Times New Roman" w:eastAsia="Times New Roman" w:hAnsi="Times New Roman" w:cs="Times New Roman"/>
          <w:bCs/>
          <w:iCs/>
          <w:noProof/>
          <w:sz w:val="24"/>
          <w:szCs w:val="24"/>
          <w:lang w:eastAsia="fr-FR"/>
        </w:rPr>
        <w:t xml:space="preserve">Many of the other larger actions also had a good spread of beneficiaries across the different EU Member States and </w:t>
      </w:r>
      <w:r w:rsidR="00A240CB" w:rsidRPr="00B834DC">
        <w:rPr>
          <w:rFonts w:ascii="Times New Roman" w:eastAsia="Times New Roman" w:hAnsi="Times New Roman" w:cs="Times New Roman"/>
          <w:bCs/>
          <w:iCs/>
          <w:noProof/>
          <w:sz w:val="24"/>
          <w:szCs w:val="24"/>
          <w:lang w:eastAsia="fr-FR"/>
        </w:rPr>
        <w:t xml:space="preserve">other </w:t>
      </w:r>
      <w:r w:rsidRPr="00B834DC">
        <w:rPr>
          <w:rFonts w:ascii="Times New Roman" w:eastAsia="Times New Roman" w:hAnsi="Times New Roman" w:cs="Times New Roman"/>
          <w:bCs/>
          <w:iCs/>
          <w:noProof/>
          <w:sz w:val="24"/>
          <w:szCs w:val="24"/>
          <w:lang w:eastAsia="fr-FR"/>
        </w:rPr>
        <w:t>participating countries, as illustrated below.</w:t>
      </w:r>
    </w:p>
    <w:tbl>
      <w:tblPr>
        <w:tblW w:w="21227" w:type="dxa"/>
        <w:tblInd w:w="70" w:type="dxa"/>
        <w:tblCellMar>
          <w:left w:w="70" w:type="dxa"/>
          <w:right w:w="70" w:type="dxa"/>
        </w:tblCellMar>
        <w:tblLook w:val="04A0" w:firstRow="1" w:lastRow="0" w:firstColumn="1" w:lastColumn="0" w:noHBand="0" w:noVBand="1"/>
      </w:tblPr>
      <w:tblGrid>
        <w:gridCol w:w="11970"/>
        <w:gridCol w:w="9257"/>
      </w:tblGrid>
      <w:tr w:rsidR="00B834DC" w:rsidRPr="00B834DC" w14:paraId="7DCFF336" w14:textId="77777777" w:rsidTr="00AC7825">
        <w:trPr>
          <w:trHeight w:val="290"/>
        </w:trPr>
        <w:tc>
          <w:tcPr>
            <w:tcW w:w="11970" w:type="dxa"/>
            <w:tcBorders>
              <w:top w:val="nil"/>
              <w:left w:val="nil"/>
              <w:bottom w:val="nil"/>
              <w:right w:val="nil"/>
            </w:tcBorders>
            <w:shd w:val="clear" w:color="auto" w:fill="auto"/>
            <w:noWrap/>
            <w:vAlign w:val="bottom"/>
            <w:hideMark/>
          </w:tcPr>
          <w:p w14:paraId="25D7875A" w14:textId="35D68310" w:rsidR="00A66D86" w:rsidRPr="00B834DC" w:rsidRDefault="00AC7825" w:rsidP="00844C3A">
            <w:pPr>
              <w:spacing w:before="60" w:after="120" w:line="240" w:lineRule="auto"/>
              <w:rPr>
                <w:rFonts w:ascii="Times New Roman" w:eastAsia="Times New Roman" w:hAnsi="Times New Roman" w:cs="Times New Roman"/>
                <w:b/>
                <w:noProof/>
                <w:sz w:val="24"/>
                <w:szCs w:val="24"/>
                <w:lang w:eastAsia="fr-BE"/>
              </w:rPr>
            </w:pPr>
            <w:r w:rsidRPr="00B834DC">
              <w:rPr>
                <w:rFonts w:ascii="Times New Roman" w:eastAsia="Times New Roman" w:hAnsi="Times New Roman" w:cs="Times New Roman"/>
                <w:b/>
                <w:noProof/>
                <w:sz w:val="24"/>
                <w:szCs w:val="24"/>
                <w:lang w:eastAsia="fr-BE"/>
              </w:rPr>
              <w:t>Number of</w:t>
            </w:r>
            <w:r w:rsidR="007A7707" w:rsidRPr="00B834DC">
              <w:rPr>
                <w:rFonts w:ascii="Times New Roman" w:eastAsia="Times New Roman" w:hAnsi="Times New Roman" w:cs="Times New Roman"/>
                <w:b/>
                <w:noProof/>
                <w:sz w:val="24"/>
                <w:szCs w:val="24"/>
                <w:lang w:eastAsia="fr-BE"/>
              </w:rPr>
              <w:t xml:space="preserve"> beneficiaries </w:t>
            </w:r>
            <w:r w:rsidRPr="00B834DC">
              <w:rPr>
                <w:rFonts w:ascii="Times New Roman" w:eastAsia="Times New Roman" w:hAnsi="Times New Roman" w:cs="Times New Roman"/>
                <w:b/>
                <w:noProof/>
                <w:sz w:val="24"/>
                <w:szCs w:val="24"/>
                <w:lang w:eastAsia="fr-BE"/>
              </w:rPr>
              <w:t xml:space="preserve">by country </w:t>
            </w:r>
            <w:r w:rsidR="007A7707" w:rsidRPr="00B834DC">
              <w:rPr>
                <w:rFonts w:ascii="Times New Roman" w:eastAsia="Times New Roman" w:hAnsi="Times New Roman" w:cs="Times New Roman"/>
                <w:b/>
                <w:noProof/>
                <w:sz w:val="24"/>
                <w:szCs w:val="24"/>
                <w:lang w:eastAsia="fr-BE"/>
              </w:rPr>
              <w:t xml:space="preserve">for </w:t>
            </w:r>
            <w:r w:rsidR="00321AB8" w:rsidRPr="00B834DC">
              <w:rPr>
                <w:rFonts w:ascii="Times New Roman" w:eastAsia="Times New Roman" w:hAnsi="Times New Roman" w:cs="Times New Roman"/>
                <w:b/>
                <w:noProof/>
                <w:sz w:val="24"/>
                <w:szCs w:val="24"/>
                <w:lang w:eastAsia="fr-BE"/>
              </w:rPr>
              <w:t xml:space="preserve">four </w:t>
            </w:r>
            <w:r w:rsidRPr="00B834DC">
              <w:rPr>
                <w:rFonts w:ascii="Times New Roman" w:eastAsia="Times New Roman" w:hAnsi="Times New Roman" w:cs="Times New Roman"/>
                <w:b/>
                <w:noProof/>
                <w:sz w:val="24"/>
                <w:szCs w:val="24"/>
                <w:lang w:eastAsia="fr-BE"/>
              </w:rPr>
              <w:t xml:space="preserve">larger COSME </w:t>
            </w:r>
            <w:r w:rsidR="007F3372" w:rsidRPr="00B834DC">
              <w:rPr>
                <w:rFonts w:ascii="Times New Roman" w:eastAsia="Times New Roman" w:hAnsi="Times New Roman" w:cs="Times New Roman"/>
                <w:b/>
                <w:noProof/>
                <w:sz w:val="24"/>
                <w:szCs w:val="24"/>
                <w:lang w:eastAsia="fr-BE"/>
              </w:rPr>
              <w:t>action</w:t>
            </w:r>
            <w:r w:rsidR="00A66D86" w:rsidRPr="00B834DC">
              <w:rPr>
                <w:rFonts w:ascii="Times New Roman" w:eastAsia="Times New Roman" w:hAnsi="Times New Roman" w:cs="Times New Roman"/>
                <w:b/>
                <w:noProof/>
                <w:sz w:val="24"/>
                <w:szCs w:val="24"/>
                <w:lang w:eastAsia="fr-BE"/>
              </w:rPr>
              <w:t>s</w:t>
            </w:r>
          </w:p>
          <w:tbl>
            <w:tblPr>
              <w:tblW w:w="9140" w:type="dxa"/>
              <w:tblCellMar>
                <w:left w:w="70" w:type="dxa"/>
                <w:right w:w="70" w:type="dxa"/>
              </w:tblCellMar>
              <w:tblLook w:val="04A0" w:firstRow="1" w:lastRow="0" w:firstColumn="1" w:lastColumn="0" w:noHBand="0" w:noVBand="1"/>
            </w:tblPr>
            <w:tblGrid>
              <w:gridCol w:w="1860"/>
              <w:gridCol w:w="1193"/>
              <w:gridCol w:w="1340"/>
              <w:gridCol w:w="1487"/>
              <w:gridCol w:w="2268"/>
              <w:gridCol w:w="992"/>
            </w:tblGrid>
            <w:tr w:rsidR="00B834DC" w:rsidRPr="00B834DC" w14:paraId="0DC4AFE1" w14:textId="77777777" w:rsidTr="0018775F">
              <w:trPr>
                <w:trHeight w:val="261"/>
              </w:trPr>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1D2E742" w14:textId="21563D62" w:rsidR="00A66D86" w:rsidRPr="00B834DC" w:rsidRDefault="00A66D86" w:rsidP="006C29DE">
                  <w:pPr>
                    <w:spacing w:after="0" w:line="228" w:lineRule="auto"/>
                    <w:rPr>
                      <w:rFonts w:ascii="Times New Roman" w:eastAsia="Times New Roman" w:hAnsi="Times New Roman" w:cs="Times New Roman"/>
                      <w:b/>
                      <w:noProof/>
                      <w:sz w:val="24"/>
                      <w:szCs w:val="24"/>
                      <w:lang w:eastAsia="fr-BE"/>
                    </w:rPr>
                  </w:pPr>
                  <w:r w:rsidRPr="00B834DC">
                    <w:rPr>
                      <w:rFonts w:ascii="Times New Roman" w:eastAsia="Times New Roman" w:hAnsi="Times New Roman" w:cs="Times New Roman"/>
                      <w:b/>
                      <w:noProof/>
                      <w:sz w:val="24"/>
                      <w:szCs w:val="24"/>
                      <w:lang w:eastAsia="fr-BE"/>
                    </w:rPr>
                    <w:t xml:space="preserve">Country </w:t>
                  </w:r>
                </w:p>
              </w:tc>
              <w:tc>
                <w:tcPr>
                  <w:tcW w:w="1193" w:type="dxa"/>
                  <w:tcBorders>
                    <w:top w:val="single" w:sz="4" w:space="0" w:color="auto"/>
                    <w:left w:val="nil"/>
                    <w:bottom w:val="single" w:sz="4" w:space="0" w:color="auto"/>
                    <w:right w:val="single" w:sz="4" w:space="0" w:color="auto"/>
                  </w:tcBorders>
                  <w:shd w:val="clear" w:color="auto" w:fill="auto"/>
                  <w:hideMark/>
                </w:tcPr>
                <w:p w14:paraId="02FE9A5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Clusters Excellence</w:t>
                  </w:r>
                </w:p>
              </w:tc>
              <w:tc>
                <w:tcPr>
                  <w:tcW w:w="1340" w:type="dxa"/>
                  <w:tcBorders>
                    <w:top w:val="single" w:sz="4" w:space="0" w:color="auto"/>
                    <w:left w:val="nil"/>
                    <w:bottom w:val="single" w:sz="4" w:space="0" w:color="auto"/>
                    <w:right w:val="single" w:sz="4" w:space="0" w:color="auto"/>
                  </w:tcBorders>
                  <w:shd w:val="clear" w:color="auto" w:fill="auto"/>
                  <w:hideMark/>
                </w:tcPr>
                <w:p w14:paraId="7C74648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Tourism: TOURINN*</w:t>
                  </w:r>
                </w:p>
              </w:tc>
              <w:tc>
                <w:tcPr>
                  <w:tcW w:w="1487" w:type="dxa"/>
                  <w:tcBorders>
                    <w:top w:val="single" w:sz="4" w:space="0" w:color="auto"/>
                    <w:left w:val="nil"/>
                    <w:bottom w:val="single" w:sz="4" w:space="0" w:color="auto"/>
                    <w:right w:val="single" w:sz="4" w:space="0" w:color="auto"/>
                  </w:tcBorders>
                  <w:shd w:val="clear" w:color="auto" w:fill="auto"/>
                  <w:hideMark/>
                </w:tcPr>
                <w:p w14:paraId="1842911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European Social Economy Missions</w:t>
                  </w:r>
                </w:p>
              </w:tc>
              <w:tc>
                <w:tcPr>
                  <w:tcW w:w="2268" w:type="dxa"/>
                  <w:tcBorders>
                    <w:top w:val="single" w:sz="4" w:space="0" w:color="auto"/>
                    <w:left w:val="nil"/>
                    <w:bottom w:val="single" w:sz="4" w:space="0" w:color="auto"/>
                    <w:right w:val="single" w:sz="4" w:space="0" w:color="auto"/>
                  </w:tcBorders>
                  <w:shd w:val="clear" w:color="auto" w:fill="auto"/>
                  <w:hideMark/>
                </w:tcPr>
                <w:p w14:paraId="4CC46FA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Clusters Internationalisation (all sectors incl. defence)</w:t>
                  </w:r>
                </w:p>
              </w:tc>
              <w:tc>
                <w:tcPr>
                  <w:tcW w:w="992" w:type="dxa"/>
                  <w:tcBorders>
                    <w:top w:val="single" w:sz="4" w:space="0" w:color="auto"/>
                    <w:left w:val="nil"/>
                    <w:bottom w:val="single" w:sz="4" w:space="0" w:color="auto"/>
                    <w:right w:val="single" w:sz="4" w:space="0" w:color="auto"/>
                  </w:tcBorders>
                  <w:shd w:val="clear" w:color="auto" w:fill="auto"/>
                  <w:hideMark/>
                </w:tcPr>
                <w:p w14:paraId="26FB3248" w14:textId="047DA602"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 xml:space="preserve">Total for these </w:t>
                  </w:r>
                  <w:r w:rsidR="00A240CB" w:rsidRPr="00B834DC">
                    <w:rPr>
                      <w:rFonts w:ascii="Times New Roman" w:eastAsia="Times New Roman" w:hAnsi="Times New Roman" w:cs="Times New Roman"/>
                      <w:noProof/>
                      <w:sz w:val="24"/>
                      <w:szCs w:val="24"/>
                      <w:lang w:eastAsia="fr-BE"/>
                    </w:rPr>
                    <w:t>four</w:t>
                  </w:r>
                  <w:r w:rsidRPr="00B834DC">
                    <w:rPr>
                      <w:rFonts w:ascii="Times New Roman" w:eastAsia="Times New Roman" w:hAnsi="Times New Roman" w:cs="Times New Roman"/>
                      <w:noProof/>
                      <w:sz w:val="24"/>
                      <w:szCs w:val="24"/>
                      <w:lang w:eastAsia="fr-BE"/>
                    </w:rPr>
                    <w:t xml:space="preserve"> actions</w:t>
                  </w:r>
                </w:p>
              </w:tc>
            </w:tr>
            <w:tr w:rsidR="00B834DC" w:rsidRPr="00B834DC" w14:paraId="23684389"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F54C"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Albania</w:t>
                  </w:r>
                </w:p>
              </w:tc>
              <w:tc>
                <w:tcPr>
                  <w:tcW w:w="1193" w:type="dxa"/>
                  <w:tcBorders>
                    <w:top w:val="single" w:sz="4" w:space="0" w:color="auto"/>
                    <w:left w:val="nil"/>
                    <w:bottom w:val="single" w:sz="4" w:space="0" w:color="auto"/>
                    <w:right w:val="single" w:sz="4" w:space="0" w:color="auto"/>
                  </w:tcBorders>
                  <w:shd w:val="clear" w:color="auto" w:fill="auto"/>
                  <w:hideMark/>
                </w:tcPr>
                <w:p w14:paraId="731E450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single" w:sz="4" w:space="0" w:color="auto"/>
                    <w:left w:val="nil"/>
                    <w:bottom w:val="single" w:sz="4" w:space="0" w:color="auto"/>
                    <w:right w:val="single" w:sz="4" w:space="0" w:color="auto"/>
                  </w:tcBorders>
                  <w:shd w:val="clear" w:color="auto" w:fill="auto"/>
                  <w:hideMark/>
                </w:tcPr>
                <w:p w14:paraId="6B4B881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single" w:sz="4" w:space="0" w:color="auto"/>
                    <w:left w:val="nil"/>
                    <w:bottom w:val="single" w:sz="4" w:space="0" w:color="auto"/>
                    <w:right w:val="single" w:sz="4" w:space="0" w:color="auto"/>
                  </w:tcBorders>
                  <w:shd w:val="clear" w:color="auto" w:fill="auto"/>
                  <w:hideMark/>
                </w:tcPr>
                <w:p w14:paraId="4BAFE2B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2268" w:type="dxa"/>
                  <w:tcBorders>
                    <w:top w:val="single" w:sz="4" w:space="0" w:color="auto"/>
                    <w:left w:val="nil"/>
                    <w:bottom w:val="single" w:sz="4" w:space="0" w:color="auto"/>
                    <w:right w:val="single" w:sz="4" w:space="0" w:color="auto"/>
                  </w:tcBorders>
                  <w:shd w:val="clear" w:color="auto" w:fill="auto"/>
                  <w:noWrap/>
                  <w:hideMark/>
                </w:tcPr>
                <w:p w14:paraId="35989D82" w14:textId="3B7DF8D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single" w:sz="4" w:space="0" w:color="auto"/>
                    <w:left w:val="nil"/>
                    <w:bottom w:val="single" w:sz="4" w:space="0" w:color="auto"/>
                    <w:right w:val="single" w:sz="4" w:space="0" w:color="auto"/>
                  </w:tcBorders>
                  <w:shd w:val="clear" w:color="auto" w:fill="auto"/>
                  <w:noWrap/>
                  <w:hideMark/>
                </w:tcPr>
                <w:p w14:paraId="3ADF4BB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r>
            <w:tr w:rsidR="00B834DC" w:rsidRPr="00B834DC" w14:paraId="64853004"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9E02"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Austria</w:t>
                  </w:r>
                </w:p>
              </w:tc>
              <w:tc>
                <w:tcPr>
                  <w:tcW w:w="1193" w:type="dxa"/>
                  <w:tcBorders>
                    <w:top w:val="single" w:sz="4" w:space="0" w:color="auto"/>
                    <w:left w:val="nil"/>
                    <w:bottom w:val="single" w:sz="4" w:space="0" w:color="auto"/>
                    <w:right w:val="single" w:sz="4" w:space="0" w:color="auto"/>
                  </w:tcBorders>
                  <w:shd w:val="clear" w:color="auto" w:fill="auto"/>
                  <w:hideMark/>
                </w:tcPr>
                <w:p w14:paraId="2A01984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single" w:sz="4" w:space="0" w:color="auto"/>
                    <w:left w:val="nil"/>
                    <w:bottom w:val="single" w:sz="4" w:space="0" w:color="auto"/>
                    <w:right w:val="single" w:sz="4" w:space="0" w:color="auto"/>
                  </w:tcBorders>
                  <w:shd w:val="clear" w:color="auto" w:fill="auto"/>
                  <w:hideMark/>
                </w:tcPr>
                <w:p w14:paraId="1A3AD44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single" w:sz="4" w:space="0" w:color="auto"/>
                    <w:left w:val="nil"/>
                    <w:bottom w:val="single" w:sz="4" w:space="0" w:color="auto"/>
                    <w:right w:val="single" w:sz="4" w:space="0" w:color="auto"/>
                  </w:tcBorders>
                  <w:shd w:val="clear" w:color="auto" w:fill="auto"/>
                  <w:hideMark/>
                </w:tcPr>
                <w:p w14:paraId="5DED5E89"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single" w:sz="4" w:space="0" w:color="auto"/>
                    <w:left w:val="nil"/>
                    <w:bottom w:val="single" w:sz="4" w:space="0" w:color="auto"/>
                    <w:right w:val="single" w:sz="4" w:space="0" w:color="auto"/>
                  </w:tcBorders>
                  <w:shd w:val="clear" w:color="auto" w:fill="auto"/>
                  <w:noWrap/>
                  <w:hideMark/>
                </w:tcPr>
                <w:p w14:paraId="76508BF4" w14:textId="6AC026B8"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single" w:sz="4" w:space="0" w:color="auto"/>
                    <w:left w:val="nil"/>
                    <w:bottom w:val="single" w:sz="4" w:space="0" w:color="auto"/>
                    <w:right w:val="single" w:sz="4" w:space="0" w:color="auto"/>
                  </w:tcBorders>
                  <w:shd w:val="clear" w:color="auto" w:fill="auto"/>
                  <w:noWrap/>
                  <w:hideMark/>
                </w:tcPr>
                <w:p w14:paraId="0B15F5D9"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r>
            <w:tr w:rsidR="00B834DC" w:rsidRPr="00B834DC" w14:paraId="108AC8B2"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FED68"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Belgium</w:t>
                  </w:r>
                </w:p>
              </w:tc>
              <w:tc>
                <w:tcPr>
                  <w:tcW w:w="1193" w:type="dxa"/>
                  <w:tcBorders>
                    <w:top w:val="single" w:sz="4" w:space="0" w:color="auto"/>
                    <w:left w:val="nil"/>
                    <w:bottom w:val="single" w:sz="4" w:space="0" w:color="auto"/>
                    <w:right w:val="single" w:sz="4" w:space="0" w:color="auto"/>
                  </w:tcBorders>
                  <w:shd w:val="clear" w:color="auto" w:fill="auto"/>
                  <w:hideMark/>
                </w:tcPr>
                <w:p w14:paraId="0093947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single" w:sz="4" w:space="0" w:color="auto"/>
                    <w:left w:val="nil"/>
                    <w:bottom w:val="single" w:sz="4" w:space="0" w:color="auto"/>
                    <w:right w:val="single" w:sz="4" w:space="0" w:color="auto"/>
                  </w:tcBorders>
                  <w:shd w:val="clear" w:color="auto" w:fill="auto"/>
                  <w:hideMark/>
                </w:tcPr>
                <w:p w14:paraId="38B3390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1487" w:type="dxa"/>
                  <w:tcBorders>
                    <w:top w:val="single" w:sz="4" w:space="0" w:color="auto"/>
                    <w:left w:val="nil"/>
                    <w:bottom w:val="single" w:sz="4" w:space="0" w:color="auto"/>
                    <w:right w:val="single" w:sz="4" w:space="0" w:color="auto"/>
                  </w:tcBorders>
                  <w:shd w:val="clear" w:color="auto" w:fill="auto"/>
                  <w:hideMark/>
                </w:tcPr>
                <w:p w14:paraId="4E9E8F7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w:t>
                  </w:r>
                </w:p>
              </w:tc>
              <w:tc>
                <w:tcPr>
                  <w:tcW w:w="2268" w:type="dxa"/>
                  <w:tcBorders>
                    <w:top w:val="single" w:sz="4" w:space="0" w:color="auto"/>
                    <w:left w:val="nil"/>
                    <w:bottom w:val="single" w:sz="4" w:space="0" w:color="auto"/>
                    <w:right w:val="single" w:sz="4" w:space="0" w:color="auto"/>
                  </w:tcBorders>
                  <w:shd w:val="clear" w:color="auto" w:fill="auto"/>
                  <w:noWrap/>
                  <w:hideMark/>
                </w:tcPr>
                <w:p w14:paraId="33F1AA3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591B8A0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14</w:t>
                  </w:r>
                </w:p>
              </w:tc>
            </w:tr>
            <w:tr w:rsidR="00B834DC" w:rsidRPr="00B834DC" w14:paraId="4C805307"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1734"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Bulgaria</w:t>
                  </w:r>
                </w:p>
              </w:tc>
              <w:tc>
                <w:tcPr>
                  <w:tcW w:w="1193" w:type="dxa"/>
                  <w:tcBorders>
                    <w:top w:val="single" w:sz="4" w:space="0" w:color="auto"/>
                    <w:left w:val="nil"/>
                    <w:bottom w:val="single" w:sz="4" w:space="0" w:color="auto"/>
                    <w:right w:val="single" w:sz="4" w:space="0" w:color="auto"/>
                  </w:tcBorders>
                  <w:shd w:val="clear" w:color="auto" w:fill="auto"/>
                  <w:hideMark/>
                </w:tcPr>
                <w:p w14:paraId="7D80E4C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340" w:type="dxa"/>
                  <w:tcBorders>
                    <w:top w:val="single" w:sz="4" w:space="0" w:color="auto"/>
                    <w:left w:val="nil"/>
                    <w:bottom w:val="single" w:sz="4" w:space="0" w:color="auto"/>
                    <w:right w:val="single" w:sz="4" w:space="0" w:color="auto"/>
                  </w:tcBorders>
                  <w:shd w:val="clear" w:color="auto" w:fill="auto"/>
                  <w:hideMark/>
                </w:tcPr>
                <w:p w14:paraId="54D4A929"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487" w:type="dxa"/>
                  <w:tcBorders>
                    <w:top w:val="single" w:sz="4" w:space="0" w:color="auto"/>
                    <w:left w:val="nil"/>
                    <w:bottom w:val="single" w:sz="4" w:space="0" w:color="auto"/>
                    <w:right w:val="single" w:sz="4" w:space="0" w:color="auto"/>
                  </w:tcBorders>
                  <w:shd w:val="clear" w:color="auto" w:fill="auto"/>
                  <w:hideMark/>
                </w:tcPr>
                <w:p w14:paraId="7D6A7D3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single" w:sz="4" w:space="0" w:color="auto"/>
                    <w:left w:val="nil"/>
                    <w:bottom w:val="single" w:sz="4" w:space="0" w:color="auto"/>
                    <w:right w:val="single" w:sz="4" w:space="0" w:color="auto"/>
                  </w:tcBorders>
                  <w:shd w:val="clear" w:color="auto" w:fill="auto"/>
                  <w:noWrap/>
                  <w:hideMark/>
                </w:tcPr>
                <w:p w14:paraId="795248FF"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992" w:type="dxa"/>
                  <w:tcBorders>
                    <w:top w:val="single" w:sz="4" w:space="0" w:color="auto"/>
                    <w:left w:val="nil"/>
                    <w:bottom w:val="single" w:sz="4" w:space="0" w:color="auto"/>
                    <w:right w:val="single" w:sz="4" w:space="0" w:color="auto"/>
                  </w:tcBorders>
                  <w:shd w:val="clear" w:color="auto" w:fill="auto"/>
                  <w:noWrap/>
                  <w:hideMark/>
                </w:tcPr>
                <w:p w14:paraId="64C74A7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w:t>
                  </w:r>
                </w:p>
              </w:tc>
            </w:tr>
            <w:tr w:rsidR="00B834DC" w:rsidRPr="00B834DC" w14:paraId="782E2CEB"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1C4A"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Cyprus</w:t>
                  </w:r>
                </w:p>
              </w:tc>
              <w:tc>
                <w:tcPr>
                  <w:tcW w:w="1193" w:type="dxa"/>
                  <w:tcBorders>
                    <w:top w:val="single" w:sz="4" w:space="0" w:color="auto"/>
                    <w:left w:val="nil"/>
                    <w:bottom w:val="single" w:sz="4" w:space="0" w:color="auto"/>
                    <w:right w:val="single" w:sz="4" w:space="0" w:color="auto"/>
                  </w:tcBorders>
                  <w:shd w:val="clear" w:color="auto" w:fill="auto"/>
                  <w:hideMark/>
                </w:tcPr>
                <w:p w14:paraId="3C90408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single" w:sz="4" w:space="0" w:color="auto"/>
                    <w:left w:val="nil"/>
                    <w:bottom w:val="single" w:sz="4" w:space="0" w:color="auto"/>
                    <w:right w:val="single" w:sz="4" w:space="0" w:color="auto"/>
                  </w:tcBorders>
                  <w:shd w:val="clear" w:color="auto" w:fill="auto"/>
                  <w:hideMark/>
                </w:tcPr>
                <w:p w14:paraId="0508B92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single" w:sz="4" w:space="0" w:color="auto"/>
                    <w:left w:val="nil"/>
                    <w:bottom w:val="single" w:sz="4" w:space="0" w:color="auto"/>
                    <w:right w:val="single" w:sz="4" w:space="0" w:color="auto"/>
                  </w:tcBorders>
                  <w:shd w:val="clear" w:color="auto" w:fill="auto"/>
                  <w:hideMark/>
                </w:tcPr>
                <w:p w14:paraId="3AB346B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2268" w:type="dxa"/>
                  <w:tcBorders>
                    <w:top w:val="single" w:sz="4" w:space="0" w:color="auto"/>
                    <w:left w:val="nil"/>
                    <w:bottom w:val="single" w:sz="4" w:space="0" w:color="auto"/>
                    <w:right w:val="single" w:sz="4" w:space="0" w:color="auto"/>
                  </w:tcBorders>
                  <w:shd w:val="clear" w:color="auto" w:fill="auto"/>
                  <w:noWrap/>
                  <w:hideMark/>
                </w:tcPr>
                <w:p w14:paraId="0AAD7E0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992" w:type="dxa"/>
                  <w:tcBorders>
                    <w:top w:val="single" w:sz="4" w:space="0" w:color="auto"/>
                    <w:left w:val="nil"/>
                    <w:bottom w:val="single" w:sz="4" w:space="0" w:color="auto"/>
                    <w:right w:val="single" w:sz="4" w:space="0" w:color="auto"/>
                  </w:tcBorders>
                  <w:shd w:val="clear" w:color="auto" w:fill="auto"/>
                  <w:noWrap/>
                  <w:hideMark/>
                </w:tcPr>
                <w:p w14:paraId="3CC8A35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r>
            <w:tr w:rsidR="00B834DC" w:rsidRPr="00B834DC" w14:paraId="41DB4085"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330D"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Czechia</w:t>
                  </w:r>
                </w:p>
              </w:tc>
              <w:tc>
                <w:tcPr>
                  <w:tcW w:w="1193" w:type="dxa"/>
                  <w:tcBorders>
                    <w:top w:val="single" w:sz="4" w:space="0" w:color="auto"/>
                    <w:left w:val="nil"/>
                    <w:bottom w:val="single" w:sz="4" w:space="0" w:color="auto"/>
                    <w:right w:val="single" w:sz="4" w:space="0" w:color="auto"/>
                  </w:tcBorders>
                  <w:shd w:val="clear" w:color="auto" w:fill="auto"/>
                  <w:hideMark/>
                </w:tcPr>
                <w:p w14:paraId="6A7940F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1340" w:type="dxa"/>
                  <w:tcBorders>
                    <w:top w:val="single" w:sz="4" w:space="0" w:color="auto"/>
                    <w:left w:val="nil"/>
                    <w:bottom w:val="single" w:sz="4" w:space="0" w:color="auto"/>
                    <w:right w:val="single" w:sz="4" w:space="0" w:color="auto"/>
                  </w:tcBorders>
                  <w:shd w:val="clear" w:color="auto" w:fill="auto"/>
                  <w:hideMark/>
                </w:tcPr>
                <w:p w14:paraId="48BEAD0F"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single" w:sz="4" w:space="0" w:color="auto"/>
                    <w:left w:val="nil"/>
                    <w:bottom w:val="single" w:sz="4" w:space="0" w:color="auto"/>
                    <w:right w:val="single" w:sz="4" w:space="0" w:color="auto"/>
                  </w:tcBorders>
                  <w:shd w:val="clear" w:color="auto" w:fill="auto"/>
                  <w:hideMark/>
                </w:tcPr>
                <w:p w14:paraId="5601E40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single" w:sz="4" w:space="0" w:color="auto"/>
                    <w:left w:val="nil"/>
                    <w:bottom w:val="single" w:sz="4" w:space="0" w:color="auto"/>
                    <w:right w:val="single" w:sz="4" w:space="0" w:color="auto"/>
                  </w:tcBorders>
                  <w:shd w:val="clear" w:color="auto" w:fill="auto"/>
                  <w:noWrap/>
                  <w:hideMark/>
                </w:tcPr>
                <w:p w14:paraId="2196AB21" w14:textId="689A6025"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single" w:sz="4" w:space="0" w:color="auto"/>
                    <w:left w:val="nil"/>
                    <w:bottom w:val="single" w:sz="4" w:space="0" w:color="auto"/>
                    <w:right w:val="single" w:sz="4" w:space="0" w:color="auto"/>
                  </w:tcBorders>
                  <w:shd w:val="clear" w:color="auto" w:fill="auto"/>
                  <w:noWrap/>
                  <w:hideMark/>
                </w:tcPr>
                <w:p w14:paraId="2C2FD3C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r>
            <w:tr w:rsidR="00B834DC" w:rsidRPr="00B834DC" w14:paraId="263FDA06"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0B01"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Germany</w:t>
                  </w:r>
                </w:p>
              </w:tc>
              <w:tc>
                <w:tcPr>
                  <w:tcW w:w="1193" w:type="dxa"/>
                  <w:tcBorders>
                    <w:top w:val="single" w:sz="4" w:space="0" w:color="auto"/>
                    <w:left w:val="nil"/>
                    <w:bottom w:val="single" w:sz="4" w:space="0" w:color="auto"/>
                    <w:right w:val="single" w:sz="4" w:space="0" w:color="auto"/>
                  </w:tcBorders>
                  <w:shd w:val="clear" w:color="auto" w:fill="auto"/>
                  <w:hideMark/>
                </w:tcPr>
                <w:p w14:paraId="277DF34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1340" w:type="dxa"/>
                  <w:tcBorders>
                    <w:top w:val="single" w:sz="4" w:space="0" w:color="auto"/>
                    <w:left w:val="nil"/>
                    <w:bottom w:val="single" w:sz="4" w:space="0" w:color="auto"/>
                    <w:right w:val="single" w:sz="4" w:space="0" w:color="auto"/>
                  </w:tcBorders>
                  <w:shd w:val="clear" w:color="auto" w:fill="auto"/>
                  <w:hideMark/>
                </w:tcPr>
                <w:p w14:paraId="25EB342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1487" w:type="dxa"/>
                  <w:tcBorders>
                    <w:top w:val="single" w:sz="4" w:space="0" w:color="auto"/>
                    <w:left w:val="nil"/>
                    <w:bottom w:val="single" w:sz="4" w:space="0" w:color="auto"/>
                    <w:right w:val="single" w:sz="4" w:space="0" w:color="auto"/>
                  </w:tcBorders>
                  <w:shd w:val="clear" w:color="auto" w:fill="auto"/>
                  <w:hideMark/>
                </w:tcPr>
                <w:p w14:paraId="4B3B8C1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2268" w:type="dxa"/>
                  <w:tcBorders>
                    <w:top w:val="single" w:sz="4" w:space="0" w:color="auto"/>
                    <w:left w:val="nil"/>
                    <w:bottom w:val="single" w:sz="4" w:space="0" w:color="auto"/>
                    <w:right w:val="single" w:sz="4" w:space="0" w:color="auto"/>
                  </w:tcBorders>
                  <w:shd w:val="clear" w:color="auto" w:fill="auto"/>
                  <w:noWrap/>
                  <w:hideMark/>
                </w:tcPr>
                <w:p w14:paraId="467A076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992" w:type="dxa"/>
                  <w:tcBorders>
                    <w:top w:val="single" w:sz="4" w:space="0" w:color="auto"/>
                    <w:left w:val="nil"/>
                    <w:bottom w:val="single" w:sz="4" w:space="0" w:color="auto"/>
                    <w:right w:val="single" w:sz="4" w:space="0" w:color="auto"/>
                  </w:tcBorders>
                  <w:shd w:val="clear" w:color="auto" w:fill="auto"/>
                  <w:noWrap/>
                  <w:hideMark/>
                </w:tcPr>
                <w:p w14:paraId="5279D07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12</w:t>
                  </w:r>
                </w:p>
              </w:tc>
            </w:tr>
            <w:tr w:rsidR="00B834DC" w:rsidRPr="00B834DC" w14:paraId="4DDB842D"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DBC3"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Denmark</w:t>
                  </w:r>
                </w:p>
              </w:tc>
              <w:tc>
                <w:tcPr>
                  <w:tcW w:w="1193" w:type="dxa"/>
                  <w:tcBorders>
                    <w:top w:val="single" w:sz="4" w:space="0" w:color="auto"/>
                    <w:left w:val="nil"/>
                    <w:bottom w:val="single" w:sz="4" w:space="0" w:color="auto"/>
                    <w:right w:val="single" w:sz="4" w:space="0" w:color="auto"/>
                  </w:tcBorders>
                  <w:shd w:val="clear" w:color="auto" w:fill="auto"/>
                  <w:hideMark/>
                </w:tcPr>
                <w:p w14:paraId="484AC1E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1340" w:type="dxa"/>
                  <w:tcBorders>
                    <w:top w:val="single" w:sz="4" w:space="0" w:color="auto"/>
                    <w:left w:val="nil"/>
                    <w:bottom w:val="single" w:sz="4" w:space="0" w:color="auto"/>
                    <w:right w:val="single" w:sz="4" w:space="0" w:color="auto"/>
                  </w:tcBorders>
                  <w:shd w:val="clear" w:color="auto" w:fill="auto"/>
                  <w:hideMark/>
                </w:tcPr>
                <w:p w14:paraId="76FD6A5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single" w:sz="4" w:space="0" w:color="auto"/>
                    <w:left w:val="nil"/>
                    <w:bottom w:val="single" w:sz="4" w:space="0" w:color="auto"/>
                    <w:right w:val="single" w:sz="4" w:space="0" w:color="auto"/>
                  </w:tcBorders>
                  <w:shd w:val="clear" w:color="auto" w:fill="auto"/>
                  <w:hideMark/>
                </w:tcPr>
                <w:p w14:paraId="72E5B15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single" w:sz="4" w:space="0" w:color="auto"/>
                    <w:left w:val="nil"/>
                    <w:bottom w:val="single" w:sz="4" w:space="0" w:color="auto"/>
                    <w:right w:val="single" w:sz="4" w:space="0" w:color="auto"/>
                  </w:tcBorders>
                  <w:shd w:val="clear" w:color="auto" w:fill="auto"/>
                  <w:noWrap/>
                  <w:hideMark/>
                </w:tcPr>
                <w:p w14:paraId="70D1751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992" w:type="dxa"/>
                  <w:tcBorders>
                    <w:top w:val="single" w:sz="4" w:space="0" w:color="auto"/>
                    <w:left w:val="nil"/>
                    <w:bottom w:val="single" w:sz="4" w:space="0" w:color="auto"/>
                    <w:right w:val="single" w:sz="4" w:space="0" w:color="auto"/>
                  </w:tcBorders>
                  <w:shd w:val="clear" w:color="auto" w:fill="auto"/>
                  <w:noWrap/>
                  <w:hideMark/>
                </w:tcPr>
                <w:p w14:paraId="2E8560B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8</w:t>
                  </w:r>
                </w:p>
              </w:tc>
            </w:tr>
            <w:tr w:rsidR="00B834DC" w:rsidRPr="00B834DC" w14:paraId="7DF1B9E7"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96A8152"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Estonia</w:t>
                  </w:r>
                </w:p>
              </w:tc>
              <w:tc>
                <w:tcPr>
                  <w:tcW w:w="1193" w:type="dxa"/>
                  <w:tcBorders>
                    <w:top w:val="nil"/>
                    <w:left w:val="nil"/>
                    <w:bottom w:val="single" w:sz="4" w:space="0" w:color="auto"/>
                    <w:right w:val="single" w:sz="4" w:space="0" w:color="auto"/>
                  </w:tcBorders>
                  <w:shd w:val="clear" w:color="auto" w:fill="auto"/>
                  <w:hideMark/>
                </w:tcPr>
                <w:p w14:paraId="05F011D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340" w:type="dxa"/>
                  <w:tcBorders>
                    <w:top w:val="nil"/>
                    <w:left w:val="nil"/>
                    <w:bottom w:val="single" w:sz="4" w:space="0" w:color="auto"/>
                    <w:right w:val="single" w:sz="4" w:space="0" w:color="auto"/>
                  </w:tcBorders>
                  <w:shd w:val="clear" w:color="auto" w:fill="auto"/>
                  <w:hideMark/>
                </w:tcPr>
                <w:p w14:paraId="65EA147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nil"/>
                    <w:left w:val="nil"/>
                    <w:bottom w:val="single" w:sz="4" w:space="0" w:color="auto"/>
                    <w:right w:val="single" w:sz="4" w:space="0" w:color="auto"/>
                  </w:tcBorders>
                  <w:shd w:val="clear" w:color="auto" w:fill="auto"/>
                  <w:hideMark/>
                </w:tcPr>
                <w:p w14:paraId="6020EB0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nil"/>
                    <w:left w:val="nil"/>
                    <w:bottom w:val="single" w:sz="4" w:space="0" w:color="auto"/>
                    <w:right w:val="single" w:sz="4" w:space="0" w:color="auto"/>
                  </w:tcBorders>
                  <w:shd w:val="clear" w:color="auto" w:fill="auto"/>
                  <w:noWrap/>
                  <w:hideMark/>
                </w:tcPr>
                <w:p w14:paraId="69E47F4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992" w:type="dxa"/>
                  <w:tcBorders>
                    <w:top w:val="nil"/>
                    <w:left w:val="nil"/>
                    <w:bottom w:val="single" w:sz="4" w:space="0" w:color="auto"/>
                    <w:right w:val="single" w:sz="4" w:space="0" w:color="auto"/>
                  </w:tcBorders>
                  <w:shd w:val="clear" w:color="auto" w:fill="auto"/>
                  <w:noWrap/>
                  <w:hideMark/>
                </w:tcPr>
                <w:p w14:paraId="7DF3683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4</w:t>
                  </w:r>
                </w:p>
              </w:tc>
            </w:tr>
            <w:tr w:rsidR="00B834DC" w:rsidRPr="00B834DC" w14:paraId="329EF9A5"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D75CE7A"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Greece</w:t>
                  </w:r>
                </w:p>
              </w:tc>
              <w:tc>
                <w:tcPr>
                  <w:tcW w:w="1193" w:type="dxa"/>
                  <w:tcBorders>
                    <w:top w:val="nil"/>
                    <w:left w:val="nil"/>
                    <w:bottom w:val="single" w:sz="4" w:space="0" w:color="auto"/>
                    <w:right w:val="single" w:sz="4" w:space="0" w:color="auto"/>
                  </w:tcBorders>
                  <w:shd w:val="clear" w:color="auto" w:fill="auto"/>
                  <w:hideMark/>
                </w:tcPr>
                <w:p w14:paraId="6B7EE60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340" w:type="dxa"/>
                  <w:tcBorders>
                    <w:top w:val="nil"/>
                    <w:left w:val="nil"/>
                    <w:bottom w:val="single" w:sz="4" w:space="0" w:color="auto"/>
                    <w:right w:val="single" w:sz="4" w:space="0" w:color="auto"/>
                  </w:tcBorders>
                  <w:shd w:val="clear" w:color="auto" w:fill="auto"/>
                  <w:hideMark/>
                </w:tcPr>
                <w:p w14:paraId="7E4B6DD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487" w:type="dxa"/>
                  <w:tcBorders>
                    <w:top w:val="nil"/>
                    <w:left w:val="nil"/>
                    <w:bottom w:val="single" w:sz="4" w:space="0" w:color="auto"/>
                    <w:right w:val="single" w:sz="4" w:space="0" w:color="auto"/>
                  </w:tcBorders>
                  <w:shd w:val="clear" w:color="auto" w:fill="auto"/>
                  <w:hideMark/>
                </w:tcPr>
                <w:p w14:paraId="2EC2908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2268" w:type="dxa"/>
                  <w:tcBorders>
                    <w:top w:val="nil"/>
                    <w:left w:val="nil"/>
                    <w:bottom w:val="single" w:sz="4" w:space="0" w:color="auto"/>
                    <w:right w:val="single" w:sz="4" w:space="0" w:color="auto"/>
                  </w:tcBorders>
                  <w:shd w:val="clear" w:color="auto" w:fill="auto"/>
                  <w:noWrap/>
                  <w:hideMark/>
                </w:tcPr>
                <w:p w14:paraId="792F4B67" w14:textId="05675C96"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266CAFBF"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6</w:t>
                  </w:r>
                </w:p>
              </w:tc>
            </w:tr>
            <w:tr w:rsidR="00B834DC" w:rsidRPr="00B834DC" w14:paraId="45928F4F"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7DBFED1"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Spain</w:t>
                  </w:r>
                </w:p>
              </w:tc>
              <w:tc>
                <w:tcPr>
                  <w:tcW w:w="1193" w:type="dxa"/>
                  <w:tcBorders>
                    <w:top w:val="nil"/>
                    <w:left w:val="nil"/>
                    <w:bottom w:val="single" w:sz="4" w:space="0" w:color="auto"/>
                    <w:right w:val="single" w:sz="4" w:space="0" w:color="auto"/>
                  </w:tcBorders>
                  <w:shd w:val="clear" w:color="auto" w:fill="auto"/>
                  <w:hideMark/>
                </w:tcPr>
                <w:p w14:paraId="6DCB638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14</w:t>
                  </w:r>
                </w:p>
              </w:tc>
              <w:tc>
                <w:tcPr>
                  <w:tcW w:w="1340" w:type="dxa"/>
                  <w:tcBorders>
                    <w:top w:val="nil"/>
                    <w:left w:val="nil"/>
                    <w:bottom w:val="single" w:sz="4" w:space="0" w:color="auto"/>
                    <w:right w:val="single" w:sz="4" w:space="0" w:color="auto"/>
                  </w:tcBorders>
                  <w:shd w:val="clear" w:color="auto" w:fill="auto"/>
                  <w:hideMark/>
                </w:tcPr>
                <w:p w14:paraId="2EB6167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14</w:t>
                  </w:r>
                </w:p>
              </w:tc>
              <w:tc>
                <w:tcPr>
                  <w:tcW w:w="1487" w:type="dxa"/>
                  <w:tcBorders>
                    <w:top w:val="nil"/>
                    <w:left w:val="nil"/>
                    <w:bottom w:val="single" w:sz="4" w:space="0" w:color="auto"/>
                    <w:right w:val="single" w:sz="4" w:space="0" w:color="auto"/>
                  </w:tcBorders>
                  <w:shd w:val="clear" w:color="auto" w:fill="auto"/>
                  <w:hideMark/>
                </w:tcPr>
                <w:p w14:paraId="1A87FC8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13</w:t>
                  </w:r>
                </w:p>
              </w:tc>
              <w:tc>
                <w:tcPr>
                  <w:tcW w:w="2268" w:type="dxa"/>
                  <w:tcBorders>
                    <w:top w:val="nil"/>
                    <w:left w:val="nil"/>
                    <w:bottom w:val="single" w:sz="4" w:space="0" w:color="auto"/>
                    <w:right w:val="single" w:sz="4" w:space="0" w:color="auto"/>
                  </w:tcBorders>
                  <w:shd w:val="clear" w:color="auto" w:fill="auto"/>
                  <w:noWrap/>
                  <w:hideMark/>
                </w:tcPr>
                <w:p w14:paraId="6DF00DE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16</w:t>
                  </w:r>
                </w:p>
              </w:tc>
              <w:tc>
                <w:tcPr>
                  <w:tcW w:w="992" w:type="dxa"/>
                  <w:tcBorders>
                    <w:top w:val="nil"/>
                    <w:left w:val="nil"/>
                    <w:bottom w:val="single" w:sz="4" w:space="0" w:color="auto"/>
                    <w:right w:val="single" w:sz="4" w:space="0" w:color="auto"/>
                  </w:tcBorders>
                  <w:shd w:val="clear" w:color="auto" w:fill="auto"/>
                  <w:noWrap/>
                  <w:hideMark/>
                </w:tcPr>
                <w:p w14:paraId="2D52339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57</w:t>
                  </w:r>
                </w:p>
              </w:tc>
            </w:tr>
            <w:tr w:rsidR="00B834DC" w:rsidRPr="00B834DC" w14:paraId="222AE7AD"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290A6EA"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Finland</w:t>
                  </w:r>
                </w:p>
              </w:tc>
              <w:tc>
                <w:tcPr>
                  <w:tcW w:w="1193" w:type="dxa"/>
                  <w:tcBorders>
                    <w:top w:val="nil"/>
                    <w:left w:val="nil"/>
                    <w:bottom w:val="single" w:sz="4" w:space="0" w:color="auto"/>
                    <w:right w:val="single" w:sz="4" w:space="0" w:color="auto"/>
                  </w:tcBorders>
                  <w:shd w:val="clear" w:color="auto" w:fill="auto"/>
                  <w:hideMark/>
                </w:tcPr>
                <w:p w14:paraId="226010F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340" w:type="dxa"/>
                  <w:tcBorders>
                    <w:top w:val="nil"/>
                    <w:left w:val="nil"/>
                    <w:bottom w:val="single" w:sz="4" w:space="0" w:color="auto"/>
                    <w:right w:val="single" w:sz="4" w:space="0" w:color="auto"/>
                  </w:tcBorders>
                  <w:shd w:val="clear" w:color="auto" w:fill="auto"/>
                  <w:hideMark/>
                </w:tcPr>
                <w:p w14:paraId="5A78734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487" w:type="dxa"/>
                  <w:tcBorders>
                    <w:top w:val="nil"/>
                    <w:left w:val="nil"/>
                    <w:bottom w:val="single" w:sz="4" w:space="0" w:color="auto"/>
                    <w:right w:val="single" w:sz="4" w:space="0" w:color="auto"/>
                  </w:tcBorders>
                  <w:shd w:val="clear" w:color="auto" w:fill="auto"/>
                  <w:hideMark/>
                </w:tcPr>
                <w:p w14:paraId="59EC566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2268" w:type="dxa"/>
                  <w:tcBorders>
                    <w:top w:val="nil"/>
                    <w:left w:val="nil"/>
                    <w:bottom w:val="single" w:sz="4" w:space="0" w:color="auto"/>
                    <w:right w:val="single" w:sz="4" w:space="0" w:color="auto"/>
                  </w:tcBorders>
                  <w:shd w:val="clear" w:color="auto" w:fill="auto"/>
                  <w:noWrap/>
                  <w:hideMark/>
                </w:tcPr>
                <w:p w14:paraId="5ABC33F7" w14:textId="6957A49B"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0122768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6</w:t>
                  </w:r>
                </w:p>
              </w:tc>
            </w:tr>
            <w:tr w:rsidR="00B834DC" w:rsidRPr="00B834DC" w14:paraId="0B61562E"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3069344"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France</w:t>
                  </w:r>
                </w:p>
              </w:tc>
              <w:tc>
                <w:tcPr>
                  <w:tcW w:w="1193" w:type="dxa"/>
                  <w:tcBorders>
                    <w:top w:val="nil"/>
                    <w:left w:val="nil"/>
                    <w:bottom w:val="single" w:sz="4" w:space="0" w:color="auto"/>
                    <w:right w:val="single" w:sz="4" w:space="0" w:color="auto"/>
                  </w:tcBorders>
                  <w:shd w:val="clear" w:color="auto" w:fill="auto"/>
                  <w:hideMark/>
                </w:tcPr>
                <w:p w14:paraId="0E4C7E9F"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w:t>
                  </w:r>
                </w:p>
              </w:tc>
              <w:tc>
                <w:tcPr>
                  <w:tcW w:w="1340" w:type="dxa"/>
                  <w:tcBorders>
                    <w:top w:val="nil"/>
                    <w:left w:val="nil"/>
                    <w:bottom w:val="single" w:sz="4" w:space="0" w:color="auto"/>
                    <w:right w:val="single" w:sz="4" w:space="0" w:color="auto"/>
                  </w:tcBorders>
                  <w:shd w:val="clear" w:color="auto" w:fill="auto"/>
                  <w:hideMark/>
                </w:tcPr>
                <w:p w14:paraId="27A24C9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487" w:type="dxa"/>
                  <w:tcBorders>
                    <w:top w:val="nil"/>
                    <w:left w:val="nil"/>
                    <w:bottom w:val="single" w:sz="4" w:space="0" w:color="auto"/>
                    <w:right w:val="single" w:sz="4" w:space="0" w:color="auto"/>
                  </w:tcBorders>
                  <w:shd w:val="clear" w:color="auto" w:fill="auto"/>
                  <w:hideMark/>
                </w:tcPr>
                <w:p w14:paraId="1860100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2268" w:type="dxa"/>
                  <w:tcBorders>
                    <w:top w:val="nil"/>
                    <w:left w:val="nil"/>
                    <w:bottom w:val="single" w:sz="4" w:space="0" w:color="auto"/>
                    <w:right w:val="single" w:sz="4" w:space="0" w:color="auto"/>
                  </w:tcBorders>
                  <w:shd w:val="clear" w:color="auto" w:fill="auto"/>
                  <w:noWrap/>
                  <w:hideMark/>
                </w:tcPr>
                <w:p w14:paraId="385281C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14</w:t>
                  </w:r>
                </w:p>
              </w:tc>
              <w:tc>
                <w:tcPr>
                  <w:tcW w:w="992" w:type="dxa"/>
                  <w:tcBorders>
                    <w:top w:val="nil"/>
                    <w:left w:val="nil"/>
                    <w:bottom w:val="single" w:sz="4" w:space="0" w:color="auto"/>
                    <w:right w:val="single" w:sz="4" w:space="0" w:color="auto"/>
                  </w:tcBorders>
                  <w:shd w:val="clear" w:color="auto" w:fill="auto"/>
                  <w:noWrap/>
                  <w:hideMark/>
                </w:tcPr>
                <w:p w14:paraId="504893F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28</w:t>
                  </w:r>
                </w:p>
              </w:tc>
            </w:tr>
            <w:tr w:rsidR="00B834DC" w:rsidRPr="00B834DC" w14:paraId="3C046C3E"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033E852"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Croatia</w:t>
                  </w:r>
                </w:p>
              </w:tc>
              <w:tc>
                <w:tcPr>
                  <w:tcW w:w="1193" w:type="dxa"/>
                  <w:tcBorders>
                    <w:top w:val="nil"/>
                    <w:left w:val="nil"/>
                    <w:bottom w:val="single" w:sz="4" w:space="0" w:color="auto"/>
                    <w:right w:val="single" w:sz="4" w:space="0" w:color="auto"/>
                  </w:tcBorders>
                  <w:shd w:val="clear" w:color="auto" w:fill="auto"/>
                  <w:hideMark/>
                </w:tcPr>
                <w:p w14:paraId="526461D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70094219"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1487" w:type="dxa"/>
                  <w:tcBorders>
                    <w:top w:val="nil"/>
                    <w:left w:val="nil"/>
                    <w:bottom w:val="single" w:sz="4" w:space="0" w:color="auto"/>
                    <w:right w:val="single" w:sz="4" w:space="0" w:color="auto"/>
                  </w:tcBorders>
                  <w:shd w:val="clear" w:color="auto" w:fill="auto"/>
                  <w:hideMark/>
                </w:tcPr>
                <w:p w14:paraId="2E39BB9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2268" w:type="dxa"/>
                  <w:tcBorders>
                    <w:top w:val="nil"/>
                    <w:left w:val="nil"/>
                    <w:bottom w:val="single" w:sz="4" w:space="0" w:color="auto"/>
                    <w:right w:val="single" w:sz="4" w:space="0" w:color="auto"/>
                  </w:tcBorders>
                  <w:shd w:val="clear" w:color="auto" w:fill="auto"/>
                  <w:noWrap/>
                  <w:hideMark/>
                </w:tcPr>
                <w:p w14:paraId="77DF1354" w14:textId="6252BE66"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43F57E8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8</w:t>
                  </w:r>
                </w:p>
              </w:tc>
            </w:tr>
            <w:tr w:rsidR="00B834DC" w:rsidRPr="00B834DC" w14:paraId="6C974EC3"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0B966E2"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Hungary</w:t>
                  </w:r>
                </w:p>
              </w:tc>
              <w:tc>
                <w:tcPr>
                  <w:tcW w:w="1193" w:type="dxa"/>
                  <w:tcBorders>
                    <w:top w:val="nil"/>
                    <w:left w:val="nil"/>
                    <w:bottom w:val="single" w:sz="4" w:space="0" w:color="auto"/>
                    <w:right w:val="single" w:sz="4" w:space="0" w:color="auto"/>
                  </w:tcBorders>
                  <w:shd w:val="clear" w:color="auto" w:fill="auto"/>
                  <w:hideMark/>
                </w:tcPr>
                <w:p w14:paraId="33ACB63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1340" w:type="dxa"/>
                  <w:tcBorders>
                    <w:top w:val="nil"/>
                    <w:left w:val="nil"/>
                    <w:bottom w:val="single" w:sz="4" w:space="0" w:color="auto"/>
                    <w:right w:val="single" w:sz="4" w:space="0" w:color="auto"/>
                  </w:tcBorders>
                  <w:shd w:val="clear" w:color="auto" w:fill="auto"/>
                  <w:hideMark/>
                </w:tcPr>
                <w:p w14:paraId="03D6DB6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64AB070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2268" w:type="dxa"/>
                  <w:tcBorders>
                    <w:top w:val="nil"/>
                    <w:left w:val="nil"/>
                    <w:bottom w:val="single" w:sz="4" w:space="0" w:color="auto"/>
                    <w:right w:val="single" w:sz="4" w:space="0" w:color="auto"/>
                  </w:tcBorders>
                  <w:shd w:val="clear" w:color="auto" w:fill="auto"/>
                  <w:noWrap/>
                  <w:hideMark/>
                </w:tcPr>
                <w:p w14:paraId="103A96B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992" w:type="dxa"/>
                  <w:tcBorders>
                    <w:top w:val="nil"/>
                    <w:left w:val="nil"/>
                    <w:bottom w:val="single" w:sz="4" w:space="0" w:color="auto"/>
                    <w:right w:val="single" w:sz="4" w:space="0" w:color="auto"/>
                  </w:tcBorders>
                  <w:shd w:val="clear" w:color="auto" w:fill="auto"/>
                  <w:noWrap/>
                  <w:hideMark/>
                </w:tcPr>
                <w:p w14:paraId="32B533F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8</w:t>
                  </w:r>
                </w:p>
              </w:tc>
            </w:tr>
            <w:tr w:rsidR="00B834DC" w:rsidRPr="00B834DC" w14:paraId="1AF92DAB"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3B58C59"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Iceland</w:t>
                  </w:r>
                </w:p>
              </w:tc>
              <w:tc>
                <w:tcPr>
                  <w:tcW w:w="1193" w:type="dxa"/>
                  <w:tcBorders>
                    <w:top w:val="nil"/>
                    <w:left w:val="nil"/>
                    <w:bottom w:val="single" w:sz="4" w:space="0" w:color="auto"/>
                    <w:right w:val="single" w:sz="4" w:space="0" w:color="auto"/>
                  </w:tcBorders>
                  <w:shd w:val="clear" w:color="auto" w:fill="auto"/>
                  <w:hideMark/>
                </w:tcPr>
                <w:p w14:paraId="66D5EF6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384DF751"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2215C169"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2268" w:type="dxa"/>
                  <w:tcBorders>
                    <w:top w:val="nil"/>
                    <w:left w:val="nil"/>
                    <w:bottom w:val="single" w:sz="4" w:space="0" w:color="auto"/>
                    <w:right w:val="single" w:sz="4" w:space="0" w:color="auto"/>
                  </w:tcBorders>
                  <w:shd w:val="clear" w:color="auto" w:fill="auto"/>
                  <w:noWrap/>
                  <w:hideMark/>
                </w:tcPr>
                <w:p w14:paraId="37A98A99" w14:textId="1B5F4512"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7E36E4E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r>
            <w:tr w:rsidR="00B834DC" w:rsidRPr="00B834DC" w14:paraId="1E7655CA"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459BD61"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Ireland</w:t>
                  </w:r>
                </w:p>
              </w:tc>
              <w:tc>
                <w:tcPr>
                  <w:tcW w:w="1193" w:type="dxa"/>
                  <w:tcBorders>
                    <w:top w:val="nil"/>
                    <w:left w:val="nil"/>
                    <w:bottom w:val="single" w:sz="4" w:space="0" w:color="auto"/>
                    <w:right w:val="single" w:sz="4" w:space="0" w:color="auto"/>
                  </w:tcBorders>
                  <w:shd w:val="clear" w:color="auto" w:fill="auto"/>
                  <w:hideMark/>
                </w:tcPr>
                <w:p w14:paraId="61C31E4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156DAD8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nil"/>
                    <w:left w:val="nil"/>
                    <w:bottom w:val="single" w:sz="4" w:space="0" w:color="auto"/>
                    <w:right w:val="single" w:sz="4" w:space="0" w:color="auto"/>
                  </w:tcBorders>
                  <w:shd w:val="clear" w:color="auto" w:fill="auto"/>
                  <w:hideMark/>
                </w:tcPr>
                <w:p w14:paraId="2BA6500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2268" w:type="dxa"/>
                  <w:tcBorders>
                    <w:top w:val="nil"/>
                    <w:left w:val="nil"/>
                    <w:bottom w:val="single" w:sz="4" w:space="0" w:color="auto"/>
                    <w:right w:val="single" w:sz="4" w:space="0" w:color="auto"/>
                  </w:tcBorders>
                  <w:shd w:val="clear" w:color="auto" w:fill="auto"/>
                  <w:noWrap/>
                  <w:hideMark/>
                </w:tcPr>
                <w:p w14:paraId="26583944" w14:textId="30E97A3D"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2199A5B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r>
            <w:tr w:rsidR="00B834DC" w:rsidRPr="00B834DC" w14:paraId="607AD297"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CC5DBBB"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Italy</w:t>
                  </w:r>
                </w:p>
              </w:tc>
              <w:tc>
                <w:tcPr>
                  <w:tcW w:w="1193" w:type="dxa"/>
                  <w:tcBorders>
                    <w:top w:val="nil"/>
                    <w:left w:val="nil"/>
                    <w:bottom w:val="single" w:sz="4" w:space="0" w:color="auto"/>
                    <w:right w:val="single" w:sz="4" w:space="0" w:color="auto"/>
                  </w:tcBorders>
                  <w:shd w:val="clear" w:color="auto" w:fill="auto"/>
                  <w:hideMark/>
                </w:tcPr>
                <w:p w14:paraId="0D8B7B5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w:t>
                  </w:r>
                </w:p>
              </w:tc>
              <w:tc>
                <w:tcPr>
                  <w:tcW w:w="1340" w:type="dxa"/>
                  <w:tcBorders>
                    <w:top w:val="nil"/>
                    <w:left w:val="nil"/>
                    <w:bottom w:val="single" w:sz="4" w:space="0" w:color="auto"/>
                    <w:right w:val="single" w:sz="4" w:space="0" w:color="auto"/>
                  </w:tcBorders>
                  <w:shd w:val="clear" w:color="auto" w:fill="auto"/>
                  <w:hideMark/>
                </w:tcPr>
                <w:p w14:paraId="3B085DE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11</w:t>
                  </w:r>
                </w:p>
              </w:tc>
              <w:tc>
                <w:tcPr>
                  <w:tcW w:w="1487" w:type="dxa"/>
                  <w:tcBorders>
                    <w:top w:val="nil"/>
                    <w:left w:val="nil"/>
                    <w:bottom w:val="single" w:sz="4" w:space="0" w:color="auto"/>
                    <w:right w:val="single" w:sz="4" w:space="0" w:color="auto"/>
                  </w:tcBorders>
                  <w:shd w:val="clear" w:color="auto" w:fill="auto"/>
                  <w:hideMark/>
                </w:tcPr>
                <w:p w14:paraId="4B0631F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12</w:t>
                  </w:r>
                </w:p>
              </w:tc>
              <w:tc>
                <w:tcPr>
                  <w:tcW w:w="2268" w:type="dxa"/>
                  <w:tcBorders>
                    <w:top w:val="nil"/>
                    <w:left w:val="nil"/>
                    <w:bottom w:val="single" w:sz="4" w:space="0" w:color="auto"/>
                    <w:right w:val="single" w:sz="4" w:space="0" w:color="auto"/>
                  </w:tcBorders>
                  <w:shd w:val="clear" w:color="auto" w:fill="auto"/>
                  <w:noWrap/>
                  <w:hideMark/>
                </w:tcPr>
                <w:p w14:paraId="47B7B78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12</w:t>
                  </w:r>
                </w:p>
              </w:tc>
              <w:tc>
                <w:tcPr>
                  <w:tcW w:w="992" w:type="dxa"/>
                  <w:tcBorders>
                    <w:top w:val="nil"/>
                    <w:left w:val="nil"/>
                    <w:bottom w:val="single" w:sz="4" w:space="0" w:color="auto"/>
                    <w:right w:val="single" w:sz="4" w:space="0" w:color="auto"/>
                  </w:tcBorders>
                  <w:shd w:val="clear" w:color="auto" w:fill="auto"/>
                  <w:noWrap/>
                  <w:hideMark/>
                </w:tcPr>
                <w:p w14:paraId="6E08BE5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42</w:t>
                  </w:r>
                </w:p>
              </w:tc>
            </w:tr>
            <w:tr w:rsidR="00B834DC" w:rsidRPr="00B834DC" w14:paraId="358BFC85"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2EDD3AE"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Latvia</w:t>
                  </w:r>
                </w:p>
              </w:tc>
              <w:tc>
                <w:tcPr>
                  <w:tcW w:w="1193" w:type="dxa"/>
                  <w:tcBorders>
                    <w:top w:val="nil"/>
                    <w:left w:val="nil"/>
                    <w:bottom w:val="single" w:sz="4" w:space="0" w:color="auto"/>
                    <w:right w:val="single" w:sz="4" w:space="0" w:color="auto"/>
                  </w:tcBorders>
                  <w:shd w:val="clear" w:color="auto" w:fill="auto"/>
                  <w:hideMark/>
                </w:tcPr>
                <w:p w14:paraId="58DE987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340" w:type="dxa"/>
                  <w:tcBorders>
                    <w:top w:val="nil"/>
                    <w:left w:val="nil"/>
                    <w:bottom w:val="single" w:sz="4" w:space="0" w:color="auto"/>
                    <w:right w:val="single" w:sz="4" w:space="0" w:color="auto"/>
                  </w:tcBorders>
                  <w:shd w:val="clear" w:color="auto" w:fill="auto"/>
                  <w:hideMark/>
                </w:tcPr>
                <w:p w14:paraId="6E8C20C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nil"/>
                    <w:left w:val="nil"/>
                    <w:bottom w:val="single" w:sz="4" w:space="0" w:color="auto"/>
                    <w:right w:val="single" w:sz="4" w:space="0" w:color="auto"/>
                  </w:tcBorders>
                  <w:shd w:val="clear" w:color="auto" w:fill="auto"/>
                  <w:hideMark/>
                </w:tcPr>
                <w:p w14:paraId="10D1CBA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nil"/>
                    <w:left w:val="nil"/>
                    <w:bottom w:val="single" w:sz="4" w:space="0" w:color="auto"/>
                    <w:right w:val="single" w:sz="4" w:space="0" w:color="auto"/>
                  </w:tcBorders>
                  <w:shd w:val="clear" w:color="auto" w:fill="auto"/>
                  <w:noWrap/>
                  <w:hideMark/>
                </w:tcPr>
                <w:p w14:paraId="5B7DC3D1" w14:textId="08034091"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02CE0B1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r>
            <w:tr w:rsidR="00B834DC" w:rsidRPr="00B834DC" w14:paraId="18FDC187"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66356A1"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Lithuania</w:t>
                  </w:r>
                </w:p>
              </w:tc>
              <w:tc>
                <w:tcPr>
                  <w:tcW w:w="1193" w:type="dxa"/>
                  <w:tcBorders>
                    <w:top w:val="nil"/>
                    <w:left w:val="nil"/>
                    <w:bottom w:val="single" w:sz="4" w:space="0" w:color="auto"/>
                    <w:right w:val="single" w:sz="4" w:space="0" w:color="auto"/>
                  </w:tcBorders>
                  <w:shd w:val="clear" w:color="auto" w:fill="auto"/>
                  <w:hideMark/>
                </w:tcPr>
                <w:p w14:paraId="3BFF46F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6</w:t>
                  </w:r>
                </w:p>
              </w:tc>
              <w:tc>
                <w:tcPr>
                  <w:tcW w:w="1340" w:type="dxa"/>
                  <w:tcBorders>
                    <w:top w:val="nil"/>
                    <w:left w:val="nil"/>
                    <w:bottom w:val="single" w:sz="4" w:space="0" w:color="auto"/>
                    <w:right w:val="single" w:sz="4" w:space="0" w:color="auto"/>
                  </w:tcBorders>
                  <w:shd w:val="clear" w:color="auto" w:fill="auto"/>
                  <w:hideMark/>
                </w:tcPr>
                <w:p w14:paraId="4B5146F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nil"/>
                    <w:left w:val="nil"/>
                    <w:bottom w:val="single" w:sz="4" w:space="0" w:color="auto"/>
                    <w:right w:val="single" w:sz="4" w:space="0" w:color="auto"/>
                  </w:tcBorders>
                  <w:shd w:val="clear" w:color="auto" w:fill="auto"/>
                  <w:hideMark/>
                </w:tcPr>
                <w:p w14:paraId="081C738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2268" w:type="dxa"/>
                  <w:tcBorders>
                    <w:top w:val="nil"/>
                    <w:left w:val="nil"/>
                    <w:bottom w:val="single" w:sz="4" w:space="0" w:color="auto"/>
                    <w:right w:val="single" w:sz="4" w:space="0" w:color="auto"/>
                  </w:tcBorders>
                  <w:shd w:val="clear" w:color="auto" w:fill="auto"/>
                  <w:noWrap/>
                  <w:hideMark/>
                </w:tcPr>
                <w:p w14:paraId="46880CC8" w14:textId="7FD0BC4F"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6C5F243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6</w:t>
                  </w:r>
                </w:p>
              </w:tc>
            </w:tr>
            <w:tr w:rsidR="00B834DC" w:rsidRPr="00B834DC" w14:paraId="61A6F025"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9F626A4"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Luxembourg</w:t>
                  </w:r>
                </w:p>
              </w:tc>
              <w:tc>
                <w:tcPr>
                  <w:tcW w:w="1193" w:type="dxa"/>
                  <w:tcBorders>
                    <w:top w:val="nil"/>
                    <w:left w:val="nil"/>
                    <w:bottom w:val="single" w:sz="4" w:space="0" w:color="auto"/>
                    <w:right w:val="single" w:sz="4" w:space="0" w:color="auto"/>
                  </w:tcBorders>
                  <w:shd w:val="clear" w:color="auto" w:fill="auto"/>
                  <w:hideMark/>
                </w:tcPr>
                <w:p w14:paraId="5335502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3F5185B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nil"/>
                    <w:left w:val="nil"/>
                    <w:bottom w:val="single" w:sz="4" w:space="0" w:color="auto"/>
                    <w:right w:val="single" w:sz="4" w:space="0" w:color="auto"/>
                  </w:tcBorders>
                  <w:shd w:val="clear" w:color="auto" w:fill="auto"/>
                  <w:hideMark/>
                </w:tcPr>
                <w:p w14:paraId="3583C69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2268" w:type="dxa"/>
                  <w:tcBorders>
                    <w:top w:val="nil"/>
                    <w:left w:val="nil"/>
                    <w:bottom w:val="single" w:sz="4" w:space="0" w:color="auto"/>
                    <w:right w:val="single" w:sz="4" w:space="0" w:color="auto"/>
                  </w:tcBorders>
                  <w:shd w:val="clear" w:color="auto" w:fill="auto"/>
                  <w:noWrap/>
                  <w:hideMark/>
                </w:tcPr>
                <w:p w14:paraId="1B66C4DC" w14:textId="05D5276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509AE74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r>
            <w:tr w:rsidR="00B834DC" w:rsidRPr="00B834DC" w14:paraId="4E7F9458"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C57B07A"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Malta</w:t>
                  </w:r>
                </w:p>
              </w:tc>
              <w:tc>
                <w:tcPr>
                  <w:tcW w:w="1193" w:type="dxa"/>
                  <w:tcBorders>
                    <w:top w:val="nil"/>
                    <w:left w:val="nil"/>
                    <w:bottom w:val="single" w:sz="4" w:space="0" w:color="auto"/>
                    <w:right w:val="single" w:sz="4" w:space="0" w:color="auto"/>
                  </w:tcBorders>
                  <w:shd w:val="clear" w:color="auto" w:fill="auto"/>
                  <w:hideMark/>
                </w:tcPr>
                <w:p w14:paraId="2B1A2DE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265F10B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28111F9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nil"/>
                    <w:left w:val="nil"/>
                    <w:bottom w:val="single" w:sz="4" w:space="0" w:color="auto"/>
                    <w:right w:val="single" w:sz="4" w:space="0" w:color="auto"/>
                  </w:tcBorders>
                  <w:shd w:val="clear" w:color="auto" w:fill="auto"/>
                  <w:noWrap/>
                  <w:hideMark/>
                </w:tcPr>
                <w:p w14:paraId="33F6896D" w14:textId="5D5541E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1402E7B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r>
            <w:tr w:rsidR="00B834DC" w:rsidRPr="00B834DC" w14:paraId="5F64653B"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F6AD767"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Montenegro</w:t>
                  </w:r>
                </w:p>
              </w:tc>
              <w:tc>
                <w:tcPr>
                  <w:tcW w:w="1193" w:type="dxa"/>
                  <w:tcBorders>
                    <w:top w:val="nil"/>
                    <w:left w:val="nil"/>
                    <w:bottom w:val="single" w:sz="4" w:space="0" w:color="auto"/>
                    <w:right w:val="single" w:sz="4" w:space="0" w:color="auto"/>
                  </w:tcBorders>
                  <w:shd w:val="clear" w:color="auto" w:fill="auto"/>
                  <w:hideMark/>
                </w:tcPr>
                <w:p w14:paraId="10D63F5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0647E969"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0FD2129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2268" w:type="dxa"/>
                  <w:tcBorders>
                    <w:top w:val="nil"/>
                    <w:left w:val="nil"/>
                    <w:bottom w:val="single" w:sz="4" w:space="0" w:color="auto"/>
                    <w:right w:val="single" w:sz="4" w:space="0" w:color="auto"/>
                  </w:tcBorders>
                  <w:shd w:val="clear" w:color="auto" w:fill="auto"/>
                  <w:noWrap/>
                  <w:hideMark/>
                </w:tcPr>
                <w:p w14:paraId="09204CEE" w14:textId="2ACE308F"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3733F5A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r>
            <w:tr w:rsidR="00B834DC" w:rsidRPr="00B834DC" w14:paraId="085E49F7"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98C668C"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Netherlands</w:t>
                  </w:r>
                </w:p>
              </w:tc>
              <w:tc>
                <w:tcPr>
                  <w:tcW w:w="1193" w:type="dxa"/>
                  <w:tcBorders>
                    <w:top w:val="nil"/>
                    <w:left w:val="nil"/>
                    <w:bottom w:val="single" w:sz="4" w:space="0" w:color="auto"/>
                    <w:right w:val="single" w:sz="4" w:space="0" w:color="auto"/>
                  </w:tcBorders>
                  <w:shd w:val="clear" w:color="auto" w:fill="auto"/>
                  <w:hideMark/>
                </w:tcPr>
                <w:p w14:paraId="0A46C1B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340" w:type="dxa"/>
                  <w:tcBorders>
                    <w:top w:val="nil"/>
                    <w:left w:val="nil"/>
                    <w:bottom w:val="single" w:sz="4" w:space="0" w:color="auto"/>
                    <w:right w:val="single" w:sz="4" w:space="0" w:color="auto"/>
                  </w:tcBorders>
                  <w:shd w:val="clear" w:color="auto" w:fill="auto"/>
                  <w:hideMark/>
                </w:tcPr>
                <w:p w14:paraId="5782F79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5661B28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2268" w:type="dxa"/>
                  <w:tcBorders>
                    <w:top w:val="nil"/>
                    <w:left w:val="nil"/>
                    <w:bottom w:val="single" w:sz="4" w:space="0" w:color="auto"/>
                    <w:right w:val="single" w:sz="4" w:space="0" w:color="auto"/>
                  </w:tcBorders>
                  <w:shd w:val="clear" w:color="auto" w:fill="auto"/>
                  <w:noWrap/>
                  <w:hideMark/>
                </w:tcPr>
                <w:p w14:paraId="7D0AA7E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992" w:type="dxa"/>
                  <w:tcBorders>
                    <w:top w:val="nil"/>
                    <w:left w:val="nil"/>
                    <w:bottom w:val="single" w:sz="4" w:space="0" w:color="auto"/>
                    <w:right w:val="single" w:sz="4" w:space="0" w:color="auto"/>
                  </w:tcBorders>
                  <w:shd w:val="clear" w:color="auto" w:fill="auto"/>
                  <w:noWrap/>
                  <w:hideMark/>
                </w:tcPr>
                <w:p w14:paraId="1CD73D7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10</w:t>
                  </w:r>
                </w:p>
              </w:tc>
            </w:tr>
            <w:tr w:rsidR="00B834DC" w:rsidRPr="00B834DC" w14:paraId="7F787944"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44837A3"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Poland</w:t>
                  </w:r>
                </w:p>
              </w:tc>
              <w:tc>
                <w:tcPr>
                  <w:tcW w:w="1193" w:type="dxa"/>
                  <w:tcBorders>
                    <w:top w:val="nil"/>
                    <w:left w:val="nil"/>
                    <w:bottom w:val="single" w:sz="4" w:space="0" w:color="auto"/>
                    <w:right w:val="single" w:sz="4" w:space="0" w:color="auto"/>
                  </w:tcBorders>
                  <w:shd w:val="clear" w:color="auto" w:fill="auto"/>
                  <w:hideMark/>
                </w:tcPr>
                <w:p w14:paraId="018B36D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4</w:t>
                  </w:r>
                </w:p>
              </w:tc>
              <w:tc>
                <w:tcPr>
                  <w:tcW w:w="1340" w:type="dxa"/>
                  <w:tcBorders>
                    <w:top w:val="nil"/>
                    <w:left w:val="nil"/>
                    <w:bottom w:val="single" w:sz="4" w:space="0" w:color="auto"/>
                    <w:right w:val="single" w:sz="4" w:space="0" w:color="auto"/>
                  </w:tcBorders>
                  <w:shd w:val="clear" w:color="auto" w:fill="auto"/>
                  <w:hideMark/>
                </w:tcPr>
                <w:p w14:paraId="54C2B828"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4D1FB44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2268" w:type="dxa"/>
                  <w:tcBorders>
                    <w:top w:val="nil"/>
                    <w:left w:val="nil"/>
                    <w:bottom w:val="single" w:sz="4" w:space="0" w:color="auto"/>
                    <w:right w:val="single" w:sz="4" w:space="0" w:color="auto"/>
                  </w:tcBorders>
                  <w:shd w:val="clear" w:color="auto" w:fill="auto"/>
                  <w:noWrap/>
                  <w:hideMark/>
                </w:tcPr>
                <w:p w14:paraId="545382E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992" w:type="dxa"/>
                  <w:tcBorders>
                    <w:top w:val="nil"/>
                    <w:left w:val="nil"/>
                    <w:bottom w:val="single" w:sz="4" w:space="0" w:color="auto"/>
                    <w:right w:val="single" w:sz="4" w:space="0" w:color="auto"/>
                  </w:tcBorders>
                  <w:shd w:val="clear" w:color="auto" w:fill="auto"/>
                  <w:noWrap/>
                  <w:hideMark/>
                </w:tcPr>
                <w:p w14:paraId="22D278F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11</w:t>
                  </w:r>
                </w:p>
              </w:tc>
            </w:tr>
            <w:tr w:rsidR="00B834DC" w:rsidRPr="00B834DC" w14:paraId="194017DC"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BD13378"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Portugal</w:t>
                  </w:r>
                </w:p>
              </w:tc>
              <w:tc>
                <w:tcPr>
                  <w:tcW w:w="1193" w:type="dxa"/>
                  <w:tcBorders>
                    <w:top w:val="nil"/>
                    <w:left w:val="nil"/>
                    <w:bottom w:val="single" w:sz="4" w:space="0" w:color="auto"/>
                    <w:right w:val="single" w:sz="4" w:space="0" w:color="auto"/>
                  </w:tcBorders>
                  <w:shd w:val="clear" w:color="auto" w:fill="auto"/>
                  <w:hideMark/>
                </w:tcPr>
                <w:p w14:paraId="33B04F8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1340" w:type="dxa"/>
                  <w:tcBorders>
                    <w:top w:val="nil"/>
                    <w:left w:val="nil"/>
                    <w:bottom w:val="single" w:sz="4" w:space="0" w:color="auto"/>
                    <w:right w:val="single" w:sz="4" w:space="0" w:color="auto"/>
                  </w:tcBorders>
                  <w:shd w:val="clear" w:color="auto" w:fill="auto"/>
                  <w:hideMark/>
                </w:tcPr>
                <w:p w14:paraId="0DE8763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6</w:t>
                  </w:r>
                </w:p>
              </w:tc>
              <w:tc>
                <w:tcPr>
                  <w:tcW w:w="1487" w:type="dxa"/>
                  <w:tcBorders>
                    <w:top w:val="nil"/>
                    <w:left w:val="nil"/>
                    <w:bottom w:val="single" w:sz="4" w:space="0" w:color="auto"/>
                    <w:right w:val="single" w:sz="4" w:space="0" w:color="auto"/>
                  </w:tcBorders>
                  <w:shd w:val="clear" w:color="auto" w:fill="auto"/>
                  <w:hideMark/>
                </w:tcPr>
                <w:p w14:paraId="2A0CEDD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w:t>
                  </w:r>
                </w:p>
              </w:tc>
              <w:tc>
                <w:tcPr>
                  <w:tcW w:w="2268" w:type="dxa"/>
                  <w:tcBorders>
                    <w:top w:val="nil"/>
                    <w:left w:val="nil"/>
                    <w:bottom w:val="single" w:sz="4" w:space="0" w:color="auto"/>
                    <w:right w:val="single" w:sz="4" w:space="0" w:color="auto"/>
                  </w:tcBorders>
                  <w:shd w:val="clear" w:color="auto" w:fill="auto"/>
                  <w:noWrap/>
                  <w:hideMark/>
                </w:tcPr>
                <w:p w14:paraId="4D0CDEE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992" w:type="dxa"/>
                  <w:tcBorders>
                    <w:top w:val="nil"/>
                    <w:left w:val="nil"/>
                    <w:bottom w:val="single" w:sz="4" w:space="0" w:color="auto"/>
                    <w:right w:val="single" w:sz="4" w:space="0" w:color="auto"/>
                  </w:tcBorders>
                  <w:shd w:val="clear" w:color="auto" w:fill="auto"/>
                  <w:noWrap/>
                  <w:hideMark/>
                </w:tcPr>
                <w:p w14:paraId="01CFBAD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23</w:t>
                  </w:r>
                </w:p>
              </w:tc>
            </w:tr>
            <w:tr w:rsidR="00B834DC" w:rsidRPr="00B834DC" w14:paraId="2362EC78"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AE02485"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Romania</w:t>
                  </w:r>
                </w:p>
              </w:tc>
              <w:tc>
                <w:tcPr>
                  <w:tcW w:w="1193" w:type="dxa"/>
                  <w:tcBorders>
                    <w:top w:val="nil"/>
                    <w:left w:val="nil"/>
                    <w:bottom w:val="single" w:sz="4" w:space="0" w:color="auto"/>
                    <w:right w:val="single" w:sz="4" w:space="0" w:color="auto"/>
                  </w:tcBorders>
                  <w:shd w:val="clear" w:color="auto" w:fill="auto"/>
                  <w:hideMark/>
                </w:tcPr>
                <w:p w14:paraId="13E5EBB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4</w:t>
                  </w:r>
                </w:p>
              </w:tc>
              <w:tc>
                <w:tcPr>
                  <w:tcW w:w="1340" w:type="dxa"/>
                  <w:tcBorders>
                    <w:top w:val="nil"/>
                    <w:left w:val="nil"/>
                    <w:bottom w:val="single" w:sz="4" w:space="0" w:color="auto"/>
                    <w:right w:val="single" w:sz="4" w:space="0" w:color="auto"/>
                  </w:tcBorders>
                  <w:shd w:val="clear" w:color="auto" w:fill="auto"/>
                  <w:hideMark/>
                </w:tcPr>
                <w:p w14:paraId="7691A14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487" w:type="dxa"/>
                  <w:tcBorders>
                    <w:top w:val="nil"/>
                    <w:left w:val="nil"/>
                    <w:bottom w:val="single" w:sz="4" w:space="0" w:color="auto"/>
                    <w:right w:val="single" w:sz="4" w:space="0" w:color="auto"/>
                  </w:tcBorders>
                  <w:shd w:val="clear" w:color="auto" w:fill="auto"/>
                  <w:hideMark/>
                </w:tcPr>
                <w:p w14:paraId="4BE5F98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nil"/>
                    <w:left w:val="nil"/>
                    <w:bottom w:val="single" w:sz="4" w:space="0" w:color="auto"/>
                    <w:right w:val="single" w:sz="4" w:space="0" w:color="auto"/>
                  </w:tcBorders>
                  <w:shd w:val="clear" w:color="auto" w:fill="auto"/>
                  <w:noWrap/>
                  <w:hideMark/>
                </w:tcPr>
                <w:p w14:paraId="50A2F2A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992" w:type="dxa"/>
                  <w:tcBorders>
                    <w:top w:val="nil"/>
                    <w:left w:val="nil"/>
                    <w:bottom w:val="single" w:sz="4" w:space="0" w:color="auto"/>
                    <w:right w:val="single" w:sz="4" w:space="0" w:color="auto"/>
                  </w:tcBorders>
                  <w:shd w:val="clear" w:color="auto" w:fill="auto"/>
                  <w:noWrap/>
                  <w:hideMark/>
                </w:tcPr>
                <w:p w14:paraId="1642FFFB"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9</w:t>
                  </w:r>
                </w:p>
              </w:tc>
            </w:tr>
            <w:tr w:rsidR="00B834DC" w:rsidRPr="00B834DC" w14:paraId="09E43865"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516787C"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Serbia</w:t>
                  </w:r>
                </w:p>
              </w:tc>
              <w:tc>
                <w:tcPr>
                  <w:tcW w:w="1193" w:type="dxa"/>
                  <w:tcBorders>
                    <w:top w:val="nil"/>
                    <w:left w:val="nil"/>
                    <w:bottom w:val="single" w:sz="4" w:space="0" w:color="auto"/>
                    <w:right w:val="single" w:sz="4" w:space="0" w:color="auto"/>
                  </w:tcBorders>
                  <w:shd w:val="clear" w:color="auto" w:fill="auto"/>
                  <w:hideMark/>
                </w:tcPr>
                <w:p w14:paraId="6A18EC0F"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340" w:type="dxa"/>
                  <w:tcBorders>
                    <w:top w:val="nil"/>
                    <w:left w:val="nil"/>
                    <w:bottom w:val="single" w:sz="4" w:space="0" w:color="auto"/>
                    <w:right w:val="single" w:sz="4" w:space="0" w:color="auto"/>
                  </w:tcBorders>
                  <w:shd w:val="clear" w:color="auto" w:fill="auto"/>
                  <w:hideMark/>
                </w:tcPr>
                <w:p w14:paraId="5924F26F"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4</w:t>
                  </w:r>
                </w:p>
              </w:tc>
              <w:tc>
                <w:tcPr>
                  <w:tcW w:w="1487" w:type="dxa"/>
                  <w:tcBorders>
                    <w:top w:val="nil"/>
                    <w:left w:val="nil"/>
                    <w:bottom w:val="single" w:sz="4" w:space="0" w:color="auto"/>
                    <w:right w:val="single" w:sz="4" w:space="0" w:color="auto"/>
                  </w:tcBorders>
                  <w:shd w:val="clear" w:color="auto" w:fill="auto"/>
                  <w:hideMark/>
                </w:tcPr>
                <w:p w14:paraId="7975773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nil"/>
                    <w:left w:val="nil"/>
                    <w:bottom w:val="single" w:sz="4" w:space="0" w:color="auto"/>
                    <w:right w:val="single" w:sz="4" w:space="0" w:color="auto"/>
                  </w:tcBorders>
                  <w:shd w:val="clear" w:color="auto" w:fill="auto"/>
                  <w:noWrap/>
                  <w:hideMark/>
                </w:tcPr>
                <w:p w14:paraId="2A6C8D7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992" w:type="dxa"/>
                  <w:tcBorders>
                    <w:top w:val="nil"/>
                    <w:left w:val="nil"/>
                    <w:bottom w:val="single" w:sz="4" w:space="0" w:color="auto"/>
                    <w:right w:val="single" w:sz="4" w:space="0" w:color="auto"/>
                  </w:tcBorders>
                  <w:shd w:val="clear" w:color="auto" w:fill="auto"/>
                  <w:noWrap/>
                  <w:hideMark/>
                </w:tcPr>
                <w:p w14:paraId="217B151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w:t>
                  </w:r>
                </w:p>
              </w:tc>
            </w:tr>
            <w:tr w:rsidR="00B834DC" w:rsidRPr="00B834DC" w14:paraId="6729210F"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35440E7"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Sweden</w:t>
                  </w:r>
                </w:p>
              </w:tc>
              <w:tc>
                <w:tcPr>
                  <w:tcW w:w="1193" w:type="dxa"/>
                  <w:tcBorders>
                    <w:top w:val="nil"/>
                    <w:left w:val="nil"/>
                    <w:bottom w:val="single" w:sz="4" w:space="0" w:color="auto"/>
                    <w:right w:val="single" w:sz="4" w:space="0" w:color="auto"/>
                  </w:tcBorders>
                  <w:shd w:val="clear" w:color="auto" w:fill="auto"/>
                  <w:hideMark/>
                </w:tcPr>
                <w:p w14:paraId="224A98F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1340" w:type="dxa"/>
                  <w:tcBorders>
                    <w:top w:val="nil"/>
                    <w:left w:val="nil"/>
                    <w:bottom w:val="single" w:sz="4" w:space="0" w:color="auto"/>
                    <w:right w:val="single" w:sz="4" w:space="0" w:color="auto"/>
                  </w:tcBorders>
                  <w:shd w:val="clear" w:color="auto" w:fill="auto"/>
                  <w:hideMark/>
                </w:tcPr>
                <w:p w14:paraId="22DAF44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nil"/>
                    <w:left w:val="nil"/>
                    <w:bottom w:val="single" w:sz="4" w:space="0" w:color="auto"/>
                    <w:right w:val="single" w:sz="4" w:space="0" w:color="auto"/>
                  </w:tcBorders>
                  <w:shd w:val="clear" w:color="auto" w:fill="auto"/>
                  <w:hideMark/>
                </w:tcPr>
                <w:p w14:paraId="44DB0D2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c>
                <w:tcPr>
                  <w:tcW w:w="2268" w:type="dxa"/>
                  <w:tcBorders>
                    <w:top w:val="nil"/>
                    <w:left w:val="nil"/>
                    <w:bottom w:val="single" w:sz="4" w:space="0" w:color="auto"/>
                    <w:right w:val="single" w:sz="4" w:space="0" w:color="auto"/>
                  </w:tcBorders>
                  <w:shd w:val="clear" w:color="auto" w:fill="auto"/>
                  <w:noWrap/>
                  <w:hideMark/>
                </w:tcPr>
                <w:p w14:paraId="22939F0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992" w:type="dxa"/>
                  <w:tcBorders>
                    <w:top w:val="nil"/>
                    <w:left w:val="nil"/>
                    <w:bottom w:val="single" w:sz="4" w:space="0" w:color="auto"/>
                    <w:right w:val="single" w:sz="4" w:space="0" w:color="auto"/>
                  </w:tcBorders>
                  <w:shd w:val="clear" w:color="auto" w:fill="auto"/>
                  <w:noWrap/>
                  <w:hideMark/>
                </w:tcPr>
                <w:p w14:paraId="14499D6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r>
            <w:tr w:rsidR="00B834DC" w:rsidRPr="00B834DC" w14:paraId="35A19E96"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FE61AB6"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Slovakia</w:t>
                  </w:r>
                </w:p>
              </w:tc>
              <w:tc>
                <w:tcPr>
                  <w:tcW w:w="1193" w:type="dxa"/>
                  <w:tcBorders>
                    <w:top w:val="nil"/>
                    <w:left w:val="nil"/>
                    <w:bottom w:val="single" w:sz="4" w:space="0" w:color="auto"/>
                    <w:right w:val="single" w:sz="4" w:space="0" w:color="auto"/>
                  </w:tcBorders>
                  <w:shd w:val="clear" w:color="auto" w:fill="auto"/>
                  <w:hideMark/>
                </w:tcPr>
                <w:p w14:paraId="299B7EE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4D61168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20A9F70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2268" w:type="dxa"/>
                  <w:tcBorders>
                    <w:top w:val="nil"/>
                    <w:left w:val="nil"/>
                    <w:bottom w:val="single" w:sz="4" w:space="0" w:color="auto"/>
                    <w:right w:val="single" w:sz="4" w:space="0" w:color="auto"/>
                  </w:tcBorders>
                  <w:shd w:val="clear" w:color="auto" w:fill="auto"/>
                  <w:noWrap/>
                  <w:hideMark/>
                </w:tcPr>
                <w:p w14:paraId="3375E9E2"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992" w:type="dxa"/>
                  <w:tcBorders>
                    <w:top w:val="nil"/>
                    <w:left w:val="nil"/>
                    <w:bottom w:val="single" w:sz="4" w:space="0" w:color="auto"/>
                    <w:right w:val="single" w:sz="4" w:space="0" w:color="auto"/>
                  </w:tcBorders>
                  <w:shd w:val="clear" w:color="auto" w:fill="auto"/>
                  <w:noWrap/>
                  <w:hideMark/>
                </w:tcPr>
                <w:p w14:paraId="4D9A5AF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2</w:t>
                  </w:r>
                </w:p>
              </w:tc>
            </w:tr>
            <w:tr w:rsidR="00B834DC" w:rsidRPr="00B834DC" w14:paraId="7FE4393F"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44DB1F1"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Slovenia</w:t>
                  </w:r>
                </w:p>
              </w:tc>
              <w:tc>
                <w:tcPr>
                  <w:tcW w:w="1193" w:type="dxa"/>
                  <w:tcBorders>
                    <w:top w:val="nil"/>
                    <w:left w:val="nil"/>
                    <w:bottom w:val="single" w:sz="4" w:space="0" w:color="auto"/>
                    <w:right w:val="single" w:sz="4" w:space="0" w:color="auto"/>
                  </w:tcBorders>
                  <w:shd w:val="clear" w:color="auto" w:fill="auto"/>
                  <w:hideMark/>
                </w:tcPr>
                <w:p w14:paraId="03B02F0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340" w:type="dxa"/>
                  <w:tcBorders>
                    <w:top w:val="nil"/>
                    <w:left w:val="nil"/>
                    <w:bottom w:val="single" w:sz="4" w:space="0" w:color="auto"/>
                    <w:right w:val="single" w:sz="4" w:space="0" w:color="auto"/>
                  </w:tcBorders>
                  <w:shd w:val="clear" w:color="auto" w:fill="auto"/>
                  <w:hideMark/>
                </w:tcPr>
                <w:p w14:paraId="190946D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5</w:t>
                  </w:r>
                </w:p>
              </w:tc>
              <w:tc>
                <w:tcPr>
                  <w:tcW w:w="1487" w:type="dxa"/>
                  <w:tcBorders>
                    <w:top w:val="nil"/>
                    <w:left w:val="nil"/>
                    <w:bottom w:val="single" w:sz="4" w:space="0" w:color="auto"/>
                    <w:right w:val="single" w:sz="4" w:space="0" w:color="auto"/>
                  </w:tcBorders>
                  <w:shd w:val="clear" w:color="auto" w:fill="auto"/>
                  <w:hideMark/>
                </w:tcPr>
                <w:p w14:paraId="13F0308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2268" w:type="dxa"/>
                  <w:tcBorders>
                    <w:top w:val="nil"/>
                    <w:left w:val="nil"/>
                    <w:bottom w:val="single" w:sz="4" w:space="0" w:color="auto"/>
                    <w:right w:val="single" w:sz="4" w:space="0" w:color="auto"/>
                  </w:tcBorders>
                  <w:shd w:val="clear" w:color="auto" w:fill="auto"/>
                  <w:noWrap/>
                  <w:hideMark/>
                </w:tcPr>
                <w:p w14:paraId="008367C5"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992" w:type="dxa"/>
                  <w:tcBorders>
                    <w:top w:val="nil"/>
                    <w:left w:val="nil"/>
                    <w:bottom w:val="single" w:sz="4" w:space="0" w:color="auto"/>
                    <w:right w:val="single" w:sz="4" w:space="0" w:color="auto"/>
                  </w:tcBorders>
                  <w:shd w:val="clear" w:color="auto" w:fill="auto"/>
                  <w:noWrap/>
                  <w:hideMark/>
                </w:tcPr>
                <w:p w14:paraId="4C309C2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11</w:t>
                  </w:r>
                </w:p>
              </w:tc>
            </w:tr>
            <w:tr w:rsidR="00B834DC" w:rsidRPr="00B834DC" w14:paraId="2031E87B"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1751574" w14:textId="681BC058" w:rsidR="00A66D86" w:rsidRPr="00B834DC" w:rsidRDefault="006103D7"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Türkiye</w:t>
                  </w:r>
                </w:p>
              </w:tc>
              <w:tc>
                <w:tcPr>
                  <w:tcW w:w="1193" w:type="dxa"/>
                  <w:tcBorders>
                    <w:top w:val="nil"/>
                    <w:left w:val="nil"/>
                    <w:bottom w:val="single" w:sz="4" w:space="0" w:color="auto"/>
                    <w:right w:val="single" w:sz="4" w:space="0" w:color="auto"/>
                  </w:tcBorders>
                  <w:shd w:val="clear" w:color="auto" w:fill="auto"/>
                  <w:hideMark/>
                </w:tcPr>
                <w:p w14:paraId="33C4EED0"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340" w:type="dxa"/>
                  <w:tcBorders>
                    <w:top w:val="nil"/>
                    <w:left w:val="nil"/>
                    <w:bottom w:val="single" w:sz="4" w:space="0" w:color="auto"/>
                    <w:right w:val="single" w:sz="4" w:space="0" w:color="auto"/>
                  </w:tcBorders>
                  <w:shd w:val="clear" w:color="auto" w:fill="auto"/>
                  <w:hideMark/>
                </w:tcPr>
                <w:p w14:paraId="250A7C27"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1487" w:type="dxa"/>
                  <w:tcBorders>
                    <w:top w:val="nil"/>
                    <w:left w:val="nil"/>
                    <w:bottom w:val="single" w:sz="4" w:space="0" w:color="auto"/>
                    <w:right w:val="single" w:sz="4" w:space="0" w:color="auto"/>
                  </w:tcBorders>
                  <w:shd w:val="clear" w:color="auto" w:fill="auto"/>
                  <w:hideMark/>
                </w:tcPr>
                <w:p w14:paraId="1E49AECD"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c>
                <w:tcPr>
                  <w:tcW w:w="2268" w:type="dxa"/>
                  <w:tcBorders>
                    <w:top w:val="nil"/>
                    <w:left w:val="nil"/>
                    <w:bottom w:val="single" w:sz="4" w:space="0" w:color="auto"/>
                    <w:right w:val="single" w:sz="4" w:space="0" w:color="auto"/>
                  </w:tcBorders>
                  <w:shd w:val="clear" w:color="auto" w:fill="auto"/>
                  <w:noWrap/>
                  <w:hideMark/>
                </w:tcPr>
                <w:p w14:paraId="0BC39EA8" w14:textId="4329982B"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6AAA3EA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4</w:t>
                  </w:r>
                </w:p>
              </w:tc>
            </w:tr>
            <w:tr w:rsidR="00B834DC" w:rsidRPr="00B834DC" w14:paraId="71B68B68" w14:textId="77777777" w:rsidTr="0018775F">
              <w:trPr>
                <w:trHeight w:val="249"/>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5B0746D" w14:textId="77777777" w:rsidR="00A66D86" w:rsidRPr="00B834DC" w:rsidRDefault="00A66D86" w:rsidP="006C29DE">
                  <w:pPr>
                    <w:spacing w:after="0" w:line="228" w:lineRule="auto"/>
                    <w:rPr>
                      <w:rFonts w:ascii="Times New Roman" w:eastAsia="Times New Roman" w:hAnsi="Times New Roman" w:cs="Times New Roman"/>
                      <w:bCs/>
                      <w:noProof/>
                      <w:sz w:val="24"/>
                      <w:szCs w:val="24"/>
                      <w:lang w:eastAsia="fr-BE"/>
                    </w:rPr>
                  </w:pPr>
                  <w:r w:rsidRPr="00B834DC">
                    <w:rPr>
                      <w:rFonts w:ascii="Times New Roman" w:eastAsia="Times New Roman" w:hAnsi="Times New Roman" w:cs="Times New Roman"/>
                      <w:bCs/>
                      <w:noProof/>
                      <w:sz w:val="24"/>
                      <w:szCs w:val="24"/>
                      <w:lang w:eastAsia="fr-BE"/>
                    </w:rPr>
                    <w:t>UK</w:t>
                  </w:r>
                </w:p>
              </w:tc>
              <w:tc>
                <w:tcPr>
                  <w:tcW w:w="1193" w:type="dxa"/>
                  <w:tcBorders>
                    <w:top w:val="nil"/>
                    <w:left w:val="nil"/>
                    <w:bottom w:val="single" w:sz="4" w:space="0" w:color="auto"/>
                    <w:right w:val="single" w:sz="4" w:space="0" w:color="auto"/>
                  </w:tcBorders>
                  <w:shd w:val="clear" w:color="auto" w:fill="auto"/>
                  <w:hideMark/>
                </w:tcPr>
                <w:p w14:paraId="4D6F46D9"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340" w:type="dxa"/>
                  <w:tcBorders>
                    <w:top w:val="nil"/>
                    <w:left w:val="nil"/>
                    <w:bottom w:val="single" w:sz="4" w:space="0" w:color="auto"/>
                    <w:right w:val="single" w:sz="4" w:space="0" w:color="auto"/>
                  </w:tcBorders>
                  <w:shd w:val="clear" w:color="auto" w:fill="auto"/>
                  <w:hideMark/>
                </w:tcPr>
                <w:p w14:paraId="40FDD716"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1487" w:type="dxa"/>
                  <w:tcBorders>
                    <w:top w:val="nil"/>
                    <w:left w:val="nil"/>
                    <w:bottom w:val="single" w:sz="4" w:space="0" w:color="auto"/>
                    <w:right w:val="single" w:sz="4" w:space="0" w:color="auto"/>
                  </w:tcBorders>
                  <w:shd w:val="clear" w:color="auto" w:fill="auto"/>
                  <w:hideMark/>
                </w:tcPr>
                <w:p w14:paraId="6531422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1</w:t>
                  </w:r>
                </w:p>
              </w:tc>
              <w:tc>
                <w:tcPr>
                  <w:tcW w:w="2268" w:type="dxa"/>
                  <w:tcBorders>
                    <w:top w:val="nil"/>
                    <w:left w:val="nil"/>
                    <w:bottom w:val="single" w:sz="4" w:space="0" w:color="auto"/>
                    <w:right w:val="single" w:sz="4" w:space="0" w:color="auto"/>
                  </w:tcBorders>
                  <w:shd w:val="clear" w:color="auto" w:fill="auto"/>
                  <w:noWrap/>
                  <w:hideMark/>
                </w:tcPr>
                <w:p w14:paraId="2DC4BAB9" w14:textId="2DBF88A2"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0</w:t>
                  </w:r>
                </w:p>
              </w:tc>
              <w:tc>
                <w:tcPr>
                  <w:tcW w:w="992" w:type="dxa"/>
                  <w:tcBorders>
                    <w:top w:val="nil"/>
                    <w:left w:val="nil"/>
                    <w:bottom w:val="single" w:sz="4" w:space="0" w:color="auto"/>
                    <w:right w:val="single" w:sz="4" w:space="0" w:color="auto"/>
                  </w:tcBorders>
                  <w:shd w:val="clear" w:color="auto" w:fill="auto"/>
                  <w:noWrap/>
                  <w:hideMark/>
                </w:tcPr>
                <w:p w14:paraId="6F3C2724"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w:t>
                  </w:r>
                </w:p>
              </w:tc>
            </w:tr>
            <w:tr w:rsidR="00B834DC" w:rsidRPr="00B834DC" w14:paraId="598ED12A" w14:textId="77777777" w:rsidTr="0018775F">
              <w:trPr>
                <w:trHeight w:val="249"/>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1463" w14:textId="23548E0D" w:rsidR="00A66D86" w:rsidRPr="00B834DC" w:rsidRDefault="00AC7825" w:rsidP="006C29DE">
                  <w:pPr>
                    <w:spacing w:after="0" w:line="228" w:lineRule="auto"/>
                    <w:rPr>
                      <w:rFonts w:ascii="Times New Roman" w:eastAsia="Times New Roman" w:hAnsi="Times New Roman" w:cs="Times New Roman"/>
                      <w:b/>
                      <w:noProof/>
                      <w:sz w:val="24"/>
                      <w:szCs w:val="24"/>
                      <w:lang w:eastAsia="fr-BE"/>
                    </w:rPr>
                  </w:pPr>
                  <w:r w:rsidRPr="00B834DC">
                    <w:rPr>
                      <w:rFonts w:ascii="Times New Roman" w:eastAsia="Times New Roman" w:hAnsi="Times New Roman" w:cs="Times New Roman"/>
                      <w:b/>
                      <w:noProof/>
                      <w:sz w:val="24"/>
                      <w:szCs w:val="24"/>
                      <w:lang w:eastAsia="fr-BE"/>
                    </w:rPr>
                    <w:t>Total</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DDA53"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A37C"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83DF"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C1DA"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9A43E" w14:textId="77777777" w:rsidR="00A66D86" w:rsidRPr="00B834DC" w:rsidRDefault="00A66D86" w:rsidP="006C29DE">
                  <w:pPr>
                    <w:spacing w:after="0" w:line="228" w:lineRule="auto"/>
                    <w:jc w:val="center"/>
                    <w:rPr>
                      <w:rFonts w:ascii="Times New Roman" w:eastAsia="Times New Roman" w:hAnsi="Times New Roman" w:cs="Times New Roman"/>
                      <w:noProof/>
                      <w:sz w:val="24"/>
                      <w:szCs w:val="24"/>
                      <w:lang w:eastAsia="fr-BE"/>
                    </w:rPr>
                  </w:pPr>
                  <w:r w:rsidRPr="00B834DC">
                    <w:rPr>
                      <w:rFonts w:ascii="Times New Roman" w:eastAsia="Times New Roman" w:hAnsi="Times New Roman" w:cs="Times New Roman"/>
                      <w:noProof/>
                      <w:sz w:val="24"/>
                      <w:szCs w:val="24"/>
                      <w:lang w:eastAsia="fr-BE"/>
                    </w:rPr>
                    <w:t>312</w:t>
                  </w:r>
                </w:p>
              </w:tc>
            </w:tr>
          </w:tbl>
          <w:p w14:paraId="0881EC16" w14:textId="3827ED9B" w:rsidR="007A7707" w:rsidRPr="00B834DC" w:rsidRDefault="007A7707" w:rsidP="00A66D86">
            <w:pPr>
              <w:spacing w:before="240" w:after="120" w:line="240" w:lineRule="auto"/>
              <w:rPr>
                <w:rFonts w:ascii="Times New Roman" w:eastAsia="Times New Roman" w:hAnsi="Times New Roman" w:cs="Times New Roman"/>
                <w:noProof/>
                <w:sz w:val="24"/>
                <w:szCs w:val="24"/>
                <w:lang w:eastAsia="fr-BE"/>
              </w:rPr>
            </w:pPr>
          </w:p>
        </w:tc>
        <w:tc>
          <w:tcPr>
            <w:tcW w:w="9257" w:type="dxa"/>
            <w:tcBorders>
              <w:top w:val="nil"/>
              <w:left w:val="nil"/>
              <w:bottom w:val="nil"/>
              <w:right w:val="nil"/>
            </w:tcBorders>
            <w:shd w:val="clear" w:color="auto" w:fill="auto"/>
            <w:noWrap/>
            <w:vAlign w:val="bottom"/>
            <w:hideMark/>
          </w:tcPr>
          <w:p w14:paraId="7B4AC0B6" w14:textId="77777777" w:rsidR="007A7707" w:rsidRPr="00B834DC" w:rsidRDefault="007A7707" w:rsidP="007A7707">
            <w:pPr>
              <w:spacing w:after="0" w:line="240" w:lineRule="auto"/>
              <w:rPr>
                <w:rFonts w:ascii="Times New Roman" w:eastAsia="Times New Roman" w:hAnsi="Times New Roman" w:cs="Times New Roman"/>
                <w:noProof/>
                <w:sz w:val="24"/>
                <w:szCs w:val="24"/>
                <w:lang w:eastAsia="fr-BE"/>
              </w:rPr>
            </w:pPr>
          </w:p>
        </w:tc>
      </w:tr>
    </w:tbl>
    <w:p w14:paraId="5174479F" w14:textId="6AF46F0B" w:rsidR="0086527C" w:rsidRPr="005E76F6" w:rsidRDefault="00AC7825" w:rsidP="002F7D6C">
      <w:pPr>
        <w:spacing w:before="240"/>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 xml:space="preserve">For the first </w:t>
      </w:r>
      <w:r w:rsidR="0086527C" w:rsidRPr="005E76F6">
        <w:rPr>
          <w:rFonts w:ascii="Times New Roman" w:eastAsia="Times New Roman" w:hAnsi="Times New Roman" w:cs="Times New Roman"/>
          <w:bCs/>
          <w:iCs/>
          <w:noProof/>
          <w:color w:val="000000" w:themeColor="text1"/>
          <w:sz w:val="24"/>
          <w:szCs w:val="24"/>
          <w:lang w:eastAsia="fr-FR"/>
        </w:rPr>
        <w:t>three calls</w:t>
      </w:r>
      <w:r w:rsidRPr="005E76F6">
        <w:rPr>
          <w:rFonts w:ascii="Times New Roman" w:eastAsia="Times New Roman" w:hAnsi="Times New Roman" w:cs="Times New Roman"/>
          <w:bCs/>
          <w:iCs/>
          <w:noProof/>
          <w:color w:val="000000" w:themeColor="text1"/>
          <w:sz w:val="24"/>
          <w:szCs w:val="24"/>
          <w:lang w:eastAsia="fr-FR"/>
        </w:rPr>
        <w:t xml:space="preserve"> </w:t>
      </w:r>
      <w:r w:rsidR="0086527C" w:rsidRPr="005E76F6">
        <w:rPr>
          <w:rFonts w:ascii="Times New Roman" w:eastAsia="Times New Roman" w:hAnsi="Times New Roman" w:cs="Times New Roman"/>
          <w:bCs/>
          <w:iCs/>
          <w:noProof/>
          <w:color w:val="000000" w:themeColor="text1"/>
          <w:sz w:val="24"/>
          <w:szCs w:val="24"/>
          <w:lang w:eastAsia="fr-FR"/>
        </w:rPr>
        <w:t xml:space="preserve">in this table </w:t>
      </w:r>
      <w:r w:rsidRPr="005E76F6">
        <w:rPr>
          <w:rFonts w:ascii="Times New Roman" w:eastAsia="Times New Roman" w:hAnsi="Times New Roman" w:cs="Times New Roman"/>
          <w:bCs/>
          <w:iCs/>
          <w:noProof/>
          <w:color w:val="000000" w:themeColor="text1"/>
          <w:sz w:val="24"/>
          <w:szCs w:val="24"/>
          <w:lang w:eastAsia="fr-FR"/>
        </w:rPr>
        <w:t>(Clusters Excellence, TOURINN*</w:t>
      </w:r>
      <w:r w:rsidR="0086527C" w:rsidRPr="005E76F6">
        <w:rPr>
          <w:rFonts w:ascii="Times New Roman" w:eastAsia="Times New Roman" w:hAnsi="Times New Roman" w:cs="Times New Roman"/>
          <w:bCs/>
          <w:iCs/>
          <w:noProof/>
          <w:color w:val="000000" w:themeColor="text1"/>
          <w:sz w:val="24"/>
          <w:szCs w:val="24"/>
          <w:lang w:eastAsia="fr-FR"/>
        </w:rPr>
        <w:t xml:space="preserve"> - B</w:t>
      </w:r>
      <w:r w:rsidR="0086527C" w:rsidRPr="005E76F6">
        <w:rPr>
          <w:rFonts w:ascii="Times New Roman" w:eastAsia="Times New Roman" w:hAnsi="Times New Roman" w:cs="Times New Roman"/>
          <w:bCs/>
          <w:noProof/>
          <w:color w:val="000000" w:themeColor="text1"/>
          <w:sz w:val="24"/>
          <w:szCs w:val="24"/>
          <w:lang w:eastAsia="fr-FR"/>
        </w:rPr>
        <w:t>oosting the uptake of digitalisation, innovation and new technologies in tourism through transnational cooperation and capacity building</w:t>
      </w:r>
      <w:r w:rsidRPr="005E76F6">
        <w:rPr>
          <w:rFonts w:ascii="Times New Roman" w:eastAsia="Times New Roman" w:hAnsi="Times New Roman" w:cs="Times New Roman"/>
          <w:bCs/>
          <w:iCs/>
          <w:noProof/>
          <w:color w:val="000000" w:themeColor="text1"/>
          <w:sz w:val="24"/>
          <w:szCs w:val="24"/>
          <w:lang w:eastAsia="fr-FR"/>
        </w:rPr>
        <w:t>, and the European Social Economy Missions)</w:t>
      </w:r>
      <w:r w:rsidR="0086527C" w:rsidRPr="005E76F6">
        <w:rPr>
          <w:rFonts w:ascii="Times New Roman" w:eastAsia="Times New Roman" w:hAnsi="Times New Roman" w:cs="Times New Roman"/>
          <w:bCs/>
          <w:iCs/>
          <w:noProof/>
          <w:color w:val="000000" w:themeColor="text1"/>
          <w:sz w:val="24"/>
          <w:szCs w:val="24"/>
          <w:lang w:eastAsia="fr-FR"/>
        </w:rPr>
        <w:t xml:space="preserve"> </w:t>
      </w:r>
      <w:r w:rsidRPr="005E76F6">
        <w:rPr>
          <w:rFonts w:ascii="Times New Roman" w:eastAsia="Times New Roman" w:hAnsi="Times New Roman" w:cs="Times New Roman"/>
          <w:bCs/>
          <w:iCs/>
          <w:noProof/>
          <w:color w:val="000000" w:themeColor="text1"/>
          <w:sz w:val="24"/>
          <w:szCs w:val="24"/>
          <w:lang w:eastAsia="fr-FR"/>
        </w:rPr>
        <w:t>there are beneficiaries from almost all EU Member States, and some participation from Iceland and associated countries</w:t>
      </w:r>
      <w:r w:rsidR="0086527C" w:rsidRPr="005E76F6">
        <w:rPr>
          <w:rFonts w:ascii="Times New Roman" w:eastAsia="Times New Roman" w:hAnsi="Times New Roman" w:cs="Times New Roman"/>
          <w:bCs/>
          <w:iCs/>
          <w:noProof/>
          <w:color w:val="000000" w:themeColor="text1"/>
          <w:sz w:val="24"/>
          <w:szCs w:val="24"/>
          <w:lang w:eastAsia="fr-FR"/>
        </w:rPr>
        <w:t xml:space="preserve">. The </w:t>
      </w:r>
      <w:r w:rsidR="003E707C" w:rsidRPr="005E76F6">
        <w:rPr>
          <w:rFonts w:ascii="Times New Roman" w:eastAsia="Times New Roman" w:hAnsi="Times New Roman" w:cs="Times New Roman"/>
          <w:bCs/>
          <w:iCs/>
          <w:noProof/>
          <w:color w:val="000000" w:themeColor="text1"/>
          <w:sz w:val="24"/>
          <w:szCs w:val="24"/>
          <w:lang w:eastAsia="fr-FR"/>
        </w:rPr>
        <w:t>clusters internationalisation projects cover the majority of EU Member States:</w:t>
      </w:r>
    </w:p>
    <w:p w14:paraId="6EB1AED6" w14:textId="04A6CFBD" w:rsidR="00AC7825" w:rsidRPr="005E76F6" w:rsidRDefault="00AC7825" w:rsidP="003E707C">
      <w:pPr>
        <w:pStyle w:val="ListParagraph"/>
        <w:numPr>
          <w:ilvl w:val="0"/>
          <w:numId w:val="8"/>
        </w:numPr>
        <w:spacing w:before="120" w:after="60" w:line="240" w:lineRule="auto"/>
        <w:contextualSpacing w:val="0"/>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Clusters Excellence</w:t>
      </w:r>
      <w:r w:rsidR="0086527C" w:rsidRPr="005E76F6">
        <w:rPr>
          <w:rFonts w:ascii="Times New Roman" w:eastAsia="Times New Roman" w:hAnsi="Times New Roman" w:cs="Times New Roman"/>
          <w:bCs/>
          <w:iCs/>
          <w:noProof/>
          <w:color w:val="000000" w:themeColor="text1"/>
          <w:sz w:val="24"/>
          <w:szCs w:val="24"/>
          <w:lang w:eastAsia="fr-FR"/>
        </w:rPr>
        <w:t>:</w:t>
      </w:r>
      <w:r w:rsidRPr="005E76F6">
        <w:rPr>
          <w:rFonts w:ascii="Times New Roman" w:eastAsia="Times New Roman" w:hAnsi="Times New Roman" w:cs="Times New Roman"/>
          <w:bCs/>
          <w:iCs/>
          <w:noProof/>
          <w:color w:val="000000" w:themeColor="text1"/>
          <w:sz w:val="24"/>
          <w:szCs w:val="24"/>
          <w:lang w:eastAsia="fr-FR"/>
        </w:rPr>
        <w:t xml:space="preserve"> </w:t>
      </w:r>
      <w:r w:rsidR="0086527C" w:rsidRPr="005E76F6">
        <w:rPr>
          <w:rFonts w:ascii="Times New Roman" w:eastAsia="Times New Roman" w:hAnsi="Times New Roman" w:cs="Times New Roman"/>
          <w:bCs/>
          <w:iCs/>
          <w:noProof/>
          <w:color w:val="000000" w:themeColor="text1"/>
          <w:sz w:val="24"/>
          <w:szCs w:val="24"/>
          <w:lang w:eastAsia="fr-FR"/>
        </w:rPr>
        <w:t xml:space="preserve">76 </w:t>
      </w:r>
      <w:r w:rsidRPr="005E76F6">
        <w:rPr>
          <w:rFonts w:ascii="Times New Roman" w:eastAsia="Times New Roman" w:hAnsi="Times New Roman" w:cs="Times New Roman"/>
          <w:bCs/>
          <w:iCs/>
          <w:noProof/>
          <w:color w:val="000000" w:themeColor="text1"/>
          <w:sz w:val="24"/>
          <w:szCs w:val="24"/>
          <w:lang w:eastAsia="fr-FR"/>
        </w:rPr>
        <w:t>partner organisations from 22 EU Member States and other countries participating in the programme</w:t>
      </w:r>
      <w:r w:rsidR="00F03DAE" w:rsidRPr="005E76F6">
        <w:rPr>
          <w:rFonts w:ascii="Times New Roman" w:eastAsia="Times New Roman" w:hAnsi="Times New Roman" w:cs="Times New Roman"/>
          <w:bCs/>
          <w:iCs/>
          <w:noProof/>
          <w:color w:val="000000" w:themeColor="text1"/>
          <w:sz w:val="24"/>
          <w:szCs w:val="24"/>
          <w:lang w:eastAsia="fr-FR"/>
        </w:rPr>
        <w:t>;</w:t>
      </w:r>
    </w:p>
    <w:p w14:paraId="00D9348A" w14:textId="6BED9A00" w:rsidR="0086527C" w:rsidRPr="005E76F6" w:rsidRDefault="003E707C" w:rsidP="003E707C">
      <w:pPr>
        <w:pStyle w:val="ListParagraph"/>
        <w:numPr>
          <w:ilvl w:val="0"/>
          <w:numId w:val="8"/>
        </w:numPr>
        <w:jc w:val="both"/>
        <w:rPr>
          <w:rFonts w:ascii="Times New Roman" w:eastAsia="Times New Roman" w:hAnsi="Times New Roman" w:cs="Times New Roman"/>
          <w:b/>
          <w:b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B</w:t>
      </w:r>
      <w:r w:rsidRPr="005E76F6">
        <w:rPr>
          <w:rFonts w:ascii="Times New Roman" w:eastAsia="Times New Roman" w:hAnsi="Times New Roman" w:cs="Times New Roman"/>
          <w:bCs/>
          <w:noProof/>
          <w:color w:val="000000" w:themeColor="text1"/>
          <w:sz w:val="24"/>
          <w:szCs w:val="24"/>
          <w:lang w:eastAsia="fr-FR"/>
        </w:rPr>
        <w:t xml:space="preserve">oosting the uptake of digitalisation, innovation and new technologies in the </w:t>
      </w:r>
      <w:r w:rsidR="00F03DAE" w:rsidRPr="005E76F6">
        <w:rPr>
          <w:rFonts w:ascii="Times New Roman" w:eastAsia="Times New Roman" w:hAnsi="Times New Roman" w:cs="Times New Roman"/>
          <w:bCs/>
          <w:iCs/>
          <w:noProof/>
          <w:color w:val="000000" w:themeColor="text1"/>
          <w:sz w:val="24"/>
          <w:szCs w:val="24"/>
          <w:lang w:eastAsia="fr-FR"/>
        </w:rPr>
        <w:t>t</w:t>
      </w:r>
      <w:r w:rsidR="0086527C" w:rsidRPr="005E76F6">
        <w:rPr>
          <w:rFonts w:ascii="Times New Roman" w:eastAsia="Times New Roman" w:hAnsi="Times New Roman" w:cs="Times New Roman"/>
          <w:bCs/>
          <w:iCs/>
          <w:noProof/>
          <w:color w:val="000000" w:themeColor="text1"/>
          <w:sz w:val="24"/>
          <w:szCs w:val="24"/>
          <w:lang w:eastAsia="fr-FR"/>
        </w:rPr>
        <w:t>ourism sector (TOURINN</w:t>
      </w:r>
      <w:r w:rsidR="0086527C" w:rsidRPr="005E76F6">
        <w:rPr>
          <w:rFonts w:ascii="Times New Roman" w:eastAsia="Times New Roman" w:hAnsi="Times New Roman" w:cs="Times New Roman"/>
          <w:bCs/>
          <w:noProof/>
          <w:color w:val="000000" w:themeColor="text1"/>
          <w:sz w:val="24"/>
          <w:szCs w:val="24"/>
          <w:lang w:eastAsia="fr-FR"/>
        </w:rPr>
        <w:t>): 73 partner organisations in 25 countries</w:t>
      </w:r>
      <w:r w:rsidR="00F03DAE" w:rsidRPr="005E76F6">
        <w:rPr>
          <w:rFonts w:ascii="Times New Roman" w:eastAsia="Times New Roman" w:hAnsi="Times New Roman" w:cs="Times New Roman"/>
          <w:noProof/>
          <w:color w:val="000000" w:themeColor="text1"/>
          <w:sz w:val="24"/>
          <w:szCs w:val="24"/>
          <w:lang w:eastAsia="fr-FR"/>
        </w:rPr>
        <w:t>;</w:t>
      </w:r>
    </w:p>
    <w:p w14:paraId="318D47CC" w14:textId="1B278654" w:rsidR="00AC7825" w:rsidRPr="005E76F6" w:rsidRDefault="003E707C" w:rsidP="003E707C">
      <w:pPr>
        <w:pStyle w:val="ListParagraph"/>
        <w:numPr>
          <w:ilvl w:val="0"/>
          <w:numId w:val="8"/>
        </w:numPr>
        <w:spacing w:before="120" w:after="60" w:line="240" w:lineRule="auto"/>
        <w:contextualSpacing w:val="0"/>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 xml:space="preserve">European </w:t>
      </w:r>
      <w:r w:rsidR="00AC7825" w:rsidRPr="005E76F6">
        <w:rPr>
          <w:rFonts w:ascii="Times New Roman" w:eastAsia="Times New Roman" w:hAnsi="Times New Roman" w:cs="Times New Roman"/>
          <w:bCs/>
          <w:iCs/>
          <w:noProof/>
          <w:color w:val="000000" w:themeColor="text1"/>
          <w:sz w:val="24"/>
          <w:szCs w:val="24"/>
          <w:lang w:eastAsia="fr-FR"/>
        </w:rPr>
        <w:t>Social Economy Missions</w:t>
      </w:r>
      <w:r w:rsidR="0086527C" w:rsidRPr="005E76F6">
        <w:rPr>
          <w:rFonts w:ascii="Times New Roman" w:eastAsia="Times New Roman" w:hAnsi="Times New Roman" w:cs="Times New Roman"/>
          <w:bCs/>
          <w:iCs/>
          <w:noProof/>
          <w:color w:val="000000" w:themeColor="text1"/>
          <w:sz w:val="24"/>
          <w:szCs w:val="24"/>
          <w:lang w:eastAsia="fr-FR"/>
        </w:rPr>
        <w:t xml:space="preserve">: </w:t>
      </w:r>
      <w:r w:rsidR="00AC7825" w:rsidRPr="005E76F6">
        <w:rPr>
          <w:rFonts w:ascii="Times New Roman" w:eastAsia="Times New Roman" w:hAnsi="Times New Roman" w:cs="Times New Roman"/>
          <w:bCs/>
          <w:iCs/>
          <w:noProof/>
          <w:color w:val="000000" w:themeColor="text1"/>
          <w:sz w:val="24"/>
          <w:szCs w:val="24"/>
          <w:lang w:eastAsia="fr-FR"/>
        </w:rPr>
        <w:t>88 beneficiary organisations from 27 EU Member States</w:t>
      </w:r>
      <w:r w:rsidR="00F03DAE" w:rsidRPr="005E76F6">
        <w:rPr>
          <w:rFonts w:ascii="Times New Roman" w:eastAsia="Times New Roman" w:hAnsi="Times New Roman" w:cs="Times New Roman"/>
          <w:bCs/>
          <w:iCs/>
          <w:noProof/>
          <w:color w:val="000000" w:themeColor="text1"/>
          <w:sz w:val="24"/>
          <w:szCs w:val="24"/>
          <w:lang w:eastAsia="fr-FR"/>
        </w:rPr>
        <w:t>;</w:t>
      </w:r>
    </w:p>
    <w:p w14:paraId="140820EC" w14:textId="52E786E2" w:rsidR="00AC7825" w:rsidRPr="005E76F6" w:rsidRDefault="00AC7825" w:rsidP="003E707C">
      <w:pPr>
        <w:pStyle w:val="ListParagraph"/>
        <w:numPr>
          <w:ilvl w:val="0"/>
          <w:numId w:val="8"/>
        </w:numPr>
        <w:spacing w:before="120" w:after="60" w:line="240" w:lineRule="auto"/>
        <w:contextualSpacing w:val="0"/>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 xml:space="preserve">Clusters </w:t>
      </w:r>
      <w:r w:rsidR="00B31971" w:rsidRPr="005E76F6">
        <w:rPr>
          <w:rFonts w:ascii="Times New Roman" w:eastAsia="Times New Roman" w:hAnsi="Times New Roman" w:cs="Times New Roman"/>
          <w:bCs/>
          <w:iCs/>
          <w:noProof/>
          <w:color w:val="000000" w:themeColor="text1"/>
          <w:sz w:val="24"/>
          <w:szCs w:val="24"/>
          <w:lang w:eastAsia="fr-FR"/>
        </w:rPr>
        <w:t>i</w:t>
      </w:r>
      <w:r w:rsidRPr="005E76F6">
        <w:rPr>
          <w:rFonts w:ascii="Times New Roman" w:eastAsia="Times New Roman" w:hAnsi="Times New Roman" w:cs="Times New Roman"/>
          <w:bCs/>
          <w:iCs/>
          <w:noProof/>
          <w:color w:val="000000" w:themeColor="text1"/>
          <w:sz w:val="24"/>
          <w:szCs w:val="24"/>
          <w:lang w:eastAsia="fr-FR"/>
        </w:rPr>
        <w:t>nternationalisation</w:t>
      </w:r>
      <w:r w:rsidR="00871F27" w:rsidRPr="005E76F6">
        <w:rPr>
          <w:rFonts w:ascii="Times New Roman" w:eastAsia="Times New Roman" w:hAnsi="Times New Roman" w:cs="Times New Roman"/>
          <w:bCs/>
          <w:iCs/>
          <w:noProof/>
          <w:color w:val="000000" w:themeColor="text1"/>
          <w:sz w:val="24"/>
          <w:szCs w:val="24"/>
          <w:lang w:eastAsia="fr-FR"/>
        </w:rPr>
        <w:t xml:space="preserve"> (</w:t>
      </w:r>
      <w:r w:rsidRPr="005E76F6">
        <w:rPr>
          <w:rFonts w:ascii="Times New Roman" w:eastAsia="Times New Roman" w:hAnsi="Times New Roman" w:cs="Times New Roman"/>
          <w:bCs/>
          <w:iCs/>
          <w:noProof/>
          <w:color w:val="000000" w:themeColor="text1"/>
          <w:sz w:val="24"/>
          <w:szCs w:val="24"/>
          <w:lang w:eastAsia="fr-FR"/>
        </w:rPr>
        <w:t xml:space="preserve">also including the Clusters </w:t>
      </w:r>
      <w:r w:rsidR="00A240CB" w:rsidRPr="005E76F6">
        <w:rPr>
          <w:rFonts w:ascii="Times New Roman" w:eastAsia="Times New Roman" w:hAnsi="Times New Roman" w:cs="Times New Roman"/>
          <w:bCs/>
          <w:iCs/>
          <w:noProof/>
          <w:color w:val="000000" w:themeColor="text1"/>
          <w:sz w:val="24"/>
          <w:szCs w:val="24"/>
          <w:lang w:eastAsia="fr-FR"/>
        </w:rPr>
        <w:t>i</w:t>
      </w:r>
      <w:r w:rsidRPr="005E76F6">
        <w:rPr>
          <w:rFonts w:ascii="Times New Roman" w:eastAsia="Times New Roman" w:hAnsi="Times New Roman" w:cs="Times New Roman"/>
          <w:bCs/>
          <w:iCs/>
          <w:noProof/>
          <w:color w:val="000000" w:themeColor="text1"/>
          <w:sz w:val="24"/>
          <w:szCs w:val="24"/>
          <w:lang w:eastAsia="fr-FR"/>
        </w:rPr>
        <w:t>nternationalisation action for SMEs in the defence sector)</w:t>
      </w:r>
      <w:r w:rsidR="0086527C" w:rsidRPr="005E76F6">
        <w:rPr>
          <w:rFonts w:ascii="Times New Roman" w:eastAsia="Times New Roman" w:hAnsi="Times New Roman" w:cs="Times New Roman"/>
          <w:bCs/>
          <w:iCs/>
          <w:noProof/>
          <w:color w:val="000000" w:themeColor="text1"/>
          <w:sz w:val="24"/>
          <w:szCs w:val="24"/>
          <w:lang w:eastAsia="fr-FR"/>
        </w:rPr>
        <w:t>:</w:t>
      </w:r>
      <w:r w:rsidRPr="005E76F6">
        <w:rPr>
          <w:rFonts w:ascii="Times New Roman" w:eastAsia="Times New Roman" w:hAnsi="Times New Roman" w:cs="Times New Roman"/>
          <w:bCs/>
          <w:iCs/>
          <w:noProof/>
          <w:color w:val="000000" w:themeColor="text1"/>
          <w:sz w:val="24"/>
          <w:szCs w:val="24"/>
          <w:lang w:eastAsia="fr-FR"/>
        </w:rPr>
        <w:t xml:space="preserve"> 75 beneficiaries in 18 Member States</w:t>
      </w:r>
      <w:r w:rsidR="00F03DAE" w:rsidRPr="005E76F6">
        <w:rPr>
          <w:rFonts w:ascii="Times New Roman" w:eastAsia="Times New Roman" w:hAnsi="Times New Roman" w:cs="Times New Roman"/>
          <w:bCs/>
          <w:iCs/>
          <w:noProof/>
          <w:color w:val="000000" w:themeColor="text1"/>
          <w:sz w:val="24"/>
          <w:szCs w:val="24"/>
          <w:lang w:eastAsia="fr-FR"/>
        </w:rPr>
        <w:t>.</w:t>
      </w:r>
    </w:p>
    <w:p w14:paraId="1A923720" w14:textId="5EDC6DF5" w:rsidR="0086527C" w:rsidRPr="005E76F6" w:rsidRDefault="0086527C" w:rsidP="006D2403">
      <w:pPr>
        <w:spacing w:before="120" w:after="60" w:line="240" w:lineRule="auto"/>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 xml:space="preserve">For all four of these </w:t>
      </w:r>
      <w:r w:rsidR="003E707C" w:rsidRPr="005E76F6">
        <w:rPr>
          <w:rFonts w:ascii="Times New Roman" w:eastAsia="Times New Roman" w:hAnsi="Times New Roman" w:cs="Times New Roman"/>
          <w:bCs/>
          <w:iCs/>
          <w:noProof/>
          <w:color w:val="000000" w:themeColor="text1"/>
          <w:sz w:val="24"/>
          <w:szCs w:val="24"/>
          <w:lang w:eastAsia="fr-FR"/>
        </w:rPr>
        <w:t>schemes</w:t>
      </w:r>
      <w:r w:rsidRPr="005E76F6">
        <w:rPr>
          <w:rFonts w:ascii="Times New Roman" w:eastAsia="Times New Roman" w:hAnsi="Times New Roman" w:cs="Times New Roman"/>
          <w:bCs/>
          <w:iCs/>
          <w:noProof/>
          <w:color w:val="000000" w:themeColor="text1"/>
          <w:sz w:val="24"/>
          <w:szCs w:val="24"/>
          <w:lang w:eastAsia="fr-FR"/>
        </w:rPr>
        <w:t xml:space="preserve"> there were notably higher levels of participation from Spain, Italy and to a lesser extent France and Germany. </w:t>
      </w:r>
      <w:r w:rsidR="00F03DAE" w:rsidRPr="005E76F6">
        <w:rPr>
          <w:rFonts w:ascii="Times New Roman" w:eastAsia="Times New Roman" w:hAnsi="Times New Roman" w:cs="Times New Roman"/>
          <w:bCs/>
          <w:iCs/>
          <w:noProof/>
          <w:color w:val="000000" w:themeColor="text1"/>
          <w:sz w:val="24"/>
          <w:szCs w:val="24"/>
          <w:lang w:eastAsia="fr-FR"/>
        </w:rPr>
        <w:t>However, t</w:t>
      </w:r>
      <w:r w:rsidRPr="005E76F6">
        <w:rPr>
          <w:rFonts w:ascii="Times New Roman" w:eastAsia="Times New Roman" w:hAnsi="Times New Roman" w:cs="Times New Roman"/>
          <w:bCs/>
          <w:iCs/>
          <w:noProof/>
          <w:color w:val="000000" w:themeColor="text1"/>
          <w:sz w:val="24"/>
          <w:szCs w:val="24"/>
          <w:lang w:eastAsia="fr-FR"/>
        </w:rPr>
        <w:t xml:space="preserve">his may not necessarily be the trend for all </w:t>
      </w:r>
      <w:r w:rsidR="003E707C" w:rsidRPr="005E76F6">
        <w:rPr>
          <w:rFonts w:ascii="Times New Roman" w:eastAsia="Times New Roman" w:hAnsi="Times New Roman" w:cs="Times New Roman"/>
          <w:bCs/>
          <w:iCs/>
          <w:noProof/>
          <w:color w:val="000000" w:themeColor="text1"/>
          <w:sz w:val="24"/>
          <w:szCs w:val="24"/>
          <w:lang w:eastAsia="fr-FR"/>
        </w:rPr>
        <w:t xml:space="preserve">COSME measures </w:t>
      </w:r>
      <w:r w:rsidRPr="005E76F6">
        <w:rPr>
          <w:rFonts w:ascii="Times New Roman" w:eastAsia="Times New Roman" w:hAnsi="Times New Roman" w:cs="Times New Roman"/>
          <w:bCs/>
          <w:iCs/>
          <w:noProof/>
          <w:color w:val="000000" w:themeColor="text1"/>
          <w:sz w:val="24"/>
          <w:szCs w:val="24"/>
          <w:lang w:eastAsia="fr-FR"/>
        </w:rPr>
        <w:t xml:space="preserve">and/or for all years of the programme. It would be useful to explore this further in the </w:t>
      </w:r>
      <w:r w:rsidR="00F03DAE" w:rsidRPr="005E76F6">
        <w:rPr>
          <w:rFonts w:ascii="Times New Roman" w:eastAsia="Times New Roman" w:hAnsi="Times New Roman" w:cs="Times New Roman"/>
          <w:bCs/>
          <w:iCs/>
          <w:noProof/>
          <w:color w:val="000000" w:themeColor="text1"/>
          <w:sz w:val="24"/>
          <w:szCs w:val="24"/>
          <w:lang w:eastAsia="fr-FR"/>
        </w:rPr>
        <w:t>programme</w:t>
      </w:r>
      <w:r w:rsidR="00A902FC" w:rsidRPr="005E76F6">
        <w:rPr>
          <w:rFonts w:ascii="Times New Roman" w:eastAsia="Times New Roman" w:hAnsi="Times New Roman" w:cs="Times New Roman"/>
          <w:bCs/>
          <w:iCs/>
          <w:noProof/>
          <w:color w:val="000000" w:themeColor="text1"/>
          <w:sz w:val="24"/>
          <w:szCs w:val="24"/>
          <w:lang w:eastAsia="fr-FR"/>
        </w:rPr>
        <w:t>’</w:t>
      </w:r>
      <w:r w:rsidR="00F03DAE" w:rsidRPr="005E76F6">
        <w:rPr>
          <w:rFonts w:ascii="Times New Roman" w:eastAsia="Times New Roman" w:hAnsi="Times New Roman" w:cs="Times New Roman"/>
          <w:bCs/>
          <w:iCs/>
          <w:noProof/>
          <w:color w:val="000000" w:themeColor="text1"/>
          <w:sz w:val="24"/>
          <w:szCs w:val="24"/>
          <w:lang w:eastAsia="fr-FR"/>
        </w:rPr>
        <w:t xml:space="preserve">s </w:t>
      </w:r>
      <w:r w:rsidRPr="005E76F6">
        <w:rPr>
          <w:rFonts w:ascii="Times New Roman" w:eastAsia="Times New Roman" w:hAnsi="Times New Roman" w:cs="Times New Roman"/>
          <w:bCs/>
          <w:iCs/>
          <w:noProof/>
          <w:color w:val="000000" w:themeColor="text1"/>
          <w:sz w:val="24"/>
          <w:szCs w:val="24"/>
          <w:lang w:eastAsia="fr-FR"/>
        </w:rPr>
        <w:t>ongoing final evaluation.</w:t>
      </w:r>
    </w:p>
    <w:p w14:paraId="4C9B393D" w14:textId="77777777" w:rsidR="00AC7825" w:rsidRPr="00B834DC" w:rsidRDefault="00AC7825" w:rsidP="005E73A4">
      <w:pPr>
        <w:rPr>
          <w:rFonts w:ascii="Times New Roman" w:hAnsi="Times New Roman" w:cs="Times New Roman"/>
          <w:noProof/>
          <w:color w:val="000000" w:themeColor="text1"/>
          <w:sz w:val="24"/>
          <w:szCs w:val="24"/>
          <w:highlight w:val="yellow"/>
        </w:rPr>
      </w:pPr>
    </w:p>
    <w:p w14:paraId="260D5232" w14:textId="6EFBF839" w:rsidR="00276E89" w:rsidRPr="005E76F6" w:rsidRDefault="000C2B54" w:rsidP="00844C3A">
      <w:pPr>
        <w:pStyle w:val="Heading1"/>
        <w:numPr>
          <w:ilvl w:val="0"/>
          <w:numId w:val="0"/>
        </w:numPr>
        <w:spacing w:after="240"/>
        <w:ind w:left="357" w:hanging="357"/>
        <w:rPr>
          <w:b/>
          <w:noProof/>
          <w:color w:val="000000" w:themeColor="text1"/>
        </w:rPr>
      </w:pPr>
      <w:r w:rsidRPr="005E76F6">
        <w:rPr>
          <w:b/>
          <w:noProof/>
          <w:color w:val="000000" w:themeColor="text1"/>
        </w:rPr>
        <w:br w:type="column"/>
      </w:r>
      <w:bookmarkStart w:id="41" w:name="_Toc146623404"/>
      <w:r w:rsidR="002A4F30" w:rsidRPr="005E76F6">
        <w:rPr>
          <w:noProof/>
        </w:rPr>
        <w:t xml:space="preserve">Annex </w:t>
      </w:r>
      <w:r w:rsidR="008B4A12" w:rsidRPr="005E76F6">
        <w:rPr>
          <w:noProof/>
        </w:rPr>
        <w:t>3</w:t>
      </w:r>
      <w:r w:rsidR="002A4F30" w:rsidRPr="005E76F6">
        <w:rPr>
          <w:noProof/>
        </w:rPr>
        <w:t xml:space="preserve"> </w:t>
      </w:r>
      <w:r w:rsidR="00A902FC" w:rsidRPr="005E76F6">
        <w:rPr>
          <w:noProof/>
        </w:rPr>
        <w:t>–</w:t>
      </w:r>
      <w:r w:rsidR="002A4F30" w:rsidRPr="005E76F6">
        <w:rPr>
          <w:noProof/>
        </w:rPr>
        <w:t xml:space="preserve"> Examples of projects</w:t>
      </w:r>
      <w:r w:rsidR="00394486" w:rsidRPr="005E76F6">
        <w:rPr>
          <w:noProof/>
        </w:rPr>
        <w:t xml:space="preserve"> and success stories</w:t>
      </w:r>
      <w:bookmarkEnd w:id="41"/>
    </w:p>
    <w:p w14:paraId="7CAFC669" w14:textId="6CDEC9B7" w:rsidR="00C364D1" w:rsidRPr="005E76F6" w:rsidRDefault="002A4F30" w:rsidP="000C2B54">
      <w:pPr>
        <w:spacing w:after="200" w:line="240" w:lineRule="auto"/>
        <w:jc w:val="both"/>
        <w:rPr>
          <w:rFonts w:ascii="Times New Roman" w:eastAsia="Times New Roman" w:hAnsi="Times New Roman" w:cs="Times New Roman"/>
          <w:b/>
          <w:bCs/>
          <w:i/>
          <w:noProof/>
          <w:color w:val="000000" w:themeColor="text1"/>
          <w:sz w:val="24"/>
          <w:szCs w:val="24"/>
          <w:lang w:eastAsia="fr-FR"/>
        </w:rPr>
      </w:pPr>
      <w:r w:rsidRPr="005E76F6">
        <w:rPr>
          <w:rFonts w:ascii="Times New Roman" w:eastAsia="Times New Roman" w:hAnsi="Times New Roman" w:cs="Times New Roman"/>
          <w:b/>
          <w:bCs/>
          <w:i/>
          <w:noProof/>
          <w:color w:val="000000" w:themeColor="text1"/>
          <w:sz w:val="24"/>
          <w:szCs w:val="24"/>
          <w:lang w:eastAsia="fr-FR"/>
        </w:rPr>
        <w:t xml:space="preserve">Textbox 1. Example of a COSME EFG project </w:t>
      </w:r>
      <w:r w:rsidR="009900B2" w:rsidRPr="005E76F6">
        <w:rPr>
          <w:rFonts w:ascii="Times New Roman" w:eastAsia="Times New Roman" w:hAnsi="Times New Roman" w:cs="Times New Roman"/>
          <w:b/>
          <w:bCs/>
          <w:i/>
          <w:noProof/>
          <w:color w:val="000000" w:themeColor="text1"/>
          <w:sz w:val="24"/>
          <w:szCs w:val="24"/>
          <w:lang w:eastAsia="fr-FR"/>
        </w:rPr>
        <w:t>-</w:t>
      </w:r>
      <w:r w:rsidRPr="005E76F6">
        <w:rPr>
          <w:rFonts w:ascii="Times New Roman" w:eastAsia="Times New Roman" w:hAnsi="Times New Roman" w:cs="Times New Roman"/>
          <w:b/>
          <w:bCs/>
          <w:i/>
          <w:noProof/>
          <w:color w:val="000000" w:themeColor="text1"/>
          <w:sz w:val="24"/>
          <w:szCs w:val="24"/>
          <w:lang w:eastAsia="fr-FR"/>
        </w:rPr>
        <w:t xml:space="preserve"> </w:t>
      </w:r>
      <w:r w:rsidR="00C364D1" w:rsidRPr="005E76F6">
        <w:rPr>
          <w:rFonts w:ascii="Times New Roman" w:eastAsia="Times New Roman" w:hAnsi="Times New Roman" w:cs="Times New Roman"/>
          <w:b/>
          <w:bCs/>
          <w:i/>
          <w:noProof/>
          <w:color w:val="000000" w:themeColor="text1"/>
          <w:sz w:val="24"/>
          <w:szCs w:val="24"/>
          <w:lang w:eastAsia="fr-FR"/>
        </w:rPr>
        <w:t>Finnsiirto</w:t>
      </w:r>
      <w:r w:rsidR="009900B2" w:rsidRPr="005E76F6">
        <w:rPr>
          <w:rFonts w:ascii="Times New Roman" w:eastAsia="Times New Roman" w:hAnsi="Times New Roman" w:cs="Times New Roman"/>
          <w:b/>
          <w:bCs/>
          <w:i/>
          <w:noProof/>
          <w:color w:val="000000" w:themeColor="text1"/>
          <w:sz w:val="24"/>
          <w:szCs w:val="24"/>
          <w:lang w:eastAsia="fr-FR"/>
        </w:rPr>
        <w:t xml:space="preserve"> - </w:t>
      </w:r>
      <w:r w:rsidR="00C364D1" w:rsidRPr="005E76F6">
        <w:rPr>
          <w:rFonts w:ascii="Times New Roman" w:eastAsia="Times New Roman" w:hAnsi="Times New Roman" w:cs="Times New Roman"/>
          <w:b/>
          <w:bCs/>
          <w:i/>
          <w:noProof/>
          <w:color w:val="000000" w:themeColor="text1"/>
          <w:sz w:val="24"/>
          <w:szCs w:val="24"/>
          <w:lang w:eastAsia="fr-FR"/>
        </w:rPr>
        <w:t>Finland</w:t>
      </w:r>
      <w:r w:rsidR="009900B2" w:rsidRPr="005E76F6">
        <w:rPr>
          <w:rFonts w:ascii="Times New Roman" w:eastAsia="Times New Roman" w:hAnsi="Times New Roman" w:cs="Times New Roman"/>
          <w:b/>
          <w:bCs/>
          <w:i/>
          <w:noProof/>
          <w:color w:val="000000" w:themeColor="text1"/>
          <w:sz w:val="24"/>
          <w:szCs w:val="24"/>
          <w:lang w:eastAsia="fr-FR"/>
        </w:rPr>
        <w:t xml:space="preserve"> - </w:t>
      </w:r>
      <w:r w:rsidR="00C364D1" w:rsidRPr="005E76F6">
        <w:rPr>
          <w:rFonts w:ascii="Times New Roman" w:eastAsia="Times New Roman" w:hAnsi="Times New Roman" w:cs="Times New Roman"/>
          <w:b/>
          <w:bCs/>
          <w:i/>
          <w:noProof/>
          <w:color w:val="000000" w:themeColor="text1"/>
          <w:sz w:val="24"/>
          <w:szCs w:val="24"/>
          <w:lang w:eastAsia="fr-FR"/>
        </w:rPr>
        <w:t>Machinery</w:t>
      </w:r>
    </w:p>
    <w:p w14:paraId="3548B83F" w14:textId="0DD5383B" w:rsidR="00C364D1" w:rsidRPr="005E76F6" w:rsidRDefault="00C364D1" w:rsidP="000C2B5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jc w:val="both"/>
        <w:rPr>
          <w:noProof/>
          <w:color w:val="000000" w:themeColor="text1"/>
          <w:lang w:val="en-GB"/>
        </w:rPr>
      </w:pPr>
      <w:r w:rsidRPr="005E76F6">
        <w:rPr>
          <w:noProof/>
          <w:color w:val="000000" w:themeColor="text1"/>
          <w:lang w:val="en-GB"/>
        </w:rPr>
        <w:t xml:space="preserve">Finnsiirto, based in Lieto, just east of Turku in Southwest Finland, </w:t>
      </w:r>
      <w:r w:rsidR="00F03DAE" w:rsidRPr="005E76F6">
        <w:rPr>
          <w:noProof/>
          <w:color w:val="000000" w:themeColor="text1"/>
          <w:lang w:val="en-GB"/>
        </w:rPr>
        <w:t>operates</w:t>
      </w:r>
      <w:r w:rsidRPr="005E76F6">
        <w:rPr>
          <w:noProof/>
          <w:color w:val="000000" w:themeColor="text1"/>
          <w:lang w:val="en-GB"/>
        </w:rPr>
        <w:t xml:space="preserve"> in the field of professional forklift sales and logistics. They make continuous efforts to innovate and make small changes to differentiate from their competitors, focusing on changes that their customers would like to see </w:t>
      </w:r>
      <w:r w:rsidR="00FE2948" w:rsidRPr="005E76F6">
        <w:rPr>
          <w:noProof/>
          <w:color w:val="000000" w:themeColor="text1"/>
          <w:lang w:val="en-GB"/>
        </w:rPr>
        <w:t>‘</w:t>
      </w:r>
      <w:r w:rsidRPr="005E76F6">
        <w:rPr>
          <w:noProof/>
          <w:color w:val="000000" w:themeColor="text1"/>
          <w:lang w:val="en-GB"/>
        </w:rPr>
        <w:t>We’re always trying to think what we would want if we were customers,</w:t>
      </w:r>
      <w:r w:rsidR="00FE2948" w:rsidRPr="005E76F6">
        <w:rPr>
          <w:noProof/>
          <w:color w:val="000000" w:themeColor="text1"/>
          <w:lang w:val="en-GB"/>
        </w:rPr>
        <w:t>’</w:t>
      </w:r>
      <w:r w:rsidRPr="005E76F6">
        <w:rPr>
          <w:noProof/>
          <w:color w:val="000000" w:themeColor="text1"/>
          <w:lang w:val="en-GB"/>
        </w:rPr>
        <w:t xml:space="preserve"> explains Kalle Dahlman, Commercial Director at Finnsiirto.</w:t>
      </w:r>
      <w:r w:rsidR="00FE2948" w:rsidRPr="005E76F6">
        <w:rPr>
          <w:noProof/>
          <w:color w:val="000000" w:themeColor="text1"/>
          <w:lang w:val="en-GB"/>
        </w:rPr>
        <w:t xml:space="preserve"> </w:t>
      </w:r>
      <w:r w:rsidRPr="005E76F6">
        <w:rPr>
          <w:noProof/>
          <w:color w:val="000000" w:themeColor="text1"/>
          <w:lang w:val="en-GB"/>
        </w:rPr>
        <w:t>Initially, they sold second</w:t>
      </w:r>
      <w:r w:rsidR="00841D24" w:rsidRPr="005E76F6">
        <w:rPr>
          <w:noProof/>
          <w:color w:val="000000" w:themeColor="text1"/>
          <w:lang w:val="en-GB"/>
        </w:rPr>
        <w:t>-</w:t>
      </w:r>
      <w:r w:rsidRPr="005E76F6">
        <w:rPr>
          <w:noProof/>
          <w:color w:val="000000" w:themeColor="text1"/>
          <w:lang w:val="en-GB"/>
        </w:rPr>
        <w:t>hand imported forklifts. With time, they started to focus on renting out and maintaining fleets, instead of selling individual vehicles</w:t>
      </w:r>
      <w:r w:rsidR="00F03DAE" w:rsidRPr="005E76F6">
        <w:rPr>
          <w:noProof/>
          <w:color w:val="000000" w:themeColor="text1"/>
          <w:lang w:val="en-GB"/>
        </w:rPr>
        <w:t>,</w:t>
      </w:r>
      <w:r w:rsidRPr="005E76F6">
        <w:rPr>
          <w:noProof/>
          <w:color w:val="000000" w:themeColor="text1"/>
          <w:lang w:val="en-GB"/>
        </w:rPr>
        <w:t xml:space="preserve"> and started to grow very fast.</w:t>
      </w:r>
    </w:p>
    <w:p w14:paraId="41D11BC2" w14:textId="1E4A1A67" w:rsidR="00C364D1" w:rsidRPr="005E76F6" w:rsidRDefault="00C364D1" w:rsidP="000C2B5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jc w:val="both"/>
        <w:rPr>
          <w:noProof/>
          <w:color w:val="000000" w:themeColor="text1"/>
          <w:lang w:val="en-GB"/>
        </w:rPr>
      </w:pPr>
      <w:r w:rsidRPr="005E76F6">
        <w:rPr>
          <w:noProof/>
          <w:color w:val="000000" w:themeColor="text1"/>
          <w:lang w:val="en-GB"/>
        </w:rPr>
        <w:t xml:space="preserve">They started looking for an investor to finance this rapid growth and met Folmer, a private equity firm backed by the EIF. </w:t>
      </w:r>
      <w:r w:rsidR="00FE2948" w:rsidRPr="005E76F6">
        <w:rPr>
          <w:noProof/>
          <w:color w:val="000000" w:themeColor="text1"/>
          <w:lang w:val="en-GB"/>
        </w:rPr>
        <w:t>‘</w:t>
      </w:r>
      <w:r w:rsidRPr="005E76F6">
        <w:rPr>
          <w:noProof/>
          <w:color w:val="000000" w:themeColor="text1"/>
          <w:lang w:val="en-GB"/>
        </w:rPr>
        <w:t>After the first meeting, it was clear to us that both sides were ready and trusted on</w:t>
      </w:r>
      <w:r w:rsidR="00F03DAE" w:rsidRPr="005E76F6">
        <w:rPr>
          <w:noProof/>
          <w:color w:val="000000" w:themeColor="text1"/>
          <w:lang w:val="en-GB"/>
        </w:rPr>
        <w:t>e</w:t>
      </w:r>
      <w:r w:rsidRPr="005E76F6">
        <w:rPr>
          <w:noProof/>
          <w:color w:val="000000" w:themeColor="text1"/>
          <w:lang w:val="en-GB"/>
        </w:rPr>
        <w:t xml:space="preserve"> another.</w:t>
      </w:r>
      <w:r w:rsidR="00FE2948" w:rsidRPr="005E76F6">
        <w:rPr>
          <w:noProof/>
          <w:color w:val="000000" w:themeColor="text1"/>
          <w:lang w:val="en-GB"/>
        </w:rPr>
        <w:t>’</w:t>
      </w:r>
      <w:r w:rsidRPr="005E76F6">
        <w:rPr>
          <w:noProof/>
          <w:color w:val="000000" w:themeColor="text1"/>
          <w:lang w:val="en-GB"/>
        </w:rPr>
        <w:t xml:space="preserve"> The investment from Folmer allowed Finnsiirto to significantly boost volumes, strengthen staff, increase stock and build </w:t>
      </w:r>
      <w:r w:rsidR="00F03DAE" w:rsidRPr="005E76F6">
        <w:rPr>
          <w:noProof/>
          <w:color w:val="000000" w:themeColor="text1"/>
          <w:lang w:val="en-GB"/>
        </w:rPr>
        <w:t xml:space="preserve">a </w:t>
      </w:r>
      <w:r w:rsidRPr="005E76F6">
        <w:rPr>
          <w:noProof/>
          <w:color w:val="000000" w:themeColor="text1"/>
          <w:lang w:val="en-GB"/>
        </w:rPr>
        <w:t xml:space="preserve">new headquarters. </w:t>
      </w:r>
      <w:r w:rsidR="00FE2948" w:rsidRPr="005E76F6">
        <w:rPr>
          <w:noProof/>
          <w:color w:val="000000" w:themeColor="text1"/>
          <w:lang w:val="en-GB"/>
        </w:rPr>
        <w:t>‘</w:t>
      </w:r>
      <w:r w:rsidRPr="005E76F6">
        <w:rPr>
          <w:noProof/>
          <w:color w:val="000000" w:themeColor="text1"/>
          <w:lang w:val="en-GB"/>
        </w:rPr>
        <w:t>It put us in a much stronger position,</w:t>
      </w:r>
      <w:r w:rsidR="00FE2948" w:rsidRPr="005E76F6">
        <w:rPr>
          <w:noProof/>
          <w:color w:val="000000" w:themeColor="text1"/>
          <w:lang w:val="en-GB"/>
        </w:rPr>
        <w:t>’</w:t>
      </w:r>
      <w:r w:rsidRPr="005E76F6">
        <w:rPr>
          <w:noProof/>
          <w:color w:val="000000" w:themeColor="text1"/>
          <w:lang w:val="en-GB"/>
        </w:rPr>
        <w:t xml:space="preserve"> Kalle concludes. Since then, the company has continued to grow, expanding business in the Baltics with a sales office in Tallinn</w:t>
      </w:r>
      <w:r w:rsidR="00063EBC" w:rsidRPr="005E76F6">
        <w:rPr>
          <w:noProof/>
          <w:color w:val="000000" w:themeColor="text1"/>
          <w:lang w:val="en-GB"/>
        </w:rPr>
        <w:t xml:space="preserve"> and bought</w:t>
      </w:r>
      <w:r w:rsidRPr="005E76F6">
        <w:rPr>
          <w:noProof/>
          <w:color w:val="000000" w:themeColor="text1"/>
          <w:lang w:val="en-GB"/>
        </w:rPr>
        <w:t xml:space="preserve"> two other companies, Simeri and Suomen Telakone, with the three together forming one of largest machinery companies in Finland.</w:t>
      </w:r>
    </w:p>
    <w:p w14:paraId="0E22B746" w14:textId="1BE3A8D4" w:rsidR="00C364D1" w:rsidRPr="005E76F6" w:rsidRDefault="00C364D1" w:rsidP="000C2B5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jc w:val="both"/>
        <w:rPr>
          <w:b/>
          <w:bCs/>
          <w:noProof/>
          <w:color w:val="000000" w:themeColor="text1"/>
          <w:kern w:val="36"/>
          <w:lang w:val="en-GB"/>
        </w:rPr>
      </w:pPr>
      <w:r w:rsidRPr="005E76F6">
        <w:rPr>
          <w:noProof/>
          <w:color w:val="000000" w:themeColor="text1"/>
          <w:lang w:val="en-GB"/>
        </w:rPr>
        <w:t>Further information</w:t>
      </w:r>
      <w:r w:rsidR="00F03DAE" w:rsidRPr="005E76F6">
        <w:rPr>
          <w:noProof/>
          <w:color w:val="000000" w:themeColor="text1"/>
          <w:lang w:val="en-GB"/>
        </w:rPr>
        <w:t xml:space="preserve"> </w:t>
      </w:r>
      <w:r w:rsidR="00A902FC" w:rsidRPr="005E76F6">
        <w:rPr>
          <w:noProof/>
          <w:color w:val="000000" w:themeColor="text1"/>
          <w:lang w:val="en-GB"/>
        </w:rPr>
        <w:t>–</w:t>
      </w:r>
      <w:r w:rsidRPr="005E76F6">
        <w:rPr>
          <w:noProof/>
          <w:color w:val="000000" w:themeColor="text1"/>
          <w:lang w:val="en-GB"/>
        </w:rPr>
        <w:t xml:space="preserve"> </w:t>
      </w:r>
      <w:hyperlink r:id="rId30" w:history="1">
        <w:r w:rsidRPr="005E76F6">
          <w:rPr>
            <w:rStyle w:val="Hyperlink"/>
            <w:noProof/>
            <w:color w:val="000000" w:themeColor="text1"/>
            <w:lang w:val="en-GB"/>
          </w:rPr>
          <w:t>Folmer case study: Finnsiirto (Finland), Machinery –</w:t>
        </w:r>
        <w:r w:rsidR="00F03DAE" w:rsidRPr="005E76F6">
          <w:rPr>
            <w:rStyle w:val="Hyperlink"/>
            <w:noProof/>
            <w:color w:val="000000" w:themeColor="text1"/>
            <w:lang w:val="en-GB"/>
          </w:rPr>
          <w:t xml:space="preserve"> </w:t>
        </w:r>
        <w:r w:rsidRPr="005E76F6">
          <w:rPr>
            <w:rStyle w:val="Hyperlink"/>
            <w:noProof/>
            <w:color w:val="000000" w:themeColor="text1"/>
            <w:lang w:val="en-GB"/>
          </w:rPr>
          <w:t>COSME EGF / EFSI (eif.org)</w:t>
        </w:r>
      </w:hyperlink>
    </w:p>
    <w:p w14:paraId="3B2C7021" w14:textId="35712AB7" w:rsidR="002A4F30" w:rsidRPr="005E76F6" w:rsidRDefault="002A4F30" w:rsidP="000C2B54">
      <w:pPr>
        <w:spacing w:after="200"/>
        <w:jc w:val="both"/>
        <w:rPr>
          <w:rFonts w:ascii="Times New Roman" w:hAnsi="Times New Roman" w:cs="Times New Roman"/>
          <w:noProof/>
          <w:color w:val="000000" w:themeColor="text1"/>
          <w:sz w:val="24"/>
          <w:szCs w:val="24"/>
          <w:highlight w:val="yellow"/>
        </w:rPr>
      </w:pPr>
    </w:p>
    <w:p w14:paraId="44C56EE9" w14:textId="0B8520C2" w:rsidR="00935DB6" w:rsidRPr="005E76F6" w:rsidRDefault="002A4F30" w:rsidP="00935DB6">
      <w:pPr>
        <w:spacing w:after="200" w:line="240" w:lineRule="auto"/>
        <w:jc w:val="both"/>
        <w:rPr>
          <w:rFonts w:ascii="Times New Roman" w:eastAsia="Times New Roman" w:hAnsi="Times New Roman" w:cs="Times New Roman"/>
          <w:b/>
          <w:bCs/>
          <w:i/>
          <w:noProof/>
          <w:color w:val="000000" w:themeColor="text1"/>
          <w:sz w:val="24"/>
          <w:szCs w:val="24"/>
          <w:lang w:val="en-IE" w:eastAsia="fr-FR"/>
        </w:rPr>
      </w:pPr>
      <w:r w:rsidRPr="005E76F6">
        <w:rPr>
          <w:rFonts w:ascii="Times New Roman" w:eastAsia="Times New Roman" w:hAnsi="Times New Roman" w:cs="Times New Roman"/>
          <w:b/>
          <w:bCs/>
          <w:i/>
          <w:noProof/>
          <w:color w:val="000000" w:themeColor="text1"/>
          <w:sz w:val="24"/>
          <w:szCs w:val="24"/>
          <w:lang w:eastAsia="fr-FR"/>
        </w:rPr>
        <w:t xml:space="preserve">Textbox 2. </w:t>
      </w:r>
      <w:r w:rsidR="00935DB6" w:rsidRPr="005E76F6">
        <w:rPr>
          <w:rFonts w:ascii="Times New Roman" w:eastAsia="Times New Roman" w:hAnsi="Times New Roman" w:cs="Times New Roman"/>
          <w:b/>
          <w:bCs/>
          <w:i/>
          <w:noProof/>
          <w:color w:val="000000" w:themeColor="text1"/>
          <w:sz w:val="24"/>
          <w:szCs w:val="24"/>
          <w:lang w:val="en-IE" w:eastAsia="fr-FR"/>
        </w:rPr>
        <w:t xml:space="preserve">Example of a COSME LGF project </w:t>
      </w:r>
      <w:r w:rsidR="009900B2" w:rsidRPr="005E76F6">
        <w:rPr>
          <w:rFonts w:ascii="Times New Roman" w:eastAsia="Times New Roman" w:hAnsi="Times New Roman" w:cs="Times New Roman"/>
          <w:b/>
          <w:bCs/>
          <w:i/>
          <w:noProof/>
          <w:color w:val="000000" w:themeColor="text1"/>
          <w:sz w:val="24"/>
          <w:szCs w:val="24"/>
          <w:lang w:val="en-IE" w:eastAsia="fr-FR"/>
        </w:rPr>
        <w:t>-</w:t>
      </w:r>
      <w:r w:rsidR="00935DB6" w:rsidRPr="005E76F6">
        <w:rPr>
          <w:rFonts w:ascii="Times New Roman" w:eastAsia="Times New Roman" w:hAnsi="Times New Roman" w:cs="Times New Roman"/>
          <w:b/>
          <w:bCs/>
          <w:i/>
          <w:noProof/>
          <w:color w:val="000000" w:themeColor="text1"/>
          <w:sz w:val="24"/>
          <w:szCs w:val="24"/>
          <w:lang w:val="en-IE" w:eastAsia="fr-FR"/>
        </w:rPr>
        <w:t xml:space="preserve"> GardenLiving</w:t>
      </w:r>
      <w:r w:rsidR="009900B2" w:rsidRPr="005E76F6">
        <w:rPr>
          <w:rFonts w:ascii="Times New Roman" w:eastAsia="Times New Roman" w:hAnsi="Times New Roman" w:cs="Times New Roman"/>
          <w:b/>
          <w:bCs/>
          <w:i/>
          <w:noProof/>
          <w:color w:val="000000" w:themeColor="text1"/>
          <w:sz w:val="24"/>
          <w:szCs w:val="24"/>
          <w:lang w:val="en-IE" w:eastAsia="fr-FR"/>
        </w:rPr>
        <w:t xml:space="preserve"> - Finland - </w:t>
      </w:r>
      <w:r w:rsidR="00935DB6" w:rsidRPr="005E76F6">
        <w:rPr>
          <w:rFonts w:ascii="Times New Roman" w:eastAsia="Times New Roman" w:hAnsi="Times New Roman" w:cs="Times New Roman"/>
          <w:b/>
          <w:bCs/>
          <w:i/>
          <w:noProof/>
          <w:color w:val="000000" w:themeColor="text1"/>
          <w:sz w:val="24"/>
          <w:szCs w:val="24"/>
          <w:lang w:val="en-IE" w:eastAsia="fr-FR"/>
        </w:rPr>
        <w:t>horticulture and interior green design</w:t>
      </w:r>
    </w:p>
    <w:p w14:paraId="773A61A4" w14:textId="007C2E1E" w:rsidR="000B0EAC" w:rsidRPr="005E76F6" w:rsidRDefault="000B0EAC" w:rsidP="000C2B54">
      <w:pPr>
        <w:pBdr>
          <w:top w:val="single" w:sz="4" w:space="1" w:color="auto"/>
          <w:left w:val="single" w:sz="4" w:space="4" w:color="auto"/>
          <w:bottom w:val="single" w:sz="4" w:space="1" w:color="auto"/>
          <w:right w:val="single" w:sz="4" w:space="4" w:color="auto"/>
        </w:pBdr>
        <w:shd w:val="clear" w:color="auto" w:fill="FFFFFF"/>
        <w:spacing w:after="200" w:line="240" w:lineRule="auto"/>
        <w:jc w:val="both"/>
        <w:rPr>
          <w:rFonts w:ascii="Times New Roman" w:eastAsia="Times New Roman" w:hAnsi="Times New Roman" w:cs="Times New Roman"/>
          <w:noProof/>
          <w:color w:val="000000" w:themeColor="text1"/>
          <w:sz w:val="24"/>
          <w:szCs w:val="24"/>
          <w:lang w:eastAsia="fr-BE"/>
        </w:rPr>
      </w:pPr>
      <w:r w:rsidRPr="005E76F6">
        <w:rPr>
          <w:rFonts w:ascii="Times New Roman" w:eastAsia="Times New Roman" w:hAnsi="Times New Roman" w:cs="Times New Roman"/>
          <w:noProof/>
          <w:color w:val="000000" w:themeColor="text1"/>
          <w:sz w:val="24"/>
          <w:szCs w:val="24"/>
          <w:lang w:eastAsia="fr-BE"/>
        </w:rPr>
        <w:t>Garden</w:t>
      </w:r>
      <w:r w:rsidR="00841D24" w:rsidRPr="005E76F6">
        <w:rPr>
          <w:rFonts w:ascii="Times New Roman" w:eastAsia="Times New Roman" w:hAnsi="Times New Roman" w:cs="Times New Roman"/>
          <w:noProof/>
          <w:color w:val="000000" w:themeColor="text1"/>
          <w:sz w:val="24"/>
          <w:szCs w:val="24"/>
          <w:lang w:eastAsia="fr-BE"/>
        </w:rPr>
        <w:t>L</w:t>
      </w:r>
      <w:r w:rsidRPr="005E76F6">
        <w:rPr>
          <w:rFonts w:ascii="Times New Roman" w:eastAsia="Times New Roman" w:hAnsi="Times New Roman" w:cs="Times New Roman"/>
          <w:noProof/>
          <w:color w:val="000000" w:themeColor="text1"/>
          <w:sz w:val="24"/>
          <w:szCs w:val="24"/>
          <w:lang w:eastAsia="fr-BE"/>
        </w:rPr>
        <w:t>iving, is an innovative Finnish horticulture business that sells garden products and provides services such as landscape architecture, interior green design, and garden maintenance and revamping. Its show rooms offer an attractive, innovative space for customers to buy plants and garden materials and consult experts for advice. Eva Wuite, the founder and manager of GardenLiving, who is half-Dutch, half-Finnish, gets her inspiration from Finnish nature and the trends in the Netherlands.</w:t>
      </w:r>
      <w:r w:rsidR="00FE2948" w:rsidRPr="005E76F6">
        <w:rPr>
          <w:rFonts w:ascii="Times New Roman" w:eastAsia="Times New Roman" w:hAnsi="Times New Roman" w:cs="Times New Roman"/>
          <w:noProof/>
          <w:color w:val="000000" w:themeColor="text1"/>
          <w:sz w:val="24"/>
          <w:szCs w:val="24"/>
          <w:lang w:eastAsia="fr-BE"/>
        </w:rPr>
        <w:t xml:space="preserve"> </w:t>
      </w:r>
      <w:r w:rsidRPr="005E76F6">
        <w:rPr>
          <w:rFonts w:ascii="Times New Roman" w:eastAsia="Times New Roman" w:hAnsi="Times New Roman" w:cs="Times New Roman"/>
          <w:noProof/>
          <w:color w:val="000000" w:themeColor="text1"/>
          <w:sz w:val="24"/>
          <w:szCs w:val="24"/>
          <w:lang w:eastAsia="fr-BE"/>
        </w:rPr>
        <w:t xml:space="preserve">When </w:t>
      </w:r>
      <w:r w:rsidR="001207FF" w:rsidRPr="005E76F6">
        <w:rPr>
          <w:rFonts w:ascii="Times New Roman" w:eastAsia="Times New Roman" w:hAnsi="Times New Roman" w:cs="Times New Roman"/>
          <w:noProof/>
          <w:color w:val="000000" w:themeColor="text1"/>
          <w:sz w:val="24"/>
          <w:szCs w:val="24"/>
          <w:lang w:eastAsia="fr-BE"/>
        </w:rPr>
        <w:t>COVID</w:t>
      </w:r>
      <w:r w:rsidRPr="005E76F6">
        <w:rPr>
          <w:rFonts w:ascii="Times New Roman" w:eastAsia="Times New Roman" w:hAnsi="Times New Roman" w:cs="Times New Roman"/>
          <w:noProof/>
          <w:color w:val="000000" w:themeColor="text1"/>
          <w:sz w:val="24"/>
          <w:szCs w:val="24"/>
          <w:lang w:eastAsia="fr-BE"/>
        </w:rPr>
        <w:t>-19 hit</w:t>
      </w:r>
      <w:r w:rsidR="001207FF" w:rsidRPr="005E76F6">
        <w:rPr>
          <w:rFonts w:ascii="Times New Roman" w:eastAsia="Times New Roman" w:hAnsi="Times New Roman" w:cs="Times New Roman"/>
          <w:noProof/>
          <w:color w:val="000000" w:themeColor="text1"/>
          <w:sz w:val="24"/>
          <w:szCs w:val="24"/>
          <w:lang w:eastAsia="fr-BE"/>
        </w:rPr>
        <w:t>,</w:t>
      </w:r>
      <w:r w:rsidRPr="005E76F6">
        <w:rPr>
          <w:rFonts w:ascii="Times New Roman" w:eastAsia="Times New Roman" w:hAnsi="Times New Roman" w:cs="Times New Roman"/>
          <w:noProof/>
          <w:color w:val="000000" w:themeColor="text1"/>
          <w:sz w:val="24"/>
          <w:szCs w:val="24"/>
          <w:lang w:eastAsia="fr-BE"/>
        </w:rPr>
        <w:t xml:space="preserve"> everything went into lockdown and all orders for garden items stopped immediately. But bills had to be paid – as they had already bought their stocks for the entire season (April-October).</w:t>
      </w:r>
    </w:p>
    <w:p w14:paraId="15C0C817" w14:textId="410106C6" w:rsidR="000B0EAC" w:rsidRPr="005E76F6" w:rsidRDefault="000B0EAC" w:rsidP="000C2B54">
      <w:pPr>
        <w:pBdr>
          <w:top w:val="single" w:sz="4" w:space="1" w:color="auto"/>
          <w:left w:val="single" w:sz="4" w:space="4" w:color="auto"/>
          <w:bottom w:val="single" w:sz="4" w:space="1" w:color="auto"/>
          <w:right w:val="single" w:sz="4" w:space="4" w:color="auto"/>
        </w:pBdr>
        <w:shd w:val="clear" w:color="auto" w:fill="FFFFFF"/>
        <w:spacing w:after="200" w:line="240" w:lineRule="auto"/>
        <w:jc w:val="both"/>
        <w:rPr>
          <w:rFonts w:ascii="Times New Roman" w:eastAsia="Times New Roman" w:hAnsi="Times New Roman" w:cs="Times New Roman"/>
          <w:noProof/>
          <w:color w:val="000000" w:themeColor="text1"/>
          <w:sz w:val="24"/>
          <w:szCs w:val="24"/>
          <w:lang w:eastAsia="fr-BE"/>
        </w:rPr>
      </w:pPr>
      <w:r w:rsidRPr="005E76F6">
        <w:rPr>
          <w:rFonts w:ascii="Times New Roman" w:eastAsia="Times New Roman" w:hAnsi="Times New Roman" w:cs="Times New Roman"/>
          <w:noProof/>
          <w:color w:val="000000" w:themeColor="text1"/>
          <w:sz w:val="24"/>
          <w:szCs w:val="24"/>
          <w:lang w:eastAsia="fr-BE"/>
        </w:rPr>
        <w:t xml:space="preserve">GardenLiving managed to obtain an EU-guaranteed loan through Finnvera, backed by the EIF: </w:t>
      </w:r>
      <w:r w:rsidR="00FE2948" w:rsidRPr="005E76F6">
        <w:rPr>
          <w:rFonts w:ascii="Times New Roman" w:eastAsia="Times New Roman" w:hAnsi="Times New Roman" w:cs="Times New Roman"/>
          <w:noProof/>
          <w:color w:val="000000" w:themeColor="text1"/>
          <w:sz w:val="24"/>
          <w:szCs w:val="24"/>
          <w:lang w:eastAsia="fr-BE"/>
        </w:rPr>
        <w:t>‘</w:t>
      </w:r>
      <w:r w:rsidRPr="005E76F6">
        <w:rPr>
          <w:rFonts w:ascii="Times New Roman" w:eastAsia="Times New Roman" w:hAnsi="Times New Roman" w:cs="Times New Roman"/>
          <w:noProof/>
          <w:color w:val="000000" w:themeColor="text1"/>
          <w:sz w:val="24"/>
          <w:szCs w:val="24"/>
          <w:lang w:eastAsia="fr-BE"/>
        </w:rPr>
        <w:t>We needed this extra loan to cover this difficult period. It helped bridge the gap and also allowed us to expand our services and plan for e-commerce as the second wave intensified. The cashflow gave us more time to react.</w:t>
      </w:r>
      <w:r w:rsidR="00FE2948" w:rsidRPr="005E76F6">
        <w:rPr>
          <w:rFonts w:ascii="Times New Roman" w:eastAsia="Times New Roman" w:hAnsi="Times New Roman" w:cs="Times New Roman"/>
          <w:noProof/>
          <w:color w:val="000000" w:themeColor="text1"/>
          <w:sz w:val="24"/>
          <w:szCs w:val="24"/>
          <w:lang w:eastAsia="fr-BE"/>
        </w:rPr>
        <w:t>’</w:t>
      </w:r>
      <w:r w:rsidRPr="005E76F6">
        <w:rPr>
          <w:rFonts w:ascii="Times New Roman" w:eastAsia="Times New Roman" w:hAnsi="Times New Roman" w:cs="Times New Roman"/>
          <w:noProof/>
          <w:color w:val="000000" w:themeColor="text1"/>
          <w:sz w:val="24"/>
          <w:szCs w:val="24"/>
          <w:lang w:eastAsia="fr-BE"/>
        </w:rPr>
        <w:t xml:space="preserve"> Eva is confident that the business has a lot of potential going forward. </w:t>
      </w:r>
      <w:r w:rsidR="00FE2948" w:rsidRPr="005E76F6">
        <w:rPr>
          <w:rFonts w:ascii="Times New Roman" w:eastAsia="Times New Roman" w:hAnsi="Times New Roman" w:cs="Times New Roman"/>
          <w:noProof/>
          <w:color w:val="000000" w:themeColor="text1"/>
          <w:sz w:val="24"/>
          <w:szCs w:val="24"/>
          <w:lang w:eastAsia="fr-BE"/>
        </w:rPr>
        <w:t>‘</w:t>
      </w:r>
      <w:r w:rsidRPr="005E76F6">
        <w:rPr>
          <w:rFonts w:ascii="Times New Roman" w:eastAsia="Times New Roman" w:hAnsi="Times New Roman" w:cs="Times New Roman"/>
          <w:noProof/>
          <w:color w:val="000000" w:themeColor="text1"/>
          <w:sz w:val="24"/>
          <w:szCs w:val="24"/>
          <w:lang w:eastAsia="fr-BE"/>
        </w:rPr>
        <w:t>If there is one thing that I can tell you for sure, it’s that green makes you feel good,</w:t>
      </w:r>
      <w:r w:rsidR="00FE2948" w:rsidRPr="005E76F6">
        <w:rPr>
          <w:rFonts w:ascii="Times New Roman" w:eastAsia="Times New Roman" w:hAnsi="Times New Roman" w:cs="Times New Roman"/>
          <w:noProof/>
          <w:color w:val="000000" w:themeColor="text1"/>
          <w:sz w:val="24"/>
          <w:szCs w:val="24"/>
          <w:lang w:eastAsia="fr-BE"/>
        </w:rPr>
        <w:t>’</w:t>
      </w:r>
      <w:r w:rsidRPr="005E76F6">
        <w:rPr>
          <w:rFonts w:ascii="Times New Roman" w:eastAsia="Times New Roman" w:hAnsi="Times New Roman" w:cs="Times New Roman"/>
          <w:noProof/>
          <w:color w:val="000000" w:themeColor="text1"/>
          <w:sz w:val="24"/>
          <w:szCs w:val="24"/>
          <w:lang w:eastAsia="fr-BE"/>
        </w:rPr>
        <w:t xml:space="preserve"> she concludes.</w:t>
      </w:r>
    </w:p>
    <w:p w14:paraId="1FC8E968" w14:textId="50D8A7F6" w:rsidR="000B0EAC" w:rsidRPr="005E76F6" w:rsidRDefault="000B0EAC" w:rsidP="000C2B54">
      <w:pPr>
        <w:pBdr>
          <w:top w:val="single" w:sz="4" w:space="1" w:color="auto"/>
          <w:left w:val="single" w:sz="4" w:space="4" w:color="auto"/>
          <w:bottom w:val="single" w:sz="4" w:space="1" w:color="auto"/>
          <w:right w:val="single" w:sz="4" w:space="4" w:color="auto"/>
        </w:pBdr>
        <w:shd w:val="clear" w:color="auto" w:fill="FFFFFF"/>
        <w:spacing w:after="200" w:line="240" w:lineRule="auto"/>
        <w:jc w:val="both"/>
        <w:rPr>
          <w:rFonts w:ascii="Times New Roman" w:eastAsia="Times New Roman" w:hAnsi="Times New Roman" w:cs="Times New Roman"/>
          <w:noProof/>
          <w:color w:val="000000" w:themeColor="text1"/>
          <w:sz w:val="24"/>
          <w:szCs w:val="24"/>
          <w:lang w:eastAsia="fr-BE"/>
        </w:rPr>
      </w:pPr>
      <w:r w:rsidRPr="005E76F6">
        <w:rPr>
          <w:rFonts w:ascii="Times New Roman" w:eastAsia="Times New Roman" w:hAnsi="Times New Roman" w:cs="Times New Roman"/>
          <w:b/>
          <w:bCs/>
          <w:noProof/>
          <w:color w:val="000000" w:themeColor="text1"/>
          <w:sz w:val="24"/>
          <w:szCs w:val="24"/>
          <w:lang w:eastAsia="fr-BE"/>
        </w:rPr>
        <w:t>Further information:</w:t>
      </w:r>
      <w:r w:rsidRPr="005E76F6">
        <w:rPr>
          <w:rFonts w:ascii="Times New Roman" w:eastAsia="Times New Roman" w:hAnsi="Times New Roman" w:cs="Times New Roman"/>
          <w:noProof/>
          <w:color w:val="000000" w:themeColor="text1"/>
          <w:sz w:val="24"/>
          <w:szCs w:val="24"/>
          <w:lang w:eastAsia="fr-BE"/>
        </w:rPr>
        <w:t> </w:t>
      </w:r>
      <w:hyperlink r:id="rId31" w:history="1">
        <w:r w:rsidRPr="005E76F6">
          <w:rPr>
            <w:rStyle w:val="Hyperlink"/>
            <w:rFonts w:ascii="Times New Roman" w:hAnsi="Times New Roman" w:cs="Times New Roman"/>
            <w:noProof/>
            <w:color w:val="000000" w:themeColor="text1"/>
            <w:sz w:val="24"/>
            <w:szCs w:val="24"/>
          </w:rPr>
          <w:t>HOME | GardenLiving</w:t>
        </w:r>
      </w:hyperlink>
    </w:p>
    <w:p w14:paraId="6255ACED" w14:textId="02DC720C" w:rsidR="002A4F30" w:rsidRPr="005E76F6" w:rsidRDefault="00B635E6" w:rsidP="000C2B54">
      <w:pPr>
        <w:spacing w:after="200" w:line="240" w:lineRule="auto"/>
        <w:jc w:val="both"/>
        <w:rPr>
          <w:rFonts w:ascii="Times New Roman" w:eastAsia="Times New Roman" w:hAnsi="Times New Roman" w:cs="Times New Roman"/>
          <w:bCs/>
          <w:i/>
          <w:noProof/>
          <w:color w:val="000000" w:themeColor="text1"/>
          <w:sz w:val="24"/>
          <w:szCs w:val="24"/>
          <w:lang w:eastAsia="fr-FR"/>
        </w:rPr>
      </w:pPr>
      <w:r w:rsidRPr="005E76F6">
        <w:rPr>
          <w:rFonts w:ascii="Times New Roman" w:eastAsia="Times New Roman" w:hAnsi="Times New Roman" w:cs="Times New Roman"/>
          <w:bCs/>
          <w:i/>
          <w:noProof/>
          <w:color w:val="000000" w:themeColor="text1"/>
          <w:sz w:val="24"/>
          <w:szCs w:val="24"/>
          <w:lang w:eastAsia="fr-FR"/>
        </w:rPr>
        <w:br w:type="column"/>
      </w:r>
    </w:p>
    <w:p w14:paraId="79A4C1A1" w14:textId="0B84AF00" w:rsidR="00276E89" w:rsidRPr="005E76F6" w:rsidRDefault="002A4F30" w:rsidP="000C2B54">
      <w:pPr>
        <w:spacing w:after="200" w:line="240" w:lineRule="auto"/>
        <w:jc w:val="both"/>
        <w:rPr>
          <w:rFonts w:ascii="Times New Roman" w:eastAsia="Times New Roman" w:hAnsi="Times New Roman" w:cs="Times New Roman"/>
          <w:b/>
          <w:bCs/>
          <w:i/>
          <w:noProof/>
          <w:color w:val="000000" w:themeColor="text1"/>
          <w:sz w:val="24"/>
          <w:szCs w:val="24"/>
          <w:lang w:eastAsia="fr-FR"/>
        </w:rPr>
      </w:pPr>
      <w:r w:rsidRPr="005E76F6">
        <w:rPr>
          <w:rFonts w:ascii="Times New Roman" w:eastAsia="Times New Roman" w:hAnsi="Times New Roman" w:cs="Times New Roman"/>
          <w:b/>
          <w:bCs/>
          <w:i/>
          <w:noProof/>
          <w:color w:val="000000" w:themeColor="text1"/>
          <w:sz w:val="24"/>
          <w:szCs w:val="24"/>
          <w:lang w:eastAsia="fr-FR"/>
        </w:rPr>
        <w:t xml:space="preserve">Textbox 3. An EEN success story </w:t>
      </w:r>
      <w:r w:rsidR="009900B2" w:rsidRPr="005E76F6">
        <w:rPr>
          <w:rFonts w:ascii="Times New Roman" w:eastAsia="Times New Roman" w:hAnsi="Times New Roman" w:cs="Times New Roman"/>
          <w:b/>
          <w:bCs/>
          <w:i/>
          <w:noProof/>
          <w:color w:val="000000" w:themeColor="text1"/>
          <w:sz w:val="24"/>
          <w:szCs w:val="24"/>
          <w:lang w:eastAsia="fr-FR"/>
        </w:rPr>
        <w:t>-</w:t>
      </w:r>
      <w:r w:rsidRPr="005E76F6">
        <w:rPr>
          <w:rFonts w:ascii="Times New Roman" w:eastAsia="Times New Roman" w:hAnsi="Times New Roman" w:cs="Times New Roman"/>
          <w:b/>
          <w:bCs/>
          <w:i/>
          <w:noProof/>
          <w:color w:val="000000" w:themeColor="text1"/>
          <w:sz w:val="24"/>
          <w:szCs w:val="24"/>
          <w:lang w:eastAsia="fr-FR"/>
        </w:rPr>
        <w:t xml:space="preserve"> </w:t>
      </w:r>
      <w:r w:rsidR="00241650" w:rsidRPr="005E76F6">
        <w:rPr>
          <w:rFonts w:ascii="Times New Roman" w:eastAsia="Times New Roman" w:hAnsi="Times New Roman" w:cs="Times New Roman"/>
          <w:b/>
          <w:bCs/>
          <w:i/>
          <w:noProof/>
          <w:color w:val="000000" w:themeColor="text1"/>
          <w:sz w:val="24"/>
          <w:szCs w:val="24"/>
          <w:lang w:eastAsia="fr-FR"/>
        </w:rPr>
        <w:t xml:space="preserve">W•SENSE </w:t>
      </w:r>
      <w:r w:rsidR="009900B2" w:rsidRPr="005E76F6">
        <w:rPr>
          <w:rFonts w:ascii="Times New Roman" w:eastAsia="Times New Roman" w:hAnsi="Times New Roman" w:cs="Times New Roman"/>
          <w:b/>
          <w:bCs/>
          <w:i/>
          <w:noProof/>
          <w:color w:val="000000" w:themeColor="text1"/>
          <w:sz w:val="24"/>
          <w:szCs w:val="24"/>
          <w:lang w:eastAsia="fr-FR"/>
        </w:rPr>
        <w:t>-</w:t>
      </w:r>
      <w:r w:rsidR="00241650" w:rsidRPr="005E76F6">
        <w:rPr>
          <w:rFonts w:ascii="Times New Roman" w:eastAsia="Times New Roman" w:hAnsi="Times New Roman" w:cs="Times New Roman"/>
          <w:b/>
          <w:bCs/>
          <w:i/>
          <w:noProof/>
          <w:color w:val="000000" w:themeColor="text1"/>
          <w:sz w:val="24"/>
          <w:szCs w:val="24"/>
          <w:lang w:eastAsia="fr-FR"/>
        </w:rPr>
        <w:t xml:space="preserve"> Italy</w:t>
      </w:r>
      <w:r w:rsidR="00037127" w:rsidRPr="005E76F6">
        <w:rPr>
          <w:rFonts w:ascii="Times New Roman" w:eastAsia="Times New Roman" w:hAnsi="Times New Roman" w:cs="Times New Roman"/>
          <w:b/>
          <w:bCs/>
          <w:i/>
          <w:noProof/>
          <w:color w:val="000000" w:themeColor="text1"/>
          <w:sz w:val="24"/>
          <w:szCs w:val="24"/>
          <w:lang w:eastAsia="fr-FR"/>
        </w:rPr>
        <w:t xml:space="preserve"> </w:t>
      </w:r>
      <w:r w:rsidR="009900B2" w:rsidRPr="005E76F6">
        <w:rPr>
          <w:rFonts w:ascii="Times New Roman" w:eastAsia="Times New Roman" w:hAnsi="Times New Roman" w:cs="Times New Roman"/>
          <w:b/>
          <w:bCs/>
          <w:i/>
          <w:noProof/>
          <w:color w:val="000000" w:themeColor="text1"/>
          <w:sz w:val="24"/>
          <w:szCs w:val="24"/>
          <w:lang w:eastAsia="fr-FR"/>
        </w:rPr>
        <w:t>-</w:t>
      </w:r>
      <w:r w:rsidR="00037127" w:rsidRPr="005E76F6">
        <w:rPr>
          <w:rFonts w:ascii="Times New Roman" w:eastAsia="Times New Roman" w:hAnsi="Times New Roman" w:cs="Times New Roman"/>
          <w:b/>
          <w:bCs/>
          <w:i/>
          <w:noProof/>
          <w:color w:val="000000" w:themeColor="text1"/>
          <w:sz w:val="24"/>
          <w:szCs w:val="24"/>
          <w:lang w:eastAsia="fr-FR"/>
        </w:rPr>
        <w:t xml:space="preserve"> underwater cable-less networking</w:t>
      </w:r>
    </w:p>
    <w:p w14:paraId="2FCF6A21" w14:textId="4E813FAB" w:rsidR="00241650" w:rsidRPr="005E76F6" w:rsidRDefault="00241650" w:rsidP="000C2B54">
      <w:pPr>
        <w:pStyle w:val="NormalWeb"/>
        <w:pBdr>
          <w:top w:val="single" w:sz="4" w:space="1" w:color="auto"/>
          <w:left w:val="single" w:sz="4" w:space="4" w:color="auto"/>
          <w:bottom w:val="single" w:sz="4" w:space="1" w:color="auto"/>
          <w:right w:val="single" w:sz="4" w:space="4" w:color="auto"/>
        </w:pBdr>
        <w:spacing w:before="0" w:beforeAutospacing="0" w:after="200" w:afterAutospacing="0" w:line="228" w:lineRule="auto"/>
        <w:jc w:val="both"/>
        <w:rPr>
          <w:noProof/>
          <w:color w:val="000000" w:themeColor="text1"/>
          <w:lang w:val="en-GB"/>
        </w:rPr>
      </w:pPr>
      <w:r w:rsidRPr="005E76F6">
        <w:rPr>
          <w:noProof/>
          <w:color w:val="000000" w:themeColor="text1"/>
          <w:lang w:val="en-GB"/>
        </w:rPr>
        <w:t>In 2017, W•SENSE, a spin-off of Sapienza University of Rome</w:t>
      </w:r>
      <w:r w:rsidR="00676C49" w:rsidRPr="005E76F6">
        <w:rPr>
          <w:noProof/>
          <w:color w:val="000000" w:themeColor="text1"/>
          <w:lang w:val="en-GB"/>
        </w:rPr>
        <w:t>,</w:t>
      </w:r>
      <w:r w:rsidRPr="005E76F6">
        <w:rPr>
          <w:noProof/>
          <w:color w:val="000000" w:themeColor="text1"/>
          <w:lang w:val="en-GB"/>
        </w:rPr>
        <w:t xml:space="preserve"> developed a solution to guarantee underwater cable</w:t>
      </w:r>
      <w:r w:rsidR="00133F24" w:rsidRPr="005E76F6">
        <w:rPr>
          <w:noProof/>
          <w:color w:val="000000" w:themeColor="text1"/>
          <w:lang w:val="en-GB"/>
        </w:rPr>
        <w:t>-</w:t>
      </w:r>
      <w:r w:rsidRPr="005E76F6">
        <w:rPr>
          <w:noProof/>
          <w:color w:val="000000" w:themeColor="text1"/>
          <w:lang w:val="en-GB"/>
        </w:rPr>
        <w:t>less networking interoperability. Due to the originality of this cutting-edge technology and the high demand, W</w:t>
      </w:r>
      <w:r w:rsidR="000B09F0" w:rsidRPr="005E76F6">
        <w:rPr>
          <w:noProof/>
          <w:color w:val="000000" w:themeColor="text1"/>
          <w:lang w:val="en-GB"/>
        </w:rPr>
        <w:t>•</w:t>
      </w:r>
      <w:r w:rsidRPr="005E76F6">
        <w:rPr>
          <w:noProof/>
          <w:color w:val="000000" w:themeColor="text1"/>
          <w:lang w:val="en-GB"/>
        </w:rPr>
        <w:t xml:space="preserve">SENSE started to grow fast. Suddenly </w:t>
      </w:r>
      <w:r w:rsidR="00133F24" w:rsidRPr="005E76F6">
        <w:rPr>
          <w:noProof/>
          <w:color w:val="000000" w:themeColor="text1"/>
          <w:lang w:val="en-GB"/>
        </w:rPr>
        <w:t>t</w:t>
      </w:r>
      <w:r w:rsidRPr="005E76F6">
        <w:rPr>
          <w:noProof/>
          <w:color w:val="000000" w:themeColor="text1"/>
          <w:lang w:val="en-GB"/>
        </w:rPr>
        <w:t>hey needed a huge increase in working capital to implement their contracts.</w:t>
      </w:r>
      <w:r w:rsidR="00FE2948" w:rsidRPr="005E76F6">
        <w:rPr>
          <w:noProof/>
          <w:color w:val="000000" w:themeColor="text1"/>
          <w:lang w:val="en-GB"/>
        </w:rPr>
        <w:t xml:space="preserve"> </w:t>
      </w:r>
      <w:r w:rsidRPr="005E76F6">
        <w:rPr>
          <w:noProof/>
          <w:color w:val="000000" w:themeColor="text1"/>
          <w:lang w:val="en-GB"/>
        </w:rPr>
        <w:t xml:space="preserve">Despite their cutting-edge technology and the high demand they were refused a loan by </w:t>
      </w:r>
      <w:r w:rsidR="00676C49" w:rsidRPr="005E76F6">
        <w:rPr>
          <w:noProof/>
          <w:color w:val="000000" w:themeColor="text1"/>
          <w:lang w:val="en-GB"/>
        </w:rPr>
        <w:t xml:space="preserve">five </w:t>
      </w:r>
      <w:r w:rsidRPr="005E76F6">
        <w:rPr>
          <w:noProof/>
          <w:color w:val="000000" w:themeColor="text1"/>
          <w:lang w:val="en-GB"/>
        </w:rPr>
        <w:t>different banks.</w:t>
      </w:r>
    </w:p>
    <w:p w14:paraId="54327A17" w14:textId="4E77B025" w:rsidR="00241650" w:rsidRPr="005E76F6" w:rsidRDefault="00241650" w:rsidP="000C2B54">
      <w:pPr>
        <w:pStyle w:val="NormalWeb"/>
        <w:pBdr>
          <w:top w:val="single" w:sz="4" w:space="1" w:color="auto"/>
          <w:left w:val="single" w:sz="4" w:space="4" w:color="auto"/>
          <w:bottom w:val="single" w:sz="4" w:space="1" w:color="auto"/>
          <w:right w:val="single" w:sz="4" w:space="4" w:color="auto"/>
        </w:pBdr>
        <w:spacing w:before="0" w:beforeAutospacing="0" w:after="200" w:afterAutospacing="0" w:line="228" w:lineRule="auto"/>
        <w:jc w:val="both"/>
        <w:rPr>
          <w:noProof/>
          <w:color w:val="000000" w:themeColor="text1"/>
          <w:lang w:val="en-GB"/>
        </w:rPr>
      </w:pPr>
      <w:r w:rsidRPr="005E76F6">
        <w:rPr>
          <w:noProof/>
          <w:color w:val="000000" w:themeColor="text1"/>
          <w:lang w:val="en-GB"/>
        </w:rPr>
        <w:t>W•SENSE contacted the local Enterprise Europe Network (EEN) branch at Unioncamere Lazio and benefited from EEN scale-up advis</w:t>
      </w:r>
      <w:r w:rsidR="00A902FC" w:rsidRPr="005E76F6">
        <w:rPr>
          <w:noProof/>
          <w:color w:val="000000" w:themeColor="text1"/>
          <w:lang w:val="en-GB"/>
        </w:rPr>
        <w:t>e</w:t>
      </w:r>
      <w:r w:rsidRPr="005E76F6">
        <w:rPr>
          <w:noProof/>
          <w:color w:val="000000" w:themeColor="text1"/>
          <w:lang w:val="en-GB"/>
        </w:rPr>
        <w:t xml:space="preserve">r services. </w:t>
      </w:r>
      <w:r w:rsidR="00676C49" w:rsidRPr="005E76F6">
        <w:rPr>
          <w:noProof/>
          <w:color w:val="000000" w:themeColor="text1"/>
          <w:lang w:val="en-GB"/>
        </w:rPr>
        <w:t xml:space="preserve">Among other things, </w:t>
      </w:r>
      <w:r w:rsidRPr="005E76F6">
        <w:rPr>
          <w:noProof/>
          <w:color w:val="000000" w:themeColor="text1"/>
          <w:lang w:val="en-GB"/>
        </w:rPr>
        <w:t xml:space="preserve">EEN helped W•SENSE to prepare a robust business plan and to obtain a </w:t>
      </w:r>
      <w:r w:rsidR="00676C49" w:rsidRPr="005E76F6">
        <w:rPr>
          <w:noProof/>
          <w:color w:val="000000" w:themeColor="text1"/>
          <w:lang w:val="en-GB"/>
        </w:rPr>
        <w:t>EUR </w:t>
      </w:r>
      <w:r w:rsidRPr="005E76F6">
        <w:rPr>
          <w:noProof/>
          <w:color w:val="000000" w:themeColor="text1"/>
          <w:lang w:val="en-GB"/>
        </w:rPr>
        <w:t>500</w:t>
      </w:r>
      <w:r w:rsidR="00FE2948" w:rsidRPr="005E76F6">
        <w:rPr>
          <w:noProof/>
          <w:color w:val="000000" w:themeColor="text1"/>
          <w:lang w:val="en-GB"/>
        </w:rPr>
        <w:t> </w:t>
      </w:r>
      <w:r w:rsidRPr="005E76F6">
        <w:rPr>
          <w:noProof/>
          <w:color w:val="000000" w:themeColor="text1"/>
          <w:lang w:val="en-GB"/>
        </w:rPr>
        <w:t>000 bank loan from one of the intermediaries for a</w:t>
      </w:r>
      <w:r w:rsidR="00133F24" w:rsidRPr="005E76F6">
        <w:rPr>
          <w:noProof/>
          <w:color w:val="000000" w:themeColor="text1"/>
          <w:lang w:val="en-GB"/>
        </w:rPr>
        <w:t>n</w:t>
      </w:r>
      <w:r w:rsidRPr="005E76F6">
        <w:rPr>
          <w:noProof/>
          <w:color w:val="000000" w:themeColor="text1"/>
          <w:lang w:val="en-GB"/>
        </w:rPr>
        <w:t xml:space="preserve"> EU-supported loan guarantee scheme. W</w:t>
      </w:r>
      <w:r w:rsidR="000B09F0" w:rsidRPr="005E76F6">
        <w:rPr>
          <w:noProof/>
          <w:color w:val="000000" w:themeColor="text1"/>
          <w:lang w:val="en-GB"/>
        </w:rPr>
        <w:t>•</w:t>
      </w:r>
      <w:r w:rsidRPr="005E76F6">
        <w:rPr>
          <w:noProof/>
          <w:color w:val="000000" w:themeColor="text1"/>
          <w:lang w:val="en-GB"/>
        </w:rPr>
        <w:t>SENSE also attended EEN events to boost their international connections.</w:t>
      </w:r>
    </w:p>
    <w:p w14:paraId="2F829907" w14:textId="76E0A0A2" w:rsidR="00241650" w:rsidRPr="005E76F6" w:rsidRDefault="00241650" w:rsidP="000C2B54">
      <w:pPr>
        <w:pStyle w:val="NormalWeb"/>
        <w:pBdr>
          <w:top w:val="single" w:sz="4" w:space="1" w:color="auto"/>
          <w:left w:val="single" w:sz="4" w:space="4" w:color="auto"/>
          <w:bottom w:val="single" w:sz="4" w:space="1" w:color="auto"/>
          <w:right w:val="single" w:sz="4" w:space="4" w:color="auto"/>
        </w:pBdr>
        <w:spacing w:before="0" w:beforeAutospacing="0" w:after="200" w:afterAutospacing="0" w:line="228" w:lineRule="auto"/>
        <w:jc w:val="both"/>
        <w:rPr>
          <w:noProof/>
          <w:color w:val="000000" w:themeColor="text1"/>
          <w:lang w:val="en-GB"/>
        </w:rPr>
      </w:pPr>
      <w:r w:rsidRPr="005E76F6">
        <w:rPr>
          <w:noProof/>
          <w:color w:val="000000" w:themeColor="text1"/>
          <w:lang w:val="en-GB"/>
        </w:rPr>
        <w:t xml:space="preserve">EEN’s support has enabled W•SENSE to increase their turnover and </w:t>
      </w:r>
      <w:r w:rsidR="00676C49" w:rsidRPr="005E76F6">
        <w:rPr>
          <w:noProof/>
          <w:color w:val="000000" w:themeColor="text1"/>
          <w:lang w:val="en-GB"/>
        </w:rPr>
        <w:t xml:space="preserve">has </w:t>
      </w:r>
      <w:r w:rsidRPr="005E76F6">
        <w:rPr>
          <w:noProof/>
          <w:color w:val="000000" w:themeColor="text1"/>
          <w:lang w:val="en-GB"/>
        </w:rPr>
        <w:t>create</w:t>
      </w:r>
      <w:r w:rsidR="00B31971" w:rsidRPr="005E76F6">
        <w:rPr>
          <w:noProof/>
          <w:color w:val="000000" w:themeColor="text1"/>
          <w:lang w:val="en-GB"/>
        </w:rPr>
        <w:t>d</w:t>
      </w:r>
      <w:r w:rsidRPr="005E76F6">
        <w:rPr>
          <w:noProof/>
          <w:color w:val="000000" w:themeColor="text1"/>
          <w:lang w:val="en-GB"/>
        </w:rPr>
        <w:t xml:space="preserve"> job opportunities in Italy and across Europe. </w:t>
      </w:r>
      <w:r w:rsidR="00FE2948" w:rsidRPr="005E76F6">
        <w:rPr>
          <w:noProof/>
          <w:color w:val="000000" w:themeColor="text1"/>
          <w:lang w:val="en-GB"/>
        </w:rPr>
        <w:t>‘</w:t>
      </w:r>
      <w:r w:rsidRPr="005E76F6">
        <w:rPr>
          <w:noProof/>
          <w:color w:val="000000" w:themeColor="text1"/>
          <w:lang w:val="en-GB"/>
        </w:rPr>
        <w:t xml:space="preserve">Our company doubled its size to 23 people located in </w:t>
      </w:r>
      <w:r w:rsidR="00676C49" w:rsidRPr="005E76F6">
        <w:rPr>
          <w:noProof/>
          <w:color w:val="000000" w:themeColor="text1"/>
          <w:lang w:val="en-GB"/>
        </w:rPr>
        <w:t xml:space="preserve">three </w:t>
      </w:r>
      <w:r w:rsidRPr="005E76F6">
        <w:rPr>
          <w:noProof/>
          <w:color w:val="000000" w:themeColor="text1"/>
          <w:lang w:val="en-GB"/>
        </w:rPr>
        <w:t>European countries,</w:t>
      </w:r>
      <w:r w:rsidR="00FE2948" w:rsidRPr="005E76F6">
        <w:rPr>
          <w:noProof/>
          <w:color w:val="000000" w:themeColor="text1"/>
          <w:lang w:val="en-GB"/>
        </w:rPr>
        <w:t>’</w:t>
      </w:r>
      <w:r w:rsidRPr="005E76F6">
        <w:rPr>
          <w:noProof/>
          <w:color w:val="000000" w:themeColor="text1"/>
          <w:lang w:val="en-GB"/>
        </w:rPr>
        <w:t xml:space="preserve"> said Chiara Petrioli, CEO of W•SENSE. They now have offices in Italy, Norway and the United Kingdom and have won </w:t>
      </w:r>
      <w:r w:rsidR="00FE2948" w:rsidRPr="005E76F6">
        <w:rPr>
          <w:noProof/>
          <w:color w:val="000000" w:themeColor="text1"/>
          <w:lang w:val="en-GB"/>
        </w:rPr>
        <w:t>multiannual</w:t>
      </w:r>
      <w:r w:rsidRPr="005E76F6">
        <w:rPr>
          <w:noProof/>
          <w:color w:val="000000" w:themeColor="text1"/>
          <w:lang w:val="en-GB"/>
        </w:rPr>
        <w:t xml:space="preserve"> contracts with key stakeholders in aquaculture, defence, energy and </w:t>
      </w:r>
      <w:r w:rsidR="00676C49" w:rsidRPr="005E76F6">
        <w:rPr>
          <w:noProof/>
          <w:color w:val="000000" w:themeColor="text1"/>
          <w:lang w:val="en-GB"/>
        </w:rPr>
        <w:t xml:space="preserve">the </w:t>
      </w:r>
      <w:r w:rsidRPr="005E76F6">
        <w:rPr>
          <w:noProof/>
          <w:color w:val="000000" w:themeColor="text1"/>
          <w:lang w:val="en-GB"/>
        </w:rPr>
        <w:t xml:space="preserve">environment. </w:t>
      </w:r>
      <w:r w:rsidR="00FE2948" w:rsidRPr="005E76F6">
        <w:rPr>
          <w:noProof/>
          <w:color w:val="000000" w:themeColor="text1"/>
          <w:lang w:val="en-GB"/>
        </w:rPr>
        <w:t>‘</w:t>
      </w:r>
      <w:r w:rsidRPr="005E76F6">
        <w:rPr>
          <w:noProof/>
          <w:color w:val="000000" w:themeColor="text1"/>
          <w:lang w:val="en-GB"/>
        </w:rPr>
        <w:t>We are growing fast, with an expected compound annual growth rate of about 70% in the next 5 years,</w:t>
      </w:r>
      <w:r w:rsidR="00FE2948" w:rsidRPr="005E76F6">
        <w:rPr>
          <w:noProof/>
          <w:color w:val="000000" w:themeColor="text1"/>
          <w:lang w:val="en-GB"/>
        </w:rPr>
        <w:t>’</w:t>
      </w:r>
      <w:r w:rsidRPr="005E76F6">
        <w:rPr>
          <w:noProof/>
          <w:color w:val="000000" w:themeColor="text1"/>
          <w:lang w:val="en-GB"/>
        </w:rPr>
        <w:t xml:space="preserve"> said Petrioli. </w:t>
      </w:r>
      <w:r w:rsidR="00FE2948" w:rsidRPr="005E76F6">
        <w:rPr>
          <w:noProof/>
          <w:color w:val="000000" w:themeColor="text1"/>
          <w:lang w:val="en-GB"/>
        </w:rPr>
        <w:t>‘</w:t>
      </w:r>
      <w:r w:rsidRPr="005E76F6">
        <w:rPr>
          <w:noProof/>
          <w:color w:val="000000" w:themeColor="text1"/>
          <w:lang w:val="en-GB"/>
        </w:rPr>
        <w:t>We are constantly supported by the Network.</w:t>
      </w:r>
      <w:r w:rsidR="00FE2948" w:rsidRPr="005E76F6">
        <w:rPr>
          <w:noProof/>
          <w:color w:val="000000" w:themeColor="text1"/>
          <w:lang w:val="en-GB"/>
        </w:rPr>
        <w:t>’</w:t>
      </w:r>
    </w:p>
    <w:p w14:paraId="24EAA2C3" w14:textId="00429C38" w:rsidR="00241650" w:rsidRPr="005E76F6" w:rsidRDefault="00241650" w:rsidP="000C2B54">
      <w:pPr>
        <w:spacing w:after="200"/>
        <w:jc w:val="both"/>
        <w:rPr>
          <w:rFonts w:ascii="Times New Roman" w:hAnsi="Times New Roman" w:cs="Times New Roman"/>
          <w:noProof/>
          <w:color w:val="000000" w:themeColor="text1"/>
          <w:sz w:val="24"/>
          <w:szCs w:val="24"/>
          <w:highlight w:val="yellow"/>
        </w:rPr>
      </w:pPr>
    </w:p>
    <w:p w14:paraId="166FC4B9" w14:textId="227F70A6" w:rsidR="009366FC" w:rsidRPr="005E76F6" w:rsidRDefault="009366FC" w:rsidP="000C2B54">
      <w:pPr>
        <w:spacing w:after="200"/>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Other examples of projects, </w:t>
      </w:r>
      <w:r w:rsidR="00676C49" w:rsidRPr="005E76F6">
        <w:rPr>
          <w:rFonts w:ascii="Times New Roman" w:hAnsi="Times New Roman" w:cs="Times New Roman"/>
          <w:noProof/>
          <w:color w:val="000000" w:themeColor="text1"/>
          <w:sz w:val="24"/>
          <w:szCs w:val="24"/>
        </w:rPr>
        <w:t xml:space="preserve">particularly </w:t>
      </w:r>
      <w:r w:rsidRPr="005E76F6">
        <w:rPr>
          <w:rFonts w:ascii="Times New Roman" w:hAnsi="Times New Roman" w:cs="Times New Roman"/>
          <w:noProof/>
          <w:color w:val="000000" w:themeColor="text1"/>
          <w:sz w:val="24"/>
          <w:szCs w:val="24"/>
        </w:rPr>
        <w:t>clusters and tourism projects supporting digitalisation and sustainability goals</w:t>
      </w:r>
      <w:r w:rsidR="00676C49"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 xml:space="preserve"> are briefly mentioned in Annex 4 below.</w:t>
      </w:r>
    </w:p>
    <w:p w14:paraId="50E34F31" w14:textId="77777777" w:rsidR="00DA4F42" w:rsidRPr="0018775F" w:rsidRDefault="00DA4F42" w:rsidP="005E73A4">
      <w:pPr>
        <w:rPr>
          <w:rFonts w:ascii="Times New Roman" w:hAnsi="Times New Roman" w:cs="Times New Roman"/>
          <w:noProof/>
          <w:color w:val="000000" w:themeColor="text1"/>
          <w:sz w:val="24"/>
          <w:szCs w:val="24"/>
          <w:highlight w:val="yellow"/>
        </w:rPr>
      </w:pPr>
    </w:p>
    <w:p w14:paraId="40E6274B" w14:textId="77777777" w:rsidR="00ED63E3" w:rsidRPr="0018775F" w:rsidRDefault="00ED63E3">
      <w:pPr>
        <w:rPr>
          <w:rFonts w:ascii="Times New Roman" w:hAnsi="Times New Roman" w:cs="Times New Roman"/>
          <w:noProof/>
          <w:color w:val="000000" w:themeColor="text1"/>
          <w:sz w:val="24"/>
          <w:szCs w:val="24"/>
          <w:highlight w:val="yellow"/>
        </w:rPr>
      </w:pPr>
      <w:r w:rsidRPr="0018775F">
        <w:rPr>
          <w:rFonts w:ascii="Times New Roman" w:hAnsi="Times New Roman" w:cs="Times New Roman"/>
          <w:noProof/>
          <w:color w:val="000000" w:themeColor="text1"/>
          <w:sz w:val="24"/>
          <w:szCs w:val="24"/>
          <w:highlight w:val="yellow"/>
        </w:rPr>
        <w:br w:type="page"/>
      </w:r>
    </w:p>
    <w:p w14:paraId="35D5F69B" w14:textId="433C6E2F" w:rsidR="002A4F30" w:rsidRPr="005E76F6" w:rsidRDefault="00276E89" w:rsidP="000B392D">
      <w:pPr>
        <w:pStyle w:val="Heading1"/>
        <w:numPr>
          <w:ilvl w:val="0"/>
          <w:numId w:val="0"/>
        </w:numPr>
        <w:spacing w:after="240"/>
        <w:ind w:left="357" w:hanging="357"/>
        <w:rPr>
          <w:noProof/>
        </w:rPr>
      </w:pPr>
      <w:bookmarkStart w:id="42" w:name="_Toc146623405"/>
      <w:r w:rsidRPr="005E76F6">
        <w:rPr>
          <w:noProof/>
        </w:rPr>
        <w:t xml:space="preserve">Annex </w:t>
      </w:r>
      <w:r w:rsidR="008B4A12" w:rsidRPr="005E76F6">
        <w:rPr>
          <w:noProof/>
        </w:rPr>
        <w:t>4</w:t>
      </w:r>
      <w:r w:rsidR="000B392D" w:rsidRPr="005E76F6">
        <w:rPr>
          <w:noProof/>
        </w:rPr>
        <w:t xml:space="preserve"> </w:t>
      </w:r>
      <w:r w:rsidR="00247424" w:rsidRPr="005E76F6">
        <w:rPr>
          <w:rFonts w:eastAsia="Times New Roman"/>
          <w:b/>
          <w:bCs/>
          <w:i/>
          <w:noProof/>
          <w:color w:val="000000" w:themeColor="text1"/>
          <w:lang w:eastAsia="fr-FR"/>
        </w:rPr>
        <w:t>–</w:t>
      </w:r>
      <w:r w:rsidR="000B392D" w:rsidRPr="005E76F6">
        <w:rPr>
          <w:noProof/>
        </w:rPr>
        <w:t xml:space="preserve"> C</w:t>
      </w:r>
      <w:r w:rsidR="002A4F30" w:rsidRPr="005E76F6">
        <w:rPr>
          <w:noProof/>
        </w:rPr>
        <w:t xml:space="preserve">ontribution to </w:t>
      </w:r>
      <w:r w:rsidR="0063035A" w:rsidRPr="005E76F6">
        <w:rPr>
          <w:noProof/>
        </w:rPr>
        <w:t>c</w:t>
      </w:r>
      <w:r w:rsidR="002A4F30" w:rsidRPr="005E76F6">
        <w:rPr>
          <w:noProof/>
        </w:rPr>
        <w:t xml:space="preserve">limate, </w:t>
      </w:r>
      <w:r w:rsidR="0063035A" w:rsidRPr="005E76F6">
        <w:rPr>
          <w:noProof/>
        </w:rPr>
        <w:t>s</w:t>
      </w:r>
      <w:r w:rsidR="009366FC" w:rsidRPr="005E76F6">
        <w:rPr>
          <w:noProof/>
        </w:rPr>
        <w:t>ustainability</w:t>
      </w:r>
      <w:r w:rsidR="000B392D" w:rsidRPr="005E76F6">
        <w:rPr>
          <w:noProof/>
        </w:rPr>
        <w:t xml:space="preserve">, </w:t>
      </w:r>
      <w:r w:rsidR="00961E8F" w:rsidRPr="005E76F6">
        <w:rPr>
          <w:noProof/>
        </w:rPr>
        <w:t>digitalisation and</w:t>
      </w:r>
      <w:r w:rsidR="002A4F30" w:rsidRPr="005E76F6">
        <w:rPr>
          <w:noProof/>
        </w:rPr>
        <w:t xml:space="preserve"> gender goals</w:t>
      </w:r>
      <w:bookmarkEnd w:id="42"/>
    </w:p>
    <w:p w14:paraId="4FB14BF3" w14:textId="1F8279AE" w:rsidR="0063035A" w:rsidRPr="005E76F6" w:rsidRDefault="0063035A" w:rsidP="006C29DE">
      <w:pPr>
        <w:pStyle w:val="ListParagraph"/>
        <w:numPr>
          <w:ilvl w:val="0"/>
          <w:numId w:val="21"/>
        </w:numPr>
        <w:spacing w:before="120" w:after="0"/>
        <w:ind w:left="357" w:hanging="357"/>
        <w:jc w:val="both"/>
        <w:rPr>
          <w:rFonts w:ascii="Times New Roman" w:hAnsi="Times New Roman" w:cs="Times New Roman"/>
          <w:b/>
          <w:noProof/>
          <w:color w:val="000000" w:themeColor="text1"/>
          <w:sz w:val="24"/>
          <w:szCs w:val="24"/>
        </w:rPr>
      </w:pPr>
      <w:r w:rsidRPr="005E76F6">
        <w:rPr>
          <w:rFonts w:ascii="Times New Roman" w:hAnsi="Times New Roman" w:cs="Times New Roman"/>
          <w:b/>
          <w:noProof/>
          <w:color w:val="000000" w:themeColor="text1"/>
          <w:sz w:val="24"/>
          <w:szCs w:val="24"/>
        </w:rPr>
        <w:t>Climate</w:t>
      </w:r>
    </w:p>
    <w:p w14:paraId="4C07A8AD" w14:textId="1BB509EB" w:rsidR="009B7896" w:rsidRPr="005E76F6" w:rsidRDefault="009B7896" w:rsidP="000C2B54">
      <w:pPr>
        <w:spacing w:after="200"/>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Contributions to climate mainstreaming objectives were reported for many actions</w:t>
      </w:r>
      <w:r w:rsidR="002E154C" w:rsidRPr="005E76F6">
        <w:rPr>
          <w:rFonts w:ascii="Times New Roman" w:hAnsi="Times New Roman" w:cs="Times New Roman"/>
          <w:noProof/>
          <w:color w:val="000000" w:themeColor="text1"/>
          <w:sz w:val="24"/>
          <w:szCs w:val="24"/>
        </w:rPr>
        <w:t>. A few examples are provided below:</w:t>
      </w:r>
    </w:p>
    <w:p w14:paraId="6DDF42C0" w14:textId="738BB2FF" w:rsidR="009B7896" w:rsidRPr="005E76F6" w:rsidRDefault="009B7896" w:rsidP="000C2B54">
      <w:pPr>
        <w:spacing w:after="200"/>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The </w:t>
      </w:r>
      <w:r w:rsidRPr="005E76F6">
        <w:rPr>
          <w:rFonts w:ascii="Times New Roman" w:hAnsi="Times New Roman" w:cs="Times New Roman"/>
          <w:b/>
          <w:noProof/>
          <w:color w:val="000000" w:themeColor="text1"/>
          <w:sz w:val="24"/>
          <w:szCs w:val="24"/>
        </w:rPr>
        <w:t>EEN</w:t>
      </w:r>
      <w:r w:rsidRPr="005E76F6">
        <w:rPr>
          <w:rFonts w:ascii="Times New Roman" w:hAnsi="Times New Roman" w:cs="Times New Roman"/>
          <w:noProof/>
          <w:color w:val="000000" w:themeColor="text1"/>
          <w:sz w:val="24"/>
          <w:szCs w:val="24"/>
        </w:rPr>
        <w:t xml:space="preserve"> helps SMEs address climate-related challenges in various ways. For example,</w:t>
      </w:r>
      <w:r w:rsidR="00247424" w:rsidRPr="005E76F6">
        <w:rPr>
          <w:rFonts w:ascii="Times New Roman" w:hAnsi="Times New Roman" w:cs="Times New Roman"/>
          <w:noProof/>
          <w:color w:val="000000" w:themeColor="text1"/>
          <w:sz w:val="24"/>
          <w:szCs w:val="24"/>
        </w:rPr>
        <w:t xml:space="preserve"> it</w:t>
      </w:r>
      <w:r w:rsidRPr="005E76F6">
        <w:rPr>
          <w:rFonts w:ascii="Times New Roman" w:hAnsi="Times New Roman" w:cs="Times New Roman"/>
          <w:noProof/>
          <w:color w:val="000000" w:themeColor="text1"/>
          <w:sz w:val="24"/>
          <w:szCs w:val="24"/>
        </w:rPr>
        <w:t xml:space="preserve"> </w:t>
      </w:r>
      <w:r w:rsidR="00247424" w:rsidRPr="005E76F6">
        <w:rPr>
          <w:rFonts w:ascii="Times New Roman" w:hAnsi="Times New Roman" w:cs="Times New Roman"/>
          <w:noProof/>
          <w:color w:val="000000" w:themeColor="text1"/>
          <w:sz w:val="24"/>
          <w:szCs w:val="24"/>
        </w:rPr>
        <w:t xml:space="preserve">helps </w:t>
      </w:r>
      <w:r w:rsidRPr="005E76F6">
        <w:rPr>
          <w:rFonts w:ascii="Times New Roman" w:hAnsi="Times New Roman" w:cs="Times New Roman"/>
          <w:noProof/>
          <w:color w:val="000000" w:themeColor="text1"/>
          <w:sz w:val="24"/>
          <w:szCs w:val="24"/>
        </w:rPr>
        <w:t>them use innovation to become more energy</w:t>
      </w:r>
      <w:r w:rsidR="00247424"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 xml:space="preserve"> and resource</w:t>
      </w:r>
      <w:r w:rsidR="00247424"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efficient, by reducing waste and minimising energy consumption</w:t>
      </w:r>
      <w:r w:rsidR="00247424" w:rsidRPr="005E76F6">
        <w:rPr>
          <w:rFonts w:ascii="Times New Roman" w:hAnsi="Times New Roman" w:cs="Times New Roman"/>
          <w:noProof/>
          <w:color w:val="000000" w:themeColor="text1"/>
          <w:sz w:val="24"/>
          <w:szCs w:val="24"/>
        </w:rPr>
        <w:t>, thus enabling</w:t>
      </w:r>
      <w:r w:rsidRPr="005E76F6">
        <w:rPr>
          <w:rFonts w:ascii="Times New Roman" w:hAnsi="Times New Roman" w:cs="Times New Roman"/>
          <w:noProof/>
          <w:color w:val="000000" w:themeColor="text1"/>
          <w:sz w:val="24"/>
          <w:szCs w:val="24"/>
        </w:rPr>
        <w:t xml:space="preserve"> them to reduce their CO</w:t>
      </w:r>
      <w:r w:rsidR="00FE2948" w:rsidRPr="005E76F6">
        <w:rPr>
          <w:rFonts w:ascii="Times New Roman" w:hAnsi="Times New Roman" w:cs="Times New Roman"/>
          <w:noProof/>
          <w:color w:val="000000" w:themeColor="text1"/>
          <w:sz w:val="24"/>
          <w:szCs w:val="24"/>
          <w:vertAlign w:val="subscript"/>
        </w:rPr>
        <w:t>2</w:t>
      </w:r>
      <w:r w:rsidRPr="005E76F6">
        <w:rPr>
          <w:rFonts w:ascii="Times New Roman" w:hAnsi="Times New Roman" w:cs="Times New Roman"/>
          <w:noProof/>
          <w:color w:val="000000" w:themeColor="text1"/>
          <w:sz w:val="24"/>
          <w:szCs w:val="24"/>
        </w:rPr>
        <w:t xml:space="preserve"> footprint. The network also has sector and thematic groups focusing on sustainable construction, intelligent energy, the environment and the circular economy. Over 200 expert EEN business advisers specialise in climate-related issues such as the circular economy, intelligent energy, sustainable construction and green technologies</w:t>
      </w:r>
      <w:r w:rsidRPr="005E76F6">
        <w:rPr>
          <w:rStyle w:val="FootnoteReference"/>
          <w:rFonts w:ascii="Times New Roman" w:hAnsi="Times New Roman" w:cs="Times New Roman"/>
          <w:noProof/>
          <w:color w:val="000000" w:themeColor="text1"/>
          <w:sz w:val="24"/>
          <w:szCs w:val="24"/>
        </w:rPr>
        <w:footnoteReference w:id="45"/>
      </w:r>
      <w:r w:rsidRPr="005E76F6">
        <w:rPr>
          <w:rFonts w:ascii="Times New Roman" w:hAnsi="Times New Roman" w:cs="Times New Roman"/>
          <w:noProof/>
          <w:color w:val="000000" w:themeColor="text1"/>
          <w:sz w:val="24"/>
          <w:szCs w:val="24"/>
        </w:rPr>
        <w:t>.</w:t>
      </w:r>
    </w:p>
    <w:p w14:paraId="3DDCC645" w14:textId="2E4E6935" w:rsidR="00834C6F" w:rsidRPr="005E76F6" w:rsidRDefault="002E154C" w:rsidP="000C2B54">
      <w:pPr>
        <w:spacing w:after="200" w:line="240" w:lineRule="auto"/>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 xml:space="preserve">The </w:t>
      </w:r>
      <w:r w:rsidR="00834C6F" w:rsidRPr="005E76F6">
        <w:rPr>
          <w:rFonts w:ascii="Times New Roman" w:eastAsia="Times New Roman" w:hAnsi="Times New Roman" w:cs="Times New Roman"/>
          <w:bCs/>
          <w:iCs/>
          <w:noProof/>
          <w:color w:val="000000" w:themeColor="text1"/>
          <w:sz w:val="24"/>
          <w:szCs w:val="24"/>
          <w:lang w:eastAsia="fr-FR"/>
        </w:rPr>
        <w:t xml:space="preserve">COSME </w:t>
      </w:r>
      <w:r w:rsidR="00834C6F" w:rsidRPr="005E76F6">
        <w:rPr>
          <w:rFonts w:ascii="Times New Roman" w:eastAsia="Times New Roman" w:hAnsi="Times New Roman" w:cs="Times New Roman"/>
          <w:b/>
          <w:bCs/>
          <w:iCs/>
          <w:noProof/>
          <w:color w:val="000000" w:themeColor="text1"/>
          <w:sz w:val="24"/>
          <w:szCs w:val="24"/>
          <w:lang w:eastAsia="fr-FR"/>
        </w:rPr>
        <w:t>Equity Facility for Growth</w:t>
      </w:r>
      <w:r w:rsidR="00834C6F" w:rsidRPr="005E76F6">
        <w:rPr>
          <w:rFonts w:ascii="Times New Roman" w:eastAsia="Times New Roman" w:hAnsi="Times New Roman" w:cs="Times New Roman"/>
          <w:bCs/>
          <w:iCs/>
          <w:noProof/>
          <w:color w:val="000000" w:themeColor="text1"/>
          <w:sz w:val="24"/>
          <w:szCs w:val="24"/>
          <w:lang w:eastAsia="fr-FR"/>
        </w:rPr>
        <w:t xml:space="preserve"> has invested EUR</w:t>
      </w:r>
      <w:r w:rsidR="00FE2948" w:rsidRPr="005E76F6">
        <w:rPr>
          <w:rFonts w:ascii="Times New Roman" w:eastAsia="Times New Roman" w:hAnsi="Times New Roman" w:cs="Times New Roman"/>
          <w:bCs/>
          <w:iCs/>
          <w:noProof/>
          <w:color w:val="000000" w:themeColor="text1"/>
          <w:sz w:val="24"/>
          <w:szCs w:val="24"/>
          <w:lang w:eastAsia="fr-FR"/>
        </w:rPr>
        <w:t> </w:t>
      </w:r>
      <w:r w:rsidR="00834C6F" w:rsidRPr="005E76F6">
        <w:rPr>
          <w:rFonts w:ascii="Times New Roman" w:eastAsia="Times New Roman" w:hAnsi="Times New Roman" w:cs="Times New Roman"/>
          <w:bCs/>
          <w:iCs/>
          <w:noProof/>
          <w:color w:val="000000" w:themeColor="text1"/>
          <w:sz w:val="24"/>
          <w:szCs w:val="24"/>
          <w:lang w:eastAsia="fr-FR"/>
        </w:rPr>
        <w:t xml:space="preserve">6.7 million in a </w:t>
      </w:r>
      <w:r w:rsidR="00247424" w:rsidRPr="005E76F6">
        <w:rPr>
          <w:rFonts w:ascii="Times New Roman" w:eastAsia="Times New Roman" w:hAnsi="Times New Roman" w:cs="Times New Roman"/>
          <w:bCs/>
          <w:iCs/>
          <w:noProof/>
          <w:color w:val="000000" w:themeColor="text1"/>
          <w:sz w:val="24"/>
          <w:szCs w:val="24"/>
          <w:lang w:eastAsia="fr-FR"/>
        </w:rPr>
        <w:t>v</w:t>
      </w:r>
      <w:r w:rsidR="00834C6F" w:rsidRPr="005E76F6">
        <w:rPr>
          <w:rFonts w:ascii="Times New Roman" w:eastAsia="Times New Roman" w:hAnsi="Times New Roman" w:cs="Times New Roman"/>
          <w:bCs/>
          <w:iCs/>
          <w:noProof/>
          <w:color w:val="000000" w:themeColor="text1"/>
          <w:sz w:val="24"/>
          <w:szCs w:val="24"/>
          <w:lang w:eastAsia="fr-FR"/>
        </w:rPr>
        <w:t xml:space="preserve">enture </w:t>
      </w:r>
      <w:r w:rsidR="00247424" w:rsidRPr="005E76F6">
        <w:rPr>
          <w:rFonts w:ascii="Times New Roman" w:eastAsia="Times New Roman" w:hAnsi="Times New Roman" w:cs="Times New Roman"/>
          <w:bCs/>
          <w:iCs/>
          <w:noProof/>
          <w:color w:val="000000" w:themeColor="text1"/>
          <w:sz w:val="24"/>
          <w:szCs w:val="24"/>
          <w:lang w:eastAsia="fr-FR"/>
        </w:rPr>
        <w:t>c</w:t>
      </w:r>
      <w:r w:rsidR="00834C6F" w:rsidRPr="005E76F6">
        <w:rPr>
          <w:rFonts w:ascii="Times New Roman" w:eastAsia="Times New Roman" w:hAnsi="Times New Roman" w:cs="Times New Roman"/>
          <w:bCs/>
          <w:iCs/>
          <w:noProof/>
          <w:color w:val="000000" w:themeColor="text1"/>
          <w:sz w:val="24"/>
          <w:szCs w:val="24"/>
          <w:lang w:eastAsia="fr-FR"/>
        </w:rPr>
        <w:t>apital fund focusing its activities on clean technologies</w:t>
      </w:r>
      <w:r w:rsidR="000B09F0" w:rsidRPr="005E76F6">
        <w:rPr>
          <w:rFonts w:ascii="Times New Roman" w:eastAsia="Times New Roman" w:hAnsi="Times New Roman" w:cs="Times New Roman"/>
          <w:bCs/>
          <w:iCs/>
          <w:noProof/>
          <w:color w:val="000000" w:themeColor="text1"/>
          <w:sz w:val="24"/>
          <w:szCs w:val="24"/>
          <w:lang w:eastAsia="fr-FR"/>
        </w:rPr>
        <w:t>.</w:t>
      </w:r>
    </w:p>
    <w:p w14:paraId="67C80CCE" w14:textId="1126DF50" w:rsidR="00247424" w:rsidRPr="005E76F6" w:rsidRDefault="00C927C4" w:rsidP="000C2B54">
      <w:pPr>
        <w:spacing w:after="200" w:line="240" w:lineRule="auto"/>
        <w:jc w:val="both"/>
        <w:rPr>
          <w:rFonts w:ascii="Times New Roman" w:eastAsia="Times New Roman" w:hAnsi="Times New Roman" w:cs="Times New Roman"/>
          <w:bCs/>
          <w:iCs/>
          <w:noProof/>
          <w:color w:val="000000" w:themeColor="text1"/>
          <w:sz w:val="24"/>
          <w:szCs w:val="24"/>
          <w:lang w:eastAsia="fr-FR"/>
        </w:rPr>
      </w:pPr>
      <w:hyperlink r:id="rId32" w:history="1">
        <w:r w:rsidR="00834C6F" w:rsidRPr="005E76F6">
          <w:rPr>
            <w:rStyle w:val="Hyperlink"/>
            <w:rFonts w:ascii="Times New Roman" w:eastAsia="Times New Roman" w:hAnsi="Times New Roman" w:cs="Times New Roman"/>
            <w:bCs/>
            <w:iCs/>
            <w:noProof/>
            <w:color w:val="000000" w:themeColor="text1"/>
            <w:sz w:val="24"/>
            <w:szCs w:val="24"/>
            <w:lang w:eastAsia="fr-FR"/>
          </w:rPr>
          <w:t>https://www.eif.org/what_we_do/equity/single_eu_equity_instrument/cosme_efg/intermediaries.pdf</w:t>
        </w:r>
      </w:hyperlink>
      <w:r w:rsidR="00834C6F" w:rsidRPr="005E76F6">
        <w:rPr>
          <w:rFonts w:ascii="Times New Roman" w:eastAsia="Times New Roman" w:hAnsi="Times New Roman" w:cs="Times New Roman"/>
          <w:bCs/>
          <w:iCs/>
          <w:noProof/>
          <w:color w:val="000000" w:themeColor="text1"/>
          <w:sz w:val="24"/>
          <w:szCs w:val="24"/>
          <w:lang w:eastAsia="fr-FR"/>
        </w:rPr>
        <w:t>.</w:t>
      </w:r>
      <w:r w:rsidR="00FE2948" w:rsidRPr="005E76F6">
        <w:rPr>
          <w:rFonts w:ascii="Times New Roman" w:eastAsia="Times New Roman" w:hAnsi="Times New Roman" w:cs="Times New Roman"/>
          <w:bCs/>
          <w:iCs/>
          <w:noProof/>
          <w:color w:val="000000" w:themeColor="text1"/>
          <w:sz w:val="24"/>
          <w:szCs w:val="24"/>
          <w:lang w:eastAsia="fr-FR"/>
        </w:rPr>
        <w:t xml:space="preserve"> </w:t>
      </w:r>
    </w:p>
    <w:p w14:paraId="7EFA2997" w14:textId="44D78B2D" w:rsidR="00247424" w:rsidRPr="005E76F6" w:rsidRDefault="00247424" w:rsidP="000C2B54">
      <w:pPr>
        <w:spacing w:after="200" w:line="240" w:lineRule="auto"/>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F</w:t>
      </w:r>
      <w:r w:rsidR="00834C6F" w:rsidRPr="005E76F6">
        <w:rPr>
          <w:rFonts w:ascii="Times New Roman" w:eastAsia="Times New Roman" w:hAnsi="Times New Roman" w:cs="Times New Roman"/>
          <w:bCs/>
          <w:iCs/>
          <w:noProof/>
          <w:color w:val="000000" w:themeColor="text1"/>
          <w:sz w:val="24"/>
          <w:szCs w:val="24"/>
          <w:lang w:eastAsia="fr-FR"/>
        </w:rPr>
        <w:t xml:space="preserve">or the </w:t>
      </w:r>
      <w:r w:rsidRPr="005E76F6">
        <w:rPr>
          <w:rFonts w:ascii="Times New Roman" w:eastAsia="Times New Roman" w:hAnsi="Times New Roman" w:cs="Times New Roman"/>
          <w:bCs/>
          <w:iCs/>
          <w:noProof/>
          <w:color w:val="000000" w:themeColor="text1"/>
          <w:sz w:val="24"/>
          <w:szCs w:val="24"/>
          <w:lang w:eastAsia="fr-FR"/>
        </w:rPr>
        <w:t xml:space="preserve">whole </w:t>
      </w:r>
      <w:r w:rsidR="00834C6F" w:rsidRPr="005E76F6">
        <w:rPr>
          <w:rFonts w:ascii="Times New Roman" w:eastAsia="Times New Roman" w:hAnsi="Times New Roman" w:cs="Times New Roman"/>
          <w:bCs/>
          <w:iCs/>
          <w:noProof/>
          <w:color w:val="000000" w:themeColor="text1"/>
          <w:sz w:val="24"/>
          <w:szCs w:val="24"/>
          <w:lang w:eastAsia="fr-FR"/>
        </w:rPr>
        <w:t xml:space="preserve">programming period, the COSME EFG facilitated </w:t>
      </w:r>
      <w:r w:rsidRPr="005E76F6">
        <w:rPr>
          <w:rFonts w:ascii="Times New Roman" w:eastAsia="Times New Roman" w:hAnsi="Times New Roman" w:cs="Times New Roman"/>
          <w:bCs/>
          <w:iCs/>
          <w:noProof/>
          <w:color w:val="000000" w:themeColor="text1"/>
          <w:sz w:val="24"/>
          <w:szCs w:val="24"/>
          <w:lang w:eastAsia="fr-FR"/>
        </w:rPr>
        <w:t xml:space="preserve">investment of </w:t>
      </w:r>
      <w:r w:rsidR="00834C6F" w:rsidRPr="005E76F6">
        <w:rPr>
          <w:rFonts w:ascii="Times New Roman" w:eastAsia="Times New Roman" w:hAnsi="Times New Roman" w:cs="Times New Roman"/>
          <w:bCs/>
          <w:iCs/>
          <w:noProof/>
          <w:color w:val="000000" w:themeColor="text1"/>
          <w:sz w:val="24"/>
          <w:szCs w:val="24"/>
          <w:lang w:eastAsia="fr-FR"/>
        </w:rPr>
        <w:t>more than EUR </w:t>
      </w:r>
      <w:r w:rsidR="00EF44D4" w:rsidRPr="005E76F6">
        <w:rPr>
          <w:rFonts w:ascii="Times New Roman" w:eastAsia="Times New Roman" w:hAnsi="Times New Roman" w:cs="Times New Roman"/>
          <w:bCs/>
          <w:iCs/>
          <w:noProof/>
          <w:color w:val="000000" w:themeColor="text1"/>
          <w:sz w:val="24"/>
          <w:szCs w:val="24"/>
          <w:lang w:eastAsia="fr-FR"/>
        </w:rPr>
        <w:t xml:space="preserve">62 </w:t>
      </w:r>
      <w:r w:rsidR="00834C6F" w:rsidRPr="005E76F6">
        <w:rPr>
          <w:rFonts w:ascii="Times New Roman" w:eastAsia="Times New Roman" w:hAnsi="Times New Roman" w:cs="Times New Roman"/>
          <w:bCs/>
          <w:iCs/>
          <w:noProof/>
          <w:color w:val="000000" w:themeColor="text1"/>
          <w:sz w:val="24"/>
          <w:szCs w:val="24"/>
          <w:lang w:eastAsia="fr-FR"/>
        </w:rPr>
        <w:t xml:space="preserve">million in SMEs operating in the </w:t>
      </w:r>
      <w:r w:rsidR="000B09F0" w:rsidRPr="005E76F6">
        <w:rPr>
          <w:rFonts w:ascii="Times New Roman" w:eastAsia="Times New Roman" w:hAnsi="Times New Roman" w:cs="Times New Roman"/>
          <w:bCs/>
          <w:iCs/>
          <w:noProof/>
          <w:color w:val="000000" w:themeColor="text1"/>
          <w:sz w:val="24"/>
          <w:szCs w:val="24"/>
          <w:lang w:eastAsia="fr-FR"/>
        </w:rPr>
        <w:t>e</w:t>
      </w:r>
      <w:r w:rsidR="00834C6F" w:rsidRPr="005E76F6">
        <w:rPr>
          <w:rFonts w:ascii="Times New Roman" w:eastAsia="Times New Roman" w:hAnsi="Times New Roman" w:cs="Times New Roman"/>
          <w:bCs/>
          <w:iCs/>
          <w:noProof/>
          <w:color w:val="000000" w:themeColor="text1"/>
          <w:sz w:val="24"/>
          <w:szCs w:val="24"/>
          <w:lang w:eastAsia="fr-FR"/>
        </w:rPr>
        <w:t xml:space="preserve">nergy and </w:t>
      </w:r>
      <w:r w:rsidR="000B09F0" w:rsidRPr="005E76F6">
        <w:rPr>
          <w:rFonts w:ascii="Times New Roman" w:eastAsia="Times New Roman" w:hAnsi="Times New Roman" w:cs="Times New Roman"/>
          <w:bCs/>
          <w:iCs/>
          <w:noProof/>
          <w:color w:val="000000" w:themeColor="text1"/>
          <w:sz w:val="24"/>
          <w:szCs w:val="24"/>
          <w:lang w:eastAsia="fr-FR"/>
        </w:rPr>
        <w:t>e</w:t>
      </w:r>
      <w:r w:rsidR="00834C6F" w:rsidRPr="005E76F6">
        <w:rPr>
          <w:rFonts w:ascii="Times New Roman" w:eastAsia="Times New Roman" w:hAnsi="Times New Roman" w:cs="Times New Roman"/>
          <w:bCs/>
          <w:iCs/>
          <w:noProof/>
          <w:color w:val="000000" w:themeColor="text1"/>
          <w:sz w:val="24"/>
          <w:szCs w:val="24"/>
          <w:lang w:eastAsia="fr-FR"/>
        </w:rPr>
        <w:t xml:space="preserve">nvironment sector. </w:t>
      </w:r>
      <w:r w:rsidRPr="005E76F6">
        <w:rPr>
          <w:rFonts w:ascii="Times New Roman" w:eastAsia="Times New Roman" w:hAnsi="Times New Roman" w:cs="Times New Roman"/>
          <w:bCs/>
          <w:iCs/>
          <w:noProof/>
          <w:color w:val="000000" w:themeColor="text1"/>
          <w:sz w:val="24"/>
          <w:szCs w:val="24"/>
          <w:lang w:eastAsia="fr-FR"/>
        </w:rPr>
        <w:t>I</w:t>
      </w:r>
      <w:r w:rsidR="00834C6F" w:rsidRPr="005E76F6">
        <w:rPr>
          <w:rFonts w:ascii="Times New Roman" w:eastAsia="Times New Roman" w:hAnsi="Times New Roman" w:cs="Times New Roman"/>
          <w:bCs/>
          <w:iCs/>
          <w:noProof/>
          <w:color w:val="000000" w:themeColor="text1"/>
          <w:sz w:val="24"/>
          <w:szCs w:val="24"/>
          <w:lang w:eastAsia="fr-FR"/>
        </w:rPr>
        <w:t>nvestments in this sector further increased after the programming period</w:t>
      </w:r>
      <w:r w:rsidR="000B09F0" w:rsidRPr="005E76F6">
        <w:rPr>
          <w:rFonts w:ascii="Times New Roman" w:eastAsia="Times New Roman" w:hAnsi="Times New Roman" w:cs="Times New Roman"/>
          <w:bCs/>
          <w:iCs/>
          <w:noProof/>
          <w:color w:val="000000" w:themeColor="text1"/>
          <w:sz w:val="24"/>
          <w:szCs w:val="24"/>
          <w:lang w:eastAsia="fr-FR"/>
        </w:rPr>
        <w:t>.</w:t>
      </w:r>
      <w:r w:rsidR="00834C6F" w:rsidRPr="005E76F6">
        <w:rPr>
          <w:rFonts w:ascii="Times New Roman" w:eastAsia="Times New Roman" w:hAnsi="Times New Roman" w:cs="Times New Roman"/>
          <w:bCs/>
          <w:iCs/>
          <w:noProof/>
          <w:color w:val="000000" w:themeColor="text1"/>
          <w:sz w:val="24"/>
          <w:szCs w:val="24"/>
          <w:lang w:eastAsia="fr-FR"/>
        </w:rPr>
        <w:t xml:space="preserve"> </w:t>
      </w:r>
    </w:p>
    <w:p w14:paraId="2F4D4C75" w14:textId="1E0C0BA6" w:rsidR="00834C6F" w:rsidRPr="005E76F6" w:rsidRDefault="00C927C4" w:rsidP="000C2B54">
      <w:pPr>
        <w:spacing w:after="200" w:line="240" w:lineRule="auto"/>
        <w:jc w:val="both"/>
        <w:rPr>
          <w:rFonts w:ascii="Times New Roman" w:eastAsia="Times New Roman" w:hAnsi="Times New Roman" w:cs="Times New Roman"/>
          <w:bCs/>
          <w:iCs/>
          <w:noProof/>
          <w:color w:val="000000" w:themeColor="text1"/>
          <w:sz w:val="24"/>
          <w:szCs w:val="24"/>
          <w:lang w:eastAsia="fr-FR"/>
        </w:rPr>
      </w:pPr>
      <w:hyperlink r:id="rId33" w:history="1">
        <w:r w:rsidR="00247424" w:rsidRPr="005E76F6">
          <w:rPr>
            <w:rStyle w:val="Hyperlink"/>
            <w:rFonts w:ascii="Times New Roman" w:eastAsia="Times New Roman" w:hAnsi="Times New Roman" w:cs="Times New Roman"/>
            <w:bCs/>
            <w:iCs/>
            <w:noProof/>
            <w:sz w:val="24"/>
            <w:szCs w:val="24"/>
            <w:lang w:eastAsia="fr-FR"/>
          </w:rPr>
          <w:t>https://www.eif.org/what_we_do/equity/single_eu_equity_instrument/cosme_efg/cosme-efg-implementation-update.pdf</w:t>
        </w:r>
      </w:hyperlink>
      <w:r w:rsidR="00834C6F" w:rsidRPr="005E76F6">
        <w:rPr>
          <w:rFonts w:ascii="Times New Roman" w:eastAsia="Times New Roman" w:hAnsi="Times New Roman" w:cs="Times New Roman"/>
          <w:bCs/>
          <w:iCs/>
          <w:noProof/>
          <w:color w:val="000000" w:themeColor="text1"/>
          <w:sz w:val="24"/>
          <w:szCs w:val="24"/>
          <w:lang w:eastAsia="fr-FR"/>
        </w:rPr>
        <w:t>.</w:t>
      </w:r>
    </w:p>
    <w:p w14:paraId="24DB2997" w14:textId="2FE5E1B8" w:rsidR="006F214A" w:rsidRPr="005E76F6" w:rsidRDefault="006F214A" w:rsidP="000C2B54">
      <w:pPr>
        <w:spacing w:after="200" w:line="240" w:lineRule="auto"/>
        <w:jc w:val="both"/>
        <w:rPr>
          <w:rFonts w:ascii="Times New Roman" w:eastAsia="Times New Roman" w:hAnsi="Times New Roman" w:cs="Times New Roman"/>
          <w:noProof/>
          <w:color w:val="000000" w:themeColor="text1"/>
          <w:sz w:val="24"/>
          <w:szCs w:val="24"/>
          <w:lang w:eastAsia="fr-BE"/>
        </w:rPr>
      </w:pPr>
      <w:r w:rsidRPr="005E76F6">
        <w:rPr>
          <w:rFonts w:ascii="Times New Roman" w:eastAsia="Times New Roman" w:hAnsi="Times New Roman" w:cs="Times New Roman"/>
          <w:noProof/>
          <w:color w:val="000000" w:themeColor="text1"/>
          <w:sz w:val="24"/>
          <w:szCs w:val="24"/>
          <w:lang w:eastAsia="en-GB"/>
        </w:rPr>
        <w:t xml:space="preserve">The 2022 edition of the </w:t>
      </w:r>
      <w:r w:rsidRPr="005E76F6">
        <w:rPr>
          <w:rFonts w:ascii="Times New Roman" w:eastAsia="Times New Roman" w:hAnsi="Times New Roman" w:cs="Times New Roman"/>
          <w:b/>
          <w:noProof/>
          <w:color w:val="000000" w:themeColor="text1"/>
          <w:sz w:val="24"/>
          <w:szCs w:val="24"/>
          <w:lang w:eastAsia="en-GB"/>
        </w:rPr>
        <w:t xml:space="preserve">Flash Eurobarometer on small and medium enterprises (SMEs), resource efficiency and green markets </w:t>
      </w:r>
      <w:r w:rsidRPr="005E76F6">
        <w:rPr>
          <w:rFonts w:ascii="Times New Roman" w:eastAsia="Times New Roman" w:hAnsi="Times New Roman" w:cs="Times New Roman"/>
          <w:noProof/>
          <w:color w:val="000000" w:themeColor="text1"/>
          <w:sz w:val="24"/>
          <w:szCs w:val="24"/>
          <w:lang w:eastAsia="en-GB"/>
        </w:rPr>
        <w:t xml:space="preserve">funded by </w:t>
      </w:r>
      <w:r w:rsidR="00247424" w:rsidRPr="005E76F6">
        <w:rPr>
          <w:rFonts w:ascii="Times New Roman" w:eastAsia="Times New Roman" w:hAnsi="Times New Roman" w:cs="Times New Roman"/>
          <w:noProof/>
          <w:color w:val="000000" w:themeColor="text1"/>
          <w:sz w:val="24"/>
          <w:szCs w:val="24"/>
          <w:lang w:eastAsia="en-GB"/>
        </w:rPr>
        <w:t xml:space="preserve">the </w:t>
      </w:r>
      <w:r w:rsidRPr="005E76F6">
        <w:rPr>
          <w:rFonts w:ascii="Times New Roman" w:eastAsia="Times New Roman" w:hAnsi="Times New Roman" w:cs="Times New Roman"/>
          <w:noProof/>
          <w:color w:val="000000" w:themeColor="text1"/>
          <w:sz w:val="24"/>
          <w:szCs w:val="24"/>
          <w:lang w:eastAsia="en-GB"/>
        </w:rPr>
        <w:t>2020 budget</w:t>
      </w:r>
      <w:r w:rsidRPr="005E76F6">
        <w:rPr>
          <w:rFonts w:ascii="Times New Roman" w:eastAsia="Times New Roman" w:hAnsi="Times New Roman" w:cs="Times New Roman"/>
          <w:bCs/>
          <w:noProof/>
          <w:color w:val="000000" w:themeColor="text1"/>
          <w:sz w:val="24"/>
          <w:szCs w:val="24"/>
          <w:lang w:eastAsia="fr-FR"/>
        </w:rPr>
        <w:t xml:space="preserve"> looks into SMEs’ performance and actions to become more resource-efficient, the barriers they encounter and the potential </w:t>
      </w:r>
      <w:r w:rsidR="000B09F0" w:rsidRPr="005E76F6">
        <w:rPr>
          <w:rFonts w:ascii="Times New Roman" w:eastAsia="Times New Roman" w:hAnsi="Times New Roman" w:cs="Times New Roman"/>
          <w:bCs/>
          <w:noProof/>
          <w:color w:val="000000" w:themeColor="text1"/>
          <w:sz w:val="24"/>
          <w:szCs w:val="24"/>
          <w:lang w:eastAsia="fr-FR"/>
        </w:rPr>
        <w:t xml:space="preserve">for </w:t>
      </w:r>
      <w:r w:rsidRPr="005E76F6">
        <w:rPr>
          <w:rFonts w:ascii="Times New Roman" w:eastAsia="Times New Roman" w:hAnsi="Times New Roman" w:cs="Times New Roman"/>
          <w:bCs/>
          <w:noProof/>
          <w:color w:val="000000" w:themeColor="text1"/>
          <w:sz w:val="24"/>
          <w:szCs w:val="24"/>
          <w:lang w:eastAsia="fr-FR"/>
        </w:rPr>
        <w:t>policy measures to speed</w:t>
      </w:r>
      <w:r w:rsidR="000B09F0" w:rsidRPr="005E76F6">
        <w:rPr>
          <w:rFonts w:ascii="Times New Roman" w:eastAsia="Times New Roman" w:hAnsi="Times New Roman" w:cs="Times New Roman"/>
          <w:bCs/>
          <w:noProof/>
          <w:color w:val="000000" w:themeColor="text1"/>
          <w:sz w:val="24"/>
          <w:szCs w:val="24"/>
          <w:lang w:eastAsia="fr-FR"/>
        </w:rPr>
        <w:t xml:space="preserve"> </w:t>
      </w:r>
      <w:r w:rsidRPr="005E76F6">
        <w:rPr>
          <w:rFonts w:ascii="Times New Roman" w:eastAsia="Times New Roman" w:hAnsi="Times New Roman" w:cs="Times New Roman"/>
          <w:bCs/>
          <w:noProof/>
          <w:color w:val="000000" w:themeColor="text1"/>
          <w:sz w:val="24"/>
          <w:szCs w:val="24"/>
          <w:lang w:eastAsia="fr-FR"/>
        </w:rPr>
        <w:t xml:space="preserve">up SMEs’ green transition. </w:t>
      </w:r>
      <w:r w:rsidR="000B09F0" w:rsidRPr="005E76F6">
        <w:rPr>
          <w:rFonts w:ascii="Times New Roman" w:eastAsia="Times New Roman" w:hAnsi="Times New Roman" w:cs="Times New Roman"/>
          <w:bCs/>
          <w:noProof/>
          <w:color w:val="000000" w:themeColor="text1"/>
          <w:sz w:val="24"/>
          <w:szCs w:val="24"/>
          <w:lang w:eastAsia="fr-FR"/>
        </w:rPr>
        <w:t xml:space="preserve">The Eurobarometer </w:t>
      </w:r>
      <w:r w:rsidRPr="005E76F6">
        <w:rPr>
          <w:rFonts w:ascii="Times New Roman" w:eastAsia="Times New Roman" w:hAnsi="Times New Roman" w:cs="Times New Roman"/>
          <w:bCs/>
          <w:noProof/>
          <w:color w:val="000000" w:themeColor="text1"/>
          <w:sz w:val="24"/>
          <w:szCs w:val="24"/>
          <w:lang w:eastAsia="fr-FR"/>
        </w:rPr>
        <w:t xml:space="preserve">is being used for </w:t>
      </w:r>
      <w:r w:rsidR="00FE2948" w:rsidRPr="005E76F6">
        <w:rPr>
          <w:rFonts w:ascii="Times New Roman" w:eastAsia="Times New Roman" w:hAnsi="Times New Roman" w:cs="Times New Roman"/>
          <w:bCs/>
          <w:noProof/>
          <w:color w:val="000000" w:themeColor="text1"/>
          <w:sz w:val="24"/>
          <w:szCs w:val="24"/>
          <w:lang w:eastAsia="fr-FR"/>
        </w:rPr>
        <w:t>policymak</w:t>
      </w:r>
      <w:r w:rsidRPr="005E76F6">
        <w:rPr>
          <w:rFonts w:ascii="Times New Roman" w:eastAsia="Times New Roman" w:hAnsi="Times New Roman" w:cs="Times New Roman"/>
          <w:bCs/>
          <w:noProof/>
          <w:color w:val="000000" w:themeColor="text1"/>
          <w:sz w:val="24"/>
          <w:szCs w:val="24"/>
          <w:lang w:eastAsia="fr-FR"/>
        </w:rPr>
        <w:t>ing to support SMEs with the green transition, in line with the updated EU Industrial Strategy (in</w:t>
      </w:r>
      <w:r w:rsidR="00247424" w:rsidRPr="005E76F6">
        <w:rPr>
          <w:rFonts w:ascii="Times New Roman" w:eastAsia="Times New Roman" w:hAnsi="Times New Roman" w:cs="Times New Roman"/>
          <w:bCs/>
          <w:noProof/>
          <w:color w:val="000000" w:themeColor="text1"/>
          <w:sz w:val="24"/>
          <w:szCs w:val="24"/>
          <w:lang w:eastAsia="fr-FR"/>
        </w:rPr>
        <w:t>cluding</w:t>
      </w:r>
      <w:r w:rsidRPr="005E76F6">
        <w:rPr>
          <w:rFonts w:ascii="Times New Roman" w:eastAsia="Times New Roman" w:hAnsi="Times New Roman" w:cs="Times New Roman"/>
          <w:bCs/>
          <w:noProof/>
          <w:color w:val="000000" w:themeColor="text1"/>
          <w:sz w:val="24"/>
          <w:szCs w:val="24"/>
          <w:lang w:eastAsia="fr-FR"/>
        </w:rPr>
        <w:t xml:space="preserve"> for the transition pathways). T</w:t>
      </w:r>
      <w:r w:rsidRPr="005E76F6">
        <w:rPr>
          <w:rFonts w:ascii="Times New Roman" w:eastAsia="Times New Roman" w:hAnsi="Times New Roman" w:cs="Times New Roman"/>
          <w:noProof/>
          <w:color w:val="000000" w:themeColor="text1"/>
          <w:sz w:val="24"/>
          <w:szCs w:val="24"/>
          <w:lang w:eastAsia="fr-FR"/>
        </w:rPr>
        <w:t xml:space="preserve">he final report was published in March 2022: </w:t>
      </w:r>
      <w:hyperlink r:id="rId34" w:history="1">
        <w:r w:rsidRPr="005E76F6">
          <w:rPr>
            <w:rStyle w:val="Hyperlink"/>
            <w:rFonts w:ascii="Times New Roman" w:hAnsi="Times New Roman" w:cs="Times New Roman"/>
            <w:noProof/>
            <w:color w:val="000000" w:themeColor="text1"/>
            <w:sz w:val="24"/>
            <w:szCs w:val="24"/>
          </w:rPr>
          <w:t xml:space="preserve">SMEs, resource efficiency and green markets </w:t>
        </w:r>
        <w:r w:rsidR="00A902FC" w:rsidRPr="005E76F6">
          <w:rPr>
            <w:rStyle w:val="Hyperlink"/>
            <w:rFonts w:ascii="Times New Roman" w:hAnsi="Times New Roman" w:cs="Times New Roman"/>
            <w:noProof/>
            <w:color w:val="000000" w:themeColor="text1"/>
            <w:sz w:val="24"/>
            <w:szCs w:val="24"/>
          </w:rPr>
          <w:t>–</w:t>
        </w:r>
        <w:r w:rsidRPr="005E76F6">
          <w:rPr>
            <w:rStyle w:val="Hyperlink"/>
            <w:rFonts w:ascii="Times New Roman" w:hAnsi="Times New Roman" w:cs="Times New Roman"/>
            <w:noProof/>
            <w:color w:val="000000" w:themeColor="text1"/>
            <w:sz w:val="24"/>
            <w:szCs w:val="24"/>
          </w:rPr>
          <w:t xml:space="preserve"> March 2022 </w:t>
        </w:r>
        <w:r w:rsidR="00A902FC" w:rsidRPr="005E76F6">
          <w:rPr>
            <w:rStyle w:val="Hyperlink"/>
            <w:rFonts w:ascii="Times New Roman" w:hAnsi="Times New Roman" w:cs="Times New Roman"/>
            <w:noProof/>
            <w:color w:val="000000" w:themeColor="text1"/>
            <w:sz w:val="24"/>
            <w:szCs w:val="24"/>
          </w:rPr>
          <w:t>–</w:t>
        </w:r>
        <w:r w:rsidRPr="005E76F6">
          <w:rPr>
            <w:rStyle w:val="Hyperlink"/>
            <w:rFonts w:ascii="Times New Roman" w:hAnsi="Times New Roman" w:cs="Times New Roman"/>
            <w:noProof/>
            <w:color w:val="000000" w:themeColor="text1"/>
            <w:sz w:val="24"/>
            <w:szCs w:val="24"/>
          </w:rPr>
          <w:t xml:space="preserve"> Eurobarometer survey (europa.eu)</w:t>
        </w:r>
      </w:hyperlink>
      <w:r w:rsidR="00E6573F" w:rsidRPr="005E76F6">
        <w:rPr>
          <w:rStyle w:val="Hyperlink"/>
          <w:rFonts w:ascii="Times New Roman" w:hAnsi="Times New Roman" w:cs="Times New Roman"/>
          <w:noProof/>
          <w:color w:val="000000" w:themeColor="text1"/>
          <w:sz w:val="24"/>
          <w:szCs w:val="24"/>
        </w:rPr>
        <w:t>.</w:t>
      </w:r>
    </w:p>
    <w:p w14:paraId="1387D279" w14:textId="2A4A491A" w:rsidR="002A4F30" w:rsidRPr="005E76F6" w:rsidRDefault="005D70C1" w:rsidP="000C2B54">
      <w:pPr>
        <w:spacing w:after="0"/>
        <w:contextualSpacing/>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Under the </w:t>
      </w:r>
      <w:r w:rsidRPr="005E76F6">
        <w:rPr>
          <w:rFonts w:ascii="Times New Roman" w:hAnsi="Times New Roman" w:cs="Times New Roman"/>
          <w:b/>
          <w:noProof/>
          <w:color w:val="000000" w:themeColor="text1"/>
          <w:sz w:val="24"/>
          <w:szCs w:val="24"/>
        </w:rPr>
        <w:t>Clusters Go International</w:t>
      </w:r>
      <w:r w:rsidRPr="005E76F6">
        <w:rPr>
          <w:rFonts w:ascii="Times New Roman" w:hAnsi="Times New Roman" w:cs="Times New Roman"/>
          <w:noProof/>
          <w:color w:val="000000" w:themeColor="text1"/>
          <w:sz w:val="24"/>
          <w:szCs w:val="24"/>
        </w:rPr>
        <w:t xml:space="preserve"> scheme, 6 of the 12 projects deal with climate change-related topics. For three of the projects</w:t>
      </w:r>
      <w:r w:rsidR="00247424"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 xml:space="preserve"> it is estimated that</w:t>
      </w:r>
      <w:r w:rsidR="00BF7D3D" w:rsidRPr="005E76F6">
        <w:rPr>
          <w:rFonts w:ascii="Times New Roman" w:hAnsi="Times New Roman" w:cs="Times New Roman"/>
          <w:noProof/>
          <w:color w:val="000000" w:themeColor="text1"/>
          <w:sz w:val="24"/>
          <w:szCs w:val="24"/>
        </w:rPr>
        <w:t xml:space="preserve"> a total of </w:t>
      </w:r>
      <w:r w:rsidR="009959B5">
        <w:rPr>
          <w:rFonts w:ascii="Times New Roman" w:hAnsi="Times New Roman" w:cs="Times New Roman"/>
          <w:noProof/>
          <w:color w:val="000000" w:themeColor="text1"/>
          <w:sz w:val="24"/>
          <w:szCs w:val="24"/>
        </w:rPr>
        <w:t>EUR </w:t>
      </w:r>
      <w:r w:rsidR="00BF7D3D" w:rsidRPr="005E76F6">
        <w:rPr>
          <w:rFonts w:ascii="Times New Roman" w:hAnsi="Times New Roman" w:cs="Times New Roman"/>
          <w:noProof/>
          <w:color w:val="000000" w:themeColor="text1"/>
          <w:sz w:val="24"/>
          <w:szCs w:val="24"/>
        </w:rPr>
        <w:t xml:space="preserve">1.6 million is spent on </w:t>
      </w:r>
      <w:r w:rsidRPr="005E76F6">
        <w:rPr>
          <w:rFonts w:ascii="Times New Roman" w:hAnsi="Times New Roman" w:cs="Times New Roman"/>
          <w:noProof/>
          <w:color w:val="000000" w:themeColor="text1"/>
          <w:sz w:val="24"/>
          <w:szCs w:val="24"/>
        </w:rPr>
        <w:t>climate goals</w:t>
      </w:r>
      <w:r w:rsidR="00BF7D3D" w:rsidRPr="005E76F6">
        <w:rPr>
          <w:rFonts w:ascii="Times New Roman" w:hAnsi="Times New Roman" w:cs="Times New Roman"/>
          <w:noProof/>
          <w:color w:val="000000" w:themeColor="text1"/>
          <w:sz w:val="24"/>
          <w:szCs w:val="24"/>
        </w:rPr>
        <w:t xml:space="preserve"> (40% of the total budget for these projects):</w:t>
      </w:r>
    </w:p>
    <w:p w14:paraId="108D3BE4" w14:textId="0DD22B66" w:rsidR="00BF7D3D" w:rsidRPr="005E76F6" w:rsidRDefault="00BF7D3D" w:rsidP="00111059">
      <w:pPr>
        <w:pStyle w:val="ListParagraph"/>
        <w:numPr>
          <w:ilvl w:val="0"/>
          <w:numId w:val="7"/>
        </w:numPr>
        <w:spacing w:after="0"/>
        <w:ind w:left="714" w:hanging="357"/>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ESECA: project </w:t>
      </w:r>
      <w:r w:rsidR="009C5E43" w:rsidRPr="005E76F6">
        <w:rPr>
          <w:rFonts w:ascii="Times New Roman" w:hAnsi="Times New Roman" w:cs="Times New Roman"/>
          <w:noProof/>
          <w:color w:val="000000" w:themeColor="text1"/>
          <w:sz w:val="24"/>
          <w:szCs w:val="24"/>
        </w:rPr>
        <w:t>for</w:t>
      </w:r>
      <w:r w:rsidRPr="005E76F6">
        <w:rPr>
          <w:rFonts w:ascii="Times New Roman" w:hAnsi="Times New Roman" w:cs="Times New Roman"/>
          <w:noProof/>
          <w:color w:val="000000" w:themeColor="text1"/>
          <w:sz w:val="24"/>
          <w:szCs w:val="24"/>
        </w:rPr>
        <w:t xml:space="preserve"> European SMEs in the </w:t>
      </w:r>
      <w:r w:rsidRPr="005E76F6">
        <w:rPr>
          <w:rFonts w:ascii="Times New Roman" w:hAnsi="Times New Roman" w:cs="Times New Roman"/>
          <w:b/>
          <w:noProof/>
          <w:color w:val="000000" w:themeColor="text1"/>
          <w:sz w:val="24"/>
          <w:szCs w:val="24"/>
        </w:rPr>
        <w:t>renewable energy and smart grids</w:t>
      </w:r>
      <w:r w:rsidRPr="005E76F6">
        <w:rPr>
          <w:rFonts w:ascii="Times New Roman" w:hAnsi="Times New Roman" w:cs="Times New Roman"/>
          <w:noProof/>
          <w:color w:val="000000" w:themeColor="text1"/>
          <w:sz w:val="24"/>
          <w:szCs w:val="24"/>
        </w:rPr>
        <w:t xml:space="preserve"> sectors </w:t>
      </w:r>
      <w:r w:rsidR="009C5E43" w:rsidRPr="005E76F6">
        <w:rPr>
          <w:rFonts w:ascii="Times New Roman" w:hAnsi="Times New Roman" w:cs="Times New Roman"/>
          <w:noProof/>
          <w:color w:val="000000" w:themeColor="text1"/>
          <w:sz w:val="24"/>
          <w:szCs w:val="24"/>
        </w:rPr>
        <w:t>to help them develop a joint internationali</w:t>
      </w:r>
      <w:r w:rsidR="009959B5">
        <w:rPr>
          <w:rFonts w:ascii="Times New Roman" w:hAnsi="Times New Roman" w:cs="Times New Roman"/>
          <w:noProof/>
          <w:color w:val="000000" w:themeColor="text1"/>
          <w:sz w:val="24"/>
          <w:szCs w:val="24"/>
        </w:rPr>
        <w:t>s</w:t>
      </w:r>
      <w:r w:rsidR="009C5E43" w:rsidRPr="005E76F6">
        <w:rPr>
          <w:rFonts w:ascii="Times New Roman" w:hAnsi="Times New Roman" w:cs="Times New Roman"/>
          <w:noProof/>
          <w:color w:val="000000" w:themeColor="text1"/>
          <w:sz w:val="24"/>
          <w:szCs w:val="24"/>
        </w:rPr>
        <w:t>ation strategy with common goals towards</w:t>
      </w:r>
      <w:r w:rsidR="00247424" w:rsidRPr="005E76F6">
        <w:rPr>
          <w:rFonts w:ascii="Times New Roman" w:hAnsi="Times New Roman" w:cs="Times New Roman"/>
          <w:noProof/>
          <w:color w:val="000000" w:themeColor="text1"/>
          <w:sz w:val="24"/>
          <w:szCs w:val="24"/>
        </w:rPr>
        <w:t xml:space="preserve"> </w:t>
      </w:r>
      <w:r w:rsidRPr="005E76F6">
        <w:rPr>
          <w:rFonts w:ascii="Times New Roman" w:hAnsi="Times New Roman" w:cs="Times New Roman"/>
          <w:noProof/>
          <w:color w:val="000000" w:themeColor="text1"/>
          <w:sz w:val="24"/>
          <w:szCs w:val="24"/>
        </w:rPr>
        <w:t xml:space="preserve">sub-Saharan </w:t>
      </w:r>
      <w:r w:rsidR="00055613" w:rsidRPr="005E76F6">
        <w:rPr>
          <w:rFonts w:ascii="Times New Roman" w:hAnsi="Times New Roman" w:cs="Times New Roman"/>
          <w:noProof/>
          <w:color w:val="000000" w:themeColor="text1"/>
          <w:sz w:val="24"/>
          <w:szCs w:val="24"/>
        </w:rPr>
        <w:t>Africa</w:t>
      </w:r>
      <w:r w:rsidR="00247424" w:rsidRPr="005E76F6">
        <w:rPr>
          <w:rFonts w:ascii="Times New Roman" w:hAnsi="Times New Roman" w:cs="Times New Roman"/>
          <w:noProof/>
          <w:color w:val="000000" w:themeColor="text1"/>
          <w:sz w:val="24"/>
          <w:szCs w:val="24"/>
        </w:rPr>
        <w:t>;</w:t>
      </w:r>
    </w:p>
    <w:p w14:paraId="06786E83" w14:textId="2236044E" w:rsidR="00BF7D3D" w:rsidRPr="005E76F6" w:rsidRDefault="00BF7D3D" w:rsidP="00111059">
      <w:pPr>
        <w:pStyle w:val="ListParagraph"/>
        <w:numPr>
          <w:ilvl w:val="0"/>
          <w:numId w:val="7"/>
        </w:numPr>
        <w:spacing w:after="0"/>
        <w:ind w:left="714" w:hanging="357"/>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ICBuild:</w:t>
      </w:r>
      <w:r w:rsidR="00055613" w:rsidRPr="005E76F6">
        <w:rPr>
          <w:rFonts w:ascii="Times New Roman" w:hAnsi="Times New Roman" w:cs="Times New Roman"/>
          <w:noProof/>
          <w:color w:val="000000" w:themeColor="text1"/>
          <w:sz w:val="24"/>
          <w:szCs w:val="24"/>
        </w:rPr>
        <w:t xml:space="preserve"> </w:t>
      </w:r>
      <w:r w:rsidR="00247424" w:rsidRPr="005E76F6">
        <w:rPr>
          <w:rFonts w:ascii="Times New Roman" w:hAnsi="Times New Roman" w:cs="Times New Roman"/>
          <w:noProof/>
          <w:color w:val="000000" w:themeColor="text1"/>
          <w:sz w:val="24"/>
          <w:szCs w:val="24"/>
        </w:rPr>
        <w:t>project b</w:t>
      </w:r>
      <w:r w:rsidR="00055613" w:rsidRPr="005E76F6">
        <w:rPr>
          <w:rFonts w:ascii="Times New Roman" w:hAnsi="Times New Roman" w:cs="Times New Roman"/>
          <w:noProof/>
          <w:color w:val="000000" w:themeColor="text1"/>
          <w:sz w:val="24"/>
          <w:szCs w:val="24"/>
        </w:rPr>
        <w:t xml:space="preserve">oosting internationalisation for </w:t>
      </w:r>
      <w:r w:rsidR="00055613" w:rsidRPr="005E76F6">
        <w:rPr>
          <w:rFonts w:ascii="Times New Roman" w:hAnsi="Times New Roman" w:cs="Times New Roman"/>
          <w:b/>
          <w:noProof/>
          <w:color w:val="000000" w:themeColor="text1"/>
          <w:sz w:val="24"/>
          <w:szCs w:val="24"/>
        </w:rPr>
        <w:t>circularity in the building environment</w:t>
      </w:r>
      <w:r w:rsidR="00247424" w:rsidRPr="005E76F6">
        <w:rPr>
          <w:rFonts w:ascii="Times New Roman" w:hAnsi="Times New Roman" w:cs="Times New Roman"/>
          <w:b/>
          <w:noProof/>
          <w:color w:val="000000" w:themeColor="text1"/>
          <w:sz w:val="24"/>
          <w:szCs w:val="24"/>
        </w:rPr>
        <w:t>;</w:t>
      </w:r>
    </w:p>
    <w:p w14:paraId="19627170" w14:textId="1D7AC11B" w:rsidR="00BF7D3D" w:rsidRPr="005E76F6" w:rsidRDefault="00BF7D3D" w:rsidP="00111059">
      <w:pPr>
        <w:pStyle w:val="ListParagraph"/>
        <w:numPr>
          <w:ilvl w:val="0"/>
          <w:numId w:val="7"/>
        </w:numPr>
        <w:spacing w:after="0"/>
        <w:ind w:left="714" w:hanging="357"/>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EU Water4i SD: </w:t>
      </w:r>
      <w:r w:rsidR="00055613" w:rsidRPr="005E76F6">
        <w:rPr>
          <w:rFonts w:ascii="Times New Roman" w:hAnsi="Times New Roman" w:cs="Times New Roman"/>
          <w:noProof/>
          <w:color w:val="000000" w:themeColor="text1"/>
          <w:sz w:val="24"/>
          <w:szCs w:val="24"/>
        </w:rPr>
        <w:t>the E</w:t>
      </w:r>
      <w:r w:rsidR="00A902FC" w:rsidRPr="005E76F6">
        <w:rPr>
          <w:rFonts w:ascii="Times New Roman" w:hAnsi="Times New Roman" w:cs="Times New Roman"/>
          <w:noProof/>
          <w:color w:val="000000" w:themeColor="text1"/>
          <w:sz w:val="24"/>
          <w:szCs w:val="24"/>
        </w:rPr>
        <w:t>u</w:t>
      </w:r>
      <w:r w:rsidR="00055613" w:rsidRPr="005E76F6">
        <w:rPr>
          <w:rFonts w:ascii="Times New Roman" w:hAnsi="Times New Roman" w:cs="Times New Roman"/>
          <w:noProof/>
          <w:color w:val="000000" w:themeColor="text1"/>
          <w:sz w:val="24"/>
          <w:szCs w:val="24"/>
        </w:rPr>
        <w:t xml:space="preserve">ropean </w:t>
      </w:r>
      <w:r w:rsidR="00055613" w:rsidRPr="005E76F6">
        <w:rPr>
          <w:rFonts w:ascii="Times New Roman" w:hAnsi="Times New Roman" w:cs="Times New Roman"/>
          <w:b/>
          <w:noProof/>
          <w:color w:val="000000" w:themeColor="text1"/>
          <w:sz w:val="24"/>
          <w:szCs w:val="24"/>
        </w:rPr>
        <w:t>Water</w:t>
      </w:r>
      <w:r w:rsidR="00055613" w:rsidRPr="005E76F6">
        <w:rPr>
          <w:rFonts w:ascii="Times New Roman" w:hAnsi="Times New Roman" w:cs="Times New Roman"/>
          <w:noProof/>
          <w:color w:val="000000" w:themeColor="text1"/>
          <w:sz w:val="24"/>
          <w:szCs w:val="24"/>
        </w:rPr>
        <w:t>-smart initiative for fostering International Sustainable Development</w:t>
      </w:r>
      <w:r w:rsidR="00247424" w:rsidRPr="005E76F6">
        <w:rPr>
          <w:rFonts w:ascii="Times New Roman" w:hAnsi="Times New Roman" w:cs="Times New Roman"/>
          <w:noProof/>
          <w:color w:val="000000" w:themeColor="text1"/>
          <w:sz w:val="24"/>
          <w:szCs w:val="24"/>
        </w:rPr>
        <w:t>.</w:t>
      </w:r>
    </w:p>
    <w:p w14:paraId="3FA74396" w14:textId="321AC60C" w:rsidR="00BF7D3D" w:rsidRPr="005E76F6" w:rsidRDefault="00BF7D3D" w:rsidP="000C2B54">
      <w:pPr>
        <w:spacing w:before="120" w:after="0"/>
        <w:ind w:left="357"/>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In addition</w:t>
      </w:r>
      <w:r w:rsidR="00247424"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 xml:space="preserve"> the</w:t>
      </w:r>
      <w:r w:rsidR="00055613" w:rsidRPr="005E76F6">
        <w:rPr>
          <w:rFonts w:ascii="Times New Roman" w:hAnsi="Times New Roman" w:cs="Times New Roman"/>
          <w:noProof/>
          <w:color w:val="000000" w:themeColor="text1"/>
          <w:sz w:val="24"/>
          <w:szCs w:val="24"/>
        </w:rPr>
        <w:t xml:space="preserve"> following</w:t>
      </w:r>
      <w:r w:rsidRPr="005E76F6">
        <w:rPr>
          <w:rFonts w:ascii="Times New Roman" w:hAnsi="Times New Roman" w:cs="Times New Roman"/>
          <w:noProof/>
          <w:color w:val="000000" w:themeColor="text1"/>
          <w:sz w:val="24"/>
          <w:szCs w:val="24"/>
        </w:rPr>
        <w:t xml:space="preserve"> projects </w:t>
      </w:r>
      <w:r w:rsidR="00055613" w:rsidRPr="005E76F6">
        <w:rPr>
          <w:rFonts w:ascii="Times New Roman" w:hAnsi="Times New Roman" w:cs="Times New Roman"/>
          <w:noProof/>
          <w:color w:val="000000" w:themeColor="text1"/>
          <w:sz w:val="24"/>
          <w:szCs w:val="24"/>
        </w:rPr>
        <w:t>also deal with</w:t>
      </w:r>
      <w:r w:rsidRPr="005E76F6">
        <w:rPr>
          <w:rFonts w:ascii="Times New Roman" w:hAnsi="Times New Roman" w:cs="Times New Roman"/>
          <w:noProof/>
          <w:color w:val="000000" w:themeColor="text1"/>
          <w:sz w:val="24"/>
          <w:szCs w:val="24"/>
        </w:rPr>
        <w:t xml:space="preserve"> climate</w:t>
      </w:r>
      <w:r w:rsidR="00A902FC" w:rsidRPr="005E76F6">
        <w:rPr>
          <w:rFonts w:ascii="Times New Roman" w:hAnsi="Times New Roman" w:cs="Times New Roman"/>
          <w:noProof/>
          <w:color w:val="000000" w:themeColor="text1"/>
          <w:sz w:val="24"/>
          <w:szCs w:val="24"/>
        </w:rPr>
        <w:t xml:space="preserve"> </w:t>
      </w:r>
      <w:r w:rsidRPr="005E76F6">
        <w:rPr>
          <w:rFonts w:ascii="Times New Roman" w:hAnsi="Times New Roman" w:cs="Times New Roman"/>
          <w:noProof/>
          <w:color w:val="000000" w:themeColor="text1"/>
          <w:sz w:val="24"/>
          <w:szCs w:val="24"/>
        </w:rPr>
        <w:t>change</w:t>
      </w:r>
      <w:r w:rsidR="00A902FC"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related topics</w:t>
      </w:r>
      <w:r w:rsidR="00247424" w:rsidRPr="005E76F6">
        <w:rPr>
          <w:rFonts w:ascii="Times New Roman" w:hAnsi="Times New Roman" w:cs="Times New Roman"/>
          <w:noProof/>
          <w:color w:val="000000" w:themeColor="text1"/>
          <w:sz w:val="24"/>
          <w:szCs w:val="24"/>
        </w:rPr>
        <w:t>:</w:t>
      </w:r>
    </w:p>
    <w:p w14:paraId="698413B4" w14:textId="78EBF7D7" w:rsidR="005D70C1" w:rsidRPr="005E76F6" w:rsidRDefault="00055613" w:rsidP="00111059">
      <w:pPr>
        <w:pStyle w:val="ListParagraph"/>
        <w:numPr>
          <w:ilvl w:val="0"/>
          <w:numId w:val="7"/>
        </w:numPr>
        <w:spacing w:after="0"/>
        <w:ind w:left="714" w:hanging="357"/>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REC-N-COMP: </w:t>
      </w:r>
      <w:hyperlink r:id="rId35" w:history="1">
        <w:r w:rsidRPr="005E76F6">
          <w:rPr>
            <w:rFonts w:ascii="Times New Roman" w:hAnsi="Times New Roman" w:cs="Times New Roman"/>
            <w:noProof/>
            <w:color w:val="000000" w:themeColor="text1"/>
            <w:sz w:val="24"/>
            <w:szCs w:val="24"/>
          </w:rPr>
          <w:t xml:space="preserve">European </w:t>
        </w:r>
        <w:r w:rsidRPr="005E76F6">
          <w:rPr>
            <w:rFonts w:ascii="Times New Roman" w:hAnsi="Times New Roman" w:cs="Times New Roman"/>
            <w:b/>
            <w:noProof/>
            <w:color w:val="000000" w:themeColor="text1"/>
            <w:sz w:val="24"/>
            <w:szCs w:val="24"/>
          </w:rPr>
          <w:t>recycled materials</w:t>
        </w:r>
        <w:r w:rsidR="00CC590B" w:rsidRPr="005E76F6">
          <w:rPr>
            <w:rFonts w:ascii="Times New Roman" w:hAnsi="Times New Roman" w:cs="Times New Roman"/>
            <w:b/>
            <w:noProof/>
            <w:color w:val="000000" w:themeColor="text1"/>
            <w:sz w:val="24"/>
            <w:szCs w:val="24"/>
          </w:rPr>
          <w:t>-</w:t>
        </w:r>
        <w:r w:rsidRPr="005E76F6">
          <w:rPr>
            <w:rFonts w:ascii="Times New Roman" w:hAnsi="Times New Roman" w:cs="Times New Roman"/>
            <w:b/>
            <w:noProof/>
            <w:color w:val="000000" w:themeColor="text1"/>
            <w:sz w:val="24"/>
            <w:szCs w:val="24"/>
          </w:rPr>
          <w:t>based composites and end-of-life products processing technologies</w:t>
        </w:r>
        <w:r w:rsidRPr="005E76F6">
          <w:rPr>
            <w:rFonts w:ascii="Times New Roman" w:hAnsi="Times New Roman" w:cs="Times New Roman"/>
            <w:noProof/>
            <w:color w:val="000000" w:themeColor="text1"/>
            <w:sz w:val="24"/>
            <w:szCs w:val="24"/>
          </w:rPr>
          <w:t xml:space="preserve"> go international</w:t>
        </w:r>
      </w:hyperlink>
      <w:r w:rsidR="00247424" w:rsidRPr="005E76F6">
        <w:rPr>
          <w:rFonts w:ascii="Times New Roman" w:hAnsi="Times New Roman" w:cs="Times New Roman"/>
          <w:noProof/>
          <w:color w:val="000000" w:themeColor="text1"/>
          <w:sz w:val="24"/>
          <w:szCs w:val="24"/>
        </w:rPr>
        <w:t>;</w:t>
      </w:r>
    </w:p>
    <w:p w14:paraId="0EA7BDCC" w14:textId="1E4B287C" w:rsidR="005D70C1" w:rsidRPr="005E76F6" w:rsidRDefault="00BF7D3D" w:rsidP="00844C3A">
      <w:pPr>
        <w:pStyle w:val="ListParagraph"/>
        <w:numPr>
          <w:ilvl w:val="0"/>
          <w:numId w:val="7"/>
        </w:numPr>
        <w:spacing w:after="0"/>
        <w:ind w:left="714" w:hanging="357"/>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H2Global</w:t>
      </w:r>
      <w:r w:rsidR="00055613" w:rsidRPr="005E76F6">
        <w:rPr>
          <w:rFonts w:ascii="Times New Roman" w:hAnsi="Times New Roman" w:cs="Times New Roman"/>
          <w:noProof/>
          <w:color w:val="000000" w:themeColor="text1"/>
          <w:sz w:val="24"/>
          <w:szCs w:val="24"/>
        </w:rPr>
        <w:t xml:space="preserve">: project </w:t>
      </w:r>
      <w:r w:rsidR="00247424" w:rsidRPr="005E76F6">
        <w:rPr>
          <w:rFonts w:ascii="Times New Roman" w:hAnsi="Times New Roman" w:cs="Times New Roman"/>
          <w:noProof/>
          <w:color w:val="000000" w:themeColor="text1"/>
          <w:sz w:val="24"/>
          <w:szCs w:val="24"/>
        </w:rPr>
        <w:t xml:space="preserve">focused </w:t>
      </w:r>
      <w:r w:rsidR="00055613" w:rsidRPr="005E76F6">
        <w:rPr>
          <w:rFonts w:ascii="Times New Roman" w:hAnsi="Times New Roman" w:cs="Times New Roman"/>
          <w:noProof/>
          <w:color w:val="000000" w:themeColor="text1"/>
          <w:sz w:val="24"/>
          <w:szCs w:val="24"/>
        </w:rPr>
        <w:t xml:space="preserve">on positioning Europe as a global technological and industrial leader in the </w:t>
      </w:r>
      <w:r w:rsidR="00055613" w:rsidRPr="005E76F6">
        <w:rPr>
          <w:rFonts w:ascii="Times New Roman" w:hAnsi="Times New Roman" w:cs="Times New Roman"/>
          <w:b/>
          <w:noProof/>
          <w:color w:val="000000" w:themeColor="text1"/>
          <w:sz w:val="24"/>
          <w:szCs w:val="24"/>
        </w:rPr>
        <w:t>green hydrogen economy</w:t>
      </w:r>
      <w:r w:rsidR="00247424" w:rsidRPr="005E76F6">
        <w:rPr>
          <w:rFonts w:ascii="Times New Roman" w:hAnsi="Times New Roman" w:cs="Times New Roman"/>
          <w:bCs/>
          <w:noProof/>
          <w:color w:val="000000" w:themeColor="text1"/>
          <w:sz w:val="24"/>
          <w:szCs w:val="24"/>
        </w:rPr>
        <w:t>;</w:t>
      </w:r>
    </w:p>
    <w:p w14:paraId="47472D6C" w14:textId="632976EF" w:rsidR="006F214A" w:rsidRPr="005E76F6" w:rsidRDefault="00BF7D3D" w:rsidP="00844C3A">
      <w:pPr>
        <w:pStyle w:val="ListParagraph"/>
        <w:numPr>
          <w:ilvl w:val="0"/>
          <w:numId w:val="7"/>
        </w:numPr>
        <w:ind w:left="714" w:hanging="357"/>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AEWEN</w:t>
      </w:r>
      <w:r w:rsidR="00055613" w:rsidRPr="005E76F6">
        <w:rPr>
          <w:rFonts w:ascii="Times New Roman" w:hAnsi="Times New Roman" w:cs="Times New Roman"/>
          <w:noProof/>
          <w:color w:val="000000" w:themeColor="text1"/>
          <w:sz w:val="24"/>
          <w:szCs w:val="24"/>
        </w:rPr>
        <w:t xml:space="preserve">: </w:t>
      </w:r>
      <w:r w:rsidR="00247424" w:rsidRPr="005E76F6">
        <w:rPr>
          <w:rFonts w:ascii="Times New Roman" w:hAnsi="Times New Roman" w:cs="Times New Roman"/>
          <w:noProof/>
          <w:color w:val="000000" w:themeColor="text1"/>
          <w:sz w:val="24"/>
          <w:szCs w:val="24"/>
        </w:rPr>
        <w:t xml:space="preserve">project to </w:t>
      </w:r>
      <w:r w:rsidR="00055613" w:rsidRPr="005E76F6">
        <w:rPr>
          <w:rFonts w:ascii="Times New Roman" w:hAnsi="Times New Roman" w:cs="Times New Roman"/>
          <w:noProof/>
          <w:color w:val="000000" w:themeColor="text1"/>
          <w:sz w:val="24"/>
          <w:szCs w:val="24"/>
        </w:rPr>
        <w:t>creat</w:t>
      </w:r>
      <w:r w:rsidR="00247424" w:rsidRPr="005E76F6">
        <w:rPr>
          <w:rFonts w:ascii="Times New Roman" w:hAnsi="Times New Roman" w:cs="Times New Roman"/>
          <w:noProof/>
          <w:color w:val="000000" w:themeColor="text1"/>
          <w:sz w:val="24"/>
          <w:szCs w:val="24"/>
        </w:rPr>
        <w:t>e</w:t>
      </w:r>
      <w:r w:rsidR="00055613" w:rsidRPr="005E76F6">
        <w:rPr>
          <w:rFonts w:ascii="Times New Roman" w:hAnsi="Times New Roman" w:cs="Times New Roman"/>
          <w:noProof/>
          <w:color w:val="000000" w:themeColor="text1"/>
          <w:sz w:val="24"/>
          <w:szCs w:val="24"/>
        </w:rPr>
        <w:t xml:space="preserve"> an </w:t>
      </w:r>
      <w:r w:rsidR="00055613" w:rsidRPr="005E76F6">
        <w:rPr>
          <w:rFonts w:ascii="Times New Roman" w:hAnsi="Times New Roman" w:cs="Times New Roman"/>
          <w:b/>
          <w:noProof/>
          <w:color w:val="000000" w:themeColor="text1"/>
          <w:sz w:val="24"/>
          <w:szCs w:val="24"/>
        </w:rPr>
        <w:t xml:space="preserve">African-EU </w:t>
      </w:r>
      <w:r w:rsidR="00E6573F" w:rsidRPr="005E76F6">
        <w:rPr>
          <w:rFonts w:ascii="Times New Roman" w:hAnsi="Times New Roman" w:cs="Times New Roman"/>
          <w:b/>
          <w:noProof/>
          <w:color w:val="000000" w:themeColor="text1"/>
          <w:sz w:val="24"/>
          <w:szCs w:val="24"/>
        </w:rPr>
        <w:t>w</w:t>
      </w:r>
      <w:r w:rsidR="00055613" w:rsidRPr="005E76F6">
        <w:rPr>
          <w:rFonts w:ascii="Times New Roman" w:hAnsi="Times New Roman" w:cs="Times New Roman"/>
          <w:b/>
          <w:noProof/>
          <w:color w:val="000000" w:themeColor="text1"/>
          <w:sz w:val="24"/>
          <w:szCs w:val="24"/>
        </w:rPr>
        <w:t xml:space="preserve">ater and </w:t>
      </w:r>
      <w:r w:rsidR="00E6573F" w:rsidRPr="005E76F6">
        <w:rPr>
          <w:rFonts w:ascii="Times New Roman" w:hAnsi="Times New Roman" w:cs="Times New Roman"/>
          <w:b/>
          <w:noProof/>
          <w:color w:val="000000" w:themeColor="text1"/>
          <w:sz w:val="24"/>
          <w:szCs w:val="24"/>
        </w:rPr>
        <w:t>e</w:t>
      </w:r>
      <w:r w:rsidR="00055613" w:rsidRPr="005E76F6">
        <w:rPr>
          <w:rFonts w:ascii="Times New Roman" w:hAnsi="Times New Roman" w:cs="Times New Roman"/>
          <w:b/>
          <w:noProof/>
          <w:color w:val="000000" w:themeColor="text1"/>
          <w:sz w:val="24"/>
          <w:szCs w:val="24"/>
        </w:rPr>
        <w:t>nergy</w:t>
      </w:r>
      <w:r w:rsidR="00055613" w:rsidRPr="005E76F6">
        <w:rPr>
          <w:rFonts w:ascii="Times New Roman" w:hAnsi="Times New Roman" w:cs="Times New Roman"/>
          <w:noProof/>
          <w:color w:val="000000" w:themeColor="text1"/>
          <w:sz w:val="24"/>
          <w:szCs w:val="24"/>
        </w:rPr>
        <w:t xml:space="preserve"> </w:t>
      </w:r>
      <w:r w:rsidR="00E6573F" w:rsidRPr="005E76F6">
        <w:rPr>
          <w:rFonts w:ascii="Times New Roman" w:hAnsi="Times New Roman" w:cs="Times New Roman"/>
          <w:noProof/>
          <w:color w:val="000000" w:themeColor="text1"/>
          <w:sz w:val="24"/>
          <w:szCs w:val="24"/>
        </w:rPr>
        <w:t>n</w:t>
      </w:r>
      <w:r w:rsidR="00055613" w:rsidRPr="005E76F6">
        <w:rPr>
          <w:rFonts w:ascii="Times New Roman" w:hAnsi="Times New Roman" w:cs="Times New Roman"/>
          <w:noProof/>
          <w:color w:val="000000" w:themeColor="text1"/>
          <w:sz w:val="24"/>
          <w:szCs w:val="24"/>
        </w:rPr>
        <w:t>etwork</w:t>
      </w:r>
      <w:r w:rsidR="00247424" w:rsidRPr="005E76F6">
        <w:rPr>
          <w:rFonts w:ascii="Times New Roman" w:hAnsi="Times New Roman" w:cs="Times New Roman"/>
          <w:noProof/>
          <w:color w:val="000000" w:themeColor="text1"/>
          <w:sz w:val="24"/>
          <w:szCs w:val="24"/>
        </w:rPr>
        <w:t>.</w:t>
      </w:r>
    </w:p>
    <w:p w14:paraId="79E40908" w14:textId="3AACA609" w:rsidR="00396D9D" w:rsidRPr="005E76F6" w:rsidRDefault="00396D9D" w:rsidP="000C2B54">
      <w:pPr>
        <w:spacing w:after="0"/>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Further information on all these projects is available on the European Cluster Collaboration Platform</w:t>
      </w:r>
      <w:r w:rsidRPr="005E76F6">
        <w:rPr>
          <w:rStyle w:val="FootnoteReference"/>
          <w:rFonts w:ascii="Times New Roman" w:hAnsi="Times New Roman" w:cs="Times New Roman"/>
          <w:noProof/>
          <w:color w:val="000000" w:themeColor="text1"/>
          <w:sz w:val="24"/>
          <w:szCs w:val="24"/>
        </w:rPr>
        <w:footnoteReference w:id="46"/>
      </w:r>
      <w:r w:rsidR="00247424" w:rsidRPr="005E76F6">
        <w:rPr>
          <w:rFonts w:ascii="Times New Roman" w:hAnsi="Times New Roman" w:cs="Times New Roman"/>
          <w:noProof/>
          <w:color w:val="000000" w:themeColor="text1"/>
          <w:sz w:val="24"/>
          <w:szCs w:val="24"/>
        </w:rPr>
        <w:t>.</w:t>
      </w:r>
    </w:p>
    <w:p w14:paraId="411DBD1B" w14:textId="59C06236" w:rsidR="00350E80" w:rsidRPr="005E76F6" w:rsidRDefault="00350E80" w:rsidP="000C2B54">
      <w:pPr>
        <w:spacing w:after="0"/>
        <w:jc w:val="both"/>
        <w:rPr>
          <w:rFonts w:ascii="Times New Roman" w:hAnsi="Times New Roman" w:cs="Times New Roman"/>
          <w:noProof/>
          <w:color w:val="000000" w:themeColor="text1"/>
          <w:sz w:val="24"/>
          <w:szCs w:val="24"/>
        </w:rPr>
      </w:pPr>
    </w:p>
    <w:p w14:paraId="20CB5747" w14:textId="4213EAFF" w:rsidR="00D36C88" w:rsidRPr="005E76F6" w:rsidRDefault="00D36C88" w:rsidP="000C2B54">
      <w:pPr>
        <w:spacing w:after="0"/>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The </w:t>
      </w:r>
      <w:r w:rsidRPr="005E76F6">
        <w:rPr>
          <w:rFonts w:ascii="Times New Roman" w:hAnsi="Times New Roman" w:cs="Times New Roman"/>
          <w:b/>
          <w:noProof/>
          <w:color w:val="000000" w:themeColor="text1"/>
          <w:sz w:val="24"/>
          <w:szCs w:val="24"/>
        </w:rPr>
        <w:t>digital platform for the Public Buyers Network</w:t>
      </w:r>
      <w:r w:rsidRPr="005E76F6">
        <w:rPr>
          <w:rFonts w:ascii="Times New Roman" w:hAnsi="Times New Roman" w:cs="Times New Roman"/>
          <w:noProof/>
          <w:color w:val="000000" w:themeColor="text1"/>
          <w:sz w:val="24"/>
          <w:szCs w:val="24"/>
        </w:rPr>
        <w:t xml:space="preserve"> supported by 2020 budget went live in April 2023. This supports collaboration </w:t>
      </w:r>
      <w:r w:rsidR="00247424" w:rsidRPr="005E76F6">
        <w:rPr>
          <w:rFonts w:ascii="Times New Roman" w:hAnsi="Times New Roman" w:cs="Times New Roman"/>
          <w:noProof/>
          <w:color w:val="000000" w:themeColor="text1"/>
          <w:sz w:val="24"/>
          <w:szCs w:val="24"/>
        </w:rPr>
        <w:t xml:space="preserve">by </w:t>
      </w:r>
      <w:r w:rsidRPr="005E76F6">
        <w:rPr>
          <w:rFonts w:ascii="Times New Roman" w:hAnsi="Times New Roman" w:cs="Times New Roman"/>
          <w:noProof/>
          <w:color w:val="000000" w:themeColor="text1"/>
          <w:sz w:val="24"/>
          <w:szCs w:val="24"/>
        </w:rPr>
        <w:t xml:space="preserve">10 </w:t>
      </w:r>
      <w:r w:rsidR="00247424" w:rsidRPr="005E76F6">
        <w:rPr>
          <w:rFonts w:ascii="Times New Roman" w:hAnsi="Times New Roman" w:cs="Times New Roman"/>
          <w:noProof/>
          <w:color w:val="000000" w:themeColor="text1"/>
          <w:sz w:val="24"/>
          <w:szCs w:val="24"/>
        </w:rPr>
        <w:t>‘b</w:t>
      </w:r>
      <w:r w:rsidRPr="005E76F6">
        <w:rPr>
          <w:rFonts w:ascii="Times New Roman" w:hAnsi="Times New Roman" w:cs="Times New Roman"/>
          <w:noProof/>
          <w:color w:val="000000" w:themeColor="text1"/>
          <w:sz w:val="24"/>
          <w:szCs w:val="24"/>
        </w:rPr>
        <w:t xml:space="preserve">ig </w:t>
      </w:r>
      <w:r w:rsidR="00247424" w:rsidRPr="005E76F6">
        <w:rPr>
          <w:rFonts w:ascii="Times New Roman" w:hAnsi="Times New Roman" w:cs="Times New Roman"/>
          <w:noProof/>
          <w:color w:val="000000" w:themeColor="text1"/>
          <w:sz w:val="24"/>
          <w:szCs w:val="24"/>
        </w:rPr>
        <w:t>b</w:t>
      </w:r>
      <w:r w:rsidRPr="005E76F6">
        <w:rPr>
          <w:rFonts w:ascii="Times New Roman" w:hAnsi="Times New Roman" w:cs="Times New Roman"/>
          <w:noProof/>
          <w:color w:val="000000" w:themeColor="text1"/>
          <w:sz w:val="24"/>
          <w:szCs w:val="24"/>
        </w:rPr>
        <w:t>uyer</w:t>
      </w:r>
      <w:r w:rsidR="00247424"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 xml:space="preserve"> groups </w:t>
      </w:r>
      <w:r w:rsidR="00247424" w:rsidRPr="005E76F6">
        <w:rPr>
          <w:rFonts w:ascii="Times New Roman" w:hAnsi="Times New Roman" w:cs="Times New Roman"/>
          <w:noProof/>
          <w:color w:val="000000" w:themeColor="text1"/>
          <w:sz w:val="24"/>
          <w:szCs w:val="24"/>
        </w:rPr>
        <w:t xml:space="preserve">to </w:t>
      </w:r>
      <w:r w:rsidRPr="005E76F6">
        <w:rPr>
          <w:rFonts w:ascii="Times New Roman" w:hAnsi="Times New Roman" w:cs="Times New Roman"/>
          <w:noProof/>
          <w:color w:val="000000" w:themeColor="text1"/>
          <w:sz w:val="24"/>
          <w:szCs w:val="24"/>
        </w:rPr>
        <w:t xml:space="preserve">build up joint intelligence on specific procurement needs (including </w:t>
      </w:r>
      <w:r w:rsidR="006D2403" w:rsidRPr="005E76F6">
        <w:rPr>
          <w:rFonts w:ascii="Times New Roman" w:hAnsi="Times New Roman" w:cs="Times New Roman"/>
          <w:noProof/>
          <w:color w:val="000000" w:themeColor="text1"/>
          <w:sz w:val="24"/>
          <w:szCs w:val="24"/>
        </w:rPr>
        <w:t>solar</w:t>
      </w:r>
      <w:r w:rsidRPr="005E76F6">
        <w:rPr>
          <w:rFonts w:ascii="Times New Roman" w:hAnsi="Times New Roman" w:cs="Times New Roman"/>
          <w:noProof/>
          <w:color w:val="000000" w:themeColor="text1"/>
          <w:sz w:val="24"/>
          <w:szCs w:val="24"/>
        </w:rPr>
        <w:t xml:space="preserve"> panels). It is estimated that 40% (EUR</w:t>
      </w:r>
      <w:r w:rsidR="00FE2948" w:rsidRPr="005E76F6">
        <w:rPr>
          <w:rFonts w:ascii="Times New Roman" w:hAnsi="Times New Roman" w:cs="Times New Roman"/>
          <w:noProof/>
          <w:color w:val="000000" w:themeColor="text1"/>
          <w:sz w:val="24"/>
          <w:szCs w:val="24"/>
        </w:rPr>
        <w:t> </w:t>
      </w:r>
      <w:r w:rsidRPr="005E76F6">
        <w:rPr>
          <w:rFonts w:ascii="Times New Roman" w:hAnsi="Times New Roman" w:cs="Times New Roman"/>
          <w:noProof/>
          <w:color w:val="000000" w:themeColor="text1"/>
          <w:sz w:val="24"/>
          <w:szCs w:val="24"/>
        </w:rPr>
        <w:t>400</w:t>
      </w:r>
      <w:r w:rsidR="00247424" w:rsidRPr="005E76F6">
        <w:rPr>
          <w:rFonts w:ascii="Times New Roman" w:hAnsi="Times New Roman" w:cs="Times New Roman"/>
          <w:noProof/>
          <w:color w:val="000000" w:themeColor="text1"/>
          <w:sz w:val="24"/>
          <w:szCs w:val="24"/>
        </w:rPr>
        <w:t> </w:t>
      </w:r>
      <w:r w:rsidRPr="005E76F6">
        <w:rPr>
          <w:rFonts w:ascii="Times New Roman" w:hAnsi="Times New Roman" w:cs="Times New Roman"/>
          <w:noProof/>
          <w:color w:val="000000" w:themeColor="text1"/>
          <w:sz w:val="24"/>
          <w:szCs w:val="24"/>
        </w:rPr>
        <w:t xml:space="preserve">000) of the </w:t>
      </w:r>
      <w:r w:rsidR="00247424" w:rsidRPr="005E76F6">
        <w:rPr>
          <w:rFonts w:ascii="Times New Roman" w:hAnsi="Times New Roman" w:cs="Times New Roman"/>
          <w:noProof/>
          <w:color w:val="000000" w:themeColor="text1"/>
          <w:sz w:val="24"/>
          <w:szCs w:val="24"/>
        </w:rPr>
        <w:t xml:space="preserve">project’s </w:t>
      </w:r>
      <w:r w:rsidRPr="005E76F6">
        <w:rPr>
          <w:rFonts w:ascii="Times New Roman" w:hAnsi="Times New Roman" w:cs="Times New Roman"/>
          <w:noProof/>
          <w:color w:val="000000" w:themeColor="text1"/>
          <w:sz w:val="24"/>
          <w:szCs w:val="24"/>
        </w:rPr>
        <w:t>budget (EUR</w:t>
      </w:r>
      <w:r w:rsidR="00FE2948" w:rsidRPr="005E76F6">
        <w:rPr>
          <w:rFonts w:ascii="Times New Roman" w:hAnsi="Times New Roman" w:cs="Times New Roman"/>
          <w:noProof/>
          <w:color w:val="000000" w:themeColor="text1"/>
          <w:sz w:val="24"/>
          <w:szCs w:val="24"/>
        </w:rPr>
        <w:t> </w:t>
      </w:r>
      <w:r w:rsidRPr="005E76F6">
        <w:rPr>
          <w:rFonts w:ascii="Times New Roman" w:hAnsi="Times New Roman" w:cs="Times New Roman"/>
          <w:noProof/>
          <w:color w:val="000000" w:themeColor="text1"/>
          <w:sz w:val="24"/>
          <w:szCs w:val="24"/>
        </w:rPr>
        <w:t>1</w:t>
      </w:r>
      <w:r w:rsidR="00247424" w:rsidRPr="005E76F6">
        <w:rPr>
          <w:rFonts w:ascii="Times New Roman" w:hAnsi="Times New Roman" w:cs="Times New Roman"/>
          <w:noProof/>
          <w:color w:val="000000" w:themeColor="text1"/>
          <w:sz w:val="24"/>
          <w:szCs w:val="24"/>
        </w:rPr>
        <w:t> </w:t>
      </w:r>
      <w:r w:rsidRPr="005E76F6">
        <w:rPr>
          <w:rFonts w:ascii="Times New Roman" w:hAnsi="Times New Roman" w:cs="Times New Roman"/>
          <w:noProof/>
          <w:color w:val="000000" w:themeColor="text1"/>
          <w:sz w:val="24"/>
          <w:szCs w:val="24"/>
        </w:rPr>
        <w:t>000</w:t>
      </w:r>
      <w:r w:rsidR="00247424" w:rsidRPr="005E76F6">
        <w:rPr>
          <w:rFonts w:ascii="Times New Roman" w:hAnsi="Times New Roman" w:cs="Times New Roman"/>
          <w:noProof/>
          <w:color w:val="000000" w:themeColor="text1"/>
          <w:sz w:val="24"/>
          <w:szCs w:val="24"/>
        </w:rPr>
        <w:t> </w:t>
      </w:r>
      <w:r w:rsidRPr="005E76F6">
        <w:rPr>
          <w:rFonts w:ascii="Times New Roman" w:hAnsi="Times New Roman" w:cs="Times New Roman"/>
          <w:noProof/>
          <w:color w:val="000000" w:themeColor="text1"/>
          <w:sz w:val="24"/>
          <w:szCs w:val="24"/>
        </w:rPr>
        <w:t>000) is dedicated to climate action.</w:t>
      </w:r>
    </w:p>
    <w:p w14:paraId="6EDEA3C8" w14:textId="77777777" w:rsidR="00D85497" w:rsidRPr="005E76F6" w:rsidRDefault="00D85497" w:rsidP="000C2B54">
      <w:pPr>
        <w:spacing w:after="0"/>
        <w:jc w:val="both"/>
        <w:rPr>
          <w:rFonts w:ascii="Times New Roman" w:hAnsi="Times New Roman" w:cs="Times New Roman"/>
          <w:b/>
          <w:noProof/>
          <w:color w:val="000000" w:themeColor="text1"/>
          <w:sz w:val="24"/>
          <w:szCs w:val="24"/>
        </w:rPr>
      </w:pPr>
    </w:p>
    <w:p w14:paraId="122F7AB1" w14:textId="3F56B4CC" w:rsidR="00D85497" w:rsidRPr="005E76F6" w:rsidRDefault="00D85497" w:rsidP="000C2B54">
      <w:pPr>
        <w:spacing w:after="200" w:line="240" w:lineRule="auto"/>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Th</w:t>
      </w:r>
      <w:r w:rsidR="00E6573F" w:rsidRPr="005E76F6">
        <w:rPr>
          <w:rFonts w:ascii="Times New Roman" w:hAnsi="Times New Roman" w:cs="Times New Roman"/>
          <w:noProof/>
          <w:color w:val="000000" w:themeColor="text1"/>
          <w:sz w:val="24"/>
          <w:szCs w:val="24"/>
        </w:rPr>
        <w:t xml:space="preserve">e </w:t>
      </w:r>
      <w:r w:rsidR="00E6573F" w:rsidRPr="00A30A82">
        <w:rPr>
          <w:rFonts w:ascii="Times New Roman" w:hAnsi="Times New Roman" w:cs="Times New Roman"/>
          <w:b/>
          <w:bCs/>
          <w:noProof/>
          <w:color w:val="000000" w:themeColor="text1"/>
          <w:sz w:val="24"/>
          <w:szCs w:val="24"/>
        </w:rPr>
        <w:t>study on mid-caps</w:t>
      </w:r>
      <w:r w:rsidRPr="005E76F6">
        <w:rPr>
          <w:rFonts w:ascii="Times New Roman" w:hAnsi="Times New Roman" w:cs="Times New Roman"/>
          <w:noProof/>
          <w:color w:val="000000" w:themeColor="text1"/>
          <w:sz w:val="24"/>
          <w:szCs w:val="24"/>
        </w:rPr>
        <w:t xml:space="preserve"> also covered environmental sustainability</w:t>
      </w:r>
      <w:r w:rsidR="00247424"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 xml:space="preserve"> including action taken by mid-caps to increase their environmental sustainability (cutting energy consumption, recycling, etc</w:t>
      </w:r>
      <w:r w:rsidR="000F36A1" w:rsidRPr="005E76F6">
        <w:rPr>
          <w:rFonts w:ascii="Times New Roman" w:hAnsi="Times New Roman" w:cs="Times New Roman"/>
          <w:noProof/>
          <w:color w:val="000000" w:themeColor="text1"/>
          <w:sz w:val="24"/>
          <w:szCs w:val="24"/>
        </w:rPr>
        <w:t>.</w:t>
      </w:r>
      <w:r w:rsidRPr="005E76F6">
        <w:rPr>
          <w:rFonts w:ascii="Times New Roman" w:hAnsi="Times New Roman" w:cs="Times New Roman"/>
          <w:noProof/>
          <w:color w:val="000000" w:themeColor="text1"/>
          <w:sz w:val="24"/>
          <w:szCs w:val="24"/>
        </w:rPr>
        <w:t>) and the main challenges they fac</w:t>
      </w:r>
      <w:r w:rsidR="00247424" w:rsidRPr="005E76F6">
        <w:rPr>
          <w:rFonts w:ascii="Times New Roman" w:hAnsi="Times New Roman" w:cs="Times New Roman"/>
          <w:noProof/>
          <w:color w:val="000000" w:themeColor="text1"/>
          <w:sz w:val="24"/>
          <w:szCs w:val="24"/>
        </w:rPr>
        <w:t>e</w:t>
      </w:r>
      <w:r w:rsidRPr="005E76F6">
        <w:rPr>
          <w:rFonts w:ascii="Times New Roman" w:hAnsi="Times New Roman" w:cs="Times New Roman"/>
          <w:noProof/>
          <w:color w:val="000000" w:themeColor="text1"/>
          <w:sz w:val="24"/>
          <w:szCs w:val="24"/>
        </w:rPr>
        <w:t xml:space="preserve"> in this area.</w:t>
      </w:r>
    </w:p>
    <w:p w14:paraId="3BD3C789" w14:textId="7DC42FC8" w:rsidR="009B7896" w:rsidRPr="005E76F6" w:rsidRDefault="00396D9D" w:rsidP="006C29DE">
      <w:pPr>
        <w:pStyle w:val="ListParagraph"/>
        <w:numPr>
          <w:ilvl w:val="0"/>
          <w:numId w:val="21"/>
        </w:numPr>
        <w:spacing w:before="120" w:after="0"/>
        <w:ind w:left="357" w:hanging="357"/>
        <w:jc w:val="both"/>
        <w:rPr>
          <w:rFonts w:ascii="Times New Roman" w:hAnsi="Times New Roman" w:cs="Times New Roman"/>
          <w:b/>
          <w:noProof/>
          <w:color w:val="000000" w:themeColor="text1"/>
          <w:sz w:val="24"/>
          <w:szCs w:val="24"/>
        </w:rPr>
      </w:pPr>
      <w:r w:rsidRPr="005E76F6">
        <w:rPr>
          <w:rFonts w:ascii="Times New Roman" w:hAnsi="Times New Roman" w:cs="Times New Roman"/>
          <w:b/>
          <w:noProof/>
          <w:color w:val="000000" w:themeColor="text1"/>
          <w:sz w:val="24"/>
          <w:szCs w:val="24"/>
        </w:rPr>
        <w:t>Contribution to Sustainable Development Goals</w:t>
      </w:r>
    </w:p>
    <w:p w14:paraId="50CE5F0C" w14:textId="036F5090" w:rsidR="002E154C" w:rsidRPr="005E76F6" w:rsidRDefault="002E154C" w:rsidP="000C2B54">
      <w:pPr>
        <w:spacing w:before="120" w:after="0"/>
        <w:jc w:val="both"/>
        <w:rPr>
          <w:rFonts w:ascii="Times New Roman" w:hAnsi="Times New Roman" w:cs="Times New Roman"/>
          <w:noProof/>
          <w:color w:val="000000" w:themeColor="text1"/>
          <w:sz w:val="24"/>
          <w:szCs w:val="24"/>
          <w:lang w:eastAsia="fr-FR"/>
        </w:rPr>
      </w:pPr>
      <w:r w:rsidRPr="005E76F6">
        <w:rPr>
          <w:rFonts w:ascii="Times New Roman" w:hAnsi="Times New Roman" w:cs="Times New Roman"/>
          <w:noProof/>
          <w:color w:val="000000" w:themeColor="text1"/>
          <w:sz w:val="24"/>
          <w:szCs w:val="24"/>
          <w:lang w:eastAsia="fr-FR"/>
        </w:rPr>
        <w:t xml:space="preserve">Many COSME projects contribute to multiple Sustainable Development </w:t>
      </w:r>
      <w:r w:rsidR="006406D7" w:rsidRPr="005E76F6">
        <w:rPr>
          <w:rFonts w:ascii="Times New Roman" w:hAnsi="Times New Roman" w:cs="Times New Roman"/>
          <w:noProof/>
          <w:color w:val="000000" w:themeColor="text1"/>
          <w:sz w:val="24"/>
          <w:szCs w:val="24"/>
          <w:lang w:eastAsia="fr-FR"/>
        </w:rPr>
        <w:t>G</w:t>
      </w:r>
      <w:r w:rsidRPr="005E76F6">
        <w:rPr>
          <w:rFonts w:ascii="Times New Roman" w:hAnsi="Times New Roman" w:cs="Times New Roman"/>
          <w:noProof/>
          <w:color w:val="000000" w:themeColor="text1"/>
          <w:sz w:val="24"/>
          <w:szCs w:val="24"/>
          <w:lang w:eastAsia="fr-FR"/>
        </w:rPr>
        <w:t xml:space="preserve">oals. </w:t>
      </w:r>
      <w:r w:rsidR="007C01A3" w:rsidRPr="005E76F6">
        <w:rPr>
          <w:rFonts w:ascii="Times New Roman" w:hAnsi="Times New Roman" w:cs="Times New Roman"/>
          <w:noProof/>
          <w:color w:val="000000" w:themeColor="text1"/>
          <w:sz w:val="24"/>
          <w:szCs w:val="24"/>
          <w:lang w:eastAsia="fr-FR"/>
        </w:rPr>
        <w:t>For example:</w:t>
      </w:r>
    </w:p>
    <w:p w14:paraId="0B3AE7EB" w14:textId="503C1841" w:rsidR="002E154C" w:rsidRPr="005E76F6" w:rsidRDefault="002E154C" w:rsidP="000C2B54">
      <w:pPr>
        <w:spacing w:before="120" w:after="60" w:line="240" w:lineRule="auto"/>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 xml:space="preserve">The </w:t>
      </w:r>
      <w:r w:rsidR="00FE2948" w:rsidRPr="005E76F6">
        <w:rPr>
          <w:rFonts w:ascii="Times New Roman" w:eastAsia="Times New Roman" w:hAnsi="Times New Roman" w:cs="Times New Roman"/>
          <w:bCs/>
          <w:noProof/>
          <w:color w:val="000000" w:themeColor="text1"/>
          <w:sz w:val="24"/>
          <w:szCs w:val="24"/>
          <w:lang w:eastAsia="fr-FR"/>
        </w:rPr>
        <w:t>‘</w:t>
      </w:r>
      <w:r w:rsidRPr="005E76F6">
        <w:rPr>
          <w:rFonts w:ascii="Times New Roman" w:eastAsia="Times New Roman" w:hAnsi="Times New Roman" w:cs="Times New Roman"/>
          <w:b/>
          <w:bCs/>
          <w:noProof/>
          <w:color w:val="000000" w:themeColor="text1"/>
          <w:sz w:val="24"/>
          <w:szCs w:val="24"/>
          <w:lang w:eastAsia="fr-FR"/>
        </w:rPr>
        <w:t xml:space="preserve">Initiatives for a Built </w:t>
      </w:r>
      <w:r w:rsidR="004614B7" w:rsidRPr="005E76F6">
        <w:rPr>
          <w:rFonts w:ascii="Times New Roman" w:eastAsia="Times New Roman" w:hAnsi="Times New Roman" w:cs="Times New Roman"/>
          <w:b/>
          <w:bCs/>
          <w:noProof/>
          <w:color w:val="000000" w:themeColor="text1"/>
          <w:sz w:val="24"/>
          <w:szCs w:val="24"/>
          <w:lang w:eastAsia="fr-FR"/>
        </w:rPr>
        <w:t>E</w:t>
      </w:r>
      <w:r w:rsidRPr="005E76F6">
        <w:rPr>
          <w:rFonts w:ascii="Times New Roman" w:eastAsia="Times New Roman" w:hAnsi="Times New Roman" w:cs="Times New Roman"/>
          <w:b/>
          <w:bCs/>
          <w:noProof/>
          <w:color w:val="000000" w:themeColor="text1"/>
          <w:sz w:val="24"/>
          <w:szCs w:val="24"/>
          <w:lang w:eastAsia="fr-FR"/>
        </w:rPr>
        <w:t>nvironment</w:t>
      </w:r>
      <w:r w:rsidR="00FE2948" w:rsidRPr="005E76F6">
        <w:rPr>
          <w:rFonts w:ascii="Times New Roman" w:eastAsia="Times New Roman" w:hAnsi="Times New Roman" w:cs="Times New Roman"/>
          <w:bCs/>
          <w:noProof/>
          <w:color w:val="000000" w:themeColor="text1"/>
          <w:sz w:val="24"/>
          <w:szCs w:val="24"/>
          <w:lang w:eastAsia="fr-FR"/>
        </w:rPr>
        <w:t>’</w:t>
      </w:r>
      <w:r w:rsidRPr="005E76F6">
        <w:rPr>
          <w:rFonts w:ascii="Times New Roman" w:eastAsia="Times New Roman" w:hAnsi="Times New Roman" w:cs="Times New Roman"/>
          <w:bCs/>
          <w:noProof/>
          <w:color w:val="000000" w:themeColor="text1"/>
          <w:sz w:val="24"/>
          <w:szCs w:val="24"/>
          <w:lang w:eastAsia="fr-FR"/>
        </w:rPr>
        <w:t xml:space="preserve"> tool has been developed to support the transition to sustainability in the construction sector and an inclusive built environment. It is used </w:t>
      </w:r>
      <w:r w:rsidR="003108B5" w:rsidRPr="005E76F6">
        <w:rPr>
          <w:rFonts w:ascii="Times New Roman" w:eastAsia="Times New Roman" w:hAnsi="Times New Roman" w:cs="Times New Roman"/>
          <w:bCs/>
          <w:noProof/>
          <w:color w:val="000000" w:themeColor="text1"/>
          <w:sz w:val="24"/>
          <w:szCs w:val="24"/>
          <w:lang w:eastAsia="fr-FR"/>
        </w:rPr>
        <w:t xml:space="preserve">to </w:t>
      </w:r>
      <w:r w:rsidRPr="005E76F6">
        <w:rPr>
          <w:rFonts w:ascii="Times New Roman" w:eastAsia="Times New Roman" w:hAnsi="Times New Roman" w:cs="Times New Roman"/>
          <w:bCs/>
          <w:noProof/>
          <w:color w:val="000000" w:themeColor="text1"/>
          <w:sz w:val="24"/>
          <w:szCs w:val="24"/>
          <w:lang w:eastAsia="fr-FR"/>
        </w:rPr>
        <w:t xml:space="preserve">assess and monitor </w:t>
      </w:r>
      <w:r w:rsidR="003108B5" w:rsidRPr="005E76F6">
        <w:rPr>
          <w:rFonts w:ascii="Times New Roman" w:eastAsia="Times New Roman" w:hAnsi="Times New Roman" w:cs="Times New Roman"/>
          <w:bCs/>
          <w:noProof/>
          <w:color w:val="000000" w:themeColor="text1"/>
          <w:sz w:val="24"/>
          <w:szCs w:val="24"/>
          <w:lang w:eastAsia="fr-FR"/>
        </w:rPr>
        <w:t>n</w:t>
      </w:r>
      <w:r w:rsidRPr="005E76F6">
        <w:rPr>
          <w:rFonts w:ascii="Times New Roman" w:eastAsia="Times New Roman" w:hAnsi="Times New Roman" w:cs="Times New Roman"/>
          <w:bCs/>
          <w:noProof/>
          <w:color w:val="000000" w:themeColor="text1"/>
          <w:sz w:val="24"/>
          <w:szCs w:val="24"/>
          <w:lang w:eastAsia="fr-FR"/>
        </w:rPr>
        <w:t xml:space="preserve">ational </w:t>
      </w:r>
      <w:r w:rsidR="003108B5" w:rsidRPr="005E76F6">
        <w:rPr>
          <w:rFonts w:ascii="Times New Roman" w:eastAsia="Times New Roman" w:hAnsi="Times New Roman" w:cs="Times New Roman"/>
          <w:bCs/>
          <w:noProof/>
          <w:color w:val="000000" w:themeColor="text1"/>
          <w:sz w:val="24"/>
          <w:szCs w:val="24"/>
          <w:lang w:eastAsia="fr-FR"/>
        </w:rPr>
        <w:t>r</w:t>
      </w:r>
      <w:r w:rsidRPr="005E76F6">
        <w:rPr>
          <w:rFonts w:ascii="Times New Roman" w:eastAsia="Times New Roman" w:hAnsi="Times New Roman" w:cs="Times New Roman"/>
          <w:bCs/>
          <w:noProof/>
          <w:color w:val="000000" w:themeColor="text1"/>
          <w:sz w:val="24"/>
          <w:szCs w:val="24"/>
          <w:lang w:eastAsia="fr-FR"/>
        </w:rPr>
        <w:t xml:space="preserve">eforms and </w:t>
      </w:r>
      <w:r w:rsidR="003108B5" w:rsidRPr="005E76F6">
        <w:rPr>
          <w:rFonts w:ascii="Times New Roman" w:eastAsia="Times New Roman" w:hAnsi="Times New Roman" w:cs="Times New Roman"/>
          <w:bCs/>
          <w:noProof/>
          <w:color w:val="000000" w:themeColor="text1"/>
          <w:sz w:val="24"/>
          <w:szCs w:val="24"/>
          <w:lang w:eastAsia="fr-FR"/>
        </w:rPr>
        <w:t>p</w:t>
      </w:r>
      <w:r w:rsidRPr="005E76F6">
        <w:rPr>
          <w:rFonts w:ascii="Times New Roman" w:eastAsia="Times New Roman" w:hAnsi="Times New Roman" w:cs="Times New Roman"/>
          <w:bCs/>
          <w:noProof/>
          <w:color w:val="000000" w:themeColor="text1"/>
          <w:sz w:val="24"/>
          <w:szCs w:val="24"/>
          <w:lang w:eastAsia="fr-FR"/>
        </w:rPr>
        <w:t xml:space="preserve">ublic </w:t>
      </w:r>
      <w:r w:rsidR="003108B5" w:rsidRPr="005E76F6">
        <w:rPr>
          <w:rFonts w:ascii="Times New Roman" w:eastAsia="Times New Roman" w:hAnsi="Times New Roman" w:cs="Times New Roman"/>
          <w:bCs/>
          <w:noProof/>
          <w:color w:val="000000" w:themeColor="text1"/>
          <w:sz w:val="24"/>
          <w:szCs w:val="24"/>
          <w:lang w:eastAsia="fr-FR"/>
        </w:rPr>
        <w:t>i</w:t>
      </w:r>
      <w:r w:rsidRPr="005E76F6">
        <w:rPr>
          <w:rFonts w:ascii="Times New Roman" w:eastAsia="Times New Roman" w:hAnsi="Times New Roman" w:cs="Times New Roman"/>
          <w:bCs/>
          <w:noProof/>
          <w:color w:val="000000" w:themeColor="text1"/>
          <w:sz w:val="24"/>
          <w:szCs w:val="24"/>
          <w:lang w:eastAsia="fr-FR"/>
        </w:rPr>
        <w:t xml:space="preserve">nvestment </w:t>
      </w:r>
      <w:r w:rsidR="003108B5" w:rsidRPr="005E76F6">
        <w:rPr>
          <w:rFonts w:ascii="Times New Roman" w:eastAsia="Times New Roman" w:hAnsi="Times New Roman" w:cs="Times New Roman"/>
          <w:bCs/>
          <w:noProof/>
          <w:color w:val="000000" w:themeColor="text1"/>
          <w:sz w:val="24"/>
          <w:szCs w:val="24"/>
          <w:lang w:eastAsia="fr-FR"/>
        </w:rPr>
        <w:t>p</w:t>
      </w:r>
      <w:r w:rsidRPr="005E76F6">
        <w:rPr>
          <w:rFonts w:ascii="Times New Roman" w:eastAsia="Times New Roman" w:hAnsi="Times New Roman" w:cs="Times New Roman"/>
          <w:bCs/>
          <w:noProof/>
          <w:color w:val="000000" w:themeColor="text1"/>
          <w:sz w:val="24"/>
          <w:szCs w:val="24"/>
          <w:lang w:eastAsia="fr-FR"/>
        </w:rPr>
        <w:t xml:space="preserve">rogrammes related to </w:t>
      </w:r>
      <w:r w:rsidR="003108B5" w:rsidRPr="005E76F6">
        <w:rPr>
          <w:rFonts w:ascii="Times New Roman" w:eastAsia="Times New Roman" w:hAnsi="Times New Roman" w:cs="Times New Roman"/>
          <w:bCs/>
          <w:noProof/>
          <w:color w:val="000000" w:themeColor="text1"/>
          <w:sz w:val="24"/>
          <w:szCs w:val="24"/>
          <w:lang w:eastAsia="fr-FR"/>
        </w:rPr>
        <w:t>c</w:t>
      </w:r>
      <w:r w:rsidRPr="005E76F6">
        <w:rPr>
          <w:rFonts w:ascii="Times New Roman" w:eastAsia="Times New Roman" w:hAnsi="Times New Roman" w:cs="Times New Roman"/>
          <w:bCs/>
          <w:noProof/>
          <w:color w:val="000000" w:themeColor="text1"/>
          <w:sz w:val="24"/>
          <w:szCs w:val="24"/>
          <w:lang w:eastAsia="fr-FR"/>
        </w:rPr>
        <w:t xml:space="preserve">onstruction </w:t>
      </w:r>
      <w:r w:rsidR="003108B5" w:rsidRPr="005E76F6">
        <w:rPr>
          <w:rFonts w:ascii="Times New Roman" w:eastAsia="Times New Roman" w:hAnsi="Times New Roman" w:cs="Times New Roman"/>
          <w:bCs/>
          <w:noProof/>
          <w:color w:val="000000" w:themeColor="text1"/>
          <w:sz w:val="24"/>
          <w:szCs w:val="24"/>
          <w:lang w:eastAsia="fr-FR"/>
        </w:rPr>
        <w:t xml:space="preserve">carried out </w:t>
      </w:r>
      <w:r w:rsidRPr="005E76F6">
        <w:rPr>
          <w:rFonts w:ascii="Times New Roman" w:eastAsia="Times New Roman" w:hAnsi="Times New Roman" w:cs="Times New Roman"/>
          <w:bCs/>
          <w:noProof/>
          <w:color w:val="000000" w:themeColor="text1"/>
          <w:sz w:val="24"/>
          <w:szCs w:val="24"/>
          <w:lang w:eastAsia="fr-FR"/>
        </w:rPr>
        <w:t xml:space="preserve">by the EU-27 countries under their </w:t>
      </w:r>
      <w:r w:rsidR="003108B5" w:rsidRPr="005E76F6">
        <w:rPr>
          <w:rFonts w:ascii="Times New Roman" w:eastAsia="Times New Roman" w:hAnsi="Times New Roman" w:cs="Times New Roman"/>
          <w:bCs/>
          <w:noProof/>
          <w:color w:val="000000" w:themeColor="text1"/>
          <w:sz w:val="24"/>
          <w:szCs w:val="24"/>
          <w:lang w:eastAsia="fr-FR"/>
        </w:rPr>
        <w:t>n</w:t>
      </w:r>
      <w:r w:rsidRPr="005E76F6">
        <w:rPr>
          <w:rFonts w:ascii="Times New Roman" w:eastAsia="Times New Roman" w:hAnsi="Times New Roman" w:cs="Times New Roman"/>
          <w:bCs/>
          <w:noProof/>
          <w:color w:val="000000" w:themeColor="text1"/>
          <w:sz w:val="24"/>
          <w:szCs w:val="24"/>
          <w:lang w:eastAsia="fr-FR"/>
        </w:rPr>
        <w:t xml:space="preserve">ational </w:t>
      </w:r>
      <w:r w:rsidR="003108B5" w:rsidRPr="005E76F6">
        <w:rPr>
          <w:rFonts w:ascii="Times New Roman" w:eastAsia="Times New Roman" w:hAnsi="Times New Roman" w:cs="Times New Roman"/>
          <w:bCs/>
          <w:noProof/>
          <w:color w:val="000000" w:themeColor="text1"/>
          <w:sz w:val="24"/>
          <w:szCs w:val="24"/>
          <w:lang w:eastAsia="fr-FR"/>
        </w:rPr>
        <w:t>r</w:t>
      </w:r>
      <w:r w:rsidRPr="005E76F6">
        <w:rPr>
          <w:rFonts w:ascii="Times New Roman" w:eastAsia="Times New Roman" w:hAnsi="Times New Roman" w:cs="Times New Roman"/>
          <w:bCs/>
          <w:noProof/>
          <w:color w:val="000000" w:themeColor="text1"/>
          <w:sz w:val="24"/>
          <w:szCs w:val="24"/>
          <w:lang w:eastAsia="fr-FR"/>
        </w:rPr>
        <w:t xml:space="preserve">ecovery and </w:t>
      </w:r>
      <w:r w:rsidR="003108B5" w:rsidRPr="005E76F6">
        <w:rPr>
          <w:rFonts w:ascii="Times New Roman" w:eastAsia="Times New Roman" w:hAnsi="Times New Roman" w:cs="Times New Roman"/>
          <w:bCs/>
          <w:noProof/>
          <w:color w:val="000000" w:themeColor="text1"/>
          <w:sz w:val="24"/>
          <w:szCs w:val="24"/>
          <w:lang w:eastAsia="fr-FR"/>
        </w:rPr>
        <w:t>r</w:t>
      </w:r>
      <w:r w:rsidRPr="005E76F6">
        <w:rPr>
          <w:rFonts w:ascii="Times New Roman" w:eastAsia="Times New Roman" w:hAnsi="Times New Roman" w:cs="Times New Roman"/>
          <w:bCs/>
          <w:noProof/>
          <w:color w:val="000000" w:themeColor="text1"/>
          <w:sz w:val="24"/>
          <w:szCs w:val="24"/>
          <w:lang w:eastAsia="fr-FR"/>
        </w:rPr>
        <w:t xml:space="preserve">esilience </w:t>
      </w:r>
      <w:r w:rsidR="003108B5" w:rsidRPr="005E76F6">
        <w:rPr>
          <w:rFonts w:ascii="Times New Roman" w:eastAsia="Times New Roman" w:hAnsi="Times New Roman" w:cs="Times New Roman"/>
          <w:bCs/>
          <w:noProof/>
          <w:color w:val="000000" w:themeColor="text1"/>
          <w:sz w:val="24"/>
          <w:szCs w:val="24"/>
          <w:lang w:eastAsia="fr-FR"/>
        </w:rPr>
        <w:t>p</w:t>
      </w:r>
      <w:r w:rsidRPr="005E76F6">
        <w:rPr>
          <w:rFonts w:ascii="Times New Roman" w:eastAsia="Times New Roman" w:hAnsi="Times New Roman" w:cs="Times New Roman"/>
          <w:bCs/>
          <w:noProof/>
          <w:color w:val="000000" w:themeColor="text1"/>
          <w:sz w:val="24"/>
          <w:szCs w:val="24"/>
          <w:lang w:eastAsia="fr-FR"/>
        </w:rPr>
        <w:t xml:space="preserve">lans. This </w:t>
      </w:r>
      <w:r w:rsidR="003108B5" w:rsidRPr="005E76F6">
        <w:rPr>
          <w:rFonts w:ascii="Times New Roman" w:eastAsia="Times New Roman" w:hAnsi="Times New Roman" w:cs="Times New Roman"/>
          <w:bCs/>
          <w:noProof/>
          <w:color w:val="000000" w:themeColor="text1"/>
          <w:sz w:val="24"/>
          <w:szCs w:val="24"/>
          <w:lang w:eastAsia="fr-FR"/>
        </w:rPr>
        <w:t>project contributes to</w:t>
      </w:r>
      <w:r w:rsidRPr="005E76F6">
        <w:rPr>
          <w:rFonts w:ascii="Times New Roman" w:eastAsia="Times New Roman" w:hAnsi="Times New Roman" w:cs="Times New Roman"/>
          <w:bCs/>
          <w:noProof/>
          <w:color w:val="000000" w:themeColor="text1"/>
          <w:sz w:val="24"/>
          <w:szCs w:val="24"/>
          <w:lang w:eastAsia="fr-FR"/>
        </w:rPr>
        <w:t xml:space="preserve"> SDG 1 (</w:t>
      </w:r>
      <w:r w:rsidR="003108B5" w:rsidRPr="005E76F6">
        <w:rPr>
          <w:rFonts w:ascii="Times New Roman" w:eastAsia="Times New Roman" w:hAnsi="Times New Roman" w:cs="Times New Roman"/>
          <w:bCs/>
          <w:noProof/>
          <w:color w:val="000000" w:themeColor="text1"/>
          <w:sz w:val="24"/>
          <w:szCs w:val="24"/>
          <w:lang w:eastAsia="fr-FR"/>
        </w:rPr>
        <w:t>a</w:t>
      </w:r>
      <w:r w:rsidRPr="005E76F6">
        <w:rPr>
          <w:rFonts w:ascii="Times New Roman" w:eastAsia="Times New Roman" w:hAnsi="Times New Roman" w:cs="Times New Roman"/>
          <w:bCs/>
          <w:noProof/>
          <w:color w:val="000000" w:themeColor="text1"/>
          <w:sz w:val="24"/>
          <w:szCs w:val="24"/>
          <w:lang w:eastAsia="fr-FR"/>
        </w:rPr>
        <w:t>ffordable housing), SDG</w:t>
      </w:r>
      <w:r w:rsidR="00FE2948" w:rsidRPr="005E76F6">
        <w:rPr>
          <w:rFonts w:ascii="Times New Roman" w:eastAsia="Times New Roman" w:hAnsi="Times New Roman" w:cs="Times New Roman"/>
          <w:bCs/>
          <w:noProof/>
          <w:color w:val="000000" w:themeColor="text1"/>
          <w:sz w:val="24"/>
          <w:szCs w:val="24"/>
          <w:lang w:eastAsia="fr-FR"/>
        </w:rPr>
        <w:t> </w:t>
      </w:r>
      <w:r w:rsidRPr="005E76F6">
        <w:rPr>
          <w:rFonts w:ascii="Times New Roman" w:eastAsia="Times New Roman" w:hAnsi="Times New Roman" w:cs="Times New Roman"/>
          <w:bCs/>
          <w:noProof/>
          <w:color w:val="000000" w:themeColor="text1"/>
          <w:sz w:val="24"/>
          <w:szCs w:val="24"/>
          <w:lang w:eastAsia="fr-FR"/>
        </w:rPr>
        <w:t>3 (quality built environment), SDG</w:t>
      </w:r>
      <w:r w:rsidR="00FE2948" w:rsidRPr="005E76F6">
        <w:rPr>
          <w:rFonts w:ascii="Times New Roman" w:eastAsia="Times New Roman" w:hAnsi="Times New Roman" w:cs="Times New Roman"/>
          <w:bCs/>
          <w:noProof/>
          <w:color w:val="000000" w:themeColor="text1"/>
          <w:sz w:val="24"/>
          <w:szCs w:val="24"/>
          <w:lang w:eastAsia="fr-FR"/>
        </w:rPr>
        <w:t> </w:t>
      </w:r>
      <w:r w:rsidRPr="005E76F6">
        <w:rPr>
          <w:rFonts w:ascii="Times New Roman" w:eastAsia="Times New Roman" w:hAnsi="Times New Roman" w:cs="Times New Roman"/>
          <w:bCs/>
          <w:noProof/>
          <w:color w:val="000000" w:themeColor="text1"/>
          <w:sz w:val="24"/>
          <w:szCs w:val="24"/>
          <w:lang w:eastAsia="fr-FR"/>
        </w:rPr>
        <w:t>5 (skills development), SDG</w:t>
      </w:r>
      <w:r w:rsidR="00FE2948" w:rsidRPr="005E76F6">
        <w:rPr>
          <w:rFonts w:ascii="Times New Roman" w:eastAsia="Times New Roman" w:hAnsi="Times New Roman" w:cs="Times New Roman"/>
          <w:bCs/>
          <w:noProof/>
          <w:color w:val="000000" w:themeColor="text1"/>
          <w:sz w:val="24"/>
          <w:szCs w:val="24"/>
          <w:lang w:eastAsia="fr-FR"/>
        </w:rPr>
        <w:t> </w:t>
      </w:r>
      <w:r w:rsidRPr="005E76F6">
        <w:rPr>
          <w:rFonts w:ascii="Times New Roman" w:eastAsia="Times New Roman" w:hAnsi="Times New Roman" w:cs="Times New Roman"/>
          <w:bCs/>
          <w:noProof/>
          <w:color w:val="000000" w:themeColor="text1"/>
          <w:sz w:val="24"/>
          <w:szCs w:val="24"/>
          <w:lang w:eastAsia="fr-FR"/>
        </w:rPr>
        <w:t>7 (link with renovation wave and other initiative</w:t>
      </w:r>
      <w:r w:rsidR="003108B5" w:rsidRPr="005E76F6">
        <w:rPr>
          <w:rFonts w:ascii="Times New Roman" w:eastAsia="Times New Roman" w:hAnsi="Times New Roman" w:cs="Times New Roman"/>
          <w:bCs/>
          <w:noProof/>
          <w:color w:val="000000" w:themeColor="text1"/>
          <w:sz w:val="24"/>
          <w:szCs w:val="24"/>
          <w:lang w:eastAsia="fr-FR"/>
        </w:rPr>
        <w:t>s</w:t>
      </w:r>
      <w:r w:rsidRPr="005E76F6">
        <w:rPr>
          <w:rFonts w:ascii="Times New Roman" w:eastAsia="Times New Roman" w:hAnsi="Times New Roman" w:cs="Times New Roman"/>
          <w:bCs/>
          <w:noProof/>
          <w:color w:val="000000" w:themeColor="text1"/>
          <w:sz w:val="24"/>
          <w:szCs w:val="24"/>
          <w:lang w:eastAsia="fr-FR"/>
        </w:rPr>
        <w:t>), SDG</w:t>
      </w:r>
      <w:r w:rsidR="00CC590B" w:rsidRPr="005E76F6">
        <w:rPr>
          <w:rFonts w:ascii="Times New Roman" w:eastAsia="Times New Roman" w:hAnsi="Times New Roman" w:cs="Times New Roman"/>
          <w:bCs/>
          <w:noProof/>
          <w:color w:val="000000" w:themeColor="text1"/>
          <w:sz w:val="24"/>
          <w:szCs w:val="24"/>
          <w:lang w:eastAsia="fr-FR"/>
        </w:rPr>
        <w:t>s</w:t>
      </w:r>
      <w:r w:rsidRPr="005E76F6">
        <w:rPr>
          <w:rFonts w:ascii="Times New Roman" w:eastAsia="Times New Roman" w:hAnsi="Times New Roman" w:cs="Times New Roman"/>
          <w:bCs/>
          <w:noProof/>
          <w:color w:val="000000" w:themeColor="text1"/>
          <w:sz w:val="24"/>
          <w:szCs w:val="24"/>
          <w:lang w:eastAsia="fr-FR"/>
        </w:rPr>
        <w:t xml:space="preserve"> 8 and 9 (competitiveness, innovation, productivity and sustainability of the EU construction industry), SDG</w:t>
      </w:r>
      <w:r w:rsidR="003108B5" w:rsidRPr="005E76F6">
        <w:rPr>
          <w:rFonts w:ascii="Times New Roman" w:eastAsia="Times New Roman" w:hAnsi="Times New Roman" w:cs="Times New Roman"/>
          <w:bCs/>
          <w:noProof/>
          <w:color w:val="000000" w:themeColor="text1"/>
          <w:sz w:val="24"/>
          <w:szCs w:val="24"/>
          <w:lang w:eastAsia="fr-FR"/>
        </w:rPr>
        <w:t>s</w:t>
      </w:r>
      <w:r w:rsidR="00FE2948" w:rsidRPr="005E76F6">
        <w:rPr>
          <w:rFonts w:ascii="Times New Roman" w:eastAsia="Times New Roman" w:hAnsi="Times New Roman" w:cs="Times New Roman"/>
          <w:bCs/>
          <w:noProof/>
          <w:color w:val="000000" w:themeColor="text1"/>
          <w:sz w:val="24"/>
          <w:szCs w:val="24"/>
          <w:lang w:eastAsia="fr-FR"/>
        </w:rPr>
        <w:t> </w:t>
      </w:r>
      <w:r w:rsidRPr="005E76F6">
        <w:rPr>
          <w:rFonts w:ascii="Times New Roman" w:eastAsia="Times New Roman" w:hAnsi="Times New Roman" w:cs="Times New Roman"/>
          <w:bCs/>
          <w:noProof/>
          <w:color w:val="000000" w:themeColor="text1"/>
          <w:sz w:val="24"/>
          <w:szCs w:val="24"/>
          <w:lang w:eastAsia="fr-FR"/>
        </w:rPr>
        <w:t xml:space="preserve">11 </w:t>
      </w:r>
      <w:r w:rsidR="008013CE" w:rsidRPr="005E76F6">
        <w:rPr>
          <w:rFonts w:ascii="Times New Roman" w:eastAsia="Times New Roman" w:hAnsi="Times New Roman" w:cs="Times New Roman"/>
          <w:bCs/>
          <w:noProof/>
          <w:color w:val="000000" w:themeColor="text1"/>
          <w:sz w:val="24"/>
          <w:szCs w:val="24"/>
          <w:lang w:eastAsia="fr-FR"/>
        </w:rPr>
        <w:t>and</w:t>
      </w:r>
      <w:r w:rsidRPr="005E76F6">
        <w:rPr>
          <w:rFonts w:ascii="Times New Roman" w:eastAsia="Times New Roman" w:hAnsi="Times New Roman" w:cs="Times New Roman"/>
          <w:bCs/>
          <w:noProof/>
          <w:color w:val="000000" w:themeColor="text1"/>
          <w:sz w:val="24"/>
          <w:szCs w:val="24"/>
          <w:lang w:eastAsia="fr-FR"/>
        </w:rPr>
        <w:t xml:space="preserve"> 15 (the built environment),</w:t>
      </w:r>
      <w:r w:rsidR="00133F24" w:rsidRPr="005E76F6">
        <w:rPr>
          <w:rFonts w:ascii="Times New Roman" w:eastAsia="Times New Roman" w:hAnsi="Times New Roman" w:cs="Times New Roman"/>
          <w:bCs/>
          <w:noProof/>
          <w:color w:val="000000" w:themeColor="text1"/>
          <w:sz w:val="24"/>
          <w:szCs w:val="24"/>
          <w:lang w:eastAsia="fr-FR"/>
        </w:rPr>
        <w:t xml:space="preserve"> </w:t>
      </w:r>
      <w:r w:rsidR="00CC590B" w:rsidRPr="005E76F6">
        <w:rPr>
          <w:rFonts w:ascii="Times New Roman" w:eastAsia="Times New Roman" w:hAnsi="Times New Roman" w:cs="Times New Roman"/>
          <w:bCs/>
          <w:noProof/>
          <w:color w:val="000000" w:themeColor="text1"/>
          <w:sz w:val="24"/>
          <w:szCs w:val="24"/>
          <w:lang w:eastAsia="fr-FR"/>
        </w:rPr>
        <w:t>SDG </w:t>
      </w:r>
      <w:r w:rsidRPr="005E76F6">
        <w:rPr>
          <w:rFonts w:ascii="Times New Roman" w:eastAsia="Times New Roman" w:hAnsi="Times New Roman" w:cs="Times New Roman"/>
          <w:bCs/>
          <w:noProof/>
          <w:color w:val="000000" w:themeColor="text1"/>
          <w:sz w:val="24"/>
          <w:szCs w:val="24"/>
          <w:lang w:eastAsia="fr-FR"/>
        </w:rPr>
        <w:t xml:space="preserve">13 (energy efficiency) and </w:t>
      </w:r>
      <w:r w:rsidR="00CC590B" w:rsidRPr="005E76F6">
        <w:rPr>
          <w:rFonts w:ascii="Times New Roman" w:eastAsia="Times New Roman" w:hAnsi="Times New Roman" w:cs="Times New Roman"/>
          <w:bCs/>
          <w:noProof/>
          <w:color w:val="000000" w:themeColor="text1"/>
          <w:sz w:val="24"/>
          <w:szCs w:val="24"/>
          <w:lang w:eastAsia="fr-FR"/>
        </w:rPr>
        <w:t>SDG </w:t>
      </w:r>
      <w:r w:rsidRPr="005E76F6">
        <w:rPr>
          <w:rFonts w:ascii="Times New Roman" w:eastAsia="Times New Roman" w:hAnsi="Times New Roman" w:cs="Times New Roman"/>
          <w:bCs/>
          <w:noProof/>
          <w:color w:val="000000" w:themeColor="text1"/>
          <w:sz w:val="24"/>
          <w:szCs w:val="24"/>
          <w:lang w:eastAsia="fr-FR"/>
        </w:rPr>
        <w:t>16 (institutional reforms).</w:t>
      </w:r>
    </w:p>
    <w:p w14:paraId="225E038C" w14:textId="2459552A" w:rsidR="006E1ECD" w:rsidRPr="005E76F6" w:rsidRDefault="006E1ECD" w:rsidP="006E1ECD">
      <w:pPr>
        <w:spacing w:before="120" w:after="60" w:line="240" w:lineRule="auto"/>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 xml:space="preserve">The </w:t>
      </w:r>
      <w:r w:rsidRPr="005E76F6">
        <w:rPr>
          <w:rFonts w:ascii="Times New Roman" w:eastAsia="Times New Roman" w:hAnsi="Times New Roman" w:cs="Times New Roman"/>
          <w:b/>
          <w:bCs/>
          <w:noProof/>
          <w:color w:val="000000" w:themeColor="text1"/>
          <w:sz w:val="24"/>
          <w:szCs w:val="24"/>
          <w:lang w:eastAsia="fr-FR"/>
        </w:rPr>
        <w:t>European Climate Neutral Industry Competitiveness Scoreboard (CIndECS)</w:t>
      </w:r>
      <w:r w:rsidRPr="005E76F6">
        <w:rPr>
          <w:rFonts w:ascii="Times New Roman" w:eastAsia="Times New Roman" w:hAnsi="Times New Roman" w:cs="Times New Roman"/>
          <w:bCs/>
          <w:noProof/>
          <w:color w:val="000000" w:themeColor="text1"/>
          <w:sz w:val="24"/>
          <w:szCs w:val="24"/>
          <w:lang w:eastAsia="fr-FR"/>
        </w:rPr>
        <w:t xml:space="preserve"> described </w:t>
      </w:r>
      <w:r w:rsidR="00CC590B" w:rsidRPr="005E76F6">
        <w:rPr>
          <w:rFonts w:ascii="Times New Roman" w:eastAsia="Times New Roman" w:hAnsi="Times New Roman" w:cs="Times New Roman"/>
          <w:bCs/>
          <w:noProof/>
          <w:color w:val="000000" w:themeColor="text1"/>
          <w:sz w:val="24"/>
          <w:szCs w:val="24"/>
          <w:lang w:eastAsia="fr-FR"/>
        </w:rPr>
        <w:t xml:space="preserve">in </w:t>
      </w:r>
      <w:r w:rsidRPr="005E76F6">
        <w:rPr>
          <w:rFonts w:ascii="Times New Roman" w:eastAsia="Times New Roman" w:hAnsi="Times New Roman" w:cs="Times New Roman"/>
          <w:bCs/>
          <w:noProof/>
          <w:color w:val="000000" w:themeColor="text1"/>
          <w:sz w:val="24"/>
          <w:szCs w:val="24"/>
          <w:lang w:eastAsia="fr-FR"/>
        </w:rPr>
        <w:t xml:space="preserve">the </w:t>
      </w:r>
      <w:r w:rsidR="003108B5" w:rsidRPr="005E76F6">
        <w:rPr>
          <w:rFonts w:ascii="Times New Roman" w:eastAsia="Times New Roman" w:hAnsi="Times New Roman" w:cs="Times New Roman"/>
          <w:bCs/>
          <w:noProof/>
          <w:color w:val="000000" w:themeColor="text1"/>
          <w:sz w:val="24"/>
          <w:szCs w:val="24"/>
          <w:lang w:eastAsia="fr-FR"/>
        </w:rPr>
        <w:t xml:space="preserve">section below on </w:t>
      </w:r>
      <w:r w:rsidRPr="005E76F6">
        <w:rPr>
          <w:rFonts w:ascii="Times New Roman" w:eastAsia="Times New Roman" w:hAnsi="Times New Roman" w:cs="Times New Roman"/>
          <w:bCs/>
          <w:noProof/>
          <w:color w:val="000000" w:themeColor="text1"/>
          <w:sz w:val="24"/>
          <w:szCs w:val="24"/>
          <w:lang w:eastAsia="fr-FR"/>
        </w:rPr>
        <w:t>SDG 13 also contributes to SDG 7 (</w:t>
      </w:r>
      <w:r w:rsidR="003108B5" w:rsidRPr="005E76F6">
        <w:rPr>
          <w:rFonts w:ascii="Times New Roman" w:eastAsia="Times New Roman" w:hAnsi="Times New Roman" w:cs="Times New Roman"/>
          <w:bCs/>
          <w:noProof/>
          <w:color w:val="000000" w:themeColor="text1"/>
          <w:sz w:val="24"/>
          <w:szCs w:val="24"/>
          <w:lang w:eastAsia="fr-FR"/>
        </w:rPr>
        <w:t>a</w:t>
      </w:r>
      <w:r w:rsidRPr="005E76F6">
        <w:rPr>
          <w:rFonts w:ascii="Times New Roman" w:eastAsia="Times New Roman" w:hAnsi="Times New Roman" w:cs="Times New Roman"/>
          <w:bCs/>
          <w:noProof/>
          <w:color w:val="000000" w:themeColor="text1"/>
          <w:sz w:val="24"/>
          <w:szCs w:val="24"/>
          <w:lang w:eastAsia="fr-FR"/>
        </w:rPr>
        <w:t xml:space="preserve">ffordable and </w:t>
      </w:r>
      <w:r w:rsidR="003108B5" w:rsidRPr="005E76F6">
        <w:rPr>
          <w:rFonts w:ascii="Times New Roman" w:eastAsia="Times New Roman" w:hAnsi="Times New Roman" w:cs="Times New Roman"/>
          <w:bCs/>
          <w:noProof/>
          <w:color w:val="000000" w:themeColor="text1"/>
          <w:sz w:val="24"/>
          <w:szCs w:val="24"/>
          <w:lang w:eastAsia="fr-FR"/>
        </w:rPr>
        <w:t>c</w:t>
      </w:r>
      <w:r w:rsidRPr="005E76F6">
        <w:rPr>
          <w:rFonts w:ascii="Times New Roman" w:eastAsia="Times New Roman" w:hAnsi="Times New Roman" w:cs="Times New Roman"/>
          <w:bCs/>
          <w:noProof/>
          <w:color w:val="000000" w:themeColor="text1"/>
          <w:sz w:val="24"/>
          <w:szCs w:val="24"/>
          <w:lang w:eastAsia="fr-FR"/>
        </w:rPr>
        <w:t xml:space="preserve">lean </w:t>
      </w:r>
      <w:r w:rsidR="003108B5" w:rsidRPr="005E76F6">
        <w:rPr>
          <w:rFonts w:ascii="Times New Roman" w:eastAsia="Times New Roman" w:hAnsi="Times New Roman" w:cs="Times New Roman"/>
          <w:bCs/>
          <w:noProof/>
          <w:color w:val="000000" w:themeColor="text1"/>
          <w:sz w:val="24"/>
          <w:szCs w:val="24"/>
          <w:lang w:eastAsia="fr-FR"/>
        </w:rPr>
        <w:t>e</w:t>
      </w:r>
      <w:r w:rsidRPr="005E76F6">
        <w:rPr>
          <w:rFonts w:ascii="Times New Roman" w:eastAsia="Times New Roman" w:hAnsi="Times New Roman" w:cs="Times New Roman"/>
          <w:bCs/>
          <w:noProof/>
          <w:color w:val="000000" w:themeColor="text1"/>
          <w:sz w:val="24"/>
          <w:szCs w:val="24"/>
          <w:lang w:eastAsia="fr-FR"/>
        </w:rPr>
        <w:t xml:space="preserve">nergy) </w:t>
      </w:r>
      <w:r w:rsidR="003108B5" w:rsidRPr="005E76F6">
        <w:rPr>
          <w:rFonts w:ascii="Times New Roman" w:eastAsia="Times New Roman" w:hAnsi="Times New Roman" w:cs="Times New Roman"/>
          <w:bCs/>
          <w:noProof/>
          <w:color w:val="000000" w:themeColor="text1"/>
          <w:sz w:val="24"/>
          <w:szCs w:val="24"/>
          <w:lang w:eastAsia="fr-FR"/>
        </w:rPr>
        <w:t>by</w:t>
      </w:r>
      <w:r w:rsidRPr="005E76F6">
        <w:rPr>
          <w:rFonts w:ascii="Times New Roman" w:eastAsia="Times New Roman" w:hAnsi="Times New Roman" w:cs="Times New Roman"/>
          <w:bCs/>
          <w:noProof/>
          <w:color w:val="000000" w:themeColor="text1"/>
          <w:sz w:val="24"/>
          <w:szCs w:val="24"/>
          <w:lang w:eastAsia="fr-FR"/>
        </w:rPr>
        <w:t xml:space="preserve"> </w:t>
      </w:r>
      <w:r w:rsidR="003108B5" w:rsidRPr="005E76F6">
        <w:rPr>
          <w:rFonts w:ascii="Times New Roman" w:eastAsia="Times New Roman" w:hAnsi="Times New Roman" w:cs="Times New Roman"/>
          <w:bCs/>
          <w:noProof/>
          <w:color w:val="000000" w:themeColor="text1"/>
          <w:sz w:val="24"/>
          <w:szCs w:val="24"/>
          <w:lang w:eastAsia="fr-FR"/>
        </w:rPr>
        <w:t xml:space="preserve">assessing </w:t>
      </w:r>
      <w:r w:rsidRPr="005E76F6">
        <w:rPr>
          <w:rFonts w:ascii="Times New Roman" w:eastAsia="Times New Roman" w:hAnsi="Times New Roman" w:cs="Times New Roman"/>
          <w:bCs/>
          <w:noProof/>
          <w:color w:val="000000" w:themeColor="text1"/>
          <w:sz w:val="24"/>
          <w:szCs w:val="24"/>
          <w:lang w:eastAsia="fr-FR"/>
        </w:rPr>
        <w:t>clean energy solutions, and SDG 9 (</w:t>
      </w:r>
      <w:r w:rsidR="003108B5" w:rsidRPr="005E76F6">
        <w:rPr>
          <w:rFonts w:ascii="Times New Roman" w:eastAsia="Times New Roman" w:hAnsi="Times New Roman" w:cs="Times New Roman"/>
          <w:bCs/>
          <w:noProof/>
          <w:color w:val="000000" w:themeColor="text1"/>
          <w:sz w:val="24"/>
          <w:szCs w:val="24"/>
          <w:lang w:eastAsia="fr-FR"/>
        </w:rPr>
        <w:t>i</w:t>
      </w:r>
      <w:r w:rsidRPr="005E76F6">
        <w:rPr>
          <w:rFonts w:ascii="Times New Roman" w:eastAsia="Times New Roman" w:hAnsi="Times New Roman" w:cs="Times New Roman"/>
          <w:bCs/>
          <w:noProof/>
          <w:color w:val="000000" w:themeColor="text1"/>
          <w:sz w:val="24"/>
          <w:szCs w:val="24"/>
          <w:lang w:eastAsia="fr-FR"/>
        </w:rPr>
        <w:t xml:space="preserve">ndustry, </w:t>
      </w:r>
      <w:r w:rsidR="003108B5" w:rsidRPr="005E76F6">
        <w:rPr>
          <w:rFonts w:ascii="Times New Roman" w:eastAsia="Times New Roman" w:hAnsi="Times New Roman" w:cs="Times New Roman"/>
          <w:bCs/>
          <w:noProof/>
          <w:color w:val="000000" w:themeColor="text1"/>
          <w:sz w:val="24"/>
          <w:szCs w:val="24"/>
          <w:lang w:eastAsia="fr-FR"/>
        </w:rPr>
        <w:t>i</w:t>
      </w:r>
      <w:r w:rsidRPr="005E76F6">
        <w:rPr>
          <w:rFonts w:ascii="Times New Roman" w:eastAsia="Times New Roman" w:hAnsi="Times New Roman" w:cs="Times New Roman"/>
          <w:bCs/>
          <w:noProof/>
          <w:color w:val="000000" w:themeColor="text1"/>
          <w:sz w:val="24"/>
          <w:szCs w:val="24"/>
          <w:lang w:eastAsia="fr-FR"/>
        </w:rPr>
        <w:t xml:space="preserve">nnovation and </w:t>
      </w:r>
      <w:r w:rsidR="003108B5" w:rsidRPr="005E76F6">
        <w:rPr>
          <w:rFonts w:ascii="Times New Roman" w:eastAsia="Times New Roman" w:hAnsi="Times New Roman" w:cs="Times New Roman"/>
          <w:bCs/>
          <w:noProof/>
          <w:color w:val="000000" w:themeColor="text1"/>
          <w:sz w:val="24"/>
          <w:szCs w:val="24"/>
          <w:lang w:eastAsia="fr-FR"/>
        </w:rPr>
        <w:t>i</w:t>
      </w:r>
      <w:r w:rsidRPr="005E76F6">
        <w:rPr>
          <w:rFonts w:ascii="Times New Roman" w:eastAsia="Times New Roman" w:hAnsi="Times New Roman" w:cs="Times New Roman"/>
          <w:bCs/>
          <w:noProof/>
          <w:color w:val="000000" w:themeColor="text1"/>
          <w:sz w:val="24"/>
          <w:szCs w:val="24"/>
          <w:lang w:eastAsia="fr-FR"/>
        </w:rPr>
        <w:t xml:space="preserve">nfrastructure) </w:t>
      </w:r>
      <w:r w:rsidR="003108B5" w:rsidRPr="005E76F6">
        <w:rPr>
          <w:rFonts w:ascii="Times New Roman" w:eastAsia="Times New Roman" w:hAnsi="Times New Roman" w:cs="Times New Roman"/>
          <w:bCs/>
          <w:noProof/>
          <w:color w:val="000000" w:themeColor="text1"/>
          <w:sz w:val="24"/>
          <w:szCs w:val="24"/>
          <w:lang w:eastAsia="fr-FR"/>
        </w:rPr>
        <w:t>by</w:t>
      </w:r>
      <w:r w:rsidRPr="005E76F6">
        <w:rPr>
          <w:rFonts w:ascii="Times New Roman" w:eastAsia="Times New Roman" w:hAnsi="Times New Roman" w:cs="Times New Roman"/>
          <w:bCs/>
          <w:noProof/>
          <w:color w:val="000000" w:themeColor="text1"/>
          <w:sz w:val="24"/>
          <w:szCs w:val="24"/>
          <w:lang w:eastAsia="fr-FR"/>
        </w:rPr>
        <w:t xml:space="preserve"> </w:t>
      </w:r>
      <w:r w:rsidR="003108B5" w:rsidRPr="005E76F6">
        <w:rPr>
          <w:rFonts w:ascii="Times New Roman" w:eastAsia="Times New Roman" w:hAnsi="Times New Roman" w:cs="Times New Roman"/>
          <w:bCs/>
          <w:noProof/>
          <w:color w:val="000000" w:themeColor="text1"/>
          <w:sz w:val="24"/>
          <w:szCs w:val="24"/>
          <w:lang w:eastAsia="fr-FR"/>
        </w:rPr>
        <w:t xml:space="preserve">focusing </w:t>
      </w:r>
      <w:r w:rsidRPr="005E76F6">
        <w:rPr>
          <w:rFonts w:ascii="Times New Roman" w:eastAsia="Times New Roman" w:hAnsi="Times New Roman" w:cs="Times New Roman"/>
          <w:bCs/>
          <w:noProof/>
          <w:color w:val="000000" w:themeColor="text1"/>
          <w:sz w:val="24"/>
          <w:szCs w:val="24"/>
          <w:lang w:eastAsia="fr-FR"/>
        </w:rPr>
        <w:t xml:space="preserve">on improving </w:t>
      </w:r>
      <w:r w:rsidR="003108B5" w:rsidRPr="005E76F6">
        <w:rPr>
          <w:rFonts w:ascii="Times New Roman" w:eastAsia="Times New Roman" w:hAnsi="Times New Roman" w:cs="Times New Roman"/>
          <w:bCs/>
          <w:noProof/>
          <w:color w:val="000000" w:themeColor="text1"/>
          <w:sz w:val="24"/>
          <w:szCs w:val="24"/>
          <w:lang w:eastAsia="fr-FR"/>
        </w:rPr>
        <w:t xml:space="preserve">the </w:t>
      </w:r>
      <w:r w:rsidRPr="005E76F6">
        <w:rPr>
          <w:rFonts w:ascii="Times New Roman" w:eastAsia="Times New Roman" w:hAnsi="Times New Roman" w:cs="Times New Roman"/>
          <w:bCs/>
          <w:noProof/>
          <w:color w:val="000000" w:themeColor="text1"/>
          <w:sz w:val="24"/>
          <w:szCs w:val="24"/>
          <w:lang w:eastAsia="fr-FR"/>
        </w:rPr>
        <w:t>resilience of infrastructure</w:t>
      </w:r>
      <w:r w:rsidR="003108B5" w:rsidRPr="005E76F6">
        <w:rPr>
          <w:rFonts w:ascii="Times New Roman" w:eastAsia="Times New Roman" w:hAnsi="Times New Roman" w:cs="Times New Roman"/>
          <w:bCs/>
          <w:noProof/>
          <w:color w:val="000000" w:themeColor="text1"/>
          <w:sz w:val="24"/>
          <w:szCs w:val="24"/>
          <w:lang w:eastAsia="fr-FR"/>
        </w:rPr>
        <w:t>,</w:t>
      </w:r>
      <w:r w:rsidRPr="005E76F6">
        <w:rPr>
          <w:rFonts w:ascii="Times New Roman" w:eastAsia="Times New Roman" w:hAnsi="Times New Roman" w:cs="Times New Roman"/>
          <w:bCs/>
          <w:noProof/>
          <w:color w:val="000000" w:themeColor="text1"/>
          <w:sz w:val="24"/>
          <w:szCs w:val="24"/>
          <w:lang w:eastAsia="fr-FR"/>
        </w:rPr>
        <w:t xml:space="preserve"> assessing emerging climate-neutral solutions for different industrial ecosystems and focusing on emergent and innovative solutions</w:t>
      </w:r>
      <w:r w:rsidR="003108B5" w:rsidRPr="005E76F6">
        <w:rPr>
          <w:rFonts w:ascii="Times New Roman" w:eastAsia="Times New Roman" w:hAnsi="Times New Roman" w:cs="Times New Roman"/>
          <w:bCs/>
          <w:noProof/>
          <w:color w:val="000000" w:themeColor="text1"/>
          <w:sz w:val="24"/>
          <w:szCs w:val="24"/>
          <w:lang w:eastAsia="fr-FR"/>
        </w:rPr>
        <w:t>.</w:t>
      </w:r>
    </w:p>
    <w:p w14:paraId="469AAEC8" w14:textId="77777777" w:rsidR="009B7896" w:rsidRPr="005E76F6" w:rsidRDefault="009B7896" w:rsidP="000C2B54">
      <w:pPr>
        <w:spacing w:before="120" w:after="0"/>
        <w:jc w:val="both"/>
        <w:rPr>
          <w:rFonts w:ascii="Times New Roman" w:hAnsi="Times New Roman" w:cs="Times New Roman"/>
          <w:b/>
          <w:noProof/>
          <w:color w:val="000000" w:themeColor="text1"/>
          <w:sz w:val="24"/>
          <w:szCs w:val="24"/>
        </w:rPr>
      </w:pPr>
      <w:r w:rsidRPr="005E76F6">
        <w:rPr>
          <w:rFonts w:ascii="Times New Roman" w:hAnsi="Times New Roman" w:cs="Times New Roman"/>
          <w:b/>
          <w:noProof/>
          <w:color w:val="000000" w:themeColor="text1"/>
          <w:sz w:val="24"/>
          <w:szCs w:val="24"/>
        </w:rPr>
        <w:t>SDG 8 (decent work and sustainable economic growth)</w:t>
      </w:r>
    </w:p>
    <w:p w14:paraId="37300A98" w14:textId="7F91BAEF" w:rsidR="009B7896" w:rsidRPr="005E76F6" w:rsidRDefault="009B7896" w:rsidP="000C2B54">
      <w:pPr>
        <w:spacing w:before="120" w:after="0"/>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Relevant measures include the </w:t>
      </w:r>
      <w:r w:rsidR="00E00285" w:rsidRPr="005E76F6">
        <w:rPr>
          <w:rFonts w:ascii="Times New Roman" w:hAnsi="Times New Roman" w:cs="Times New Roman"/>
          <w:b/>
          <w:noProof/>
          <w:color w:val="000000" w:themeColor="text1"/>
          <w:sz w:val="24"/>
          <w:szCs w:val="24"/>
        </w:rPr>
        <w:t>Enterprise Europe Network’s</w:t>
      </w:r>
      <w:r w:rsidRPr="005E76F6">
        <w:rPr>
          <w:rFonts w:ascii="Times New Roman" w:hAnsi="Times New Roman" w:cs="Times New Roman"/>
          <w:noProof/>
          <w:color w:val="000000" w:themeColor="text1"/>
          <w:sz w:val="24"/>
          <w:szCs w:val="24"/>
        </w:rPr>
        <w:t xml:space="preserve"> services to </w:t>
      </w:r>
      <w:r w:rsidR="00A30A82">
        <w:rPr>
          <w:rFonts w:ascii="Times New Roman" w:hAnsi="Times New Roman" w:cs="Times New Roman"/>
          <w:noProof/>
          <w:color w:val="000000" w:themeColor="text1"/>
          <w:sz w:val="24"/>
          <w:szCs w:val="24"/>
        </w:rPr>
        <w:t>help</w:t>
      </w:r>
      <w:r w:rsidR="00A30A82" w:rsidRPr="005E76F6">
        <w:rPr>
          <w:rFonts w:ascii="Times New Roman" w:hAnsi="Times New Roman" w:cs="Times New Roman"/>
          <w:noProof/>
          <w:color w:val="000000" w:themeColor="text1"/>
          <w:sz w:val="24"/>
          <w:szCs w:val="24"/>
        </w:rPr>
        <w:t xml:space="preserve"> </w:t>
      </w:r>
      <w:r w:rsidRPr="005E76F6">
        <w:rPr>
          <w:rFonts w:ascii="Times New Roman" w:hAnsi="Times New Roman" w:cs="Times New Roman"/>
          <w:noProof/>
          <w:color w:val="000000" w:themeColor="text1"/>
          <w:sz w:val="24"/>
          <w:szCs w:val="24"/>
        </w:rPr>
        <w:t xml:space="preserve">SMEs </w:t>
      </w:r>
      <w:r w:rsidR="00A30A82">
        <w:rPr>
          <w:rFonts w:ascii="Times New Roman" w:hAnsi="Times New Roman" w:cs="Times New Roman"/>
          <w:noProof/>
          <w:color w:val="000000" w:themeColor="text1"/>
          <w:sz w:val="24"/>
          <w:szCs w:val="24"/>
        </w:rPr>
        <w:t xml:space="preserve">achieve </w:t>
      </w:r>
      <w:r w:rsidRPr="005E76F6">
        <w:rPr>
          <w:rFonts w:ascii="Times New Roman" w:hAnsi="Times New Roman" w:cs="Times New Roman"/>
          <w:noProof/>
          <w:color w:val="000000" w:themeColor="text1"/>
          <w:sz w:val="24"/>
          <w:szCs w:val="24"/>
        </w:rPr>
        <w:t xml:space="preserve">sustainable growth, </w:t>
      </w:r>
      <w:r w:rsidR="00DF519E" w:rsidRPr="005E76F6">
        <w:rPr>
          <w:rFonts w:ascii="Times New Roman" w:hAnsi="Times New Roman" w:cs="Times New Roman"/>
          <w:noProof/>
          <w:color w:val="000000" w:themeColor="text1"/>
          <w:sz w:val="24"/>
          <w:szCs w:val="24"/>
        </w:rPr>
        <w:t xml:space="preserve">the different actions to support </w:t>
      </w:r>
      <w:r w:rsidR="00DF519E" w:rsidRPr="005E76F6">
        <w:rPr>
          <w:rFonts w:ascii="Times New Roman" w:hAnsi="Times New Roman" w:cs="Times New Roman"/>
          <w:b/>
          <w:noProof/>
          <w:color w:val="000000" w:themeColor="text1"/>
          <w:sz w:val="24"/>
          <w:szCs w:val="24"/>
        </w:rPr>
        <w:t>clusters</w:t>
      </w:r>
      <w:r w:rsidR="00DF519E" w:rsidRPr="005E76F6">
        <w:rPr>
          <w:rFonts w:ascii="Times New Roman" w:hAnsi="Times New Roman" w:cs="Times New Roman"/>
          <w:noProof/>
          <w:color w:val="000000" w:themeColor="text1"/>
          <w:sz w:val="24"/>
          <w:szCs w:val="24"/>
        </w:rPr>
        <w:t xml:space="preserve"> </w:t>
      </w:r>
      <w:r w:rsidRPr="005E76F6">
        <w:rPr>
          <w:rFonts w:ascii="Times New Roman" w:hAnsi="Times New Roman" w:cs="Times New Roman"/>
          <w:noProof/>
          <w:color w:val="000000" w:themeColor="text1"/>
          <w:sz w:val="24"/>
          <w:szCs w:val="24"/>
        </w:rPr>
        <w:t xml:space="preserve">and </w:t>
      </w:r>
      <w:r w:rsidR="009366FC" w:rsidRPr="005E76F6">
        <w:rPr>
          <w:rFonts w:ascii="Times New Roman" w:hAnsi="Times New Roman" w:cs="Times New Roman"/>
          <w:noProof/>
          <w:color w:val="000000" w:themeColor="text1"/>
          <w:sz w:val="24"/>
          <w:szCs w:val="24"/>
        </w:rPr>
        <w:t xml:space="preserve">the </w:t>
      </w:r>
      <w:r w:rsidR="009366FC" w:rsidRPr="005E76F6">
        <w:rPr>
          <w:rFonts w:ascii="Times New Roman" w:hAnsi="Times New Roman" w:cs="Times New Roman"/>
          <w:b/>
          <w:noProof/>
          <w:color w:val="000000" w:themeColor="text1"/>
          <w:sz w:val="24"/>
          <w:szCs w:val="24"/>
        </w:rPr>
        <w:t>European Social Economy Missions</w:t>
      </w:r>
      <w:r w:rsidR="00E00285" w:rsidRPr="005E76F6">
        <w:rPr>
          <w:rFonts w:ascii="Times New Roman" w:hAnsi="Times New Roman" w:cs="Times New Roman"/>
          <w:noProof/>
          <w:color w:val="000000" w:themeColor="text1"/>
          <w:sz w:val="24"/>
          <w:szCs w:val="24"/>
        </w:rPr>
        <w:t xml:space="preserve"> (one focus area of these </w:t>
      </w:r>
      <w:r w:rsidR="008C2FD0" w:rsidRPr="005E76F6">
        <w:rPr>
          <w:rFonts w:ascii="Times New Roman" w:hAnsi="Times New Roman" w:cs="Times New Roman"/>
          <w:noProof/>
          <w:color w:val="000000" w:themeColor="text1"/>
          <w:sz w:val="24"/>
          <w:szCs w:val="24"/>
        </w:rPr>
        <w:t>missions</w:t>
      </w:r>
      <w:r w:rsidR="00E00285" w:rsidRPr="005E76F6">
        <w:rPr>
          <w:rFonts w:ascii="Times New Roman" w:hAnsi="Times New Roman" w:cs="Times New Roman"/>
          <w:noProof/>
          <w:color w:val="000000" w:themeColor="text1"/>
          <w:sz w:val="24"/>
          <w:szCs w:val="24"/>
        </w:rPr>
        <w:t xml:space="preserve"> was</w:t>
      </w:r>
      <w:r w:rsidR="008C2FD0" w:rsidRPr="005E76F6">
        <w:rPr>
          <w:rFonts w:ascii="Times New Roman" w:hAnsi="Times New Roman" w:cs="Times New Roman"/>
          <w:noProof/>
          <w:color w:val="000000" w:themeColor="text1"/>
          <w:sz w:val="24"/>
          <w:szCs w:val="24"/>
        </w:rPr>
        <w:t xml:space="preserve"> </w:t>
      </w:r>
      <w:r w:rsidR="00E00285" w:rsidRPr="005E76F6">
        <w:rPr>
          <w:rFonts w:ascii="Times New Roman" w:hAnsi="Times New Roman" w:cs="Times New Roman"/>
          <w:noProof/>
          <w:color w:val="000000" w:themeColor="text1"/>
          <w:sz w:val="24"/>
          <w:szCs w:val="24"/>
        </w:rPr>
        <w:t>local or regional measures tackling unemployment</w:t>
      </w:r>
      <w:r w:rsidR="008269F3" w:rsidRPr="005E76F6">
        <w:rPr>
          <w:rFonts w:ascii="Times New Roman" w:hAnsi="Times New Roman" w:cs="Times New Roman"/>
          <w:noProof/>
          <w:color w:val="000000" w:themeColor="text1"/>
          <w:sz w:val="24"/>
          <w:szCs w:val="24"/>
        </w:rPr>
        <w:t>)</w:t>
      </w:r>
      <w:r w:rsidR="008C2FD0" w:rsidRPr="005E76F6">
        <w:rPr>
          <w:rFonts w:ascii="Times New Roman" w:hAnsi="Times New Roman" w:cs="Times New Roman"/>
          <w:noProof/>
          <w:color w:val="000000" w:themeColor="text1"/>
          <w:sz w:val="24"/>
          <w:szCs w:val="24"/>
        </w:rPr>
        <w:t>.</w:t>
      </w:r>
    </w:p>
    <w:p w14:paraId="49133E30" w14:textId="77777777" w:rsidR="009B7896" w:rsidRPr="005E76F6" w:rsidRDefault="009B7896" w:rsidP="000C2B54">
      <w:pPr>
        <w:spacing w:before="120" w:after="120"/>
        <w:jc w:val="both"/>
        <w:rPr>
          <w:rFonts w:ascii="Times New Roman" w:hAnsi="Times New Roman" w:cs="Times New Roman"/>
          <w:b/>
          <w:noProof/>
          <w:color w:val="000000" w:themeColor="text1"/>
          <w:sz w:val="24"/>
          <w:szCs w:val="24"/>
        </w:rPr>
      </w:pPr>
      <w:r w:rsidRPr="005E76F6">
        <w:rPr>
          <w:rFonts w:ascii="Times New Roman" w:hAnsi="Times New Roman" w:cs="Times New Roman"/>
          <w:b/>
          <w:noProof/>
          <w:color w:val="000000" w:themeColor="text1"/>
          <w:sz w:val="24"/>
          <w:szCs w:val="24"/>
        </w:rPr>
        <w:t>SDG 9 (inclusive and sustainable industry, innovation and resilient infrastructure)</w:t>
      </w:r>
    </w:p>
    <w:p w14:paraId="74BCCE8D" w14:textId="165EBE3B" w:rsidR="006D2403" w:rsidRPr="005E76F6" w:rsidRDefault="009B7896" w:rsidP="000C2B54">
      <w:pPr>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The </w:t>
      </w:r>
      <w:r w:rsidRPr="005E76F6">
        <w:rPr>
          <w:rFonts w:ascii="Times New Roman" w:hAnsi="Times New Roman" w:cs="Times New Roman"/>
          <w:b/>
          <w:noProof/>
          <w:color w:val="000000" w:themeColor="text1"/>
          <w:sz w:val="24"/>
          <w:szCs w:val="24"/>
        </w:rPr>
        <w:t>Enterprise Europe Network</w:t>
      </w:r>
      <w:r w:rsidRPr="005E76F6">
        <w:rPr>
          <w:rFonts w:ascii="Times New Roman" w:hAnsi="Times New Roman" w:cs="Times New Roman"/>
          <w:noProof/>
          <w:color w:val="000000" w:themeColor="text1"/>
          <w:sz w:val="24"/>
          <w:szCs w:val="24"/>
        </w:rPr>
        <w:t xml:space="preserve"> supported SMEs </w:t>
      </w:r>
      <w:r w:rsidR="003108B5" w:rsidRPr="005E76F6">
        <w:rPr>
          <w:rFonts w:ascii="Times New Roman" w:hAnsi="Times New Roman" w:cs="Times New Roman"/>
          <w:noProof/>
          <w:color w:val="000000" w:themeColor="text1"/>
          <w:sz w:val="24"/>
          <w:szCs w:val="24"/>
        </w:rPr>
        <w:t>in their</w:t>
      </w:r>
      <w:r w:rsidRPr="005E76F6">
        <w:rPr>
          <w:rFonts w:ascii="Times New Roman" w:hAnsi="Times New Roman" w:cs="Times New Roman"/>
          <w:noProof/>
          <w:color w:val="000000" w:themeColor="text1"/>
          <w:sz w:val="24"/>
          <w:szCs w:val="24"/>
        </w:rPr>
        <w:t xml:space="preserve"> transition to circular business models and </w:t>
      </w:r>
      <w:r w:rsidR="003108B5" w:rsidRPr="005E76F6">
        <w:rPr>
          <w:rFonts w:ascii="Times New Roman" w:hAnsi="Times New Roman" w:cs="Times New Roman"/>
          <w:noProof/>
          <w:color w:val="000000" w:themeColor="text1"/>
          <w:sz w:val="24"/>
          <w:szCs w:val="24"/>
        </w:rPr>
        <w:t xml:space="preserve">in </w:t>
      </w:r>
      <w:r w:rsidRPr="005E76F6">
        <w:rPr>
          <w:rFonts w:ascii="Times New Roman" w:hAnsi="Times New Roman" w:cs="Times New Roman"/>
          <w:noProof/>
          <w:color w:val="000000" w:themeColor="text1"/>
          <w:sz w:val="24"/>
          <w:szCs w:val="24"/>
        </w:rPr>
        <w:t>making use of greener, energy-efficient technologies</w:t>
      </w:r>
      <w:r w:rsidR="003108B5" w:rsidRPr="005E76F6">
        <w:rPr>
          <w:rFonts w:ascii="Times New Roman" w:hAnsi="Times New Roman" w:cs="Times New Roman"/>
          <w:noProof/>
          <w:color w:val="000000" w:themeColor="text1"/>
          <w:sz w:val="24"/>
          <w:szCs w:val="24"/>
        </w:rPr>
        <w:t>. The network</w:t>
      </w:r>
      <w:r w:rsidRPr="005E76F6">
        <w:rPr>
          <w:rFonts w:ascii="Times New Roman" w:hAnsi="Times New Roman" w:cs="Times New Roman"/>
          <w:noProof/>
          <w:color w:val="000000" w:themeColor="text1"/>
          <w:sz w:val="24"/>
          <w:szCs w:val="24"/>
        </w:rPr>
        <w:t xml:space="preserve"> </w:t>
      </w:r>
      <w:r w:rsidR="00035443" w:rsidRPr="005E76F6">
        <w:rPr>
          <w:rFonts w:ascii="Times New Roman" w:hAnsi="Times New Roman" w:cs="Times New Roman"/>
          <w:noProof/>
          <w:color w:val="000000" w:themeColor="text1"/>
          <w:sz w:val="24"/>
          <w:szCs w:val="24"/>
        </w:rPr>
        <w:t>was well advanced on its path towards putting in place fully-fledged sustainability services in preparation for the new network as from 2022</w:t>
      </w:r>
      <w:r w:rsidR="00035443" w:rsidRPr="005E76F6">
        <w:rPr>
          <w:rStyle w:val="FootnoteReference"/>
          <w:rFonts w:ascii="Times New Roman" w:hAnsi="Times New Roman" w:cs="Times New Roman"/>
          <w:noProof/>
          <w:color w:val="000000" w:themeColor="text1"/>
          <w:sz w:val="24"/>
          <w:szCs w:val="24"/>
        </w:rPr>
        <w:footnoteReference w:id="47"/>
      </w:r>
      <w:r w:rsidRPr="005E76F6">
        <w:rPr>
          <w:rFonts w:ascii="Times New Roman" w:hAnsi="Times New Roman" w:cs="Times New Roman"/>
          <w:noProof/>
          <w:color w:val="000000" w:themeColor="text1"/>
          <w:sz w:val="24"/>
          <w:szCs w:val="24"/>
        </w:rPr>
        <w:t>.</w:t>
      </w:r>
    </w:p>
    <w:p w14:paraId="115DAF9B" w14:textId="3D9EA966" w:rsidR="004F75AA" w:rsidRPr="005E76F6" w:rsidRDefault="003108B5" w:rsidP="000C2B54">
      <w:pPr>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SDG 9 was also supported through v</w:t>
      </w:r>
      <w:r w:rsidR="00E22B00" w:rsidRPr="005E76F6">
        <w:rPr>
          <w:rFonts w:ascii="Times New Roman" w:hAnsi="Times New Roman" w:cs="Times New Roman"/>
          <w:noProof/>
          <w:color w:val="000000" w:themeColor="text1"/>
          <w:sz w:val="24"/>
          <w:szCs w:val="24"/>
        </w:rPr>
        <w:t>arious measures for clusters. For example, t</w:t>
      </w:r>
      <w:r w:rsidR="00E22B00" w:rsidRPr="005E76F6">
        <w:rPr>
          <w:rStyle w:val="Strong"/>
          <w:rFonts w:ascii="Times New Roman" w:hAnsi="Times New Roman" w:cs="Times New Roman"/>
          <w:noProof/>
          <w:color w:val="000000" w:themeColor="text1"/>
          <w:sz w:val="24"/>
          <w:szCs w:val="24"/>
        </w:rPr>
        <w:t>he EVOLUTE</w:t>
      </w:r>
      <w:r w:rsidR="00E22B00" w:rsidRPr="005E76F6">
        <w:rPr>
          <w:rFonts w:ascii="Times New Roman" w:hAnsi="Times New Roman" w:cs="Times New Roman"/>
          <w:noProof/>
          <w:color w:val="000000" w:themeColor="text1"/>
          <w:sz w:val="24"/>
          <w:szCs w:val="24"/>
        </w:rPr>
        <w:t xml:space="preserve"> project in the </w:t>
      </w:r>
      <w:r w:rsidR="00E22B00" w:rsidRPr="005E76F6">
        <w:rPr>
          <w:rFonts w:ascii="Times New Roman" w:hAnsi="Times New Roman" w:cs="Times New Roman"/>
          <w:b/>
          <w:noProof/>
          <w:color w:val="000000" w:themeColor="text1"/>
          <w:sz w:val="24"/>
          <w:szCs w:val="24"/>
        </w:rPr>
        <w:t>European Cluster Excellence programme</w:t>
      </w:r>
      <w:r w:rsidR="00E22B00" w:rsidRPr="005E76F6">
        <w:rPr>
          <w:rFonts w:ascii="Times New Roman" w:hAnsi="Times New Roman" w:cs="Times New Roman"/>
          <w:noProof/>
          <w:color w:val="000000" w:themeColor="text1"/>
          <w:sz w:val="24"/>
          <w:szCs w:val="24"/>
        </w:rPr>
        <w:t xml:space="preserve"> is helping clusters in the </w:t>
      </w:r>
      <w:r w:rsidRPr="005E76F6">
        <w:rPr>
          <w:rFonts w:ascii="Times New Roman" w:hAnsi="Times New Roman" w:cs="Times New Roman"/>
          <w:noProof/>
          <w:color w:val="000000" w:themeColor="text1"/>
          <w:sz w:val="24"/>
          <w:szCs w:val="24"/>
        </w:rPr>
        <w:t>a</w:t>
      </w:r>
      <w:r w:rsidR="00E22B00" w:rsidRPr="005E76F6">
        <w:rPr>
          <w:rFonts w:ascii="Times New Roman" w:hAnsi="Times New Roman" w:cs="Times New Roman"/>
          <w:noProof/>
          <w:color w:val="000000" w:themeColor="text1"/>
          <w:sz w:val="24"/>
          <w:szCs w:val="24"/>
        </w:rPr>
        <w:t xml:space="preserve">utomotive and </w:t>
      </w:r>
      <w:r w:rsidRPr="005E76F6">
        <w:rPr>
          <w:rFonts w:ascii="Times New Roman" w:hAnsi="Times New Roman" w:cs="Times New Roman"/>
          <w:noProof/>
          <w:color w:val="000000" w:themeColor="text1"/>
          <w:sz w:val="24"/>
          <w:szCs w:val="24"/>
        </w:rPr>
        <w:t>l</w:t>
      </w:r>
      <w:r w:rsidR="00E22B00" w:rsidRPr="005E76F6">
        <w:rPr>
          <w:rFonts w:ascii="Times New Roman" w:hAnsi="Times New Roman" w:cs="Times New Roman"/>
          <w:noProof/>
          <w:color w:val="000000" w:themeColor="text1"/>
          <w:sz w:val="24"/>
          <w:szCs w:val="24"/>
        </w:rPr>
        <w:t xml:space="preserve">and </w:t>
      </w:r>
      <w:r w:rsidRPr="005E76F6">
        <w:rPr>
          <w:rFonts w:ascii="Times New Roman" w:hAnsi="Times New Roman" w:cs="Times New Roman"/>
          <w:noProof/>
          <w:color w:val="000000" w:themeColor="text1"/>
          <w:sz w:val="24"/>
          <w:szCs w:val="24"/>
        </w:rPr>
        <w:t>m</w:t>
      </w:r>
      <w:r w:rsidR="00E22B00" w:rsidRPr="005E76F6">
        <w:rPr>
          <w:rFonts w:ascii="Times New Roman" w:hAnsi="Times New Roman" w:cs="Times New Roman"/>
          <w:noProof/>
          <w:color w:val="000000" w:themeColor="text1"/>
          <w:sz w:val="24"/>
          <w:szCs w:val="24"/>
        </w:rPr>
        <w:t xml:space="preserve">achinery </w:t>
      </w:r>
      <w:r w:rsidRPr="005E76F6">
        <w:rPr>
          <w:rFonts w:ascii="Times New Roman" w:hAnsi="Times New Roman" w:cs="Times New Roman"/>
          <w:noProof/>
          <w:color w:val="000000" w:themeColor="text1"/>
          <w:sz w:val="24"/>
          <w:szCs w:val="24"/>
        </w:rPr>
        <w:t>i</w:t>
      </w:r>
      <w:r w:rsidR="00E22B00" w:rsidRPr="005E76F6">
        <w:rPr>
          <w:rFonts w:ascii="Times New Roman" w:hAnsi="Times New Roman" w:cs="Times New Roman"/>
          <w:noProof/>
          <w:color w:val="000000" w:themeColor="text1"/>
          <w:sz w:val="24"/>
          <w:szCs w:val="24"/>
        </w:rPr>
        <w:t xml:space="preserve">ndustry boost their performance by strengthening the skills and deepening the knowhow of </w:t>
      </w:r>
      <w:r w:rsidRPr="005E76F6">
        <w:rPr>
          <w:rFonts w:ascii="Times New Roman" w:hAnsi="Times New Roman" w:cs="Times New Roman"/>
          <w:noProof/>
          <w:color w:val="000000" w:themeColor="text1"/>
          <w:sz w:val="24"/>
          <w:szCs w:val="24"/>
        </w:rPr>
        <w:t xml:space="preserve">six </w:t>
      </w:r>
      <w:r w:rsidR="00E22B00" w:rsidRPr="005E76F6">
        <w:rPr>
          <w:rFonts w:ascii="Times New Roman" w:hAnsi="Times New Roman" w:cs="Times New Roman"/>
          <w:noProof/>
          <w:color w:val="000000" w:themeColor="text1"/>
          <w:sz w:val="24"/>
          <w:szCs w:val="24"/>
        </w:rPr>
        <w:t>clusters in Europe. This project also supports the implementation of the ClusterXChange scheme to facilitate international, sector and cross-sector cooperation between clusters, SME</w:t>
      </w:r>
      <w:r w:rsidRPr="005E76F6">
        <w:rPr>
          <w:rFonts w:ascii="Times New Roman" w:hAnsi="Times New Roman" w:cs="Times New Roman"/>
          <w:noProof/>
          <w:color w:val="000000" w:themeColor="text1"/>
          <w:sz w:val="24"/>
          <w:szCs w:val="24"/>
        </w:rPr>
        <w:t>s</w:t>
      </w:r>
      <w:r w:rsidR="00E22B00" w:rsidRPr="005E76F6">
        <w:rPr>
          <w:rFonts w:ascii="Times New Roman" w:hAnsi="Times New Roman" w:cs="Times New Roman"/>
          <w:noProof/>
          <w:color w:val="000000" w:themeColor="text1"/>
          <w:sz w:val="24"/>
          <w:szCs w:val="24"/>
        </w:rPr>
        <w:t xml:space="preserve"> and large organi</w:t>
      </w:r>
      <w:r w:rsidR="00FE2948" w:rsidRPr="005E76F6">
        <w:rPr>
          <w:rFonts w:ascii="Times New Roman" w:hAnsi="Times New Roman" w:cs="Times New Roman"/>
          <w:noProof/>
          <w:color w:val="000000" w:themeColor="text1"/>
          <w:sz w:val="24"/>
          <w:szCs w:val="24"/>
        </w:rPr>
        <w:t>s</w:t>
      </w:r>
      <w:r w:rsidR="00E22B00" w:rsidRPr="005E76F6">
        <w:rPr>
          <w:rFonts w:ascii="Times New Roman" w:hAnsi="Times New Roman" w:cs="Times New Roman"/>
          <w:noProof/>
          <w:color w:val="000000" w:themeColor="text1"/>
          <w:sz w:val="24"/>
          <w:szCs w:val="24"/>
        </w:rPr>
        <w:t>ations. Th</w:t>
      </w:r>
      <w:r w:rsidR="007C01A3" w:rsidRPr="005E76F6">
        <w:rPr>
          <w:rFonts w:ascii="Times New Roman" w:hAnsi="Times New Roman" w:cs="Times New Roman"/>
          <w:noProof/>
          <w:color w:val="000000" w:themeColor="text1"/>
          <w:sz w:val="24"/>
          <w:szCs w:val="24"/>
        </w:rPr>
        <w:t xml:space="preserve">is </w:t>
      </w:r>
      <w:r w:rsidR="00E22B00" w:rsidRPr="005E76F6">
        <w:rPr>
          <w:rFonts w:ascii="Times New Roman" w:hAnsi="Times New Roman" w:cs="Times New Roman"/>
          <w:noProof/>
          <w:color w:val="000000" w:themeColor="text1"/>
          <w:sz w:val="24"/>
          <w:szCs w:val="24"/>
        </w:rPr>
        <w:t>help</w:t>
      </w:r>
      <w:r w:rsidR="007C01A3" w:rsidRPr="005E76F6">
        <w:rPr>
          <w:rFonts w:ascii="Times New Roman" w:hAnsi="Times New Roman" w:cs="Times New Roman"/>
          <w:noProof/>
          <w:color w:val="000000" w:themeColor="text1"/>
          <w:sz w:val="24"/>
          <w:szCs w:val="24"/>
        </w:rPr>
        <w:t>s</w:t>
      </w:r>
      <w:r w:rsidR="00E22B00" w:rsidRPr="005E76F6">
        <w:rPr>
          <w:rFonts w:ascii="Times New Roman" w:hAnsi="Times New Roman" w:cs="Times New Roman"/>
          <w:noProof/>
          <w:color w:val="000000" w:themeColor="text1"/>
          <w:sz w:val="24"/>
          <w:szCs w:val="24"/>
        </w:rPr>
        <w:t xml:space="preserve"> companies and employees prepare for future challenges and </w:t>
      </w:r>
      <w:r w:rsidRPr="005E76F6">
        <w:rPr>
          <w:rFonts w:ascii="Times New Roman" w:hAnsi="Times New Roman" w:cs="Times New Roman"/>
          <w:noProof/>
          <w:color w:val="000000" w:themeColor="text1"/>
          <w:sz w:val="24"/>
          <w:szCs w:val="24"/>
        </w:rPr>
        <w:t xml:space="preserve">helps </w:t>
      </w:r>
      <w:r w:rsidR="00E22B00" w:rsidRPr="005E76F6">
        <w:rPr>
          <w:rFonts w:ascii="Times New Roman" w:hAnsi="Times New Roman" w:cs="Times New Roman"/>
          <w:b/>
          <w:noProof/>
          <w:color w:val="000000" w:themeColor="text1"/>
          <w:sz w:val="24"/>
          <w:szCs w:val="24"/>
        </w:rPr>
        <w:t>foster innovation for world class products and services</w:t>
      </w:r>
      <w:r w:rsidR="00E22B00" w:rsidRPr="005E76F6">
        <w:rPr>
          <w:rFonts w:ascii="Times New Roman" w:hAnsi="Times New Roman" w:cs="Times New Roman"/>
          <w:noProof/>
          <w:color w:val="000000" w:themeColor="text1"/>
          <w:sz w:val="24"/>
          <w:szCs w:val="24"/>
        </w:rPr>
        <w:t>.</w:t>
      </w:r>
    </w:p>
    <w:p w14:paraId="694CAC8D" w14:textId="096B3DBD" w:rsidR="00E22B00" w:rsidRPr="005E76F6" w:rsidRDefault="004F75AA" w:rsidP="000C2B54">
      <w:pPr>
        <w:jc w:val="both"/>
        <w:rPr>
          <w:rFonts w:ascii="Times New Roman" w:hAnsi="Times New Roman" w:cs="Times New Roman"/>
          <w:noProof/>
          <w:color w:val="000000" w:themeColor="text1"/>
          <w:sz w:val="24"/>
          <w:szCs w:val="24"/>
        </w:rPr>
      </w:pPr>
      <w:r w:rsidRPr="005E76F6">
        <w:rPr>
          <w:rFonts w:ascii="Times New Roman" w:hAnsi="Times New Roman" w:cs="Times New Roman"/>
          <w:noProof/>
          <w:color w:val="000000" w:themeColor="text1"/>
          <w:sz w:val="24"/>
          <w:szCs w:val="24"/>
        </w:rPr>
        <w:t xml:space="preserve">The projects for </w:t>
      </w:r>
      <w:r w:rsidRPr="005E76F6">
        <w:rPr>
          <w:rFonts w:ascii="Times New Roman" w:hAnsi="Times New Roman" w:cs="Times New Roman"/>
          <w:b/>
          <w:noProof/>
          <w:color w:val="000000" w:themeColor="text1"/>
          <w:sz w:val="24"/>
          <w:szCs w:val="24"/>
        </w:rPr>
        <w:t>Strategic Alliances for the Uptake of Advanced Technologies by SMEs for economic recovery</w:t>
      </w:r>
      <w:r w:rsidRPr="005E76F6">
        <w:rPr>
          <w:rFonts w:ascii="Times New Roman" w:hAnsi="Times New Roman" w:cs="Times New Roman"/>
          <w:noProof/>
          <w:color w:val="000000" w:themeColor="text1"/>
          <w:sz w:val="24"/>
          <w:szCs w:val="24"/>
        </w:rPr>
        <w:t xml:space="preserve"> also focused on </w:t>
      </w:r>
      <w:r w:rsidR="00830A73" w:rsidRPr="005E76F6">
        <w:rPr>
          <w:rFonts w:ascii="Times New Roman" w:hAnsi="Times New Roman" w:cs="Times New Roman"/>
          <w:noProof/>
          <w:color w:val="000000" w:themeColor="text1"/>
          <w:sz w:val="24"/>
          <w:szCs w:val="24"/>
        </w:rPr>
        <w:t xml:space="preserve">helping </w:t>
      </w:r>
      <w:r w:rsidRPr="005E76F6">
        <w:rPr>
          <w:rFonts w:ascii="Times New Roman" w:hAnsi="Times New Roman" w:cs="Times New Roman"/>
          <w:noProof/>
          <w:color w:val="000000" w:themeColor="text1"/>
          <w:sz w:val="24"/>
          <w:szCs w:val="24"/>
        </w:rPr>
        <w:t xml:space="preserve">SMEs implement technological innovation. The </w:t>
      </w:r>
      <w:r w:rsidR="00FE2948" w:rsidRPr="005E76F6">
        <w:rPr>
          <w:rFonts w:ascii="Times New Roman" w:hAnsi="Times New Roman" w:cs="Times New Roman"/>
          <w:noProof/>
          <w:color w:val="000000" w:themeColor="text1"/>
          <w:sz w:val="24"/>
          <w:szCs w:val="24"/>
        </w:rPr>
        <w:t>‘</w:t>
      </w:r>
      <w:r w:rsidRPr="005E76F6">
        <w:rPr>
          <w:rFonts w:ascii="Times New Roman" w:hAnsi="Times New Roman" w:cs="Times New Roman"/>
          <w:b/>
          <w:noProof/>
          <w:color w:val="000000" w:themeColor="text1"/>
          <w:sz w:val="24"/>
          <w:szCs w:val="24"/>
        </w:rPr>
        <w:t>ReStartSMEs</w:t>
      </w:r>
      <w:r w:rsidR="00FE2948" w:rsidRPr="00A30A82">
        <w:rPr>
          <w:rFonts w:ascii="Times New Roman" w:hAnsi="Times New Roman" w:cs="Times New Roman"/>
          <w:bCs/>
          <w:noProof/>
          <w:color w:val="000000" w:themeColor="text1"/>
          <w:sz w:val="24"/>
          <w:szCs w:val="24"/>
        </w:rPr>
        <w:t>’</w:t>
      </w:r>
      <w:r w:rsidRPr="005E76F6">
        <w:rPr>
          <w:rFonts w:ascii="Times New Roman" w:hAnsi="Times New Roman" w:cs="Times New Roman"/>
          <w:b/>
          <w:noProof/>
          <w:color w:val="000000" w:themeColor="text1"/>
          <w:sz w:val="24"/>
          <w:szCs w:val="24"/>
        </w:rPr>
        <w:t xml:space="preserve"> project </w:t>
      </w:r>
      <w:r w:rsidRPr="005E76F6">
        <w:rPr>
          <w:rFonts w:ascii="Times New Roman" w:hAnsi="Times New Roman" w:cs="Times New Roman"/>
          <w:noProof/>
          <w:color w:val="000000" w:themeColor="text1"/>
          <w:sz w:val="24"/>
          <w:szCs w:val="24"/>
        </w:rPr>
        <w:t xml:space="preserve">supported under this call assisted manufacturing SMEs </w:t>
      </w:r>
      <w:r w:rsidR="00830A73" w:rsidRPr="005E76F6">
        <w:rPr>
          <w:rFonts w:ascii="Times New Roman" w:hAnsi="Times New Roman" w:cs="Times New Roman"/>
          <w:noProof/>
          <w:color w:val="000000" w:themeColor="text1"/>
          <w:sz w:val="24"/>
          <w:szCs w:val="24"/>
        </w:rPr>
        <w:t xml:space="preserve">in </w:t>
      </w:r>
      <w:r w:rsidRPr="005E76F6">
        <w:rPr>
          <w:rFonts w:ascii="Times New Roman" w:hAnsi="Times New Roman" w:cs="Times New Roman"/>
          <w:noProof/>
          <w:color w:val="000000" w:themeColor="text1"/>
          <w:sz w:val="24"/>
          <w:szCs w:val="24"/>
        </w:rPr>
        <w:t>adapting to value</w:t>
      </w:r>
      <w:r w:rsidR="00830A73" w:rsidRPr="005E76F6">
        <w:rPr>
          <w:rFonts w:ascii="Times New Roman" w:hAnsi="Times New Roman" w:cs="Times New Roman"/>
          <w:noProof/>
          <w:color w:val="000000" w:themeColor="text1"/>
          <w:sz w:val="24"/>
          <w:szCs w:val="24"/>
        </w:rPr>
        <w:t xml:space="preserve"> </w:t>
      </w:r>
      <w:r w:rsidRPr="005E76F6">
        <w:rPr>
          <w:rFonts w:ascii="Times New Roman" w:hAnsi="Times New Roman" w:cs="Times New Roman"/>
          <w:noProof/>
          <w:color w:val="000000" w:themeColor="text1"/>
          <w:sz w:val="24"/>
          <w:szCs w:val="24"/>
        </w:rPr>
        <w:t xml:space="preserve">chains and new demand caused by </w:t>
      </w:r>
      <w:r w:rsidR="001207FF" w:rsidRPr="005E76F6">
        <w:rPr>
          <w:rFonts w:ascii="Times New Roman" w:hAnsi="Times New Roman" w:cs="Times New Roman"/>
          <w:noProof/>
          <w:color w:val="000000" w:themeColor="text1"/>
          <w:sz w:val="24"/>
          <w:szCs w:val="24"/>
        </w:rPr>
        <w:t>COVID</w:t>
      </w:r>
      <w:r w:rsidRPr="005E76F6">
        <w:rPr>
          <w:rFonts w:ascii="Times New Roman" w:hAnsi="Times New Roman" w:cs="Times New Roman"/>
          <w:noProof/>
          <w:color w:val="000000" w:themeColor="text1"/>
          <w:sz w:val="24"/>
          <w:szCs w:val="24"/>
        </w:rPr>
        <w:t>-19.</w:t>
      </w:r>
    </w:p>
    <w:p w14:paraId="41C663C2" w14:textId="77777777" w:rsidR="009B7896" w:rsidRPr="005E76F6" w:rsidRDefault="009B7896" w:rsidP="000C2B54">
      <w:pPr>
        <w:spacing w:before="240" w:after="0"/>
        <w:jc w:val="both"/>
        <w:rPr>
          <w:rFonts w:ascii="Times New Roman" w:hAnsi="Times New Roman" w:cs="Times New Roman"/>
          <w:b/>
          <w:noProof/>
          <w:color w:val="000000" w:themeColor="text1"/>
          <w:sz w:val="24"/>
          <w:szCs w:val="24"/>
        </w:rPr>
      </w:pPr>
      <w:r w:rsidRPr="005E76F6">
        <w:rPr>
          <w:rFonts w:ascii="Times New Roman" w:hAnsi="Times New Roman" w:cs="Times New Roman"/>
          <w:b/>
          <w:noProof/>
          <w:color w:val="000000" w:themeColor="text1"/>
          <w:sz w:val="24"/>
          <w:szCs w:val="24"/>
        </w:rPr>
        <w:t>SDG 12 (sustainable consumption and production patterns)</w:t>
      </w:r>
    </w:p>
    <w:p w14:paraId="23F5D499" w14:textId="5C25F5FC" w:rsidR="0049432F" w:rsidRPr="005E76F6" w:rsidRDefault="00312DA4" w:rsidP="006C29DE">
      <w:pPr>
        <w:pStyle w:val="NormalWeb"/>
        <w:spacing w:before="120" w:beforeAutospacing="0" w:after="160" w:afterAutospacing="0" w:line="259" w:lineRule="auto"/>
        <w:jc w:val="both"/>
        <w:rPr>
          <w:noProof/>
          <w:lang w:val="en-IE"/>
        </w:rPr>
      </w:pPr>
      <w:r w:rsidRPr="005E76F6">
        <w:rPr>
          <w:rFonts w:eastAsiaTheme="minorHAnsi"/>
          <w:noProof/>
          <w:color w:val="000000" w:themeColor="text1"/>
          <w:lang w:val="en-GB" w:eastAsia="en-US"/>
        </w:rPr>
        <w:t xml:space="preserve">The </w:t>
      </w:r>
      <w:r w:rsidRPr="005E76F6">
        <w:rPr>
          <w:rFonts w:eastAsiaTheme="minorHAnsi"/>
          <w:b/>
          <w:bCs/>
          <w:noProof/>
          <w:color w:val="000000" w:themeColor="text1"/>
          <w:lang w:val="en-GB" w:eastAsia="en-US"/>
        </w:rPr>
        <w:t xml:space="preserve">WORTH </w:t>
      </w:r>
      <w:r w:rsidR="005A7A3D" w:rsidRPr="005E76F6">
        <w:rPr>
          <w:rFonts w:eastAsiaTheme="minorHAnsi"/>
          <w:b/>
          <w:bCs/>
          <w:noProof/>
          <w:color w:val="000000" w:themeColor="text1"/>
          <w:lang w:val="en-GB" w:eastAsia="en-US"/>
        </w:rPr>
        <w:t>p</w:t>
      </w:r>
      <w:r w:rsidRPr="005E76F6">
        <w:rPr>
          <w:rFonts w:eastAsiaTheme="minorHAnsi"/>
          <w:b/>
          <w:bCs/>
          <w:noProof/>
          <w:color w:val="000000" w:themeColor="text1"/>
          <w:lang w:val="en-GB" w:eastAsia="en-US"/>
        </w:rPr>
        <w:t>roject</w:t>
      </w:r>
      <w:r w:rsidR="00830A73" w:rsidRPr="005E76F6">
        <w:rPr>
          <w:rFonts w:eastAsiaTheme="minorHAnsi"/>
          <w:noProof/>
          <w:color w:val="000000" w:themeColor="text1"/>
          <w:lang w:val="en-GB" w:eastAsia="en-US"/>
        </w:rPr>
        <w:t xml:space="preserve"> to </w:t>
      </w:r>
      <w:r w:rsidRPr="005E76F6">
        <w:rPr>
          <w:rFonts w:eastAsiaTheme="minorHAnsi"/>
          <w:noProof/>
          <w:color w:val="000000" w:themeColor="text1"/>
          <w:lang w:val="en-GB" w:eastAsia="en-US"/>
        </w:rPr>
        <w:t xml:space="preserve">boost competitiveness and innovation </w:t>
      </w:r>
      <w:r w:rsidR="006026C3" w:rsidRPr="005E76F6">
        <w:rPr>
          <w:rFonts w:eastAsiaTheme="minorHAnsi"/>
          <w:noProof/>
          <w:color w:val="000000" w:themeColor="text1"/>
          <w:lang w:val="en-GB" w:eastAsia="en-US"/>
        </w:rPr>
        <w:t>of</w:t>
      </w:r>
      <w:r w:rsidRPr="005E76F6">
        <w:rPr>
          <w:rFonts w:eastAsiaTheme="minorHAnsi"/>
          <w:noProof/>
          <w:color w:val="000000" w:themeColor="text1"/>
          <w:lang w:val="en-GB" w:eastAsia="en-US"/>
        </w:rPr>
        <w:t xml:space="preserve"> SMEs in lifestyle industries contributes to SDG</w:t>
      </w:r>
      <w:r w:rsidR="005A7A3D" w:rsidRPr="005E76F6">
        <w:rPr>
          <w:rFonts w:eastAsiaTheme="minorHAnsi"/>
          <w:noProof/>
          <w:color w:val="000000" w:themeColor="text1"/>
          <w:lang w:val="en-GB" w:eastAsia="en-US"/>
        </w:rPr>
        <w:t> </w:t>
      </w:r>
      <w:r w:rsidRPr="005E76F6">
        <w:rPr>
          <w:rFonts w:eastAsiaTheme="minorHAnsi"/>
          <w:noProof/>
          <w:color w:val="000000" w:themeColor="text1"/>
          <w:lang w:val="en-GB" w:eastAsia="en-US"/>
        </w:rPr>
        <w:t xml:space="preserve">12. The second call </w:t>
      </w:r>
      <w:r w:rsidR="00C123C1" w:rsidRPr="005E76F6">
        <w:rPr>
          <w:rFonts w:eastAsiaTheme="minorHAnsi"/>
          <w:noProof/>
          <w:color w:val="000000" w:themeColor="text1"/>
          <w:lang w:val="en-GB" w:eastAsia="en-US"/>
        </w:rPr>
        <w:t>for proposals for SME partnerships focuse</w:t>
      </w:r>
      <w:r w:rsidR="00C001E6" w:rsidRPr="005E76F6">
        <w:rPr>
          <w:rFonts w:eastAsiaTheme="minorHAnsi"/>
          <w:noProof/>
          <w:color w:val="000000" w:themeColor="text1"/>
          <w:lang w:val="en-GB" w:eastAsia="en-US"/>
        </w:rPr>
        <w:t>d</w:t>
      </w:r>
      <w:r w:rsidR="00C123C1" w:rsidRPr="005E76F6">
        <w:rPr>
          <w:rFonts w:eastAsiaTheme="minorHAnsi"/>
          <w:noProof/>
          <w:color w:val="000000" w:themeColor="text1"/>
          <w:lang w:val="en-GB" w:eastAsia="en-US"/>
        </w:rPr>
        <w:t xml:space="preserve"> on</w:t>
      </w:r>
      <w:r w:rsidRPr="005E76F6">
        <w:rPr>
          <w:rFonts w:eastAsiaTheme="minorHAnsi"/>
          <w:noProof/>
          <w:color w:val="000000" w:themeColor="text1"/>
          <w:lang w:val="en-GB" w:eastAsia="en-US"/>
        </w:rPr>
        <w:t xml:space="preserve"> green and digital transition including</w:t>
      </w:r>
      <w:r w:rsidR="00830A73" w:rsidRPr="005E76F6">
        <w:rPr>
          <w:rFonts w:eastAsiaTheme="minorHAnsi"/>
          <w:noProof/>
          <w:color w:val="000000" w:themeColor="text1"/>
          <w:lang w:val="en-GB" w:eastAsia="en-US"/>
        </w:rPr>
        <w:t xml:space="preserve">: the </w:t>
      </w:r>
      <w:r w:rsidRPr="005E76F6">
        <w:rPr>
          <w:rFonts w:eastAsiaTheme="minorHAnsi"/>
          <w:noProof/>
          <w:color w:val="000000" w:themeColor="text1"/>
          <w:lang w:val="en-GB" w:eastAsia="en-US"/>
        </w:rPr>
        <w:t>circular economy, efficient use of energy and resources, transition towards more sustainable production and consumption;</w:t>
      </w:r>
      <w:r w:rsidR="00830A73" w:rsidRPr="005E76F6">
        <w:rPr>
          <w:rFonts w:eastAsiaTheme="minorHAnsi"/>
          <w:noProof/>
          <w:color w:val="000000" w:themeColor="text1"/>
          <w:lang w:val="en-GB" w:eastAsia="en-US"/>
        </w:rPr>
        <w:t xml:space="preserve"> </w:t>
      </w:r>
      <w:hyperlink r:id="rId36" w:history="1">
        <w:r w:rsidRPr="005E76F6">
          <w:rPr>
            <w:rFonts w:eastAsiaTheme="minorHAnsi"/>
            <w:noProof/>
            <w:color w:val="000000" w:themeColor="text1"/>
            <w:lang w:val="en-GB" w:eastAsia="en-US"/>
          </w:rPr>
          <w:t>social innovation and social inclusion</w:t>
        </w:r>
      </w:hyperlink>
      <w:r w:rsidRPr="005E76F6">
        <w:rPr>
          <w:rFonts w:eastAsiaTheme="minorHAnsi"/>
          <w:noProof/>
          <w:color w:val="000000" w:themeColor="text1"/>
          <w:lang w:val="en-GB" w:eastAsia="en-US"/>
        </w:rPr>
        <w:t xml:space="preserve">; </w:t>
      </w:r>
      <w:r w:rsidR="00830A73" w:rsidRPr="005E76F6">
        <w:rPr>
          <w:rFonts w:eastAsiaTheme="minorHAnsi"/>
          <w:noProof/>
          <w:color w:val="000000" w:themeColor="text1"/>
          <w:lang w:val="en-GB" w:eastAsia="en-US"/>
        </w:rPr>
        <w:t xml:space="preserve">and </w:t>
      </w:r>
      <w:r w:rsidRPr="005E76F6">
        <w:rPr>
          <w:rFonts w:eastAsiaTheme="minorHAnsi"/>
          <w:noProof/>
          <w:color w:val="000000" w:themeColor="text1"/>
          <w:lang w:val="en-GB" w:eastAsia="en-US"/>
        </w:rPr>
        <w:t>reduction of the carbon footprint</w:t>
      </w:r>
      <w:r w:rsidR="00C001E6" w:rsidRPr="005E76F6">
        <w:rPr>
          <w:rFonts w:eastAsiaTheme="minorHAnsi"/>
          <w:noProof/>
          <w:color w:val="000000" w:themeColor="text1"/>
          <w:lang w:val="en-GB" w:eastAsia="en-US"/>
        </w:rPr>
        <w:t>.</w:t>
      </w:r>
      <w:r w:rsidR="00BD240A" w:rsidRPr="005E76F6">
        <w:rPr>
          <w:rFonts w:eastAsiaTheme="minorHAnsi"/>
          <w:noProof/>
          <w:color w:val="000000" w:themeColor="text1"/>
          <w:lang w:val="en-GB" w:eastAsia="en-US"/>
        </w:rPr>
        <w:t xml:space="preserve"> For example</w:t>
      </w:r>
      <w:r w:rsidR="0049432F" w:rsidRPr="005E76F6">
        <w:rPr>
          <w:rFonts w:eastAsiaTheme="minorHAnsi"/>
          <w:noProof/>
          <w:color w:val="000000" w:themeColor="text1"/>
          <w:lang w:val="en-GB" w:eastAsia="en-US"/>
        </w:rPr>
        <w:t>, the Framiore capsule concept aims to raise the lifetime worth of women’s clothing, by offering high quality garments that do not go out of date, together with features to customise, and adapt garments, and a repair and trade-in programme</w:t>
      </w:r>
      <w:r w:rsidR="0049432F" w:rsidRPr="005E76F6">
        <w:rPr>
          <w:rStyle w:val="FootnoteReference"/>
          <w:noProof/>
          <w:lang w:val="en-IE"/>
        </w:rPr>
        <w:footnoteReference w:id="48"/>
      </w:r>
      <w:r w:rsidR="0049432F" w:rsidRPr="005E76F6">
        <w:rPr>
          <w:noProof/>
          <w:lang w:val="en-IE"/>
        </w:rPr>
        <w:t>.</w:t>
      </w:r>
    </w:p>
    <w:p w14:paraId="35116714" w14:textId="277862A9" w:rsidR="00432079" w:rsidRPr="005E76F6" w:rsidRDefault="00432079" w:rsidP="0049432F">
      <w:pPr>
        <w:pStyle w:val="NormalWeb"/>
        <w:rPr>
          <w:noProof/>
          <w:lang w:val="en-IE"/>
        </w:rPr>
      </w:pPr>
      <w:r w:rsidRPr="005E76F6">
        <w:rPr>
          <w:noProof/>
          <w:lang w:val="en-IE"/>
        </w:rPr>
        <w:t xml:space="preserve">Some of the ongoing </w:t>
      </w:r>
      <w:r w:rsidRPr="005E76F6">
        <w:rPr>
          <w:b/>
          <w:bCs/>
          <w:noProof/>
          <w:lang w:val="en-IE"/>
        </w:rPr>
        <w:t>tourism projects</w:t>
      </w:r>
      <w:r w:rsidRPr="005E76F6">
        <w:rPr>
          <w:noProof/>
          <w:lang w:val="en-IE"/>
        </w:rPr>
        <w:t xml:space="preserve"> </w:t>
      </w:r>
      <w:r w:rsidRPr="005E76F6">
        <w:rPr>
          <w:bCs/>
          <w:noProof/>
          <w:lang w:val="en-IE" w:eastAsia="fr-FR"/>
        </w:rPr>
        <w:t xml:space="preserve">also support sustainability and climate goals, including for example the </w:t>
      </w:r>
      <w:r w:rsidRPr="005E76F6">
        <w:rPr>
          <w:b/>
          <w:bCs/>
          <w:noProof/>
          <w:lang w:val="en-IE"/>
        </w:rPr>
        <w:t>TourINN-act project</w:t>
      </w:r>
      <w:r w:rsidRPr="005E76F6">
        <w:rPr>
          <w:rStyle w:val="FootnoteReference"/>
          <w:b/>
          <w:bCs/>
          <w:noProof/>
          <w:lang w:val="en-IE"/>
        </w:rPr>
        <w:footnoteReference w:id="49"/>
      </w:r>
      <w:r w:rsidRPr="005E76F6">
        <w:rPr>
          <w:bCs/>
          <w:noProof/>
          <w:lang w:val="en-IE" w:eastAsia="fr-FR"/>
        </w:rPr>
        <w:t>.</w:t>
      </w:r>
    </w:p>
    <w:p w14:paraId="529A9500" w14:textId="0876AC64" w:rsidR="007C01A3" w:rsidRPr="005E76F6" w:rsidRDefault="00C001E6" w:rsidP="000C2B54">
      <w:pPr>
        <w:pStyle w:val="Default"/>
        <w:spacing w:before="120"/>
        <w:jc w:val="both"/>
        <w:rPr>
          <w:rFonts w:ascii="Times New Roman" w:eastAsia="Times New Roman" w:hAnsi="Times New Roman" w:cs="Times New Roman"/>
          <w:bCs/>
          <w:noProof/>
          <w:color w:val="000000" w:themeColor="text1"/>
          <w:lang w:val="en-GB" w:eastAsia="fr-FR"/>
        </w:rPr>
      </w:pPr>
      <w:r w:rsidRPr="005E76F6">
        <w:rPr>
          <w:rFonts w:ascii="Times New Roman" w:eastAsia="Times New Roman" w:hAnsi="Times New Roman" w:cs="Times New Roman"/>
          <w:bCs/>
          <w:noProof/>
          <w:color w:val="000000" w:themeColor="text1"/>
          <w:lang w:val="en-GB" w:eastAsia="fr-FR"/>
        </w:rPr>
        <w:t>The</w:t>
      </w:r>
      <w:r w:rsidR="007C01A3" w:rsidRPr="005E76F6">
        <w:rPr>
          <w:rFonts w:ascii="Times New Roman" w:eastAsia="Times New Roman" w:hAnsi="Times New Roman" w:cs="Times New Roman"/>
          <w:bCs/>
          <w:noProof/>
          <w:color w:val="000000" w:themeColor="text1"/>
          <w:lang w:val="en-GB" w:eastAsia="fr-FR"/>
        </w:rPr>
        <w:t xml:space="preserve"> </w:t>
      </w:r>
      <w:r w:rsidR="007C01A3" w:rsidRPr="005E76F6">
        <w:rPr>
          <w:rFonts w:ascii="Times New Roman" w:eastAsia="Times New Roman" w:hAnsi="Times New Roman" w:cs="Times New Roman"/>
          <w:b/>
          <w:bCs/>
          <w:noProof/>
          <w:color w:val="000000" w:themeColor="text1"/>
          <w:lang w:val="en-GB" w:eastAsia="fr-FR"/>
        </w:rPr>
        <w:t>clusters internationali</w:t>
      </w:r>
      <w:r w:rsidR="00FE2948" w:rsidRPr="005E76F6">
        <w:rPr>
          <w:rFonts w:ascii="Times New Roman" w:eastAsia="Times New Roman" w:hAnsi="Times New Roman" w:cs="Times New Roman"/>
          <w:b/>
          <w:bCs/>
          <w:noProof/>
          <w:color w:val="000000" w:themeColor="text1"/>
          <w:lang w:val="en-GB" w:eastAsia="fr-FR"/>
        </w:rPr>
        <w:t>s</w:t>
      </w:r>
      <w:r w:rsidR="007C01A3" w:rsidRPr="005E76F6">
        <w:rPr>
          <w:rFonts w:ascii="Times New Roman" w:eastAsia="Times New Roman" w:hAnsi="Times New Roman" w:cs="Times New Roman"/>
          <w:b/>
          <w:bCs/>
          <w:noProof/>
          <w:color w:val="000000" w:themeColor="text1"/>
          <w:lang w:val="en-GB" w:eastAsia="fr-FR"/>
        </w:rPr>
        <w:t>ation projects</w:t>
      </w:r>
      <w:r w:rsidR="007C01A3" w:rsidRPr="005E76F6">
        <w:rPr>
          <w:rFonts w:ascii="Times New Roman" w:eastAsia="Times New Roman" w:hAnsi="Times New Roman" w:cs="Times New Roman"/>
          <w:bCs/>
          <w:noProof/>
          <w:color w:val="000000" w:themeColor="text1"/>
          <w:lang w:val="en-GB" w:eastAsia="fr-FR"/>
        </w:rPr>
        <w:t xml:space="preserve"> </w:t>
      </w:r>
      <w:r w:rsidRPr="005E76F6">
        <w:rPr>
          <w:rFonts w:ascii="Times New Roman" w:eastAsia="Times New Roman" w:hAnsi="Times New Roman" w:cs="Times New Roman"/>
          <w:bCs/>
          <w:noProof/>
          <w:color w:val="000000" w:themeColor="text1"/>
          <w:lang w:val="en-GB" w:eastAsia="fr-FR"/>
        </w:rPr>
        <w:t>also cover sustainable consumption and production patterns in various sectors, including energy and water consumption, water-smart solutions, and renewable energy and smart grids).</w:t>
      </w:r>
    </w:p>
    <w:p w14:paraId="3CFEB11A" w14:textId="40770355" w:rsidR="00312DA4" w:rsidRPr="005E76F6" w:rsidRDefault="00312DA4" w:rsidP="00CD1997">
      <w:pPr>
        <w:spacing w:before="240" w:after="0"/>
        <w:jc w:val="both"/>
        <w:rPr>
          <w:rFonts w:ascii="Times New Roman" w:eastAsia="Calibri" w:hAnsi="Times New Roman" w:cs="Times New Roman"/>
          <w:b/>
          <w:noProof/>
          <w:color w:val="000000" w:themeColor="text1"/>
          <w:sz w:val="24"/>
          <w:szCs w:val="24"/>
        </w:rPr>
      </w:pPr>
      <w:r w:rsidRPr="005E76F6">
        <w:rPr>
          <w:rFonts w:ascii="Times New Roman" w:eastAsia="Calibri" w:hAnsi="Times New Roman" w:cs="Times New Roman"/>
          <w:b/>
          <w:noProof/>
          <w:color w:val="000000" w:themeColor="text1"/>
          <w:sz w:val="24"/>
          <w:szCs w:val="24"/>
        </w:rPr>
        <w:t>SDG 13 (climate action)</w:t>
      </w:r>
    </w:p>
    <w:p w14:paraId="081C14FF" w14:textId="3E178F00" w:rsidR="006E1ECD" w:rsidRPr="005E76F6" w:rsidRDefault="001A1D3C" w:rsidP="006E1ECD">
      <w:pPr>
        <w:spacing w:before="120" w:after="0"/>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One relevant measure is the</w:t>
      </w:r>
      <w:r w:rsidR="00F94920" w:rsidRPr="005E76F6">
        <w:rPr>
          <w:rFonts w:ascii="Times New Roman" w:eastAsia="Times New Roman" w:hAnsi="Times New Roman" w:cs="Times New Roman"/>
          <w:bCs/>
          <w:noProof/>
          <w:color w:val="000000" w:themeColor="text1"/>
          <w:sz w:val="24"/>
          <w:szCs w:val="24"/>
          <w:lang w:eastAsia="fr-FR"/>
        </w:rPr>
        <w:t xml:space="preserve"> </w:t>
      </w:r>
      <w:r w:rsidR="00EB7F2B" w:rsidRPr="005E76F6">
        <w:rPr>
          <w:rFonts w:ascii="Times New Roman" w:eastAsia="Times New Roman" w:hAnsi="Times New Roman" w:cs="Times New Roman"/>
          <w:bCs/>
          <w:noProof/>
          <w:color w:val="000000" w:themeColor="text1"/>
          <w:sz w:val="24"/>
          <w:szCs w:val="24"/>
          <w:lang w:eastAsia="fr-FR"/>
        </w:rPr>
        <w:t xml:space="preserve">development of a </w:t>
      </w:r>
      <w:r w:rsidR="00F94920" w:rsidRPr="005E76F6">
        <w:rPr>
          <w:rFonts w:ascii="Times New Roman" w:eastAsia="Times New Roman" w:hAnsi="Times New Roman" w:cs="Times New Roman"/>
          <w:b/>
          <w:bCs/>
          <w:noProof/>
          <w:color w:val="000000" w:themeColor="text1"/>
          <w:sz w:val="24"/>
          <w:szCs w:val="24"/>
          <w:lang w:eastAsia="fr-FR"/>
        </w:rPr>
        <w:t>European Climate Neutral Industry Competitiveness Scoreboard (CIndECS)</w:t>
      </w:r>
      <w:r w:rsidR="00F94920" w:rsidRPr="005E76F6">
        <w:rPr>
          <w:rFonts w:ascii="Times New Roman" w:eastAsia="Times New Roman" w:hAnsi="Times New Roman" w:cs="Times New Roman"/>
          <w:bCs/>
          <w:noProof/>
          <w:color w:val="000000" w:themeColor="text1"/>
          <w:sz w:val="24"/>
          <w:szCs w:val="24"/>
          <w:lang w:eastAsia="fr-FR"/>
        </w:rPr>
        <w:t xml:space="preserve"> </w:t>
      </w:r>
      <w:r w:rsidR="00862F1F" w:rsidRPr="005E76F6">
        <w:rPr>
          <w:rFonts w:ascii="Times New Roman" w:eastAsia="Times New Roman" w:hAnsi="Times New Roman" w:cs="Times New Roman"/>
          <w:bCs/>
          <w:noProof/>
          <w:color w:val="000000" w:themeColor="text1"/>
          <w:sz w:val="24"/>
          <w:szCs w:val="24"/>
          <w:lang w:eastAsia="fr-FR"/>
        </w:rPr>
        <w:t xml:space="preserve">to </w:t>
      </w:r>
      <w:r w:rsidRPr="005E76F6">
        <w:rPr>
          <w:rFonts w:ascii="Times New Roman" w:eastAsia="Times New Roman" w:hAnsi="Times New Roman" w:cs="Times New Roman"/>
          <w:bCs/>
          <w:noProof/>
          <w:color w:val="000000" w:themeColor="text1"/>
          <w:sz w:val="24"/>
          <w:szCs w:val="24"/>
          <w:lang w:eastAsia="fr-FR"/>
        </w:rPr>
        <w:t xml:space="preserve">assess </w:t>
      </w:r>
      <w:r w:rsidR="00F94920" w:rsidRPr="005E76F6">
        <w:rPr>
          <w:rFonts w:ascii="Times New Roman" w:eastAsia="Times New Roman" w:hAnsi="Times New Roman" w:cs="Times New Roman"/>
          <w:bCs/>
          <w:noProof/>
          <w:color w:val="000000" w:themeColor="text1"/>
          <w:sz w:val="24"/>
          <w:szCs w:val="24"/>
          <w:lang w:eastAsia="fr-FR"/>
        </w:rPr>
        <w:t xml:space="preserve">the EU’s competitive position on 28 climate-neutral solutions. </w:t>
      </w:r>
      <w:r w:rsidRPr="005E76F6">
        <w:rPr>
          <w:rFonts w:ascii="Times New Roman" w:eastAsia="Times New Roman" w:hAnsi="Times New Roman" w:cs="Times New Roman"/>
          <w:bCs/>
          <w:noProof/>
          <w:color w:val="000000" w:themeColor="text1"/>
          <w:sz w:val="24"/>
          <w:szCs w:val="24"/>
          <w:lang w:eastAsia="fr-FR"/>
        </w:rPr>
        <w:t xml:space="preserve">This </w:t>
      </w:r>
      <w:r w:rsidR="00EB7F2B" w:rsidRPr="005E76F6">
        <w:rPr>
          <w:rFonts w:ascii="Times New Roman" w:eastAsia="Times New Roman" w:hAnsi="Times New Roman" w:cs="Times New Roman"/>
          <w:bCs/>
          <w:noProof/>
          <w:color w:val="000000" w:themeColor="text1"/>
          <w:sz w:val="24"/>
          <w:szCs w:val="24"/>
          <w:lang w:eastAsia="fr-FR"/>
        </w:rPr>
        <w:t>work identifies</w:t>
      </w:r>
      <w:r w:rsidR="00F94920" w:rsidRPr="005E76F6">
        <w:rPr>
          <w:rFonts w:ascii="Times New Roman" w:eastAsia="Times New Roman" w:hAnsi="Times New Roman" w:cs="Times New Roman"/>
          <w:bCs/>
          <w:noProof/>
          <w:color w:val="000000" w:themeColor="text1"/>
          <w:sz w:val="24"/>
          <w:szCs w:val="24"/>
          <w:lang w:eastAsia="fr-FR"/>
        </w:rPr>
        <w:t xml:space="preserve"> strengths and weakness for each solution against </w:t>
      </w:r>
      <w:r w:rsidR="00862F1F" w:rsidRPr="005E76F6">
        <w:rPr>
          <w:rFonts w:ascii="Times New Roman" w:eastAsia="Times New Roman" w:hAnsi="Times New Roman" w:cs="Times New Roman"/>
          <w:bCs/>
          <w:noProof/>
          <w:color w:val="000000" w:themeColor="text1"/>
          <w:sz w:val="24"/>
          <w:szCs w:val="24"/>
          <w:lang w:eastAsia="fr-FR"/>
        </w:rPr>
        <w:t xml:space="preserve">10 </w:t>
      </w:r>
      <w:r w:rsidR="00F94920" w:rsidRPr="005E76F6">
        <w:rPr>
          <w:rFonts w:ascii="Times New Roman" w:eastAsia="Times New Roman" w:hAnsi="Times New Roman" w:cs="Times New Roman"/>
          <w:bCs/>
          <w:noProof/>
          <w:color w:val="000000" w:themeColor="text1"/>
          <w:sz w:val="24"/>
          <w:szCs w:val="24"/>
          <w:lang w:eastAsia="fr-FR"/>
        </w:rPr>
        <w:t xml:space="preserve">specific criteria. The results </w:t>
      </w:r>
      <w:r w:rsidRPr="005E76F6">
        <w:rPr>
          <w:rFonts w:ascii="Times New Roman" w:eastAsia="Times New Roman" w:hAnsi="Times New Roman" w:cs="Times New Roman"/>
          <w:bCs/>
          <w:noProof/>
          <w:color w:val="000000" w:themeColor="text1"/>
          <w:sz w:val="24"/>
          <w:szCs w:val="24"/>
          <w:lang w:eastAsia="fr-FR"/>
        </w:rPr>
        <w:t>will provide support to</w:t>
      </w:r>
      <w:r w:rsidR="00F94920" w:rsidRPr="005E76F6">
        <w:rPr>
          <w:rFonts w:ascii="Times New Roman" w:eastAsia="Times New Roman" w:hAnsi="Times New Roman" w:cs="Times New Roman"/>
          <w:bCs/>
          <w:noProof/>
          <w:color w:val="000000" w:themeColor="text1"/>
          <w:sz w:val="24"/>
          <w:szCs w:val="24"/>
          <w:lang w:eastAsia="fr-FR"/>
        </w:rPr>
        <w:t xml:space="preserve"> policymakers both at national and EU level </w:t>
      </w:r>
      <w:r w:rsidR="00862F1F" w:rsidRPr="005E76F6">
        <w:rPr>
          <w:rFonts w:ascii="Times New Roman" w:eastAsia="Times New Roman" w:hAnsi="Times New Roman" w:cs="Times New Roman"/>
          <w:bCs/>
          <w:noProof/>
          <w:color w:val="000000" w:themeColor="text1"/>
          <w:sz w:val="24"/>
          <w:szCs w:val="24"/>
          <w:lang w:eastAsia="fr-FR"/>
        </w:rPr>
        <w:t xml:space="preserve">to </w:t>
      </w:r>
      <w:r w:rsidRPr="005E76F6">
        <w:rPr>
          <w:rFonts w:ascii="Times New Roman" w:eastAsia="Times New Roman" w:hAnsi="Times New Roman" w:cs="Times New Roman"/>
          <w:bCs/>
          <w:noProof/>
          <w:color w:val="000000" w:themeColor="text1"/>
          <w:sz w:val="24"/>
          <w:szCs w:val="24"/>
          <w:lang w:eastAsia="fr-FR"/>
        </w:rPr>
        <w:t>develop</w:t>
      </w:r>
      <w:r w:rsidR="00F94920" w:rsidRPr="005E76F6">
        <w:rPr>
          <w:rFonts w:ascii="Times New Roman" w:eastAsia="Times New Roman" w:hAnsi="Times New Roman" w:cs="Times New Roman"/>
          <w:bCs/>
          <w:noProof/>
          <w:color w:val="000000" w:themeColor="text1"/>
          <w:sz w:val="24"/>
          <w:szCs w:val="24"/>
          <w:lang w:eastAsia="fr-FR"/>
        </w:rPr>
        <w:t xml:space="preserve"> more targeted support actions</w:t>
      </w:r>
      <w:r w:rsidR="00CD48E4" w:rsidRPr="005E76F6">
        <w:rPr>
          <w:rFonts w:ascii="Times New Roman" w:eastAsia="Times New Roman" w:hAnsi="Times New Roman" w:cs="Times New Roman"/>
          <w:bCs/>
          <w:noProof/>
          <w:color w:val="000000" w:themeColor="text1"/>
          <w:sz w:val="24"/>
          <w:szCs w:val="24"/>
          <w:lang w:eastAsia="fr-FR"/>
        </w:rPr>
        <w:t>. The total EU funding for this action (EUR</w:t>
      </w:r>
      <w:r w:rsidR="00FE2948" w:rsidRPr="005E76F6">
        <w:rPr>
          <w:rFonts w:ascii="Times New Roman" w:eastAsia="Times New Roman" w:hAnsi="Times New Roman" w:cs="Times New Roman"/>
          <w:bCs/>
          <w:noProof/>
          <w:color w:val="000000" w:themeColor="text1"/>
          <w:sz w:val="24"/>
          <w:szCs w:val="24"/>
          <w:lang w:eastAsia="fr-FR"/>
        </w:rPr>
        <w:t> </w:t>
      </w:r>
      <w:r w:rsidR="00CD48E4" w:rsidRPr="005E76F6">
        <w:rPr>
          <w:rFonts w:ascii="Times New Roman" w:eastAsia="Times New Roman" w:hAnsi="Times New Roman" w:cs="Times New Roman"/>
          <w:b/>
          <w:bCs/>
          <w:smallCaps/>
          <w:noProof/>
          <w:color w:val="000000" w:themeColor="text1"/>
          <w:sz w:val="24"/>
          <w:szCs w:val="24"/>
          <w:lang w:eastAsia="fr-FR"/>
        </w:rPr>
        <w:t>430</w:t>
      </w:r>
      <w:r w:rsidR="00FE2948" w:rsidRPr="005E76F6">
        <w:rPr>
          <w:rFonts w:ascii="Times New Roman" w:eastAsia="Times New Roman" w:hAnsi="Times New Roman" w:cs="Times New Roman"/>
          <w:b/>
          <w:bCs/>
          <w:smallCaps/>
          <w:noProof/>
          <w:color w:val="000000" w:themeColor="text1"/>
          <w:sz w:val="24"/>
          <w:szCs w:val="24"/>
          <w:lang w:eastAsia="fr-FR"/>
        </w:rPr>
        <w:t> </w:t>
      </w:r>
      <w:r w:rsidR="00CD48E4" w:rsidRPr="005E76F6">
        <w:rPr>
          <w:rFonts w:ascii="Times New Roman" w:eastAsia="Times New Roman" w:hAnsi="Times New Roman" w:cs="Times New Roman"/>
          <w:b/>
          <w:bCs/>
          <w:smallCaps/>
          <w:noProof/>
          <w:color w:val="000000" w:themeColor="text1"/>
          <w:sz w:val="24"/>
          <w:szCs w:val="24"/>
          <w:lang w:eastAsia="fr-FR"/>
        </w:rPr>
        <w:t>000</w:t>
      </w:r>
      <w:r w:rsidR="00CD48E4" w:rsidRPr="005E76F6">
        <w:rPr>
          <w:rFonts w:ascii="Times New Roman" w:eastAsia="Times New Roman" w:hAnsi="Times New Roman" w:cs="Times New Roman"/>
          <w:bCs/>
          <w:noProof/>
          <w:color w:val="000000" w:themeColor="text1"/>
          <w:sz w:val="24"/>
          <w:szCs w:val="24"/>
          <w:lang w:eastAsia="fr-FR"/>
        </w:rPr>
        <w:t>) is entirely dedicated to climate goals.</w:t>
      </w:r>
      <w:r w:rsidR="00EB7F2B" w:rsidRPr="005E76F6">
        <w:rPr>
          <w:rFonts w:ascii="Times New Roman" w:eastAsia="Times New Roman" w:hAnsi="Times New Roman" w:cs="Times New Roman"/>
          <w:bCs/>
          <w:noProof/>
          <w:color w:val="000000" w:themeColor="text1"/>
          <w:sz w:val="24"/>
          <w:szCs w:val="24"/>
          <w:lang w:eastAsia="fr-FR"/>
        </w:rPr>
        <w:t xml:space="preserve"> </w:t>
      </w:r>
      <w:r w:rsidR="006E1ECD" w:rsidRPr="005E76F6">
        <w:rPr>
          <w:rFonts w:ascii="Times New Roman" w:eastAsia="Times New Roman" w:hAnsi="Times New Roman" w:cs="Times New Roman"/>
          <w:bCs/>
          <w:noProof/>
          <w:color w:val="000000" w:themeColor="text1"/>
          <w:sz w:val="24"/>
          <w:szCs w:val="24"/>
          <w:lang w:eastAsia="fr-FR"/>
        </w:rPr>
        <w:t xml:space="preserve">The </w:t>
      </w:r>
      <w:r w:rsidR="005A7A3D" w:rsidRPr="005E76F6">
        <w:rPr>
          <w:rFonts w:ascii="Times New Roman" w:eastAsia="Times New Roman" w:hAnsi="Times New Roman" w:cs="Times New Roman"/>
          <w:bCs/>
          <w:noProof/>
          <w:color w:val="000000" w:themeColor="text1"/>
          <w:sz w:val="24"/>
          <w:szCs w:val="24"/>
          <w:lang w:eastAsia="fr-FR"/>
        </w:rPr>
        <w:t xml:space="preserve">project’s </w:t>
      </w:r>
      <w:r w:rsidR="006E1ECD" w:rsidRPr="005E76F6">
        <w:rPr>
          <w:rFonts w:ascii="Times New Roman" w:eastAsia="Times New Roman" w:hAnsi="Times New Roman" w:cs="Times New Roman"/>
          <w:bCs/>
          <w:noProof/>
          <w:color w:val="000000" w:themeColor="text1"/>
          <w:sz w:val="24"/>
          <w:szCs w:val="24"/>
          <w:lang w:eastAsia="fr-FR"/>
        </w:rPr>
        <w:t>results have already contributed to and are referenced in the following policy documents:</w:t>
      </w:r>
    </w:p>
    <w:p w14:paraId="692ACAB5" w14:textId="28D5D322" w:rsidR="00CD1997" w:rsidRPr="005E76F6" w:rsidRDefault="00CD1997" w:rsidP="00CD1997">
      <w:pPr>
        <w:pStyle w:val="ListParagraph"/>
        <w:numPr>
          <w:ilvl w:val="0"/>
          <w:numId w:val="19"/>
        </w:numPr>
        <w:spacing w:before="120" w:after="60" w:line="240" w:lineRule="auto"/>
        <w:ind w:left="357" w:hanging="357"/>
        <w:contextualSpacing w:val="0"/>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Net Zero Industry Act (COM(2023) 161, SWD(2023) 68 final</w:t>
      </w:r>
      <w:r w:rsidR="00A73886" w:rsidRPr="005E76F6">
        <w:rPr>
          <w:rFonts w:ascii="Times New Roman" w:eastAsia="Times New Roman" w:hAnsi="Times New Roman" w:cs="Times New Roman"/>
          <w:bCs/>
          <w:noProof/>
          <w:color w:val="000000" w:themeColor="text1"/>
          <w:sz w:val="24"/>
          <w:szCs w:val="24"/>
          <w:lang w:eastAsia="fr-FR"/>
        </w:rPr>
        <w:t>)</w:t>
      </w:r>
      <w:r w:rsidRPr="005E76F6">
        <w:rPr>
          <w:rFonts w:ascii="Times New Roman" w:eastAsia="Times New Roman" w:hAnsi="Times New Roman" w:cs="Times New Roman"/>
          <w:bCs/>
          <w:noProof/>
          <w:color w:val="000000" w:themeColor="text1"/>
          <w:sz w:val="24"/>
          <w:szCs w:val="24"/>
          <w:lang w:eastAsia="fr-FR"/>
        </w:rPr>
        <w:t xml:space="preserve"> </w:t>
      </w:r>
      <w:r w:rsidRPr="005E76F6">
        <w:rPr>
          <w:rFonts w:ascii="Times New Roman" w:eastAsia="Times New Roman" w:hAnsi="Times New Roman" w:cs="Times New Roman"/>
          <w:bCs/>
          <w:i/>
          <w:iCs/>
          <w:noProof/>
          <w:color w:val="000000" w:themeColor="text1"/>
          <w:sz w:val="24"/>
          <w:szCs w:val="24"/>
          <w:lang w:eastAsia="fr-FR"/>
        </w:rPr>
        <w:t>Investment needs assessment and funding availabilities to strengthen EU</w:t>
      </w:r>
      <w:r w:rsidR="00FE2948" w:rsidRPr="005E76F6">
        <w:rPr>
          <w:rFonts w:ascii="Times New Roman" w:eastAsia="Times New Roman" w:hAnsi="Times New Roman" w:cs="Times New Roman"/>
          <w:bCs/>
          <w:i/>
          <w:iCs/>
          <w:noProof/>
          <w:color w:val="000000" w:themeColor="text1"/>
          <w:sz w:val="24"/>
          <w:szCs w:val="24"/>
          <w:lang w:eastAsia="fr-FR"/>
        </w:rPr>
        <w:t>’</w:t>
      </w:r>
      <w:r w:rsidRPr="005E76F6">
        <w:rPr>
          <w:rFonts w:ascii="Times New Roman" w:eastAsia="Times New Roman" w:hAnsi="Times New Roman" w:cs="Times New Roman"/>
          <w:bCs/>
          <w:i/>
          <w:iCs/>
          <w:noProof/>
          <w:color w:val="000000" w:themeColor="text1"/>
          <w:sz w:val="24"/>
          <w:szCs w:val="24"/>
          <w:lang w:eastAsia="fr-FR"/>
        </w:rPr>
        <w:t>s Net-Zero technology manufacturing capacity</w:t>
      </w:r>
      <w:r w:rsidRPr="005E76F6">
        <w:rPr>
          <w:rFonts w:ascii="Times New Roman" w:eastAsia="Times New Roman" w:hAnsi="Times New Roman" w:cs="Times New Roman"/>
          <w:bCs/>
          <w:noProof/>
          <w:color w:val="000000" w:themeColor="text1"/>
          <w:sz w:val="24"/>
          <w:szCs w:val="24"/>
          <w:lang w:eastAsia="fr-FR"/>
        </w:rPr>
        <w:t>, p.</w:t>
      </w:r>
      <w:r w:rsidR="00FE2948" w:rsidRPr="005E76F6">
        <w:rPr>
          <w:rFonts w:ascii="Times New Roman" w:eastAsia="Times New Roman" w:hAnsi="Times New Roman" w:cs="Times New Roman"/>
          <w:bCs/>
          <w:noProof/>
          <w:color w:val="000000" w:themeColor="text1"/>
          <w:sz w:val="24"/>
          <w:szCs w:val="24"/>
          <w:lang w:eastAsia="fr-FR"/>
        </w:rPr>
        <w:t> </w:t>
      </w:r>
      <w:r w:rsidRPr="005E76F6">
        <w:rPr>
          <w:rFonts w:ascii="Times New Roman" w:eastAsia="Times New Roman" w:hAnsi="Times New Roman" w:cs="Times New Roman"/>
          <w:bCs/>
          <w:noProof/>
          <w:color w:val="000000" w:themeColor="text1"/>
          <w:sz w:val="24"/>
          <w:szCs w:val="24"/>
          <w:lang w:eastAsia="fr-FR"/>
        </w:rPr>
        <w:t>55, 74, 76, 103</w:t>
      </w:r>
      <w:r w:rsidR="00862F1F" w:rsidRPr="005E76F6">
        <w:rPr>
          <w:rFonts w:ascii="Times New Roman" w:eastAsia="Times New Roman" w:hAnsi="Times New Roman" w:cs="Times New Roman"/>
          <w:bCs/>
          <w:noProof/>
          <w:color w:val="000000" w:themeColor="text1"/>
          <w:sz w:val="24"/>
          <w:szCs w:val="24"/>
          <w:lang w:eastAsia="fr-FR"/>
        </w:rPr>
        <w:t>;</w:t>
      </w:r>
    </w:p>
    <w:p w14:paraId="29AF7093" w14:textId="4AED35F5" w:rsidR="00CD1997" w:rsidRPr="005E76F6" w:rsidRDefault="00CD1997" w:rsidP="00434155">
      <w:pPr>
        <w:pStyle w:val="ListParagraph"/>
        <w:numPr>
          <w:ilvl w:val="0"/>
          <w:numId w:val="19"/>
        </w:numPr>
        <w:spacing w:after="60" w:line="240" w:lineRule="auto"/>
        <w:ind w:left="357" w:hanging="357"/>
        <w:contextualSpacing w:val="0"/>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Net Zero Industry Act (COM(2023)</w:t>
      </w:r>
      <w:r w:rsidR="00FE2948" w:rsidRPr="005E76F6">
        <w:rPr>
          <w:rFonts w:ascii="Times New Roman" w:eastAsia="Times New Roman" w:hAnsi="Times New Roman" w:cs="Times New Roman"/>
          <w:bCs/>
          <w:noProof/>
          <w:color w:val="000000" w:themeColor="text1"/>
          <w:sz w:val="24"/>
          <w:szCs w:val="24"/>
          <w:lang w:eastAsia="fr-FR"/>
        </w:rPr>
        <w:t> </w:t>
      </w:r>
      <w:r w:rsidRPr="005E76F6">
        <w:rPr>
          <w:rFonts w:ascii="Times New Roman" w:eastAsia="Times New Roman" w:hAnsi="Times New Roman" w:cs="Times New Roman"/>
          <w:bCs/>
          <w:noProof/>
          <w:color w:val="000000" w:themeColor="text1"/>
          <w:sz w:val="24"/>
          <w:szCs w:val="24"/>
          <w:lang w:eastAsia="fr-FR"/>
        </w:rPr>
        <w:t>161, SWD(2023)68, p</w:t>
      </w:r>
      <w:r w:rsidR="00B10E33">
        <w:rPr>
          <w:rFonts w:ascii="Times New Roman" w:eastAsia="Times New Roman" w:hAnsi="Times New Roman" w:cs="Times New Roman"/>
          <w:bCs/>
          <w:noProof/>
          <w:color w:val="000000" w:themeColor="text1"/>
          <w:sz w:val="24"/>
          <w:szCs w:val="24"/>
          <w:lang w:eastAsia="fr-FR"/>
        </w:rPr>
        <w:t xml:space="preserve">. </w:t>
      </w:r>
      <w:r w:rsidRPr="005E76F6">
        <w:rPr>
          <w:rFonts w:ascii="Times New Roman" w:eastAsia="Times New Roman" w:hAnsi="Times New Roman" w:cs="Times New Roman"/>
          <w:bCs/>
          <w:noProof/>
          <w:color w:val="000000" w:themeColor="text1"/>
          <w:sz w:val="24"/>
          <w:szCs w:val="24"/>
          <w:lang w:eastAsia="fr-FR"/>
        </w:rPr>
        <w:t>10</w:t>
      </w:r>
      <w:r w:rsidR="000D32CF" w:rsidRPr="005E76F6">
        <w:rPr>
          <w:rFonts w:ascii="Times New Roman" w:eastAsia="Times New Roman" w:hAnsi="Times New Roman" w:cs="Times New Roman"/>
          <w:bCs/>
          <w:noProof/>
          <w:color w:val="000000" w:themeColor="text1"/>
          <w:sz w:val="24"/>
          <w:szCs w:val="24"/>
          <w:lang w:eastAsia="fr-FR"/>
        </w:rPr>
        <w:t>)</w:t>
      </w:r>
      <w:r w:rsidR="00862F1F" w:rsidRPr="005E76F6">
        <w:rPr>
          <w:rFonts w:ascii="Times New Roman" w:eastAsia="Times New Roman" w:hAnsi="Times New Roman" w:cs="Times New Roman"/>
          <w:bCs/>
          <w:noProof/>
          <w:color w:val="000000" w:themeColor="text1"/>
          <w:sz w:val="24"/>
          <w:szCs w:val="24"/>
          <w:lang w:eastAsia="fr-FR"/>
        </w:rPr>
        <w:t>;</w:t>
      </w:r>
    </w:p>
    <w:p w14:paraId="501718C7" w14:textId="2031D1F6" w:rsidR="00CD153B" w:rsidRPr="005E76F6" w:rsidRDefault="00434155" w:rsidP="00CD153B">
      <w:pPr>
        <w:pStyle w:val="ListParagraph"/>
        <w:numPr>
          <w:ilvl w:val="0"/>
          <w:numId w:val="19"/>
        </w:numPr>
        <w:spacing w:before="120" w:after="0"/>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 xml:space="preserve">The </w:t>
      </w:r>
      <w:r w:rsidR="00CD153B" w:rsidRPr="005E76F6">
        <w:rPr>
          <w:rFonts w:ascii="Times New Roman" w:eastAsia="Times New Roman" w:hAnsi="Times New Roman" w:cs="Times New Roman"/>
          <w:bCs/>
          <w:noProof/>
          <w:color w:val="000000" w:themeColor="text1"/>
          <w:sz w:val="24"/>
          <w:szCs w:val="24"/>
          <w:lang w:eastAsia="fr-FR"/>
        </w:rPr>
        <w:t>2021 and 2022 editions of the Progress report on competitiveness of clean energy technologies (COM(2021)952 final) - and supporting documents -  and (COM(2022)643 final</w:t>
      </w:r>
    </w:p>
    <w:p w14:paraId="5DE55323" w14:textId="3B115CE5" w:rsidR="006E1ECD" w:rsidRPr="0018775F" w:rsidRDefault="00A77D0C" w:rsidP="00D4089C">
      <w:pPr>
        <w:pStyle w:val="ListParagraph"/>
        <w:numPr>
          <w:ilvl w:val="0"/>
          <w:numId w:val="19"/>
        </w:numPr>
        <w:spacing w:after="60" w:line="240" w:lineRule="auto"/>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 xml:space="preserve">The </w:t>
      </w:r>
      <w:r w:rsidRPr="005E76F6">
        <w:rPr>
          <w:rFonts w:ascii="Times New Roman" w:eastAsia="Times New Roman" w:hAnsi="Times New Roman" w:cs="Times New Roman"/>
          <w:b/>
          <w:bCs/>
          <w:noProof/>
          <w:color w:val="000000" w:themeColor="text1"/>
          <w:sz w:val="24"/>
          <w:szCs w:val="24"/>
          <w:lang w:eastAsia="fr-FR"/>
        </w:rPr>
        <w:t>CIndECS</w:t>
      </w:r>
      <w:r w:rsidRPr="005E76F6">
        <w:rPr>
          <w:rFonts w:ascii="Times New Roman" w:eastAsia="Times New Roman" w:hAnsi="Times New Roman" w:cs="Times New Roman"/>
          <w:bCs/>
          <w:noProof/>
          <w:color w:val="000000" w:themeColor="text1"/>
          <w:sz w:val="24"/>
          <w:szCs w:val="24"/>
          <w:lang w:eastAsia="fr-FR"/>
        </w:rPr>
        <w:t xml:space="preserve"> </w:t>
      </w:r>
      <w:r w:rsidR="00CD1997" w:rsidRPr="005E76F6">
        <w:rPr>
          <w:rFonts w:ascii="Times New Roman" w:eastAsia="Times New Roman" w:hAnsi="Times New Roman" w:cs="Times New Roman"/>
          <w:bCs/>
          <w:noProof/>
          <w:color w:val="000000" w:themeColor="text1"/>
          <w:sz w:val="24"/>
          <w:szCs w:val="24"/>
          <w:lang w:eastAsia="fr-FR"/>
        </w:rPr>
        <w:t xml:space="preserve"> also fed into numerous </w:t>
      </w:r>
      <w:hyperlink r:id="rId37" w:tgtFrame="_blank" w:tooltip="https://setis.ec.europa.eu/publications/clean-energy-technology-observatory-ceto/ceto-reports-2022_en" w:history="1">
        <w:r w:rsidR="00CD1997" w:rsidRPr="005E76F6">
          <w:rPr>
            <w:rFonts w:ascii="Times New Roman" w:eastAsia="Times New Roman" w:hAnsi="Times New Roman" w:cs="Times New Roman"/>
            <w:bCs/>
            <w:noProof/>
            <w:color w:val="000000" w:themeColor="text1"/>
            <w:sz w:val="24"/>
            <w:szCs w:val="24"/>
            <w:lang w:eastAsia="fr-FR"/>
          </w:rPr>
          <w:t>Clean Energy Technology Observatory</w:t>
        </w:r>
      </w:hyperlink>
      <w:r w:rsidR="00CD1997" w:rsidRPr="005E76F6">
        <w:rPr>
          <w:rFonts w:ascii="Times New Roman" w:eastAsia="Times New Roman" w:hAnsi="Times New Roman" w:cs="Times New Roman"/>
          <w:bCs/>
          <w:noProof/>
          <w:color w:val="000000" w:themeColor="text1"/>
          <w:sz w:val="24"/>
          <w:szCs w:val="24"/>
          <w:lang w:eastAsia="fr-FR"/>
        </w:rPr>
        <w:t xml:space="preserve"> reports (</w:t>
      </w:r>
      <w:hyperlink r:id="rId38" w:history="1">
        <w:r w:rsidR="00CD1997" w:rsidRPr="005E76F6">
          <w:rPr>
            <w:rFonts w:ascii="Times New Roman" w:eastAsia="Times New Roman" w:hAnsi="Times New Roman" w:cs="Times New Roman"/>
            <w:bCs/>
            <w:noProof/>
            <w:color w:val="000000" w:themeColor="text1"/>
            <w:sz w:val="24"/>
            <w:szCs w:val="24"/>
            <w:lang w:eastAsia="fr-FR"/>
          </w:rPr>
          <w:t>https://setis.ec.europa.eu/publications/clean-energy-technology-observatory-ceto/ceto-reports-2022_en</w:t>
        </w:r>
      </w:hyperlink>
      <w:r w:rsidR="00CD1997" w:rsidRPr="005E76F6">
        <w:rPr>
          <w:rFonts w:ascii="Times New Roman" w:eastAsia="Times New Roman" w:hAnsi="Times New Roman" w:cs="Times New Roman"/>
          <w:bCs/>
          <w:noProof/>
          <w:color w:val="000000" w:themeColor="text1"/>
          <w:sz w:val="24"/>
          <w:szCs w:val="24"/>
          <w:lang w:eastAsia="fr-FR"/>
        </w:rPr>
        <w:t>)</w:t>
      </w:r>
      <w:r w:rsidR="00D4089C" w:rsidRPr="005E76F6">
        <w:rPr>
          <w:rFonts w:ascii="Times New Roman" w:eastAsia="Times New Roman" w:hAnsi="Times New Roman" w:cs="Times New Roman"/>
          <w:bCs/>
          <w:noProof/>
          <w:color w:val="000000" w:themeColor="text1"/>
          <w:sz w:val="24"/>
          <w:szCs w:val="24"/>
          <w:lang w:eastAsia="fr-FR"/>
        </w:rPr>
        <w:t xml:space="preserve">. </w:t>
      </w:r>
      <w:r w:rsidR="006E1ECD" w:rsidRPr="005E76F6">
        <w:rPr>
          <w:rFonts w:ascii="Times New Roman" w:eastAsia="Times New Roman" w:hAnsi="Times New Roman" w:cs="Times New Roman"/>
          <w:bCs/>
          <w:noProof/>
          <w:color w:val="000000" w:themeColor="text1"/>
          <w:sz w:val="24"/>
          <w:szCs w:val="24"/>
          <w:lang w:eastAsia="fr-FR"/>
        </w:rPr>
        <w:t xml:space="preserve">The final report is due </w:t>
      </w:r>
      <w:r w:rsidR="007D2AA1" w:rsidRPr="005E76F6">
        <w:rPr>
          <w:rFonts w:ascii="Times New Roman" w:eastAsia="Times New Roman" w:hAnsi="Times New Roman" w:cs="Times New Roman"/>
          <w:bCs/>
          <w:noProof/>
          <w:color w:val="000000" w:themeColor="text1"/>
          <w:sz w:val="24"/>
          <w:szCs w:val="24"/>
          <w:lang w:eastAsia="fr-FR"/>
        </w:rPr>
        <w:t xml:space="preserve">in </w:t>
      </w:r>
      <w:r w:rsidR="001A4E34" w:rsidRPr="005E76F6">
        <w:rPr>
          <w:rFonts w:ascii="Times New Roman" w:eastAsia="Times New Roman" w:hAnsi="Times New Roman" w:cs="Times New Roman"/>
          <w:bCs/>
          <w:noProof/>
          <w:color w:val="000000" w:themeColor="text1"/>
          <w:sz w:val="24"/>
          <w:szCs w:val="24"/>
          <w:lang w:eastAsia="fr-FR"/>
        </w:rPr>
        <w:t xml:space="preserve">September </w:t>
      </w:r>
      <w:r w:rsidR="007D2AA1" w:rsidRPr="005E76F6">
        <w:rPr>
          <w:rFonts w:ascii="Times New Roman" w:eastAsia="Times New Roman" w:hAnsi="Times New Roman" w:cs="Times New Roman"/>
          <w:bCs/>
          <w:noProof/>
          <w:color w:val="000000" w:themeColor="text1"/>
          <w:sz w:val="24"/>
          <w:szCs w:val="24"/>
          <w:lang w:eastAsia="fr-FR"/>
        </w:rPr>
        <w:t>2023.</w:t>
      </w:r>
    </w:p>
    <w:p w14:paraId="2B5999C8" w14:textId="2425892C" w:rsidR="00E22B00" w:rsidRPr="005E76F6" w:rsidRDefault="00D36C88" w:rsidP="000C2B54">
      <w:pPr>
        <w:spacing w:before="120" w:after="0"/>
        <w:jc w:val="both"/>
        <w:rPr>
          <w:rFonts w:ascii="Times New Roman" w:eastAsia="Times New Roman" w:hAnsi="Times New Roman" w:cs="Times New Roman"/>
          <w:bCs/>
          <w:noProof/>
          <w:color w:val="000000" w:themeColor="text1"/>
          <w:sz w:val="24"/>
          <w:szCs w:val="24"/>
          <w:lang w:eastAsia="fr-FR"/>
        </w:rPr>
      </w:pPr>
      <w:r w:rsidRPr="005E76F6">
        <w:rPr>
          <w:rFonts w:ascii="Times New Roman" w:eastAsia="Times New Roman" w:hAnsi="Times New Roman" w:cs="Times New Roman"/>
          <w:bCs/>
          <w:noProof/>
          <w:color w:val="000000" w:themeColor="text1"/>
          <w:sz w:val="24"/>
          <w:szCs w:val="24"/>
          <w:lang w:eastAsia="fr-FR"/>
        </w:rPr>
        <w:t>T</w:t>
      </w:r>
      <w:r w:rsidR="00E22B00" w:rsidRPr="005E76F6">
        <w:rPr>
          <w:rFonts w:ascii="Times New Roman" w:eastAsia="Times New Roman" w:hAnsi="Times New Roman" w:cs="Times New Roman"/>
          <w:bCs/>
          <w:noProof/>
          <w:color w:val="000000" w:themeColor="text1"/>
          <w:sz w:val="24"/>
          <w:szCs w:val="24"/>
          <w:lang w:eastAsia="fr-FR"/>
        </w:rPr>
        <w:t xml:space="preserve">he EEN, WORTH and Initiatives for a Built Environment also contribute to SDG </w:t>
      </w:r>
      <w:r w:rsidR="00D4089C" w:rsidRPr="005E76F6">
        <w:rPr>
          <w:rFonts w:ascii="Times New Roman" w:eastAsia="Times New Roman" w:hAnsi="Times New Roman" w:cs="Times New Roman"/>
          <w:bCs/>
          <w:noProof/>
          <w:color w:val="000000" w:themeColor="text1"/>
          <w:sz w:val="24"/>
          <w:szCs w:val="24"/>
          <w:lang w:eastAsia="fr-FR"/>
        </w:rPr>
        <w:t xml:space="preserve">13 </w:t>
      </w:r>
      <w:r w:rsidR="00E22B00" w:rsidRPr="005E76F6">
        <w:rPr>
          <w:rFonts w:ascii="Times New Roman" w:eastAsia="Times New Roman" w:hAnsi="Times New Roman" w:cs="Times New Roman"/>
          <w:bCs/>
          <w:noProof/>
          <w:color w:val="000000" w:themeColor="text1"/>
          <w:sz w:val="24"/>
          <w:szCs w:val="24"/>
          <w:lang w:eastAsia="fr-FR"/>
        </w:rPr>
        <w:t xml:space="preserve">(see </w:t>
      </w:r>
      <w:r w:rsidRPr="005E76F6">
        <w:rPr>
          <w:rFonts w:ascii="Times New Roman" w:eastAsia="Times New Roman" w:hAnsi="Times New Roman" w:cs="Times New Roman"/>
          <w:bCs/>
          <w:noProof/>
          <w:color w:val="000000" w:themeColor="text1"/>
          <w:sz w:val="24"/>
          <w:szCs w:val="24"/>
          <w:lang w:eastAsia="fr-FR"/>
        </w:rPr>
        <w:t xml:space="preserve">also the climate action heading </w:t>
      </w:r>
      <w:r w:rsidR="00E22B00" w:rsidRPr="005E76F6">
        <w:rPr>
          <w:rFonts w:ascii="Times New Roman" w:eastAsia="Times New Roman" w:hAnsi="Times New Roman" w:cs="Times New Roman"/>
          <w:bCs/>
          <w:noProof/>
          <w:color w:val="000000" w:themeColor="text1"/>
          <w:sz w:val="24"/>
          <w:szCs w:val="24"/>
          <w:lang w:eastAsia="fr-FR"/>
        </w:rPr>
        <w:t>above).</w:t>
      </w:r>
    </w:p>
    <w:p w14:paraId="48499660" w14:textId="082DBC91" w:rsidR="006D2403" w:rsidRPr="005E76F6" w:rsidRDefault="006D2403" w:rsidP="00756835">
      <w:pPr>
        <w:spacing w:before="240" w:after="0"/>
        <w:jc w:val="both"/>
        <w:rPr>
          <w:rFonts w:ascii="Times New Roman" w:eastAsia="Calibri" w:hAnsi="Times New Roman" w:cs="Times New Roman"/>
          <w:b/>
          <w:noProof/>
          <w:color w:val="000000" w:themeColor="text1"/>
          <w:sz w:val="24"/>
          <w:szCs w:val="24"/>
        </w:rPr>
      </w:pPr>
      <w:r w:rsidRPr="005E76F6">
        <w:rPr>
          <w:rFonts w:ascii="Times New Roman" w:eastAsia="Calibri" w:hAnsi="Times New Roman" w:cs="Times New Roman"/>
          <w:b/>
          <w:noProof/>
          <w:color w:val="000000" w:themeColor="text1"/>
          <w:sz w:val="24"/>
          <w:szCs w:val="24"/>
        </w:rPr>
        <w:t>Social dimension of SDGs</w:t>
      </w:r>
    </w:p>
    <w:p w14:paraId="51214A32" w14:textId="376076BA" w:rsidR="00C123C1" w:rsidRPr="005E76F6" w:rsidRDefault="009B7896" w:rsidP="000C2B54">
      <w:pPr>
        <w:spacing w:before="120" w:after="0"/>
        <w:jc w:val="both"/>
        <w:rPr>
          <w:rFonts w:ascii="Times New Roman" w:eastAsia="Times New Roman" w:hAnsi="Times New Roman" w:cs="Times New Roman"/>
          <w:bCs/>
          <w:noProof/>
          <w:color w:val="000000" w:themeColor="text1"/>
          <w:sz w:val="24"/>
          <w:szCs w:val="24"/>
          <w:lang w:eastAsia="fr-FR"/>
        </w:rPr>
      </w:pPr>
      <w:r w:rsidRPr="005E76F6">
        <w:rPr>
          <w:rStyle w:val="eop"/>
          <w:rFonts w:ascii="Times New Roman" w:hAnsi="Times New Roman" w:cs="Times New Roman"/>
          <w:noProof/>
          <w:color w:val="000000" w:themeColor="text1"/>
          <w:sz w:val="24"/>
          <w:szCs w:val="24"/>
        </w:rPr>
        <w:t xml:space="preserve">Some COSME actions and projects include a </w:t>
      </w:r>
      <w:r w:rsidRPr="005E76F6">
        <w:rPr>
          <w:rStyle w:val="eop"/>
          <w:rFonts w:ascii="Times New Roman" w:hAnsi="Times New Roman" w:cs="Times New Roman"/>
          <w:b/>
          <w:noProof/>
          <w:color w:val="000000" w:themeColor="text1"/>
          <w:sz w:val="24"/>
          <w:szCs w:val="24"/>
        </w:rPr>
        <w:t xml:space="preserve">social dimension </w:t>
      </w:r>
      <w:r w:rsidRPr="005E76F6">
        <w:rPr>
          <w:rStyle w:val="eop"/>
          <w:rFonts w:ascii="Times New Roman" w:hAnsi="Times New Roman" w:cs="Times New Roman"/>
          <w:noProof/>
          <w:color w:val="000000" w:themeColor="text1"/>
          <w:sz w:val="24"/>
          <w:szCs w:val="24"/>
        </w:rPr>
        <w:t xml:space="preserve">(social economy measures, </w:t>
      </w:r>
      <w:r w:rsidR="009240BD" w:rsidRPr="005E76F6">
        <w:rPr>
          <w:rStyle w:val="eop"/>
          <w:rFonts w:ascii="Times New Roman" w:hAnsi="Times New Roman" w:cs="Times New Roman"/>
          <w:noProof/>
          <w:color w:val="000000" w:themeColor="text1"/>
          <w:sz w:val="24"/>
          <w:szCs w:val="24"/>
        </w:rPr>
        <w:t xml:space="preserve">and </w:t>
      </w:r>
      <w:r w:rsidRPr="005E76F6">
        <w:rPr>
          <w:rStyle w:val="eop"/>
          <w:rFonts w:ascii="Times New Roman" w:hAnsi="Times New Roman" w:cs="Times New Roman"/>
          <w:noProof/>
          <w:color w:val="000000" w:themeColor="text1"/>
          <w:sz w:val="24"/>
          <w:szCs w:val="24"/>
        </w:rPr>
        <w:t>measures for women entrepreneurs and other specific groups of entrepreneurs</w:t>
      </w:r>
      <w:r w:rsidR="00D4089C" w:rsidRPr="005E76F6">
        <w:rPr>
          <w:rStyle w:val="eop"/>
          <w:rFonts w:ascii="Times New Roman" w:hAnsi="Times New Roman" w:cs="Times New Roman"/>
          <w:noProof/>
          <w:color w:val="000000" w:themeColor="text1"/>
          <w:sz w:val="24"/>
          <w:szCs w:val="24"/>
        </w:rPr>
        <w:t>)</w:t>
      </w:r>
      <w:r w:rsidRPr="005E76F6">
        <w:rPr>
          <w:rStyle w:val="eop"/>
          <w:rFonts w:ascii="Times New Roman" w:hAnsi="Times New Roman" w:cs="Times New Roman"/>
          <w:noProof/>
          <w:color w:val="000000" w:themeColor="text1"/>
          <w:sz w:val="24"/>
          <w:szCs w:val="24"/>
        </w:rPr>
        <w:t>. Other COSME projects and actions have a social dimension embedded in their wider sustainability and competitiveness objectives (</w:t>
      </w:r>
      <w:r w:rsidR="00D4089C" w:rsidRPr="005E76F6">
        <w:rPr>
          <w:rStyle w:val="eop"/>
          <w:rFonts w:ascii="Times New Roman" w:hAnsi="Times New Roman" w:cs="Times New Roman"/>
          <w:noProof/>
          <w:color w:val="000000" w:themeColor="text1"/>
          <w:sz w:val="24"/>
          <w:szCs w:val="24"/>
        </w:rPr>
        <w:t>e.g.</w:t>
      </w:r>
      <w:r w:rsidR="009366FC" w:rsidRPr="005E76F6">
        <w:rPr>
          <w:rStyle w:val="eop"/>
          <w:rFonts w:ascii="Times New Roman" w:hAnsi="Times New Roman" w:cs="Times New Roman"/>
          <w:noProof/>
          <w:color w:val="000000" w:themeColor="text1"/>
          <w:sz w:val="24"/>
          <w:szCs w:val="24"/>
        </w:rPr>
        <w:t xml:space="preserve"> some of the tourism projects</w:t>
      </w:r>
      <w:r w:rsidR="00C123C1" w:rsidRPr="005E76F6">
        <w:rPr>
          <w:rStyle w:val="eop"/>
          <w:rFonts w:ascii="Times New Roman" w:hAnsi="Times New Roman" w:cs="Times New Roman"/>
          <w:noProof/>
          <w:color w:val="000000" w:themeColor="text1"/>
          <w:sz w:val="24"/>
          <w:szCs w:val="24"/>
        </w:rPr>
        <w:t xml:space="preserve"> and the WORTH project mentioned above</w:t>
      </w:r>
      <w:r w:rsidR="00D4089C" w:rsidRPr="005E76F6">
        <w:rPr>
          <w:rStyle w:val="eop"/>
          <w:rFonts w:ascii="Times New Roman" w:hAnsi="Times New Roman" w:cs="Times New Roman"/>
          <w:noProof/>
          <w:color w:val="000000" w:themeColor="text1"/>
          <w:sz w:val="24"/>
          <w:szCs w:val="24"/>
        </w:rPr>
        <w:t>)</w:t>
      </w:r>
      <w:r w:rsidR="00C123C1" w:rsidRPr="005E76F6">
        <w:rPr>
          <w:rStyle w:val="eop"/>
          <w:rFonts w:ascii="Times New Roman" w:hAnsi="Times New Roman" w:cs="Times New Roman"/>
          <w:noProof/>
          <w:color w:val="000000" w:themeColor="text1"/>
          <w:sz w:val="24"/>
          <w:szCs w:val="24"/>
        </w:rPr>
        <w:t>.</w:t>
      </w:r>
      <w:r w:rsidR="00C123C1" w:rsidRPr="005E76F6">
        <w:rPr>
          <w:rFonts w:ascii="Times New Roman" w:eastAsia="Times New Roman" w:hAnsi="Times New Roman" w:cs="Times New Roman"/>
          <w:bCs/>
          <w:noProof/>
          <w:color w:val="000000" w:themeColor="text1"/>
          <w:sz w:val="24"/>
          <w:szCs w:val="24"/>
          <w:lang w:eastAsia="fr-FR"/>
        </w:rPr>
        <w:t xml:space="preserve"> The first call for proposals for SME partnerships for </w:t>
      </w:r>
      <w:r w:rsidR="00C123C1" w:rsidRPr="005E76F6">
        <w:rPr>
          <w:rFonts w:ascii="Times New Roman" w:eastAsia="Times New Roman" w:hAnsi="Times New Roman" w:cs="Times New Roman"/>
          <w:b/>
          <w:bCs/>
          <w:noProof/>
          <w:color w:val="000000" w:themeColor="text1"/>
          <w:sz w:val="24"/>
          <w:szCs w:val="24"/>
          <w:lang w:eastAsia="fr-FR"/>
        </w:rPr>
        <w:t>WORTH</w:t>
      </w:r>
      <w:r w:rsidR="00C123C1" w:rsidRPr="005E76F6">
        <w:rPr>
          <w:rFonts w:ascii="Times New Roman" w:eastAsia="Times New Roman" w:hAnsi="Times New Roman" w:cs="Times New Roman"/>
          <w:bCs/>
          <w:noProof/>
          <w:color w:val="000000" w:themeColor="text1"/>
          <w:sz w:val="24"/>
          <w:szCs w:val="24"/>
          <w:lang w:eastAsia="fr-FR"/>
        </w:rPr>
        <w:t xml:space="preserve"> was aligned </w:t>
      </w:r>
      <w:r w:rsidR="00D4089C" w:rsidRPr="005E76F6">
        <w:rPr>
          <w:rFonts w:ascii="Times New Roman" w:eastAsia="Times New Roman" w:hAnsi="Times New Roman" w:cs="Times New Roman"/>
          <w:bCs/>
          <w:noProof/>
          <w:color w:val="000000" w:themeColor="text1"/>
          <w:sz w:val="24"/>
          <w:szCs w:val="24"/>
          <w:lang w:eastAsia="fr-FR"/>
        </w:rPr>
        <w:t xml:space="preserve">with </w:t>
      </w:r>
      <w:r w:rsidR="00C123C1" w:rsidRPr="005E76F6">
        <w:rPr>
          <w:rFonts w:ascii="Times New Roman" w:eastAsia="Times New Roman" w:hAnsi="Times New Roman" w:cs="Times New Roman"/>
          <w:bCs/>
          <w:noProof/>
          <w:color w:val="000000" w:themeColor="text1"/>
          <w:sz w:val="24"/>
          <w:szCs w:val="24"/>
          <w:lang w:eastAsia="fr-FR"/>
        </w:rPr>
        <w:t xml:space="preserve">the New European Bauhaus. It contributed to </w:t>
      </w:r>
      <w:r w:rsidR="006406D7" w:rsidRPr="005E76F6">
        <w:rPr>
          <w:rFonts w:ascii="Times New Roman" w:eastAsia="Times New Roman" w:hAnsi="Times New Roman" w:cs="Times New Roman"/>
          <w:bCs/>
          <w:noProof/>
          <w:color w:val="000000" w:themeColor="text1"/>
          <w:sz w:val="24"/>
          <w:szCs w:val="24"/>
          <w:lang w:eastAsia="fr-FR"/>
        </w:rPr>
        <w:t>Sustainable D</w:t>
      </w:r>
      <w:r w:rsidR="00C123C1" w:rsidRPr="005E76F6">
        <w:rPr>
          <w:rFonts w:ascii="Times New Roman" w:eastAsia="Times New Roman" w:hAnsi="Times New Roman" w:cs="Times New Roman"/>
          <w:bCs/>
          <w:noProof/>
          <w:color w:val="000000" w:themeColor="text1"/>
          <w:sz w:val="24"/>
          <w:szCs w:val="24"/>
          <w:lang w:eastAsia="fr-FR"/>
        </w:rPr>
        <w:t xml:space="preserve">evelopment </w:t>
      </w:r>
      <w:r w:rsidR="006406D7" w:rsidRPr="005E76F6">
        <w:rPr>
          <w:rFonts w:ascii="Times New Roman" w:eastAsia="Times New Roman" w:hAnsi="Times New Roman" w:cs="Times New Roman"/>
          <w:bCs/>
          <w:noProof/>
          <w:color w:val="000000" w:themeColor="text1"/>
          <w:sz w:val="24"/>
          <w:szCs w:val="24"/>
          <w:lang w:eastAsia="fr-FR"/>
        </w:rPr>
        <w:t xml:space="preserve">Goals </w:t>
      </w:r>
      <w:r w:rsidR="00C123C1" w:rsidRPr="005E76F6">
        <w:rPr>
          <w:rFonts w:ascii="Times New Roman" w:eastAsia="Times New Roman" w:hAnsi="Times New Roman" w:cs="Times New Roman"/>
          <w:bCs/>
          <w:noProof/>
          <w:color w:val="000000" w:themeColor="text1"/>
          <w:sz w:val="24"/>
          <w:szCs w:val="24"/>
          <w:lang w:eastAsia="fr-FR"/>
        </w:rPr>
        <w:t>by increasing the awareness and/or development of solutions contributing to more beautiful, sustainable and inclusive living environments.</w:t>
      </w:r>
      <w:r w:rsidR="004224A0" w:rsidRPr="005E76F6">
        <w:rPr>
          <w:rFonts w:ascii="Times New Roman" w:eastAsia="Times New Roman" w:hAnsi="Times New Roman" w:cs="Times New Roman"/>
          <w:bCs/>
          <w:noProof/>
          <w:color w:val="000000" w:themeColor="text1"/>
          <w:sz w:val="24"/>
          <w:szCs w:val="24"/>
          <w:lang w:eastAsia="fr-FR"/>
        </w:rPr>
        <w:t xml:space="preserve"> </w:t>
      </w:r>
      <w:r w:rsidR="00D4089C" w:rsidRPr="005E76F6">
        <w:rPr>
          <w:rFonts w:ascii="Times New Roman" w:eastAsia="Times New Roman" w:hAnsi="Times New Roman" w:cs="Times New Roman"/>
          <w:bCs/>
          <w:noProof/>
          <w:color w:val="000000" w:themeColor="text1"/>
          <w:sz w:val="24"/>
          <w:szCs w:val="24"/>
          <w:lang w:eastAsia="fr-FR"/>
        </w:rPr>
        <w:t>Several</w:t>
      </w:r>
      <w:r w:rsidR="004224A0" w:rsidRPr="005E76F6">
        <w:rPr>
          <w:rFonts w:ascii="Times New Roman" w:eastAsia="Times New Roman" w:hAnsi="Times New Roman" w:cs="Times New Roman"/>
          <w:bCs/>
          <w:noProof/>
          <w:color w:val="000000" w:themeColor="text1"/>
          <w:sz w:val="24"/>
          <w:szCs w:val="24"/>
          <w:lang w:eastAsia="fr-FR"/>
        </w:rPr>
        <w:t xml:space="preserve"> clusters projects focus on social goals</w:t>
      </w:r>
      <w:r w:rsidR="00D4089C" w:rsidRPr="005E76F6">
        <w:rPr>
          <w:rFonts w:ascii="Times New Roman" w:eastAsia="Times New Roman" w:hAnsi="Times New Roman" w:cs="Times New Roman"/>
          <w:bCs/>
          <w:noProof/>
          <w:color w:val="000000" w:themeColor="text1"/>
          <w:sz w:val="24"/>
          <w:szCs w:val="24"/>
          <w:lang w:eastAsia="fr-FR"/>
        </w:rPr>
        <w:t>; these include</w:t>
      </w:r>
      <w:r w:rsidR="004224A0" w:rsidRPr="005E76F6">
        <w:rPr>
          <w:rFonts w:ascii="Times New Roman" w:eastAsia="Times New Roman" w:hAnsi="Times New Roman" w:cs="Times New Roman"/>
          <w:bCs/>
          <w:noProof/>
          <w:color w:val="000000" w:themeColor="text1"/>
          <w:sz w:val="24"/>
          <w:szCs w:val="24"/>
          <w:lang w:eastAsia="fr-FR"/>
        </w:rPr>
        <w:t xml:space="preserve"> the </w:t>
      </w:r>
      <w:r w:rsidR="004224A0" w:rsidRPr="005E76F6">
        <w:rPr>
          <w:rFonts w:ascii="Times New Roman" w:eastAsia="Times New Roman" w:hAnsi="Times New Roman" w:cs="Times New Roman"/>
          <w:b/>
          <w:bCs/>
          <w:noProof/>
          <w:color w:val="000000" w:themeColor="text1"/>
          <w:sz w:val="24"/>
          <w:szCs w:val="24"/>
          <w:lang w:eastAsia="fr-FR"/>
        </w:rPr>
        <w:t>E</w:t>
      </w:r>
      <w:r w:rsidR="00C660A1" w:rsidRPr="005E76F6">
        <w:rPr>
          <w:rFonts w:ascii="Times New Roman" w:eastAsia="Times New Roman" w:hAnsi="Times New Roman" w:cs="Times New Roman"/>
          <w:b/>
          <w:bCs/>
          <w:noProof/>
          <w:color w:val="000000" w:themeColor="text1"/>
          <w:sz w:val="24"/>
          <w:szCs w:val="24"/>
          <w:lang w:eastAsia="fr-FR"/>
        </w:rPr>
        <w:t>XCELIVING</w:t>
      </w:r>
      <w:r w:rsidR="004224A0" w:rsidRPr="005E76F6">
        <w:rPr>
          <w:rFonts w:ascii="Times New Roman" w:eastAsia="Times New Roman" w:hAnsi="Times New Roman" w:cs="Times New Roman"/>
          <w:b/>
          <w:bCs/>
          <w:noProof/>
          <w:color w:val="000000" w:themeColor="text1"/>
          <w:sz w:val="24"/>
          <w:szCs w:val="24"/>
          <w:lang w:eastAsia="fr-FR"/>
        </w:rPr>
        <w:t xml:space="preserve"> project </w:t>
      </w:r>
      <w:r w:rsidR="00C660A1" w:rsidRPr="005E76F6">
        <w:rPr>
          <w:rFonts w:ascii="Times New Roman" w:eastAsia="Times New Roman" w:hAnsi="Times New Roman" w:cs="Times New Roman"/>
          <w:b/>
          <w:bCs/>
          <w:noProof/>
          <w:color w:val="000000" w:themeColor="text1"/>
          <w:sz w:val="24"/>
          <w:szCs w:val="24"/>
          <w:lang w:eastAsia="fr-FR"/>
        </w:rPr>
        <w:t xml:space="preserve">under the </w:t>
      </w:r>
      <w:r w:rsidR="004224A0" w:rsidRPr="005E76F6">
        <w:rPr>
          <w:rFonts w:ascii="Times New Roman" w:eastAsia="Times New Roman" w:hAnsi="Times New Roman" w:cs="Times New Roman"/>
          <w:b/>
          <w:bCs/>
          <w:noProof/>
          <w:color w:val="000000" w:themeColor="text1"/>
          <w:sz w:val="24"/>
          <w:szCs w:val="24"/>
          <w:lang w:eastAsia="fr-FR"/>
        </w:rPr>
        <w:t>Clusters Excellence</w:t>
      </w:r>
      <w:r w:rsidR="00C660A1" w:rsidRPr="005E76F6">
        <w:rPr>
          <w:rFonts w:ascii="Times New Roman" w:eastAsia="Times New Roman" w:hAnsi="Times New Roman" w:cs="Times New Roman"/>
          <w:b/>
          <w:bCs/>
          <w:noProof/>
          <w:color w:val="000000" w:themeColor="text1"/>
          <w:sz w:val="24"/>
          <w:szCs w:val="24"/>
          <w:lang w:eastAsia="fr-FR"/>
        </w:rPr>
        <w:t xml:space="preserve"> scheme</w:t>
      </w:r>
      <w:r w:rsidR="005A7A3D" w:rsidRPr="005E76F6">
        <w:rPr>
          <w:rFonts w:ascii="Times New Roman" w:eastAsia="Times New Roman" w:hAnsi="Times New Roman" w:cs="Times New Roman"/>
          <w:b/>
          <w:bCs/>
          <w:noProof/>
          <w:color w:val="000000" w:themeColor="text1"/>
          <w:sz w:val="24"/>
          <w:szCs w:val="24"/>
          <w:lang w:eastAsia="fr-FR"/>
        </w:rPr>
        <w:t>, which</w:t>
      </w:r>
      <w:r w:rsidR="00C660A1" w:rsidRPr="005E76F6">
        <w:rPr>
          <w:rFonts w:ascii="Times New Roman" w:eastAsia="Times New Roman" w:hAnsi="Times New Roman" w:cs="Times New Roman"/>
          <w:b/>
          <w:bCs/>
          <w:noProof/>
          <w:color w:val="000000" w:themeColor="text1"/>
          <w:sz w:val="24"/>
          <w:szCs w:val="24"/>
          <w:lang w:eastAsia="fr-FR"/>
        </w:rPr>
        <w:t xml:space="preserve"> focuses on </w:t>
      </w:r>
      <w:r w:rsidR="00D4089C" w:rsidRPr="005E76F6">
        <w:rPr>
          <w:rFonts w:ascii="Times New Roman" w:eastAsia="Times New Roman" w:hAnsi="Times New Roman" w:cs="Times New Roman"/>
          <w:b/>
          <w:bCs/>
          <w:noProof/>
          <w:color w:val="000000" w:themeColor="text1"/>
          <w:sz w:val="24"/>
          <w:szCs w:val="24"/>
          <w:lang w:eastAsia="fr-FR"/>
        </w:rPr>
        <w:t xml:space="preserve">a </w:t>
      </w:r>
      <w:r w:rsidR="00C660A1" w:rsidRPr="005E76F6">
        <w:rPr>
          <w:rFonts w:ascii="Times New Roman" w:eastAsia="Times New Roman" w:hAnsi="Times New Roman" w:cs="Times New Roman"/>
          <w:b/>
          <w:bCs/>
          <w:noProof/>
          <w:color w:val="000000" w:themeColor="text1"/>
          <w:sz w:val="24"/>
          <w:szCs w:val="24"/>
          <w:lang w:eastAsia="fr-FR"/>
        </w:rPr>
        <w:t>smart, healthy, age-friendly and sustainable living environment.</w:t>
      </w:r>
      <w:r w:rsidR="00C660A1" w:rsidRPr="005E76F6">
        <w:rPr>
          <w:rFonts w:ascii="Times New Roman" w:eastAsia="Times New Roman" w:hAnsi="Times New Roman" w:cs="Times New Roman"/>
          <w:bCs/>
          <w:noProof/>
          <w:color w:val="000000" w:themeColor="text1"/>
          <w:sz w:val="24"/>
          <w:szCs w:val="24"/>
          <w:lang w:eastAsia="fr-FR"/>
        </w:rPr>
        <w:t xml:space="preserve"> The project </w:t>
      </w:r>
      <w:r w:rsidR="005A7A3D" w:rsidRPr="005E76F6">
        <w:rPr>
          <w:rFonts w:ascii="Times New Roman" w:eastAsia="Times New Roman" w:hAnsi="Times New Roman" w:cs="Times New Roman"/>
          <w:bCs/>
          <w:noProof/>
          <w:color w:val="000000" w:themeColor="text1"/>
          <w:sz w:val="24"/>
          <w:szCs w:val="24"/>
          <w:lang w:eastAsia="fr-FR"/>
        </w:rPr>
        <w:t>helps</w:t>
      </w:r>
      <w:r w:rsidR="00C660A1" w:rsidRPr="005E76F6">
        <w:rPr>
          <w:rFonts w:ascii="Times New Roman" w:eastAsia="Times New Roman" w:hAnsi="Times New Roman" w:cs="Times New Roman"/>
          <w:bCs/>
          <w:noProof/>
          <w:color w:val="000000" w:themeColor="text1"/>
          <w:sz w:val="24"/>
          <w:szCs w:val="24"/>
          <w:lang w:eastAsia="fr-FR"/>
        </w:rPr>
        <w:t xml:space="preserve"> clusters active in these fields to review their strategy and develop new services and is delivering studies, visits, webinars and matchmaking activities focusing on these fields.</w:t>
      </w:r>
    </w:p>
    <w:p w14:paraId="131E6669" w14:textId="765788CD" w:rsidR="00ED1944" w:rsidRPr="005E76F6" w:rsidRDefault="00ED1944" w:rsidP="006C29DE">
      <w:pPr>
        <w:pStyle w:val="ListParagraph"/>
        <w:numPr>
          <w:ilvl w:val="0"/>
          <w:numId w:val="21"/>
        </w:numPr>
        <w:spacing w:before="240" w:after="0"/>
        <w:ind w:left="357" w:hanging="357"/>
        <w:jc w:val="both"/>
        <w:rPr>
          <w:rFonts w:ascii="Times New Roman" w:hAnsi="Times New Roman" w:cs="Times New Roman"/>
          <w:b/>
          <w:noProof/>
          <w:color w:val="000000" w:themeColor="text1"/>
          <w:sz w:val="24"/>
          <w:szCs w:val="24"/>
        </w:rPr>
      </w:pPr>
      <w:bookmarkStart w:id="43" w:name="_Toc113549644"/>
      <w:bookmarkStart w:id="44" w:name="_Toc113550043"/>
      <w:bookmarkEnd w:id="43"/>
      <w:bookmarkEnd w:id="44"/>
      <w:r w:rsidRPr="005E76F6">
        <w:rPr>
          <w:rFonts w:ascii="Times New Roman" w:hAnsi="Times New Roman" w:cs="Times New Roman"/>
          <w:b/>
          <w:noProof/>
          <w:color w:val="000000" w:themeColor="text1"/>
          <w:sz w:val="24"/>
          <w:szCs w:val="24"/>
        </w:rPr>
        <w:t xml:space="preserve">Contribution to </w:t>
      </w:r>
      <w:r w:rsidR="00D4089C" w:rsidRPr="005E76F6">
        <w:rPr>
          <w:rFonts w:ascii="Times New Roman" w:hAnsi="Times New Roman" w:cs="Times New Roman"/>
          <w:b/>
          <w:noProof/>
          <w:color w:val="000000" w:themeColor="text1"/>
          <w:sz w:val="24"/>
          <w:szCs w:val="24"/>
        </w:rPr>
        <w:t>d</w:t>
      </w:r>
      <w:r w:rsidRPr="005E76F6">
        <w:rPr>
          <w:rFonts w:ascii="Times New Roman" w:hAnsi="Times New Roman" w:cs="Times New Roman"/>
          <w:b/>
          <w:noProof/>
          <w:color w:val="000000" w:themeColor="text1"/>
          <w:sz w:val="24"/>
          <w:szCs w:val="24"/>
        </w:rPr>
        <w:t>igital goals</w:t>
      </w:r>
    </w:p>
    <w:p w14:paraId="23EB3486" w14:textId="6AFBE662" w:rsidR="004C4DC3" w:rsidRPr="005E76F6" w:rsidRDefault="00D4089C" w:rsidP="000C2B54">
      <w:pPr>
        <w:spacing w:after="200"/>
        <w:jc w:val="both"/>
        <w:rPr>
          <w:rStyle w:val="eop"/>
          <w:rFonts w:ascii="Times New Roman" w:hAnsi="Times New Roman" w:cs="Times New Roman"/>
          <w:noProof/>
          <w:color w:val="000000" w:themeColor="text1"/>
          <w:sz w:val="24"/>
          <w:szCs w:val="24"/>
        </w:rPr>
      </w:pPr>
      <w:r w:rsidRPr="005E76F6">
        <w:rPr>
          <w:rStyle w:val="eop"/>
          <w:rFonts w:ascii="Times New Roman" w:hAnsi="Times New Roman" w:cs="Times New Roman"/>
          <w:noProof/>
          <w:color w:val="000000" w:themeColor="text1"/>
          <w:sz w:val="24"/>
          <w:szCs w:val="24"/>
        </w:rPr>
        <w:t xml:space="preserve">Several </w:t>
      </w:r>
      <w:r w:rsidR="00ED1944" w:rsidRPr="005E76F6">
        <w:rPr>
          <w:rStyle w:val="eop"/>
          <w:rFonts w:ascii="Times New Roman" w:hAnsi="Times New Roman" w:cs="Times New Roman"/>
          <w:noProof/>
          <w:color w:val="000000" w:themeColor="text1"/>
          <w:sz w:val="24"/>
          <w:szCs w:val="24"/>
        </w:rPr>
        <w:t>actions support digitalisation in conjunction with other goals</w:t>
      </w:r>
      <w:r w:rsidRPr="005E76F6">
        <w:rPr>
          <w:rStyle w:val="eop"/>
          <w:rFonts w:ascii="Times New Roman" w:hAnsi="Times New Roman" w:cs="Times New Roman"/>
          <w:noProof/>
          <w:color w:val="000000" w:themeColor="text1"/>
          <w:sz w:val="24"/>
          <w:szCs w:val="24"/>
        </w:rPr>
        <w:t xml:space="preserve">. These include </w:t>
      </w:r>
      <w:r w:rsidR="00ED1944" w:rsidRPr="005E76F6">
        <w:rPr>
          <w:rStyle w:val="eop"/>
          <w:rFonts w:ascii="Times New Roman" w:hAnsi="Times New Roman" w:cs="Times New Roman"/>
          <w:noProof/>
          <w:color w:val="000000" w:themeColor="text1"/>
          <w:sz w:val="24"/>
          <w:szCs w:val="24"/>
        </w:rPr>
        <w:t xml:space="preserve">the clusters actions and the call </w:t>
      </w:r>
      <w:r w:rsidR="004C4DC3" w:rsidRPr="005E76F6">
        <w:rPr>
          <w:rStyle w:val="eop"/>
          <w:rFonts w:ascii="Times New Roman" w:hAnsi="Times New Roman" w:cs="Times New Roman"/>
          <w:noProof/>
          <w:color w:val="000000" w:themeColor="text1"/>
          <w:sz w:val="24"/>
          <w:szCs w:val="24"/>
        </w:rPr>
        <w:t>for</w:t>
      </w:r>
      <w:r w:rsidR="00ED1944" w:rsidRPr="005E76F6">
        <w:rPr>
          <w:rStyle w:val="eop"/>
          <w:rFonts w:ascii="Times New Roman" w:hAnsi="Times New Roman" w:cs="Times New Roman"/>
          <w:noProof/>
          <w:color w:val="000000" w:themeColor="text1"/>
          <w:sz w:val="24"/>
          <w:szCs w:val="24"/>
        </w:rPr>
        <w:t xml:space="preserve"> digitalisation, innovation and new technologies in tourism through transnational cooperation and capacity building.</w:t>
      </w:r>
    </w:p>
    <w:p w14:paraId="38E07F66" w14:textId="00E04078" w:rsidR="00ED1944" w:rsidRPr="005E76F6" w:rsidRDefault="00ED1944" w:rsidP="000C2B54">
      <w:pPr>
        <w:spacing w:after="200"/>
        <w:jc w:val="both"/>
        <w:rPr>
          <w:rStyle w:val="eop"/>
          <w:rFonts w:ascii="Times New Roman" w:hAnsi="Times New Roman" w:cs="Times New Roman"/>
          <w:noProof/>
          <w:color w:val="000000" w:themeColor="text1"/>
          <w:sz w:val="24"/>
          <w:szCs w:val="24"/>
        </w:rPr>
      </w:pPr>
      <w:r w:rsidRPr="005E76F6">
        <w:rPr>
          <w:rStyle w:val="eop"/>
          <w:rFonts w:ascii="Times New Roman" w:hAnsi="Times New Roman" w:cs="Times New Roman"/>
          <w:noProof/>
          <w:color w:val="000000" w:themeColor="text1"/>
          <w:sz w:val="24"/>
          <w:szCs w:val="24"/>
        </w:rPr>
        <w:t>Within these call</w:t>
      </w:r>
      <w:r w:rsidR="004C4DC3" w:rsidRPr="005E76F6">
        <w:rPr>
          <w:rStyle w:val="eop"/>
          <w:rFonts w:ascii="Times New Roman" w:hAnsi="Times New Roman" w:cs="Times New Roman"/>
          <w:noProof/>
          <w:color w:val="000000" w:themeColor="text1"/>
          <w:sz w:val="24"/>
          <w:szCs w:val="24"/>
        </w:rPr>
        <w:t>s</w:t>
      </w:r>
      <w:r w:rsidRPr="005E76F6">
        <w:rPr>
          <w:rStyle w:val="eop"/>
          <w:rFonts w:ascii="Times New Roman" w:hAnsi="Times New Roman" w:cs="Times New Roman"/>
          <w:noProof/>
          <w:color w:val="000000" w:themeColor="text1"/>
          <w:sz w:val="24"/>
          <w:szCs w:val="24"/>
        </w:rPr>
        <w:t xml:space="preserve"> there were some individual projects dedicated more specifically to digitali</w:t>
      </w:r>
      <w:r w:rsidR="00FE2948" w:rsidRPr="005E76F6">
        <w:rPr>
          <w:rStyle w:val="eop"/>
          <w:rFonts w:ascii="Times New Roman" w:hAnsi="Times New Roman" w:cs="Times New Roman"/>
          <w:noProof/>
          <w:color w:val="000000" w:themeColor="text1"/>
          <w:sz w:val="24"/>
          <w:szCs w:val="24"/>
        </w:rPr>
        <w:t>s</w:t>
      </w:r>
      <w:r w:rsidRPr="005E76F6">
        <w:rPr>
          <w:rStyle w:val="eop"/>
          <w:rFonts w:ascii="Times New Roman" w:hAnsi="Times New Roman" w:cs="Times New Roman"/>
          <w:noProof/>
          <w:color w:val="000000" w:themeColor="text1"/>
          <w:sz w:val="24"/>
          <w:szCs w:val="24"/>
        </w:rPr>
        <w:t>ation. For example</w:t>
      </w:r>
      <w:r w:rsidR="002D3446" w:rsidRPr="005E76F6">
        <w:rPr>
          <w:rStyle w:val="eop"/>
          <w:rFonts w:ascii="Times New Roman" w:hAnsi="Times New Roman" w:cs="Times New Roman"/>
          <w:noProof/>
          <w:color w:val="000000" w:themeColor="text1"/>
          <w:sz w:val="24"/>
          <w:szCs w:val="24"/>
        </w:rPr>
        <w:t>,</w:t>
      </w:r>
      <w:r w:rsidRPr="005E76F6">
        <w:rPr>
          <w:rStyle w:val="eop"/>
          <w:rFonts w:ascii="Times New Roman" w:hAnsi="Times New Roman" w:cs="Times New Roman"/>
          <w:noProof/>
          <w:color w:val="000000" w:themeColor="text1"/>
          <w:sz w:val="24"/>
          <w:szCs w:val="24"/>
        </w:rPr>
        <w:t xml:space="preserve"> the </w:t>
      </w:r>
      <w:r w:rsidRPr="005E76F6">
        <w:rPr>
          <w:rStyle w:val="eop"/>
          <w:rFonts w:ascii="Times New Roman" w:hAnsi="Times New Roman" w:cs="Times New Roman"/>
          <w:b/>
          <w:noProof/>
          <w:color w:val="000000" w:themeColor="text1"/>
          <w:sz w:val="24"/>
          <w:szCs w:val="24"/>
        </w:rPr>
        <w:t>EU DigiTOUR</w:t>
      </w:r>
      <w:r w:rsidR="004C4DC3" w:rsidRPr="005E76F6">
        <w:rPr>
          <w:rStyle w:val="eop"/>
          <w:rFonts w:ascii="Times New Roman" w:hAnsi="Times New Roman" w:cs="Times New Roman"/>
          <w:noProof/>
          <w:color w:val="000000" w:themeColor="text1"/>
          <w:sz w:val="24"/>
          <w:szCs w:val="24"/>
        </w:rPr>
        <w:t xml:space="preserve"> </w:t>
      </w:r>
      <w:r w:rsidR="00A902FC" w:rsidRPr="005E76F6">
        <w:rPr>
          <w:rStyle w:val="eop"/>
          <w:rFonts w:ascii="Times New Roman" w:hAnsi="Times New Roman" w:cs="Times New Roman"/>
          <w:b/>
          <w:noProof/>
          <w:color w:val="000000" w:themeColor="text1"/>
          <w:sz w:val="24"/>
          <w:szCs w:val="24"/>
        </w:rPr>
        <w:t xml:space="preserve">tourism project </w:t>
      </w:r>
      <w:r w:rsidRPr="005E76F6">
        <w:rPr>
          <w:rStyle w:val="eop"/>
          <w:rFonts w:ascii="Times New Roman" w:hAnsi="Times New Roman" w:cs="Times New Roman"/>
          <w:noProof/>
          <w:color w:val="000000" w:themeColor="text1"/>
          <w:sz w:val="24"/>
          <w:szCs w:val="24"/>
        </w:rPr>
        <w:t>support</w:t>
      </w:r>
      <w:r w:rsidR="00D4089C" w:rsidRPr="005E76F6">
        <w:rPr>
          <w:rStyle w:val="eop"/>
          <w:rFonts w:ascii="Times New Roman" w:hAnsi="Times New Roman" w:cs="Times New Roman"/>
          <w:noProof/>
          <w:color w:val="000000" w:themeColor="text1"/>
          <w:sz w:val="24"/>
          <w:szCs w:val="24"/>
        </w:rPr>
        <w:t>s</w:t>
      </w:r>
      <w:r w:rsidRPr="005E76F6">
        <w:rPr>
          <w:rStyle w:val="eop"/>
          <w:rFonts w:ascii="Times New Roman" w:hAnsi="Times New Roman" w:cs="Times New Roman"/>
          <w:noProof/>
          <w:color w:val="000000" w:themeColor="text1"/>
          <w:sz w:val="24"/>
          <w:szCs w:val="24"/>
        </w:rPr>
        <w:t xml:space="preserve"> European tourism SMEs lagging behind in </w:t>
      </w:r>
      <w:r w:rsidR="004C4DC3" w:rsidRPr="005E76F6">
        <w:rPr>
          <w:rStyle w:val="eop"/>
          <w:rFonts w:ascii="Times New Roman" w:hAnsi="Times New Roman" w:cs="Times New Roman"/>
          <w:noProof/>
          <w:color w:val="000000" w:themeColor="text1"/>
          <w:sz w:val="24"/>
          <w:szCs w:val="24"/>
        </w:rPr>
        <w:t xml:space="preserve">their digital transition and </w:t>
      </w:r>
      <w:r w:rsidR="00D4089C" w:rsidRPr="005E76F6">
        <w:rPr>
          <w:rStyle w:val="eop"/>
          <w:rFonts w:ascii="Times New Roman" w:hAnsi="Times New Roman" w:cs="Times New Roman"/>
          <w:noProof/>
          <w:color w:val="000000" w:themeColor="text1"/>
          <w:sz w:val="24"/>
          <w:szCs w:val="24"/>
        </w:rPr>
        <w:t xml:space="preserve">enhances </w:t>
      </w:r>
      <w:r w:rsidRPr="005E76F6">
        <w:rPr>
          <w:rStyle w:val="eop"/>
          <w:rFonts w:ascii="Times New Roman" w:hAnsi="Times New Roman" w:cs="Times New Roman"/>
          <w:noProof/>
          <w:color w:val="000000" w:themeColor="text1"/>
          <w:sz w:val="24"/>
          <w:szCs w:val="24"/>
        </w:rPr>
        <w:t xml:space="preserve">cooperation in the tourism ecosystem </w:t>
      </w:r>
      <w:r w:rsidR="00D4089C" w:rsidRPr="005E76F6">
        <w:rPr>
          <w:rStyle w:val="eop"/>
          <w:rFonts w:ascii="Times New Roman" w:hAnsi="Times New Roman" w:cs="Times New Roman"/>
          <w:noProof/>
          <w:color w:val="000000" w:themeColor="text1"/>
          <w:sz w:val="24"/>
          <w:szCs w:val="24"/>
        </w:rPr>
        <w:t>to</w:t>
      </w:r>
      <w:r w:rsidRPr="005E76F6">
        <w:rPr>
          <w:rStyle w:val="eop"/>
          <w:rFonts w:ascii="Times New Roman" w:hAnsi="Times New Roman" w:cs="Times New Roman"/>
          <w:noProof/>
          <w:color w:val="000000" w:themeColor="text1"/>
          <w:sz w:val="24"/>
          <w:szCs w:val="24"/>
        </w:rPr>
        <w:t xml:space="preserve"> develop new, innovative and smart tourism solutions, products, services, skills and new business models </w:t>
      </w:r>
      <w:r w:rsidR="00D4089C" w:rsidRPr="005E76F6">
        <w:rPr>
          <w:rStyle w:val="eop"/>
          <w:rFonts w:ascii="Times New Roman" w:hAnsi="Times New Roman" w:cs="Times New Roman"/>
          <w:noProof/>
          <w:color w:val="000000" w:themeColor="text1"/>
          <w:sz w:val="24"/>
          <w:szCs w:val="24"/>
        </w:rPr>
        <w:t xml:space="preserve">through </w:t>
      </w:r>
      <w:r w:rsidRPr="005E76F6">
        <w:rPr>
          <w:rStyle w:val="eop"/>
          <w:rFonts w:ascii="Times New Roman" w:hAnsi="Times New Roman" w:cs="Times New Roman"/>
          <w:noProof/>
          <w:color w:val="000000" w:themeColor="text1"/>
          <w:sz w:val="24"/>
          <w:szCs w:val="24"/>
        </w:rPr>
        <w:t xml:space="preserve">the use of </w:t>
      </w:r>
      <w:r w:rsidR="004C4DC3" w:rsidRPr="005E76F6">
        <w:rPr>
          <w:rStyle w:val="eop"/>
          <w:rFonts w:ascii="Times New Roman" w:hAnsi="Times New Roman" w:cs="Times New Roman"/>
          <w:b/>
          <w:noProof/>
          <w:color w:val="000000" w:themeColor="text1"/>
          <w:sz w:val="24"/>
          <w:szCs w:val="24"/>
        </w:rPr>
        <w:t>artificial intelligence</w:t>
      </w:r>
      <w:r w:rsidRPr="005E76F6">
        <w:rPr>
          <w:rStyle w:val="eop"/>
          <w:rFonts w:ascii="Times New Roman" w:hAnsi="Times New Roman" w:cs="Times New Roman"/>
          <w:noProof/>
          <w:color w:val="000000" w:themeColor="text1"/>
          <w:sz w:val="24"/>
          <w:szCs w:val="24"/>
        </w:rPr>
        <w:t xml:space="preserve">, </w:t>
      </w:r>
      <w:r w:rsidR="00D4089C" w:rsidRPr="005E76F6">
        <w:rPr>
          <w:rStyle w:val="eop"/>
          <w:rFonts w:ascii="Times New Roman" w:hAnsi="Times New Roman" w:cs="Times New Roman"/>
          <w:b/>
          <w:noProof/>
          <w:color w:val="000000" w:themeColor="text1"/>
          <w:sz w:val="24"/>
          <w:szCs w:val="24"/>
        </w:rPr>
        <w:t>i</w:t>
      </w:r>
      <w:r w:rsidR="004C4DC3" w:rsidRPr="005E76F6">
        <w:rPr>
          <w:rStyle w:val="eop"/>
          <w:rFonts w:ascii="Times New Roman" w:hAnsi="Times New Roman" w:cs="Times New Roman"/>
          <w:b/>
          <w:noProof/>
          <w:color w:val="000000" w:themeColor="text1"/>
          <w:sz w:val="24"/>
          <w:szCs w:val="24"/>
        </w:rPr>
        <w:t xml:space="preserve">nternet of </w:t>
      </w:r>
      <w:r w:rsidR="00D4089C" w:rsidRPr="005E76F6">
        <w:rPr>
          <w:rStyle w:val="eop"/>
          <w:rFonts w:ascii="Times New Roman" w:hAnsi="Times New Roman" w:cs="Times New Roman"/>
          <w:b/>
          <w:noProof/>
          <w:color w:val="000000" w:themeColor="text1"/>
          <w:sz w:val="24"/>
          <w:szCs w:val="24"/>
        </w:rPr>
        <w:t>t</w:t>
      </w:r>
      <w:r w:rsidR="004C4DC3" w:rsidRPr="005E76F6">
        <w:rPr>
          <w:rStyle w:val="eop"/>
          <w:rFonts w:ascii="Times New Roman" w:hAnsi="Times New Roman" w:cs="Times New Roman"/>
          <w:b/>
          <w:noProof/>
          <w:color w:val="000000" w:themeColor="text1"/>
          <w:sz w:val="24"/>
          <w:szCs w:val="24"/>
        </w:rPr>
        <w:t xml:space="preserve">hings, </w:t>
      </w:r>
      <w:r w:rsidR="00D4089C" w:rsidRPr="005E76F6">
        <w:rPr>
          <w:rStyle w:val="eop"/>
          <w:rFonts w:ascii="Times New Roman" w:hAnsi="Times New Roman" w:cs="Times New Roman"/>
          <w:b/>
          <w:noProof/>
          <w:color w:val="000000" w:themeColor="text1"/>
          <w:sz w:val="24"/>
          <w:szCs w:val="24"/>
        </w:rPr>
        <w:t>v</w:t>
      </w:r>
      <w:r w:rsidR="004C4DC3" w:rsidRPr="005E76F6">
        <w:rPr>
          <w:rStyle w:val="eop"/>
          <w:rFonts w:ascii="Times New Roman" w:hAnsi="Times New Roman" w:cs="Times New Roman"/>
          <w:b/>
          <w:noProof/>
          <w:color w:val="000000" w:themeColor="text1"/>
          <w:sz w:val="24"/>
          <w:szCs w:val="24"/>
        </w:rPr>
        <w:t xml:space="preserve">irtual </w:t>
      </w:r>
      <w:r w:rsidR="00D4089C" w:rsidRPr="005E76F6">
        <w:rPr>
          <w:rStyle w:val="eop"/>
          <w:rFonts w:ascii="Times New Roman" w:hAnsi="Times New Roman" w:cs="Times New Roman"/>
          <w:b/>
          <w:noProof/>
          <w:color w:val="000000" w:themeColor="text1"/>
          <w:sz w:val="24"/>
          <w:szCs w:val="24"/>
        </w:rPr>
        <w:t>r</w:t>
      </w:r>
      <w:r w:rsidR="004C4DC3" w:rsidRPr="005E76F6">
        <w:rPr>
          <w:rStyle w:val="eop"/>
          <w:rFonts w:ascii="Times New Roman" w:hAnsi="Times New Roman" w:cs="Times New Roman"/>
          <w:b/>
          <w:noProof/>
          <w:color w:val="000000" w:themeColor="text1"/>
          <w:sz w:val="24"/>
          <w:szCs w:val="24"/>
        </w:rPr>
        <w:t xml:space="preserve">eality, </w:t>
      </w:r>
      <w:r w:rsidR="000C4D87" w:rsidRPr="005E76F6">
        <w:rPr>
          <w:rStyle w:val="eop"/>
          <w:rFonts w:ascii="Times New Roman" w:hAnsi="Times New Roman" w:cs="Times New Roman"/>
          <w:b/>
          <w:noProof/>
          <w:color w:val="000000" w:themeColor="text1"/>
          <w:sz w:val="24"/>
          <w:szCs w:val="24"/>
        </w:rPr>
        <w:t>augmented reality</w:t>
      </w:r>
      <w:r w:rsidRPr="005E76F6">
        <w:rPr>
          <w:rStyle w:val="eop"/>
          <w:rFonts w:ascii="Times New Roman" w:hAnsi="Times New Roman" w:cs="Times New Roman"/>
          <w:b/>
          <w:noProof/>
          <w:color w:val="000000" w:themeColor="text1"/>
          <w:sz w:val="24"/>
          <w:szCs w:val="24"/>
        </w:rPr>
        <w:t xml:space="preserve"> and big data</w:t>
      </w:r>
      <w:r w:rsidRPr="005E76F6">
        <w:rPr>
          <w:rStyle w:val="eop"/>
          <w:rFonts w:ascii="Times New Roman" w:hAnsi="Times New Roman" w:cs="Times New Roman"/>
          <w:noProof/>
          <w:color w:val="000000" w:themeColor="text1"/>
          <w:sz w:val="24"/>
          <w:szCs w:val="24"/>
        </w:rPr>
        <w:t>.</w:t>
      </w:r>
      <w:r w:rsidR="003B792A" w:rsidRPr="005E76F6">
        <w:rPr>
          <w:rStyle w:val="eop"/>
          <w:rFonts w:ascii="Times New Roman" w:hAnsi="Times New Roman" w:cs="Times New Roman"/>
          <w:noProof/>
          <w:color w:val="000000" w:themeColor="text1"/>
          <w:sz w:val="24"/>
          <w:szCs w:val="24"/>
        </w:rPr>
        <w:t xml:space="preserve"> The maximum grant amount for this project is EUR</w:t>
      </w:r>
      <w:r w:rsidR="00FE2948" w:rsidRPr="005E76F6">
        <w:rPr>
          <w:rStyle w:val="eop"/>
          <w:rFonts w:ascii="Times New Roman" w:hAnsi="Times New Roman" w:cs="Times New Roman"/>
          <w:noProof/>
          <w:color w:val="000000" w:themeColor="text1"/>
          <w:sz w:val="24"/>
          <w:szCs w:val="24"/>
        </w:rPr>
        <w:t> </w:t>
      </w:r>
      <w:r w:rsidR="00E91986" w:rsidRPr="005E76F6">
        <w:rPr>
          <w:rStyle w:val="eop"/>
          <w:rFonts w:ascii="Times New Roman" w:hAnsi="Times New Roman" w:cs="Times New Roman"/>
          <w:noProof/>
          <w:color w:val="000000" w:themeColor="text1"/>
          <w:sz w:val="24"/>
          <w:szCs w:val="24"/>
        </w:rPr>
        <w:t>999</w:t>
      </w:r>
      <w:r w:rsidR="002D3446" w:rsidRPr="005E76F6">
        <w:rPr>
          <w:rStyle w:val="eop"/>
          <w:rFonts w:ascii="Times New Roman" w:hAnsi="Times New Roman" w:cs="Times New Roman"/>
          <w:noProof/>
          <w:color w:val="000000" w:themeColor="text1"/>
          <w:sz w:val="24"/>
          <w:szCs w:val="24"/>
        </w:rPr>
        <w:t> </w:t>
      </w:r>
      <w:r w:rsidR="00E91986" w:rsidRPr="005E76F6">
        <w:rPr>
          <w:rStyle w:val="eop"/>
          <w:rFonts w:ascii="Times New Roman" w:hAnsi="Times New Roman" w:cs="Times New Roman"/>
          <w:noProof/>
          <w:color w:val="000000" w:themeColor="text1"/>
          <w:sz w:val="24"/>
          <w:szCs w:val="24"/>
        </w:rPr>
        <w:t xml:space="preserve">963. </w:t>
      </w:r>
      <w:r w:rsidR="00EB49DB" w:rsidRPr="005E76F6">
        <w:rPr>
          <w:rStyle w:val="eop"/>
          <w:rFonts w:ascii="Times New Roman" w:hAnsi="Times New Roman" w:cs="Times New Roman"/>
          <w:noProof/>
          <w:color w:val="000000" w:themeColor="text1"/>
          <w:sz w:val="24"/>
          <w:szCs w:val="24"/>
        </w:rPr>
        <w:t xml:space="preserve">The project involves </w:t>
      </w:r>
      <w:r w:rsidR="002D3446" w:rsidRPr="005E76F6">
        <w:rPr>
          <w:rStyle w:val="eop"/>
          <w:rFonts w:ascii="Times New Roman" w:hAnsi="Times New Roman" w:cs="Times New Roman"/>
          <w:noProof/>
          <w:color w:val="000000" w:themeColor="text1"/>
          <w:sz w:val="24"/>
          <w:szCs w:val="24"/>
        </w:rPr>
        <w:t xml:space="preserve">nine </w:t>
      </w:r>
      <w:r w:rsidR="00EB49DB" w:rsidRPr="005E76F6">
        <w:rPr>
          <w:rStyle w:val="eop"/>
          <w:rFonts w:ascii="Times New Roman" w:hAnsi="Times New Roman" w:cs="Times New Roman"/>
          <w:noProof/>
          <w:color w:val="000000" w:themeColor="text1"/>
          <w:sz w:val="24"/>
          <w:szCs w:val="24"/>
        </w:rPr>
        <w:t xml:space="preserve">partner organisations from </w:t>
      </w:r>
      <w:r w:rsidR="002D3446" w:rsidRPr="005E76F6">
        <w:rPr>
          <w:rStyle w:val="eop"/>
          <w:rFonts w:ascii="Times New Roman" w:hAnsi="Times New Roman" w:cs="Times New Roman"/>
          <w:noProof/>
          <w:color w:val="000000" w:themeColor="text1"/>
          <w:sz w:val="24"/>
          <w:szCs w:val="24"/>
        </w:rPr>
        <w:t xml:space="preserve">five </w:t>
      </w:r>
      <w:r w:rsidR="00EB49DB" w:rsidRPr="005E76F6">
        <w:rPr>
          <w:rStyle w:val="eop"/>
          <w:rFonts w:ascii="Times New Roman" w:hAnsi="Times New Roman" w:cs="Times New Roman"/>
          <w:noProof/>
          <w:color w:val="000000" w:themeColor="text1"/>
          <w:sz w:val="24"/>
          <w:szCs w:val="24"/>
        </w:rPr>
        <w:t>countries (</w:t>
      </w:r>
      <w:r w:rsidR="003B792A" w:rsidRPr="005E76F6">
        <w:rPr>
          <w:rStyle w:val="eop"/>
          <w:rFonts w:ascii="Times New Roman" w:hAnsi="Times New Roman" w:cs="Times New Roman"/>
          <w:noProof/>
          <w:color w:val="000000" w:themeColor="text1"/>
          <w:sz w:val="24"/>
          <w:szCs w:val="24"/>
        </w:rPr>
        <w:t>Croatia, Germany, Italy, Serbia</w:t>
      </w:r>
      <w:r w:rsidR="00EB49DB" w:rsidRPr="005E76F6">
        <w:rPr>
          <w:rStyle w:val="eop"/>
          <w:rFonts w:ascii="Times New Roman" w:hAnsi="Times New Roman" w:cs="Times New Roman"/>
          <w:noProof/>
          <w:color w:val="000000" w:themeColor="text1"/>
          <w:sz w:val="24"/>
          <w:szCs w:val="24"/>
        </w:rPr>
        <w:t xml:space="preserve"> and </w:t>
      </w:r>
      <w:r w:rsidR="003B792A" w:rsidRPr="005E76F6">
        <w:rPr>
          <w:rStyle w:val="eop"/>
          <w:rFonts w:ascii="Times New Roman" w:hAnsi="Times New Roman" w:cs="Times New Roman"/>
          <w:noProof/>
          <w:color w:val="000000" w:themeColor="text1"/>
          <w:sz w:val="24"/>
          <w:szCs w:val="24"/>
        </w:rPr>
        <w:t>Slovenia</w:t>
      </w:r>
      <w:r w:rsidR="00EB49DB" w:rsidRPr="005E76F6">
        <w:rPr>
          <w:rStyle w:val="eop"/>
          <w:rFonts w:ascii="Times New Roman" w:hAnsi="Times New Roman" w:cs="Times New Roman"/>
          <w:noProof/>
          <w:color w:val="000000" w:themeColor="text1"/>
          <w:sz w:val="24"/>
          <w:szCs w:val="24"/>
        </w:rPr>
        <w:t>).</w:t>
      </w:r>
    </w:p>
    <w:p w14:paraId="4C0DB7DF" w14:textId="639DA3D2" w:rsidR="003B792A" w:rsidRPr="005E76F6" w:rsidRDefault="003B792A" w:rsidP="000C2B54">
      <w:pPr>
        <w:spacing w:after="200"/>
        <w:jc w:val="both"/>
        <w:rPr>
          <w:rStyle w:val="eop"/>
          <w:rFonts w:ascii="Times New Roman" w:hAnsi="Times New Roman" w:cs="Times New Roman"/>
          <w:noProof/>
          <w:color w:val="000000" w:themeColor="text1"/>
          <w:sz w:val="24"/>
          <w:szCs w:val="24"/>
        </w:rPr>
      </w:pPr>
      <w:r w:rsidRPr="005E76F6">
        <w:rPr>
          <w:rStyle w:val="eop"/>
          <w:rFonts w:ascii="Times New Roman" w:hAnsi="Times New Roman" w:cs="Times New Roman"/>
          <w:noProof/>
          <w:color w:val="000000" w:themeColor="text1"/>
          <w:sz w:val="24"/>
          <w:szCs w:val="24"/>
        </w:rPr>
        <w:t xml:space="preserve">Another example is the </w:t>
      </w:r>
      <w:r w:rsidRPr="005E76F6">
        <w:rPr>
          <w:rStyle w:val="eop"/>
          <w:rFonts w:ascii="Times New Roman" w:hAnsi="Times New Roman" w:cs="Times New Roman"/>
          <w:b/>
          <w:noProof/>
          <w:color w:val="000000" w:themeColor="text1"/>
          <w:sz w:val="24"/>
          <w:szCs w:val="24"/>
        </w:rPr>
        <w:t>EURO_EMOTUR</w:t>
      </w:r>
      <w:r w:rsidRPr="005E76F6">
        <w:rPr>
          <w:rStyle w:val="eop"/>
          <w:rFonts w:ascii="Times New Roman" w:hAnsi="Times New Roman" w:cs="Times New Roman"/>
          <w:noProof/>
          <w:color w:val="000000" w:themeColor="text1"/>
          <w:sz w:val="24"/>
          <w:szCs w:val="24"/>
        </w:rPr>
        <w:t xml:space="preserve"> tourism project</w:t>
      </w:r>
      <w:r w:rsidR="000C4D87" w:rsidRPr="005E76F6">
        <w:rPr>
          <w:rStyle w:val="eop"/>
          <w:rFonts w:ascii="Times New Roman" w:hAnsi="Times New Roman" w:cs="Times New Roman"/>
          <w:noProof/>
          <w:color w:val="000000" w:themeColor="text1"/>
          <w:sz w:val="24"/>
          <w:szCs w:val="24"/>
        </w:rPr>
        <w:t xml:space="preserve">. The project </w:t>
      </w:r>
      <w:r w:rsidRPr="005E76F6">
        <w:rPr>
          <w:rStyle w:val="eop"/>
          <w:rFonts w:ascii="Times New Roman" w:hAnsi="Times New Roman" w:cs="Times New Roman"/>
          <w:noProof/>
          <w:color w:val="000000" w:themeColor="text1"/>
          <w:sz w:val="24"/>
          <w:szCs w:val="24"/>
        </w:rPr>
        <w:t xml:space="preserve">pays special attention to neuromarketing techniques to boost the digital reputation of SMEs and increase their performance and </w:t>
      </w:r>
      <w:r w:rsidR="000C4D87" w:rsidRPr="005E76F6">
        <w:rPr>
          <w:rStyle w:val="eop"/>
          <w:rFonts w:ascii="Times New Roman" w:hAnsi="Times New Roman" w:cs="Times New Roman"/>
          <w:noProof/>
          <w:color w:val="000000" w:themeColor="text1"/>
          <w:sz w:val="24"/>
          <w:szCs w:val="24"/>
        </w:rPr>
        <w:t xml:space="preserve">key performance indicators </w:t>
      </w:r>
      <w:r w:rsidRPr="005E76F6">
        <w:rPr>
          <w:rStyle w:val="eop"/>
          <w:rFonts w:ascii="Times New Roman" w:hAnsi="Times New Roman" w:cs="Times New Roman"/>
          <w:noProof/>
          <w:color w:val="000000" w:themeColor="text1"/>
          <w:sz w:val="24"/>
          <w:szCs w:val="24"/>
        </w:rPr>
        <w:t>both in the short and long term. The ongoing project</w:t>
      </w:r>
      <w:r w:rsidR="000C4D87" w:rsidRPr="005E76F6">
        <w:rPr>
          <w:rStyle w:val="eop"/>
          <w:rFonts w:ascii="Times New Roman" w:hAnsi="Times New Roman" w:cs="Times New Roman"/>
          <w:noProof/>
          <w:color w:val="000000" w:themeColor="text1"/>
          <w:sz w:val="24"/>
          <w:szCs w:val="24"/>
        </w:rPr>
        <w:t>,</w:t>
      </w:r>
      <w:r w:rsidRPr="005E76F6">
        <w:rPr>
          <w:rStyle w:val="eop"/>
          <w:rFonts w:ascii="Times New Roman" w:hAnsi="Times New Roman" w:cs="Times New Roman"/>
          <w:noProof/>
          <w:color w:val="000000" w:themeColor="text1"/>
          <w:sz w:val="24"/>
          <w:szCs w:val="24"/>
        </w:rPr>
        <w:t xml:space="preserve"> </w:t>
      </w:r>
      <w:r w:rsidR="000C4D87" w:rsidRPr="005E76F6">
        <w:rPr>
          <w:rStyle w:val="eop"/>
          <w:rFonts w:ascii="Times New Roman" w:hAnsi="Times New Roman" w:cs="Times New Roman"/>
          <w:noProof/>
          <w:color w:val="000000" w:themeColor="text1"/>
          <w:sz w:val="24"/>
          <w:szCs w:val="24"/>
        </w:rPr>
        <w:t xml:space="preserve">which has </w:t>
      </w:r>
      <w:r w:rsidRPr="005E76F6">
        <w:rPr>
          <w:rStyle w:val="eop"/>
          <w:rFonts w:ascii="Times New Roman" w:hAnsi="Times New Roman" w:cs="Times New Roman"/>
          <w:noProof/>
          <w:color w:val="000000" w:themeColor="text1"/>
          <w:sz w:val="24"/>
          <w:szCs w:val="24"/>
        </w:rPr>
        <w:t xml:space="preserve">a maximum EU grant amount of </w:t>
      </w:r>
      <w:r w:rsidR="007B57C1" w:rsidRPr="005E76F6">
        <w:rPr>
          <w:rStyle w:val="eop"/>
          <w:rFonts w:ascii="Times New Roman" w:hAnsi="Times New Roman" w:cs="Times New Roman"/>
          <w:noProof/>
          <w:color w:val="000000" w:themeColor="text1"/>
          <w:sz w:val="24"/>
          <w:szCs w:val="24"/>
        </w:rPr>
        <w:t>EUR</w:t>
      </w:r>
      <w:r w:rsidR="00FE2948" w:rsidRPr="005E76F6">
        <w:rPr>
          <w:rStyle w:val="eop"/>
          <w:rFonts w:ascii="Times New Roman" w:hAnsi="Times New Roman" w:cs="Times New Roman"/>
          <w:noProof/>
          <w:color w:val="000000" w:themeColor="text1"/>
          <w:sz w:val="24"/>
          <w:szCs w:val="24"/>
        </w:rPr>
        <w:t> </w:t>
      </w:r>
      <w:r w:rsidR="007B57C1" w:rsidRPr="005E76F6">
        <w:rPr>
          <w:rStyle w:val="eop"/>
          <w:rFonts w:ascii="Times New Roman" w:hAnsi="Times New Roman" w:cs="Times New Roman"/>
          <w:noProof/>
          <w:color w:val="000000" w:themeColor="text1"/>
          <w:sz w:val="24"/>
          <w:szCs w:val="24"/>
        </w:rPr>
        <w:t>563</w:t>
      </w:r>
      <w:r w:rsidR="002D3446" w:rsidRPr="005E76F6">
        <w:rPr>
          <w:rStyle w:val="eop"/>
          <w:rFonts w:ascii="Times New Roman" w:hAnsi="Times New Roman" w:cs="Times New Roman"/>
          <w:noProof/>
          <w:color w:val="000000" w:themeColor="text1"/>
          <w:sz w:val="24"/>
          <w:szCs w:val="24"/>
        </w:rPr>
        <w:t> </w:t>
      </w:r>
      <w:r w:rsidR="007B57C1" w:rsidRPr="005E76F6">
        <w:rPr>
          <w:rStyle w:val="eop"/>
          <w:rFonts w:ascii="Times New Roman" w:hAnsi="Times New Roman" w:cs="Times New Roman"/>
          <w:noProof/>
          <w:color w:val="000000" w:themeColor="text1"/>
          <w:sz w:val="24"/>
          <w:szCs w:val="24"/>
        </w:rPr>
        <w:t>236</w:t>
      </w:r>
      <w:r w:rsidR="000C4D87" w:rsidRPr="005E76F6">
        <w:rPr>
          <w:rStyle w:val="eop"/>
          <w:rFonts w:ascii="Times New Roman" w:hAnsi="Times New Roman" w:cs="Times New Roman"/>
          <w:noProof/>
          <w:color w:val="000000" w:themeColor="text1"/>
          <w:sz w:val="24"/>
          <w:szCs w:val="24"/>
        </w:rPr>
        <w:t>,</w:t>
      </w:r>
      <w:r w:rsidRPr="005E76F6">
        <w:rPr>
          <w:rStyle w:val="eop"/>
          <w:rFonts w:ascii="Times New Roman" w:hAnsi="Times New Roman" w:cs="Times New Roman"/>
          <w:noProof/>
          <w:color w:val="000000" w:themeColor="text1"/>
          <w:sz w:val="24"/>
          <w:szCs w:val="24"/>
        </w:rPr>
        <w:t xml:space="preserve"> has </w:t>
      </w:r>
      <w:r w:rsidR="002D3446" w:rsidRPr="005E76F6">
        <w:rPr>
          <w:rStyle w:val="eop"/>
          <w:rFonts w:ascii="Times New Roman" w:hAnsi="Times New Roman" w:cs="Times New Roman"/>
          <w:noProof/>
          <w:color w:val="000000" w:themeColor="text1"/>
          <w:sz w:val="24"/>
          <w:szCs w:val="24"/>
        </w:rPr>
        <w:t xml:space="preserve">six </w:t>
      </w:r>
      <w:r w:rsidRPr="005E76F6">
        <w:rPr>
          <w:rStyle w:val="eop"/>
          <w:rFonts w:ascii="Times New Roman" w:hAnsi="Times New Roman" w:cs="Times New Roman"/>
          <w:noProof/>
          <w:color w:val="000000" w:themeColor="text1"/>
          <w:sz w:val="24"/>
          <w:szCs w:val="24"/>
        </w:rPr>
        <w:t xml:space="preserve">partners </w:t>
      </w:r>
      <w:r w:rsidR="002D3446" w:rsidRPr="005E76F6">
        <w:rPr>
          <w:rStyle w:val="eop"/>
          <w:rFonts w:ascii="Times New Roman" w:hAnsi="Times New Roman" w:cs="Times New Roman"/>
          <w:noProof/>
          <w:color w:val="000000" w:themeColor="text1"/>
          <w:sz w:val="24"/>
          <w:szCs w:val="24"/>
        </w:rPr>
        <w:t xml:space="preserve">in five </w:t>
      </w:r>
      <w:r w:rsidRPr="005E76F6">
        <w:rPr>
          <w:rStyle w:val="eop"/>
          <w:rFonts w:ascii="Times New Roman" w:hAnsi="Times New Roman" w:cs="Times New Roman"/>
          <w:noProof/>
          <w:color w:val="000000" w:themeColor="text1"/>
          <w:sz w:val="24"/>
          <w:szCs w:val="24"/>
        </w:rPr>
        <w:t>countries (Belgium, Finland, Italy, Spain and the UK</w:t>
      </w:r>
      <w:r w:rsidR="002D3446" w:rsidRPr="005E76F6">
        <w:rPr>
          <w:rStyle w:val="eop"/>
          <w:rFonts w:ascii="Times New Roman" w:hAnsi="Times New Roman" w:cs="Times New Roman"/>
          <w:noProof/>
          <w:color w:val="000000" w:themeColor="text1"/>
          <w:sz w:val="24"/>
          <w:szCs w:val="24"/>
        </w:rPr>
        <w:t>)</w:t>
      </w:r>
      <w:r w:rsidRPr="005E76F6">
        <w:rPr>
          <w:rStyle w:val="eop"/>
          <w:rFonts w:ascii="Times New Roman" w:hAnsi="Times New Roman" w:cs="Times New Roman"/>
          <w:noProof/>
          <w:color w:val="000000" w:themeColor="text1"/>
          <w:sz w:val="24"/>
          <w:szCs w:val="24"/>
        </w:rPr>
        <w:t>.</w:t>
      </w:r>
    </w:p>
    <w:p w14:paraId="24315F23" w14:textId="278A308F" w:rsidR="00440766" w:rsidRPr="005E76F6" w:rsidRDefault="000C2B54" w:rsidP="000C2B54">
      <w:pPr>
        <w:spacing w:after="200"/>
        <w:jc w:val="both"/>
        <w:rPr>
          <w:rStyle w:val="eop"/>
          <w:rFonts w:ascii="Times New Roman" w:hAnsi="Times New Roman" w:cs="Times New Roman"/>
          <w:noProof/>
          <w:color w:val="000000" w:themeColor="text1"/>
          <w:sz w:val="24"/>
          <w:szCs w:val="24"/>
        </w:rPr>
      </w:pPr>
      <w:r w:rsidRPr="005E76F6">
        <w:rPr>
          <w:rStyle w:val="eop"/>
          <w:rFonts w:ascii="Times New Roman" w:hAnsi="Times New Roman" w:cs="Times New Roman"/>
          <w:noProof/>
          <w:color w:val="000000" w:themeColor="text1"/>
          <w:sz w:val="24"/>
          <w:szCs w:val="24"/>
        </w:rPr>
        <w:t xml:space="preserve">Under the </w:t>
      </w:r>
      <w:r w:rsidRPr="005E76F6">
        <w:rPr>
          <w:rStyle w:val="eop"/>
          <w:rFonts w:ascii="Times New Roman" w:hAnsi="Times New Roman" w:cs="Times New Roman"/>
          <w:b/>
          <w:noProof/>
          <w:color w:val="000000" w:themeColor="text1"/>
          <w:sz w:val="24"/>
          <w:szCs w:val="24"/>
        </w:rPr>
        <w:t>Public Buyers Network</w:t>
      </w:r>
      <w:r w:rsidRPr="005E76F6">
        <w:rPr>
          <w:rStyle w:val="eop"/>
          <w:rFonts w:ascii="Times New Roman" w:hAnsi="Times New Roman" w:cs="Times New Roman"/>
          <w:noProof/>
          <w:color w:val="000000" w:themeColor="text1"/>
          <w:sz w:val="24"/>
          <w:szCs w:val="24"/>
        </w:rPr>
        <w:t xml:space="preserve"> initiative (service contract), </w:t>
      </w:r>
      <w:r w:rsidR="00D36C88" w:rsidRPr="005E76F6">
        <w:rPr>
          <w:rStyle w:val="eop"/>
          <w:rFonts w:ascii="Times New Roman" w:hAnsi="Times New Roman" w:cs="Times New Roman"/>
          <w:noProof/>
          <w:color w:val="000000" w:themeColor="text1"/>
          <w:sz w:val="24"/>
          <w:szCs w:val="24"/>
        </w:rPr>
        <w:t xml:space="preserve">one of the 10 </w:t>
      </w:r>
      <w:r w:rsidR="004614B7" w:rsidRPr="005E76F6">
        <w:rPr>
          <w:rStyle w:val="eop"/>
          <w:rFonts w:ascii="Times New Roman" w:hAnsi="Times New Roman" w:cs="Times New Roman"/>
          <w:noProof/>
          <w:color w:val="000000" w:themeColor="text1"/>
          <w:sz w:val="24"/>
          <w:szCs w:val="24"/>
        </w:rPr>
        <w:t>‘</w:t>
      </w:r>
      <w:r w:rsidR="00D36C88" w:rsidRPr="005E76F6">
        <w:rPr>
          <w:rStyle w:val="eop"/>
          <w:rFonts w:ascii="Times New Roman" w:hAnsi="Times New Roman" w:cs="Times New Roman"/>
          <w:noProof/>
          <w:color w:val="000000" w:themeColor="text1"/>
          <w:sz w:val="24"/>
          <w:szCs w:val="24"/>
        </w:rPr>
        <w:t>big buyer</w:t>
      </w:r>
      <w:r w:rsidR="004614B7" w:rsidRPr="005E76F6">
        <w:rPr>
          <w:rStyle w:val="eop"/>
          <w:rFonts w:ascii="Times New Roman" w:hAnsi="Times New Roman" w:cs="Times New Roman"/>
          <w:noProof/>
          <w:color w:val="000000" w:themeColor="text1"/>
          <w:sz w:val="24"/>
          <w:szCs w:val="24"/>
        </w:rPr>
        <w:t>’</w:t>
      </w:r>
      <w:r w:rsidR="00D36C88" w:rsidRPr="005E76F6">
        <w:rPr>
          <w:rStyle w:val="eop"/>
          <w:rFonts w:ascii="Times New Roman" w:hAnsi="Times New Roman" w:cs="Times New Roman"/>
          <w:noProof/>
          <w:color w:val="000000" w:themeColor="text1"/>
          <w:sz w:val="24"/>
          <w:szCs w:val="24"/>
        </w:rPr>
        <w:t xml:space="preserve"> groups supported by</w:t>
      </w:r>
      <w:r w:rsidR="00440766" w:rsidRPr="005E76F6">
        <w:rPr>
          <w:rStyle w:val="eop"/>
          <w:rFonts w:ascii="Times New Roman" w:hAnsi="Times New Roman" w:cs="Times New Roman"/>
          <w:noProof/>
          <w:color w:val="000000" w:themeColor="text1"/>
          <w:sz w:val="24"/>
          <w:szCs w:val="24"/>
        </w:rPr>
        <w:t xml:space="preserve"> </w:t>
      </w:r>
      <w:r w:rsidR="00EB7F2B" w:rsidRPr="005E76F6">
        <w:rPr>
          <w:rStyle w:val="eop"/>
          <w:rFonts w:ascii="Times New Roman" w:hAnsi="Times New Roman" w:cs="Times New Roman"/>
          <w:noProof/>
          <w:color w:val="000000" w:themeColor="text1"/>
          <w:sz w:val="24"/>
          <w:szCs w:val="24"/>
        </w:rPr>
        <w:t xml:space="preserve">the </w:t>
      </w:r>
      <w:r w:rsidR="00D36C88" w:rsidRPr="005E76F6">
        <w:rPr>
          <w:rFonts w:ascii="Times New Roman" w:hAnsi="Times New Roman" w:cs="Times New Roman"/>
          <w:b/>
          <w:noProof/>
          <w:color w:val="000000" w:themeColor="text1"/>
          <w:sz w:val="24"/>
          <w:szCs w:val="24"/>
        </w:rPr>
        <w:t xml:space="preserve">digital platform </w:t>
      </w:r>
      <w:r w:rsidR="00EB7F2B" w:rsidRPr="005E76F6">
        <w:rPr>
          <w:rFonts w:ascii="Times New Roman" w:hAnsi="Times New Roman" w:cs="Times New Roman"/>
          <w:b/>
          <w:noProof/>
          <w:color w:val="000000" w:themeColor="text1"/>
          <w:sz w:val="24"/>
          <w:szCs w:val="24"/>
        </w:rPr>
        <w:t>deal</w:t>
      </w:r>
      <w:r w:rsidR="00E80F9E" w:rsidRPr="005E76F6">
        <w:rPr>
          <w:rFonts w:ascii="Times New Roman" w:hAnsi="Times New Roman" w:cs="Times New Roman"/>
          <w:b/>
          <w:noProof/>
          <w:color w:val="000000" w:themeColor="text1"/>
          <w:sz w:val="24"/>
          <w:szCs w:val="24"/>
        </w:rPr>
        <w:t>s</w:t>
      </w:r>
      <w:r w:rsidR="00EB7F2B" w:rsidRPr="005E76F6">
        <w:rPr>
          <w:rFonts w:ascii="Times New Roman" w:hAnsi="Times New Roman" w:cs="Times New Roman"/>
          <w:b/>
          <w:noProof/>
          <w:color w:val="000000" w:themeColor="text1"/>
          <w:sz w:val="24"/>
          <w:szCs w:val="24"/>
        </w:rPr>
        <w:t xml:space="preserve"> with</w:t>
      </w:r>
      <w:r w:rsidR="00D36C88" w:rsidRPr="005E76F6">
        <w:rPr>
          <w:rFonts w:ascii="Times New Roman" w:hAnsi="Times New Roman" w:cs="Times New Roman"/>
          <w:noProof/>
          <w:color w:val="000000" w:themeColor="text1"/>
          <w:sz w:val="24"/>
          <w:szCs w:val="24"/>
        </w:rPr>
        <w:t xml:space="preserve"> artificial intelligence. This platform </w:t>
      </w:r>
      <w:r w:rsidR="00E80F9E" w:rsidRPr="005E76F6">
        <w:rPr>
          <w:rFonts w:ascii="Times New Roman" w:hAnsi="Times New Roman" w:cs="Times New Roman"/>
          <w:noProof/>
          <w:color w:val="000000" w:themeColor="text1"/>
          <w:sz w:val="24"/>
          <w:szCs w:val="24"/>
        </w:rPr>
        <w:t xml:space="preserve">helps </w:t>
      </w:r>
      <w:r w:rsidR="00D36C88" w:rsidRPr="005E76F6">
        <w:rPr>
          <w:rFonts w:ascii="Times New Roman" w:hAnsi="Times New Roman" w:cs="Times New Roman"/>
          <w:noProof/>
          <w:color w:val="000000" w:themeColor="text1"/>
          <w:sz w:val="24"/>
          <w:szCs w:val="24"/>
        </w:rPr>
        <w:t>public buyers build up joint intelligence on specific procurement needs in this field and work on joint statements of demand.</w:t>
      </w:r>
    </w:p>
    <w:p w14:paraId="0970C0D1" w14:textId="5947AAD4" w:rsidR="00B44F08" w:rsidRPr="00B44F08" w:rsidRDefault="003F1DF6" w:rsidP="00B44F08">
      <w:pPr>
        <w:spacing w:after="200"/>
        <w:jc w:val="both"/>
        <w:rPr>
          <w:b/>
          <w:noProof/>
        </w:rPr>
      </w:pPr>
      <w:r w:rsidRPr="00B44F08">
        <w:rPr>
          <w:rFonts w:ascii="Times New Roman" w:hAnsi="Times New Roman" w:cs="Times New Roman"/>
          <w:noProof/>
          <w:color w:val="000000" w:themeColor="text1"/>
          <w:sz w:val="24"/>
          <w:szCs w:val="24"/>
        </w:rPr>
        <w:t xml:space="preserve">The Clusters excellence project EPIX aims to </w:t>
      </w:r>
      <w:r w:rsidR="005A7A3D" w:rsidRPr="00B44F08">
        <w:rPr>
          <w:rFonts w:ascii="Times New Roman" w:hAnsi="Times New Roman" w:cs="Times New Roman"/>
          <w:noProof/>
          <w:color w:val="000000" w:themeColor="text1"/>
          <w:sz w:val="24"/>
          <w:szCs w:val="24"/>
        </w:rPr>
        <w:t>boost</w:t>
      </w:r>
      <w:r w:rsidRPr="00B44F08">
        <w:rPr>
          <w:rFonts w:ascii="Times New Roman" w:hAnsi="Times New Roman" w:cs="Times New Roman"/>
          <w:noProof/>
          <w:color w:val="000000" w:themeColor="text1"/>
          <w:sz w:val="24"/>
          <w:szCs w:val="24"/>
        </w:rPr>
        <w:t xml:space="preserve"> the excellence of clusters that deal with smart cities.</w:t>
      </w:r>
      <w:r w:rsidR="00FE2948" w:rsidRPr="00B44F08">
        <w:rPr>
          <w:rFonts w:ascii="Times New Roman" w:hAnsi="Times New Roman" w:cs="Times New Roman"/>
          <w:noProof/>
          <w:color w:val="000000" w:themeColor="text1"/>
          <w:sz w:val="24"/>
          <w:szCs w:val="24"/>
        </w:rPr>
        <w:t xml:space="preserve"> </w:t>
      </w:r>
      <w:r w:rsidR="00742E9E" w:rsidRPr="00B44F08">
        <w:rPr>
          <w:rFonts w:ascii="Times New Roman" w:hAnsi="Times New Roman" w:cs="Times New Roman"/>
          <w:noProof/>
          <w:color w:val="000000" w:themeColor="text1"/>
          <w:sz w:val="24"/>
          <w:szCs w:val="24"/>
        </w:rPr>
        <w:t>Another Clusters Excellen</w:t>
      </w:r>
      <w:r w:rsidR="001F2840" w:rsidRPr="00B44F08">
        <w:rPr>
          <w:rFonts w:ascii="Times New Roman" w:hAnsi="Times New Roman" w:cs="Times New Roman"/>
          <w:noProof/>
          <w:color w:val="000000" w:themeColor="text1"/>
          <w:sz w:val="24"/>
          <w:szCs w:val="24"/>
        </w:rPr>
        <w:t>ce</w:t>
      </w:r>
      <w:r w:rsidR="00742E9E" w:rsidRPr="00B44F08">
        <w:rPr>
          <w:rFonts w:ascii="Times New Roman" w:hAnsi="Times New Roman" w:cs="Times New Roman"/>
          <w:noProof/>
          <w:color w:val="000000" w:themeColor="text1"/>
          <w:sz w:val="24"/>
          <w:szCs w:val="24"/>
        </w:rPr>
        <w:t xml:space="preserve"> project, MEDIC NEST, is working </w:t>
      </w:r>
      <w:r w:rsidR="00E80F9E" w:rsidRPr="00B44F08">
        <w:rPr>
          <w:rFonts w:ascii="Times New Roman" w:hAnsi="Times New Roman" w:cs="Times New Roman"/>
          <w:noProof/>
          <w:color w:val="000000" w:themeColor="text1"/>
          <w:sz w:val="24"/>
          <w:szCs w:val="24"/>
        </w:rPr>
        <w:t>to create</w:t>
      </w:r>
      <w:r w:rsidR="00742E9E" w:rsidRPr="00B44F08">
        <w:rPr>
          <w:rFonts w:ascii="Times New Roman" w:hAnsi="Times New Roman" w:cs="Times New Roman"/>
          <w:noProof/>
          <w:color w:val="000000" w:themeColor="text1"/>
          <w:sz w:val="24"/>
          <w:szCs w:val="24"/>
        </w:rPr>
        <w:t xml:space="preserve"> a European meta-cluster in the field of precision medicine</w:t>
      </w:r>
      <w:r w:rsidR="00E80F9E" w:rsidRPr="00B44F08">
        <w:rPr>
          <w:rFonts w:ascii="Times New Roman" w:hAnsi="Times New Roman" w:cs="Times New Roman"/>
          <w:noProof/>
          <w:color w:val="000000" w:themeColor="text1"/>
          <w:sz w:val="24"/>
          <w:szCs w:val="24"/>
        </w:rPr>
        <w:t>. The project</w:t>
      </w:r>
      <w:r w:rsidR="001F2840" w:rsidRPr="00B44F08">
        <w:rPr>
          <w:rFonts w:ascii="Times New Roman" w:hAnsi="Times New Roman" w:cs="Times New Roman"/>
          <w:noProof/>
          <w:color w:val="000000" w:themeColor="text1"/>
          <w:sz w:val="24"/>
          <w:szCs w:val="24"/>
        </w:rPr>
        <w:t xml:space="preserve"> includes a</w:t>
      </w:r>
      <w:r w:rsidR="00742E9E" w:rsidRPr="00B44F08">
        <w:rPr>
          <w:rFonts w:ascii="Times New Roman" w:hAnsi="Times New Roman" w:cs="Times New Roman"/>
          <w:noProof/>
          <w:color w:val="000000" w:themeColor="text1"/>
          <w:sz w:val="24"/>
          <w:szCs w:val="24"/>
        </w:rPr>
        <w:t xml:space="preserve"> ClustersExchange scheme to stimulate cross-fertili</w:t>
      </w:r>
      <w:r w:rsidR="00FE2948" w:rsidRPr="00B44F08">
        <w:rPr>
          <w:rFonts w:ascii="Times New Roman" w:hAnsi="Times New Roman" w:cs="Times New Roman"/>
          <w:noProof/>
          <w:color w:val="000000" w:themeColor="text1"/>
          <w:sz w:val="24"/>
          <w:szCs w:val="24"/>
        </w:rPr>
        <w:t>s</w:t>
      </w:r>
      <w:r w:rsidR="00742E9E" w:rsidRPr="00B44F08">
        <w:rPr>
          <w:rFonts w:ascii="Times New Roman" w:hAnsi="Times New Roman" w:cs="Times New Roman"/>
          <w:noProof/>
          <w:color w:val="000000" w:themeColor="text1"/>
          <w:sz w:val="24"/>
          <w:szCs w:val="24"/>
        </w:rPr>
        <w:t xml:space="preserve">ation </w:t>
      </w:r>
      <w:r w:rsidR="001F2840" w:rsidRPr="00B44F08">
        <w:rPr>
          <w:rFonts w:ascii="Times New Roman" w:hAnsi="Times New Roman" w:cs="Times New Roman"/>
          <w:noProof/>
          <w:color w:val="000000" w:themeColor="text1"/>
          <w:sz w:val="24"/>
          <w:szCs w:val="24"/>
        </w:rPr>
        <w:t xml:space="preserve">and exchanges of experience </w:t>
      </w:r>
      <w:r w:rsidR="00742E9E" w:rsidRPr="00B44F08">
        <w:rPr>
          <w:rFonts w:ascii="Times New Roman" w:hAnsi="Times New Roman" w:cs="Times New Roman"/>
          <w:noProof/>
          <w:color w:val="000000" w:themeColor="text1"/>
          <w:sz w:val="24"/>
          <w:szCs w:val="24"/>
        </w:rPr>
        <w:t>related to digital technologies.</w:t>
      </w:r>
      <w:r w:rsidR="00784CEE" w:rsidRPr="00B44F08">
        <w:rPr>
          <w:rFonts w:ascii="Times New Roman" w:hAnsi="Times New Roman" w:cs="Times New Roman"/>
          <w:noProof/>
          <w:color w:val="000000" w:themeColor="text1"/>
          <w:sz w:val="24"/>
          <w:szCs w:val="24"/>
        </w:rPr>
        <w:t xml:space="preserve"> </w:t>
      </w:r>
      <w:r w:rsidR="0011593E" w:rsidRPr="00B44F08">
        <w:rPr>
          <w:rFonts w:ascii="Times New Roman" w:hAnsi="Times New Roman" w:cs="Times New Roman"/>
          <w:noProof/>
          <w:color w:val="000000" w:themeColor="text1"/>
          <w:sz w:val="24"/>
          <w:szCs w:val="24"/>
        </w:rPr>
        <w:t>There are also clusters projects focusing on digitali</w:t>
      </w:r>
      <w:r w:rsidR="00187600" w:rsidRPr="00B44F08">
        <w:rPr>
          <w:rFonts w:ascii="Times New Roman" w:hAnsi="Times New Roman" w:cs="Times New Roman"/>
          <w:noProof/>
          <w:color w:val="000000" w:themeColor="text1"/>
          <w:sz w:val="24"/>
          <w:szCs w:val="24"/>
        </w:rPr>
        <w:t>s</w:t>
      </w:r>
      <w:r w:rsidR="0011593E" w:rsidRPr="00B44F08">
        <w:rPr>
          <w:rFonts w:ascii="Times New Roman" w:hAnsi="Times New Roman" w:cs="Times New Roman"/>
          <w:noProof/>
          <w:color w:val="000000" w:themeColor="text1"/>
          <w:sz w:val="24"/>
          <w:szCs w:val="24"/>
        </w:rPr>
        <w:t>ation in sectors such as agrifood (AgriFoodX5.0 project), fashion (CLOTH project) and automotive and land machinery (EVOLUTE project)</w:t>
      </w:r>
      <w:r w:rsidR="0011593E" w:rsidRPr="00B44F08">
        <w:rPr>
          <w:rFonts w:ascii="Times New Roman" w:hAnsi="Times New Roman" w:cs="Times New Roman"/>
          <w:noProof/>
          <w:color w:val="000000" w:themeColor="text1"/>
          <w:sz w:val="24"/>
          <w:szCs w:val="24"/>
          <w:vertAlign w:val="superscript"/>
        </w:rPr>
        <w:footnoteReference w:id="50"/>
      </w:r>
      <w:r w:rsidR="00B44F08" w:rsidRPr="00B44F08">
        <w:rPr>
          <w:rFonts w:ascii="Times New Roman" w:hAnsi="Times New Roman" w:cs="Times New Roman"/>
          <w:noProof/>
          <w:color w:val="000000" w:themeColor="text1"/>
          <w:sz w:val="24"/>
          <w:szCs w:val="24"/>
          <w:vertAlign w:val="superscript"/>
        </w:rPr>
        <w:t xml:space="preserve"> </w:t>
      </w:r>
      <w:r w:rsidR="0011593E" w:rsidRPr="00B44F08">
        <w:rPr>
          <w:noProof/>
          <w:color w:val="000000" w:themeColor="text1"/>
        </w:rPr>
        <w:t>.</w:t>
      </w:r>
      <w:r w:rsidR="0011593E" w:rsidRPr="00B44F08">
        <w:rPr>
          <w:rFonts w:ascii="Times New Roman" w:hAnsi="Times New Roman" w:cs="Times New Roman"/>
          <w:b/>
          <w:bCs/>
          <w:noProof/>
          <w:color w:val="000000" w:themeColor="text1"/>
          <w:sz w:val="24"/>
          <w:szCs w:val="24"/>
        </w:rPr>
        <w:t xml:space="preserve"> </w:t>
      </w:r>
    </w:p>
    <w:p w14:paraId="52B055AC" w14:textId="4CF5B6C0" w:rsidR="00CB1BE3" w:rsidRPr="005E76F6" w:rsidRDefault="00ED2056" w:rsidP="006C29DE">
      <w:pPr>
        <w:pStyle w:val="ListParagraph"/>
        <w:numPr>
          <w:ilvl w:val="0"/>
          <w:numId w:val="21"/>
        </w:numPr>
        <w:spacing w:before="240" w:after="120"/>
        <w:ind w:left="357" w:hanging="357"/>
        <w:jc w:val="both"/>
        <w:rPr>
          <w:rFonts w:ascii="Times New Roman" w:hAnsi="Times New Roman" w:cs="Times New Roman"/>
          <w:b/>
          <w:noProof/>
          <w:color w:val="000000" w:themeColor="text1"/>
          <w:sz w:val="24"/>
          <w:szCs w:val="24"/>
        </w:rPr>
      </w:pPr>
      <w:r w:rsidRPr="005E76F6">
        <w:rPr>
          <w:rStyle w:val="eop"/>
          <w:rFonts w:ascii="Times New Roman" w:hAnsi="Times New Roman" w:cs="Times New Roman"/>
          <w:b/>
          <w:noProof/>
          <w:color w:val="000000" w:themeColor="text1"/>
          <w:sz w:val="24"/>
          <w:szCs w:val="24"/>
        </w:rPr>
        <w:t>Contribution to gender mainstreaming goals</w:t>
      </w:r>
    </w:p>
    <w:p w14:paraId="14F862FD" w14:textId="4BE58B54" w:rsidR="004C6A36" w:rsidRPr="005E76F6" w:rsidRDefault="001503AF" w:rsidP="000C2B54">
      <w:pPr>
        <w:spacing w:after="120" w:line="240" w:lineRule="auto"/>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While no specific gender objective/target is provided for in the COSME legal basis</w:t>
      </w:r>
      <w:r w:rsidR="00E80F9E" w:rsidRPr="005E76F6">
        <w:rPr>
          <w:rFonts w:ascii="Times New Roman" w:eastAsia="Times New Roman" w:hAnsi="Times New Roman" w:cs="Times New Roman"/>
          <w:bCs/>
          <w:iCs/>
          <w:noProof/>
          <w:color w:val="000000" w:themeColor="text1"/>
          <w:sz w:val="24"/>
          <w:szCs w:val="24"/>
          <w:lang w:eastAsia="fr-FR"/>
        </w:rPr>
        <w:t>,</w:t>
      </w:r>
      <w:r w:rsidR="00E517C4" w:rsidRPr="005E76F6">
        <w:rPr>
          <w:rFonts w:ascii="Times New Roman" w:eastAsia="Times New Roman" w:hAnsi="Times New Roman" w:cs="Times New Roman"/>
          <w:bCs/>
          <w:iCs/>
          <w:noProof/>
          <w:color w:val="000000" w:themeColor="text1"/>
          <w:sz w:val="24"/>
          <w:szCs w:val="24"/>
          <w:lang w:eastAsia="fr-FR"/>
        </w:rPr>
        <w:t xml:space="preserve"> </w:t>
      </w:r>
      <w:r w:rsidR="004C6A36" w:rsidRPr="005E76F6">
        <w:rPr>
          <w:rFonts w:ascii="Times New Roman" w:eastAsia="Times New Roman" w:hAnsi="Times New Roman" w:cs="Times New Roman"/>
          <w:bCs/>
          <w:iCs/>
          <w:noProof/>
          <w:color w:val="000000" w:themeColor="text1"/>
          <w:sz w:val="24"/>
          <w:szCs w:val="24"/>
          <w:lang w:eastAsia="fr-FR"/>
        </w:rPr>
        <w:t>this dimension is taken into account in all actions.</w:t>
      </w:r>
    </w:p>
    <w:p w14:paraId="52116633" w14:textId="401EF726" w:rsidR="004C6A36" w:rsidRPr="005E76F6" w:rsidRDefault="004C6A36" w:rsidP="000C2B54">
      <w:pPr>
        <w:spacing w:after="120" w:line="240" w:lineRule="auto"/>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For the EFG and LGF</w:t>
      </w:r>
      <w:r w:rsidR="001503AF" w:rsidRPr="005E76F6">
        <w:rPr>
          <w:rFonts w:ascii="Times New Roman" w:eastAsia="Times New Roman" w:hAnsi="Times New Roman" w:cs="Times New Roman"/>
          <w:bCs/>
          <w:iCs/>
          <w:noProof/>
          <w:color w:val="000000" w:themeColor="text1"/>
          <w:sz w:val="24"/>
          <w:szCs w:val="24"/>
          <w:lang w:eastAsia="fr-FR"/>
        </w:rPr>
        <w:t>, th</w:t>
      </w:r>
      <w:r w:rsidRPr="005E76F6">
        <w:rPr>
          <w:rFonts w:ascii="Times New Roman" w:eastAsia="Times New Roman" w:hAnsi="Times New Roman" w:cs="Times New Roman"/>
          <w:bCs/>
          <w:iCs/>
          <w:noProof/>
          <w:color w:val="000000" w:themeColor="text1"/>
          <w:sz w:val="24"/>
          <w:szCs w:val="24"/>
          <w:lang w:eastAsia="fr-FR"/>
        </w:rPr>
        <w:t>e gender</w:t>
      </w:r>
      <w:r w:rsidR="001503AF" w:rsidRPr="005E76F6">
        <w:rPr>
          <w:rFonts w:ascii="Times New Roman" w:eastAsia="Times New Roman" w:hAnsi="Times New Roman" w:cs="Times New Roman"/>
          <w:bCs/>
          <w:iCs/>
          <w:noProof/>
          <w:color w:val="000000" w:themeColor="text1"/>
          <w:sz w:val="24"/>
          <w:szCs w:val="24"/>
          <w:lang w:eastAsia="fr-FR"/>
        </w:rPr>
        <w:t xml:space="preserve"> dimension is tracked in the biannual analyses by the European Investment Fund. The latest analysis from 2020 demonstrate</w:t>
      </w:r>
      <w:r w:rsidRPr="005E76F6">
        <w:rPr>
          <w:rFonts w:ascii="Times New Roman" w:eastAsia="Times New Roman" w:hAnsi="Times New Roman" w:cs="Times New Roman"/>
          <w:bCs/>
          <w:iCs/>
          <w:noProof/>
          <w:color w:val="000000" w:themeColor="text1"/>
          <w:sz w:val="24"/>
          <w:szCs w:val="24"/>
          <w:lang w:eastAsia="fr-FR"/>
        </w:rPr>
        <w:t>s</w:t>
      </w:r>
      <w:r w:rsidR="001503AF" w:rsidRPr="005E76F6">
        <w:rPr>
          <w:rFonts w:ascii="Times New Roman" w:eastAsia="Times New Roman" w:hAnsi="Times New Roman" w:cs="Times New Roman"/>
          <w:bCs/>
          <w:iCs/>
          <w:noProof/>
          <w:color w:val="000000" w:themeColor="text1"/>
          <w:sz w:val="24"/>
          <w:szCs w:val="24"/>
          <w:lang w:eastAsia="fr-FR"/>
        </w:rPr>
        <w:t xml:space="preserve"> that as of 2019</w:t>
      </w:r>
      <w:r w:rsidRPr="005E76F6">
        <w:rPr>
          <w:rFonts w:ascii="Times New Roman" w:eastAsia="Times New Roman" w:hAnsi="Times New Roman" w:cs="Times New Roman"/>
          <w:bCs/>
          <w:iCs/>
          <w:noProof/>
          <w:color w:val="000000" w:themeColor="text1"/>
          <w:sz w:val="24"/>
          <w:szCs w:val="24"/>
          <w:lang w:eastAsia="fr-FR"/>
        </w:rPr>
        <w:t>:</w:t>
      </w:r>
    </w:p>
    <w:p w14:paraId="2035AE7A" w14:textId="1471F86A" w:rsidR="001503AF" w:rsidRPr="005E76F6" w:rsidRDefault="00E80F9E" w:rsidP="001D682B">
      <w:pPr>
        <w:pStyle w:val="ListParagraph"/>
        <w:numPr>
          <w:ilvl w:val="0"/>
          <w:numId w:val="6"/>
        </w:numPr>
        <w:spacing w:after="120" w:line="240" w:lineRule="auto"/>
        <w:jc w:val="both"/>
        <w:rPr>
          <w:rFonts w:ascii="Times New Roman" w:eastAsia="Times New Roman" w:hAnsi="Times New Roman" w:cs="Times New Roman"/>
          <w:bCs/>
          <w:i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a</w:t>
      </w:r>
      <w:r w:rsidR="00E517C4" w:rsidRPr="005E76F6">
        <w:rPr>
          <w:rFonts w:ascii="Times New Roman" w:eastAsia="Times New Roman" w:hAnsi="Times New Roman" w:cs="Times New Roman"/>
          <w:bCs/>
          <w:iCs/>
          <w:noProof/>
          <w:color w:val="000000" w:themeColor="text1"/>
          <w:sz w:val="24"/>
          <w:szCs w:val="24"/>
          <w:lang w:eastAsia="fr-FR"/>
        </w:rPr>
        <w:t xml:space="preserve">lmost </w:t>
      </w:r>
      <w:r w:rsidR="00EF44D4" w:rsidRPr="005E76F6">
        <w:rPr>
          <w:rFonts w:ascii="Times New Roman" w:eastAsia="Times New Roman" w:hAnsi="Times New Roman" w:cs="Times New Roman"/>
          <w:bCs/>
          <w:iCs/>
          <w:noProof/>
          <w:color w:val="000000" w:themeColor="text1"/>
          <w:sz w:val="24"/>
          <w:szCs w:val="24"/>
          <w:lang w:eastAsia="fr-FR"/>
        </w:rPr>
        <w:t>2</w:t>
      </w:r>
      <w:r w:rsidR="00E517C4" w:rsidRPr="005E76F6">
        <w:rPr>
          <w:rFonts w:ascii="Times New Roman" w:eastAsia="Times New Roman" w:hAnsi="Times New Roman" w:cs="Times New Roman"/>
          <w:bCs/>
          <w:iCs/>
          <w:noProof/>
          <w:color w:val="000000" w:themeColor="text1"/>
          <w:sz w:val="24"/>
          <w:szCs w:val="24"/>
          <w:lang w:eastAsia="fr-FR"/>
        </w:rPr>
        <w:t xml:space="preserve"> in 10 </w:t>
      </w:r>
      <w:r w:rsidR="00643E0C" w:rsidRPr="005E76F6">
        <w:rPr>
          <w:rFonts w:ascii="Times New Roman" w:eastAsia="Times New Roman" w:hAnsi="Times New Roman" w:cs="Times New Roman"/>
          <w:bCs/>
          <w:iCs/>
          <w:noProof/>
          <w:color w:val="000000" w:themeColor="text1"/>
          <w:sz w:val="24"/>
          <w:szCs w:val="24"/>
          <w:lang w:eastAsia="fr-FR"/>
        </w:rPr>
        <w:t xml:space="preserve">of SMEs receiving equity support via the COSME EFG </w:t>
      </w:r>
      <w:r w:rsidR="001503AF" w:rsidRPr="005E76F6">
        <w:rPr>
          <w:rFonts w:ascii="Times New Roman" w:eastAsia="Times New Roman" w:hAnsi="Times New Roman" w:cs="Times New Roman"/>
          <w:bCs/>
          <w:iCs/>
          <w:noProof/>
          <w:color w:val="000000" w:themeColor="text1"/>
          <w:sz w:val="24"/>
          <w:szCs w:val="24"/>
          <w:lang w:eastAsia="fr-FR"/>
        </w:rPr>
        <w:t>ha</w:t>
      </w:r>
      <w:r w:rsidR="00434155" w:rsidRPr="005E76F6">
        <w:rPr>
          <w:rFonts w:ascii="Times New Roman" w:eastAsia="Times New Roman" w:hAnsi="Times New Roman" w:cs="Times New Roman"/>
          <w:bCs/>
          <w:iCs/>
          <w:noProof/>
          <w:color w:val="000000" w:themeColor="text1"/>
          <w:sz w:val="24"/>
          <w:szCs w:val="24"/>
          <w:lang w:eastAsia="fr-FR"/>
        </w:rPr>
        <w:t>ve</w:t>
      </w:r>
      <w:r w:rsidR="001503AF" w:rsidRPr="005E76F6">
        <w:rPr>
          <w:rFonts w:ascii="Times New Roman" w:eastAsia="Times New Roman" w:hAnsi="Times New Roman" w:cs="Times New Roman"/>
          <w:bCs/>
          <w:iCs/>
          <w:noProof/>
          <w:color w:val="000000" w:themeColor="text1"/>
          <w:sz w:val="24"/>
          <w:szCs w:val="24"/>
          <w:lang w:eastAsia="fr-FR"/>
        </w:rPr>
        <w:t xml:space="preserve"> at least one female in an executive position</w:t>
      </w:r>
      <w:r w:rsidRPr="005E76F6">
        <w:rPr>
          <w:rFonts w:ascii="Times New Roman" w:eastAsia="Times New Roman" w:hAnsi="Times New Roman" w:cs="Times New Roman"/>
          <w:bCs/>
          <w:iCs/>
          <w:noProof/>
          <w:color w:val="000000" w:themeColor="text1"/>
          <w:sz w:val="24"/>
          <w:szCs w:val="24"/>
          <w:lang w:eastAsia="fr-FR"/>
        </w:rPr>
        <w:t>;</w:t>
      </w:r>
    </w:p>
    <w:p w14:paraId="2E2444B9" w14:textId="0D0835AB" w:rsidR="00E517C4" w:rsidRPr="005E76F6" w:rsidRDefault="00E80F9E" w:rsidP="001D682B">
      <w:pPr>
        <w:pStyle w:val="ListParagraph"/>
        <w:numPr>
          <w:ilvl w:val="0"/>
          <w:numId w:val="6"/>
        </w:numPr>
        <w:spacing w:after="120" w:line="240" w:lineRule="auto"/>
        <w:jc w:val="both"/>
        <w:rPr>
          <w:rFonts w:ascii="Times New Roman" w:eastAsia="Times New Roman" w:hAnsi="Times New Roman" w:cs="Times New Roman"/>
          <w:b/>
          <w:b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a</w:t>
      </w:r>
      <w:r w:rsidR="00E517C4" w:rsidRPr="005E76F6">
        <w:rPr>
          <w:rFonts w:ascii="Times New Roman" w:eastAsia="Times New Roman" w:hAnsi="Times New Roman" w:cs="Times New Roman"/>
          <w:bCs/>
          <w:iCs/>
          <w:noProof/>
          <w:color w:val="000000" w:themeColor="text1"/>
          <w:sz w:val="24"/>
          <w:szCs w:val="24"/>
          <w:lang w:eastAsia="fr-FR"/>
        </w:rPr>
        <w:t xml:space="preserve">lmost every 4 in 10 </w:t>
      </w:r>
      <w:r w:rsidR="00643E0C" w:rsidRPr="005E76F6">
        <w:rPr>
          <w:rFonts w:ascii="Times New Roman" w:eastAsia="Times New Roman" w:hAnsi="Times New Roman" w:cs="Times New Roman"/>
          <w:bCs/>
          <w:iCs/>
          <w:noProof/>
          <w:color w:val="000000" w:themeColor="text1"/>
          <w:sz w:val="24"/>
          <w:szCs w:val="24"/>
          <w:lang w:eastAsia="fr-FR"/>
        </w:rPr>
        <w:t xml:space="preserve">of the SMEs that received debt financial support via the COSME LGF </w:t>
      </w:r>
      <w:r w:rsidR="00E517C4" w:rsidRPr="005E76F6">
        <w:rPr>
          <w:rFonts w:ascii="Times New Roman" w:eastAsia="Times New Roman" w:hAnsi="Times New Roman" w:cs="Times New Roman"/>
          <w:bCs/>
          <w:iCs/>
          <w:noProof/>
          <w:color w:val="000000" w:themeColor="text1"/>
          <w:sz w:val="24"/>
          <w:szCs w:val="24"/>
          <w:lang w:eastAsia="fr-FR"/>
        </w:rPr>
        <w:t xml:space="preserve">have either a female </w:t>
      </w:r>
      <w:r w:rsidRPr="005E76F6">
        <w:rPr>
          <w:rFonts w:ascii="Times New Roman" w:eastAsia="Times New Roman" w:hAnsi="Times New Roman" w:cs="Times New Roman"/>
          <w:bCs/>
          <w:iCs/>
          <w:noProof/>
          <w:color w:val="000000" w:themeColor="text1"/>
          <w:sz w:val="24"/>
          <w:szCs w:val="24"/>
          <w:lang w:eastAsia="fr-FR"/>
        </w:rPr>
        <w:t>CEO</w:t>
      </w:r>
      <w:r w:rsidR="00E517C4" w:rsidRPr="005E76F6">
        <w:rPr>
          <w:rFonts w:ascii="Times New Roman" w:eastAsia="Times New Roman" w:hAnsi="Times New Roman" w:cs="Times New Roman"/>
          <w:bCs/>
          <w:iCs/>
          <w:noProof/>
          <w:color w:val="000000" w:themeColor="text1"/>
          <w:sz w:val="24"/>
          <w:szCs w:val="24"/>
          <w:lang w:eastAsia="fr-FR"/>
        </w:rPr>
        <w:t xml:space="preserve">, </w:t>
      </w:r>
      <w:r w:rsidRPr="005E76F6">
        <w:rPr>
          <w:rFonts w:ascii="Times New Roman" w:eastAsia="Times New Roman" w:hAnsi="Times New Roman" w:cs="Times New Roman"/>
          <w:bCs/>
          <w:iCs/>
          <w:noProof/>
          <w:color w:val="000000" w:themeColor="text1"/>
          <w:sz w:val="24"/>
          <w:szCs w:val="24"/>
          <w:lang w:eastAsia="fr-FR"/>
        </w:rPr>
        <w:t>g</w:t>
      </w:r>
      <w:r w:rsidR="00E517C4" w:rsidRPr="005E76F6">
        <w:rPr>
          <w:rFonts w:ascii="Times New Roman" w:eastAsia="Times New Roman" w:hAnsi="Times New Roman" w:cs="Times New Roman"/>
          <w:bCs/>
          <w:iCs/>
          <w:noProof/>
          <w:color w:val="000000" w:themeColor="text1"/>
          <w:sz w:val="24"/>
          <w:szCs w:val="24"/>
          <w:lang w:eastAsia="fr-FR"/>
        </w:rPr>
        <w:t xml:space="preserve">eneral </w:t>
      </w:r>
      <w:r w:rsidRPr="005E76F6">
        <w:rPr>
          <w:rFonts w:ascii="Times New Roman" w:eastAsia="Times New Roman" w:hAnsi="Times New Roman" w:cs="Times New Roman"/>
          <w:bCs/>
          <w:iCs/>
          <w:noProof/>
          <w:color w:val="000000" w:themeColor="text1"/>
          <w:sz w:val="24"/>
          <w:szCs w:val="24"/>
          <w:lang w:eastAsia="fr-FR"/>
        </w:rPr>
        <w:t>m</w:t>
      </w:r>
      <w:r w:rsidR="00E517C4" w:rsidRPr="005E76F6">
        <w:rPr>
          <w:rFonts w:ascii="Times New Roman" w:eastAsia="Times New Roman" w:hAnsi="Times New Roman" w:cs="Times New Roman"/>
          <w:bCs/>
          <w:iCs/>
          <w:noProof/>
          <w:color w:val="000000" w:themeColor="text1"/>
          <w:sz w:val="24"/>
          <w:szCs w:val="24"/>
          <w:lang w:eastAsia="fr-FR"/>
        </w:rPr>
        <w:t xml:space="preserve">anager or </w:t>
      </w:r>
      <w:r w:rsidRPr="005E76F6">
        <w:rPr>
          <w:rFonts w:ascii="Times New Roman" w:eastAsia="Times New Roman" w:hAnsi="Times New Roman" w:cs="Times New Roman"/>
          <w:bCs/>
          <w:iCs/>
          <w:noProof/>
          <w:color w:val="000000" w:themeColor="text1"/>
          <w:sz w:val="24"/>
          <w:szCs w:val="24"/>
          <w:lang w:eastAsia="fr-FR"/>
        </w:rPr>
        <w:t>c</w:t>
      </w:r>
      <w:r w:rsidR="00E517C4" w:rsidRPr="005E76F6">
        <w:rPr>
          <w:rFonts w:ascii="Times New Roman" w:eastAsia="Times New Roman" w:hAnsi="Times New Roman" w:cs="Times New Roman"/>
          <w:bCs/>
          <w:iCs/>
          <w:noProof/>
          <w:color w:val="000000" w:themeColor="text1"/>
          <w:sz w:val="24"/>
          <w:szCs w:val="24"/>
          <w:lang w:eastAsia="fr-FR"/>
        </w:rPr>
        <w:t xml:space="preserve">ompany </w:t>
      </w:r>
      <w:r w:rsidRPr="005E76F6">
        <w:rPr>
          <w:rFonts w:ascii="Times New Roman" w:eastAsia="Times New Roman" w:hAnsi="Times New Roman" w:cs="Times New Roman"/>
          <w:bCs/>
          <w:iCs/>
          <w:noProof/>
          <w:color w:val="000000" w:themeColor="text1"/>
          <w:sz w:val="24"/>
          <w:szCs w:val="24"/>
          <w:lang w:eastAsia="fr-FR"/>
        </w:rPr>
        <w:t>d</w:t>
      </w:r>
      <w:r w:rsidR="00E517C4" w:rsidRPr="005E76F6">
        <w:rPr>
          <w:rFonts w:ascii="Times New Roman" w:eastAsia="Times New Roman" w:hAnsi="Times New Roman" w:cs="Times New Roman"/>
          <w:bCs/>
          <w:iCs/>
          <w:noProof/>
          <w:color w:val="000000" w:themeColor="text1"/>
          <w:sz w:val="24"/>
          <w:szCs w:val="24"/>
          <w:lang w:eastAsia="fr-FR"/>
        </w:rPr>
        <w:t>irector.</w:t>
      </w:r>
    </w:p>
    <w:p w14:paraId="5A6D4FD0" w14:textId="5101B46C" w:rsidR="004C6A36" w:rsidRPr="005E76F6" w:rsidRDefault="004C6A36" w:rsidP="000C2B54">
      <w:pPr>
        <w:spacing w:after="120" w:line="240" w:lineRule="auto"/>
        <w:jc w:val="both"/>
        <w:rPr>
          <w:rFonts w:ascii="Times New Roman" w:eastAsia="Times New Roman" w:hAnsi="Times New Roman" w:cs="Times New Roman"/>
          <w:b/>
          <w:bCs/>
          <w:noProof/>
          <w:color w:val="000000" w:themeColor="text1"/>
          <w:sz w:val="24"/>
          <w:szCs w:val="24"/>
          <w:lang w:eastAsia="fr-FR"/>
        </w:rPr>
      </w:pPr>
      <w:r w:rsidRPr="005E76F6">
        <w:rPr>
          <w:rFonts w:ascii="Times New Roman" w:eastAsia="Times New Roman" w:hAnsi="Times New Roman" w:cs="Times New Roman"/>
          <w:bCs/>
          <w:iCs/>
          <w:noProof/>
          <w:color w:val="000000" w:themeColor="text1"/>
          <w:sz w:val="24"/>
          <w:szCs w:val="24"/>
          <w:lang w:eastAsia="fr-FR"/>
        </w:rPr>
        <w:t xml:space="preserve">There was one COSME action totally dedicated to </w:t>
      </w:r>
      <w:r w:rsidR="00E80F9E" w:rsidRPr="005E76F6">
        <w:rPr>
          <w:rFonts w:ascii="Times New Roman" w:eastAsia="Times New Roman" w:hAnsi="Times New Roman" w:cs="Times New Roman"/>
          <w:bCs/>
          <w:iCs/>
          <w:noProof/>
          <w:color w:val="000000" w:themeColor="text1"/>
          <w:sz w:val="24"/>
          <w:szCs w:val="24"/>
          <w:lang w:eastAsia="fr-FR"/>
        </w:rPr>
        <w:t>e</w:t>
      </w:r>
      <w:r w:rsidRPr="005E76F6">
        <w:rPr>
          <w:rFonts w:ascii="Times New Roman" w:eastAsia="Times New Roman" w:hAnsi="Times New Roman" w:cs="Times New Roman"/>
          <w:bCs/>
          <w:iCs/>
          <w:noProof/>
          <w:color w:val="000000" w:themeColor="text1"/>
          <w:sz w:val="24"/>
          <w:szCs w:val="24"/>
          <w:lang w:eastAsia="fr-FR"/>
        </w:rPr>
        <w:t xml:space="preserve">nhancing </w:t>
      </w:r>
      <w:r w:rsidR="00E80F9E" w:rsidRPr="005E76F6">
        <w:rPr>
          <w:rFonts w:ascii="Times New Roman" w:eastAsia="Times New Roman" w:hAnsi="Times New Roman" w:cs="Times New Roman"/>
          <w:bCs/>
          <w:iCs/>
          <w:noProof/>
          <w:color w:val="000000" w:themeColor="text1"/>
          <w:sz w:val="24"/>
          <w:szCs w:val="24"/>
          <w:lang w:eastAsia="fr-FR"/>
        </w:rPr>
        <w:t>d</w:t>
      </w:r>
      <w:r w:rsidRPr="005E76F6">
        <w:rPr>
          <w:rFonts w:ascii="Times New Roman" w:eastAsia="Times New Roman" w:hAnsi="Times New Roman" w:cs="Times New Roman"/>
          <w:bCs/>
          <w:iCs/>
          <w:noProof/>
          <w:color w:val="000000" w:themeColor="text1"/>
          <w:sz w:val="24"/>
          <w:szCs w:val="24"/>
          <w:lang w:eastAsia="fr-FR"/>
        </w:rPr>
        <w:t xml:space="preserve">igital and </w:t>
      </w:r>
      <w:r w:rsidR="00E80F9E" w:rsidRPr="005E76F6">
        <w:rPr>
          <w:rFonts w:ascii="Times New Roman" w:eastAsia="Times New Roman" w:hAnsi="Times New Roman" w:cs="Times New Roman"/>
          <w:bCs/>
          <w:iCs/>
          <w:noProof/>
          <w:color w:val="000000" w:themeColor="text1"/>
          <w:sz w:val="24"/>
          <w:szCs w:val="24"/>
          <w:lang w:eastAsia="fr-FR"/>
        </w:rPr>
        <w:t>e</w:t>
      </w:r>
      <w:r w:rsidRPr="005E76F6">
        <w:rPr>
          <w:rFonts w:ascii="Times New Roman" w:eastAsia="Times New Roman" w:hAnsi="Times New Roman" w:cs="Times New Roman"/>
          <w:bCs/>
          <w:iCs/>
          <w:noProof/>
          <w:color w:val="000000" w:themeColor="text1"/>
          <w:sz w:val="24"/>
          <w:szCs w:val="24"/>
          <w:lang w:eastAsia="fr-FR"/>
        </w:rPr>
        <w:t xml:space="preserve">ntrepreneurial competences in </w:t>
      </w:r>
      <w:r w:rsidR="00E80F9E" w:rsidRPr="005E76F6">
        <w:rPr>
          <w:rFonts w:ascii="Times New Roman" w:eastAsia="Times New Roman" w:hAnsi="Times New Roman" w:cs="Times New Roman"/>
          <w:bCs/>
          <w:iCs/>
          <w:noProof/>
          <w:color w:val="000000" w:themeColor="text1"/>
          <w:sz w:val="24"/>
          <w:szCs w:val="24"/>
          <w:lang w:eastAsia="fr-FR"/>
        </w:rPr>
        <w:t>g</w:t>
      </w:r>
      <w:r w:rsidRPr="005E76F6">
        <w:rPr>
          <w:rFonts w:ascii="Times New Roman" w:eastAsia="Times New Roman" w:hAnsi="Times New Roman" w:cs="Times New Roman"/>
          <w:bCs/>
          <w:iCs/>
          <w:noProof/>
          <w:color w:val="000000" w:themeColor="text1"/>
          <w:sz w:val="24"/>
          <w:szCs w:val="24"/>
          <w:lang w:eastAsia="fr-FR"/>
        </w:rPr>
        <w:t xml:space="preserve">irls and </w:t>
      </w:r>
      <w:r w:rsidR="00E80F9E" w:rsidRPr="005E76F6">
        <w:rPr>
          <w:rFonts w:ascii="Times New Roman" w:eastAsia="Times New Roman" w:hAnsi="Times New Roman" w:cs="Times New Roman"/>
          <w:bCs/>
          <w:iCs/>
          <w:noProof/>
          <w:color w:val="000000" w:themeColor="text1"/>
          <w:sz w:val="24"/>
          <w:szCs w:val="24"/>
          <w:lang w:eastAsia="fr-FR"/>
        </w:rPr>
        <w:t>w</w:t>
      </w:r>
      <w:r w:rsidRPr="005E76F6">
        <w:rPr>
          <w:rFonts w:ascii="Times New Roman" w:eastAsia="Times New Roman" w:hAnsi="Times New Roman" w:cs="Times New Roman"/>
          <w:bCs/>
          <w:iCs/>
          <w:noProof/>
          <w:color w:val="000000" w:themeColor="text1"/>
          <w:sz w:val="24"/>
          <w:szCs w:val="24"/>
          <w:lang w:eastAsia="fr-FR"/>
        </w:rPr>
        <w:t>omen (ESTEAM)</w:t>
      </w:r>
      <w:r w:rsidR="00C955BA" w:rsidRPr="005E76F6">
        <w:rPr>
          <w:rFonts w:ascii="Times New Roman" w:eastAsia="Times New Roman" w:hAnsi="Times New Roman" w:cs="Times New Roman"/>
          <w:bCs/>
          <w:iCs/>
          <w:noProof/>
          <w:color w:val="000000" w:themeColor="text1"/>
          <w:sz w:val="24"/>
          <w:szCs w:val="24"/>
          <w:lang w:eastAsia="fr-FR"/>
        </w:rPr>
        <w:t>. Further information is given in point 2.4 above.</w:t>
      </w:r>
    </w:p>
    <w:p w14:paraId="4E690146" w14:textId="6E120DB7" w:rsidR="006B10C4" w:rsidRPr="005E76F6" w:rsidRDefault="00FB70EF" w:rsidP="000C2B54">
      <w:pPr>
        <w:jc w:val="both"/>
        <w:rPr>
          <w:rStyle w:val="eop"/>
          <w:rFonts w:ascii="Times New Roman" w:hAnsi="Times New Roman" w:cs="Times New Roman"/>
          <w:noProof/>
          <w:color w:val="000000" w:themeColor="text1"/>
          <w:sz w:val="24"/>
          <w:szCs w:val="24"/>
        </w:rPr>
      </w:pPr>
      <w:r w:rsidRPr="005E76F6">
        <w:rPr>
          <w:rStyle w:val="eop"/>
          <w:rFonts w:ascii="Times New Roman" w:hAnsi="Times New Roman" w:cs="Times New Roman"/>
          <w:noProof/>
          <w:color w:val="000000" w:themeColor="text1"/>
          <w:sz w:val="24"/>
          <w:szCs w:val="24"/>
        </w:rPr>
        <w:t xml:space="preserve">57% of EEN coordinators are women, </w:t>
      </w:r>
      <w:r w:rsidR="00E80F9E" w:rsidRPr="005E76F6">
        <w:rPr>
          <w:rStyle w:val="eop"/>
          <w:rFonts w:ascii="Times New Roman" w:hAnsi="Times New Roman" w:cs="Times New Roman"/>
          <w:noProof/>
          <w:color w:val="000000" w:themeColor="text1"/>
          <w:sz w:val="24"/>
          <w:szCs w:val="24"/>
        </w:rPr>
        <w:t xml:space="preserve">while </w:t>
      </w:r>
      <w:r w:rsidRPr="005E76F6">
        <w:rPr>
          <w:rStyle w:val="eop"/>
          <w:rFonts w:ascii="Times New Roman" w:hAnsi="Times New Roman" w:cs="Times New Roman"/>
          <w:noProof/>
          <w:color w:val="000000" w:themeColor="text1"/>
          <w:sz w:val="24"/>
          <w:szCs w:val="24"/>
        </w:rPr>
        <w:t xml:space="preserve">43% are men. </w:t>
      </w:r>
      <w:r w:rsidR="006B10C4" w:rsidRPr="005E76F6">
        <w:rPr>
          <w:rStyle w:val="eop"/>
          <w:rFonts w:ascii="Times New Roman" w:hAnsi="Times New Roman" w:cs="Times New Roman"/>
          <w:noProof/>
          <w:color w:val="000000" w:themeColor="text1"/>
          <w:sz w:val="24"/>
          <w:szCs w:val="24"/>
        </w:rPr>
        <w:t>The EEN also has a dedicated group that supports women entrepreneurs and provides partnership and advisory services specifically tailored to their needs.</w:t>
      </w:r>
    </w:p>
    <w:p w14:paraId="2D62B851" w14:textId="2434EC0B" w:rsidR="006B10C4" w:rsidRPr="005E76F6" w:rsidRDefault="006B10C4" w:rsidP="000C2B54">
      <w:pPr>
        <w:spacing w:before="120" w:after="0"/>
        <w:jc w:val="both"/>
        <w:rPr>
          <w:rStyle w:val="eop"/>
          <w:rFonts w:ascii="Times New Roman" w:hAnsi="Times New Roman" w:cs="Times New Roman"/>
          <w:b/>
          <w:noProof/>
          <w:color w:val="000000" w:themeColor="text1"/>
          <w:sz w:val="24"/>
          <w:szCs w:val="24"/>
        </w:rPr>
      </w:pPr>
      <w:r w:rsidRPr="005E76F6">
        <w:rPr>
          <w:rStyle w:val="eop"/>
          <w:rFonts w:ascii="Times New Roman" w:hAnsi="Times New Roman" w:cs="Times New Roman"/>
          <w:noProof/>
          <w:color w:val="000000" w:themeColor="text1"/>
          <w:sz w:val="24"/>
          <w:szCs w:val="24"/>
        </w:rPr>
        <w:t>The COSME programme also created opportunities for businesses in sectors such as fashion and the social economy which are known to attract a high percentage of women entrepreneurs.</w:t>
      </w:r>
    </w:p>
    <w:p w14:paraId="696485B9" w14:textId="77777777" w:rsidR="00276E89" w:rsidRPr="0018775F" w:rsidRDefault="00276E89" w:rsidP="00434155">
      <w:pPr>
        <w:rPr>
          <w:rFonts w:ascii="Times New Roman" w:hAnsi="Times New Roman" w:cs="Times New Roman"/>
          <w:noProof/>
          <w:color w:val="000000" w:themeColor="text1"/>
          <w:sz w:val="24"/>
          <w:szCs w:val="24"/>
        </w:rPr>
      </w:pPr>
    </w:p>
    <w:sectPr w:rsidR="00276E89" w:rsidRPr="0018775F" w:rsidSect="00D36C88">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7DF6" w14:textId="77777777" w:rsidR="000F36A1" w:rsidRPr="00FE2948" w:rsidRDefault="000F36A1" w:rsidP="006C0532">
      <w:pPr>
        <w:spacing w:after="0" w:line="240" w:lineRule="auto"/>
      </w:pPr>
      <w:r w:rsidRPr="00FE2948">
        <w:separator/>
      </w:r>
    </w:p>
  </w:endnote>
  <w:endnote w:type="continuationSeparator" w:id="0">
    <w:p w14:paraId="326B99E0" w14:textId="77777777" w:rsidR="000F36A1" w:rsidRPr="00FE2948" w:rsidRDefault="000F36A1" w:rsidP="006C0532">
      <w:pPr>
        <w:spacing w:after="0" w:line="240" w:lineRule="auto"/>
      </w:pPr>
      <w:r w:rsidRPr="00FE29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8DEE" w14:textId="6954F0BC" w:rsidR="000F36A1" w:rsidRPr="00C927C4" w:rsidRDefault="000F36A1" w:rsidP="00C927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610F" w14:textId="77777777" w:rsidR="00C927C4" w:rsidRPr="00FE2948" w:rsidRDefault="00C927C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084456"/>
      <w:docPartObj>
        <w:docPartGallery w:val="Page Numbers (Bottom of Page)"/>
        <w:docPartUnique/>
      </w:docPartObj>
    </w:sdtPr>
    <w:sdtContent>
      <w:p w14:paraId="0646BBAD" w14:textId="77777777" w:rsidR="00C927C4" w:rsidRPr="00FE2948" w:rsidRDefault="00C927C4">
        <w:pPr>
          <w:pStyle w:val="Footer"/>
          <w:jc w:val="right"/>
        </w:pPr>
        <w:r w:rsidRPr="00FE2948">
          <w:fldChar w:fldCharType="begin"/>
        </w:r>
        <w:r w:rsidRPr="00FE2948">
          <w:instrText xml:space="preserve"> PAGE   \* MERGEFORMAT </w:instrText>
        </w:r>
        <w:r w:rsidRPr="00FE2948">
          <w:fldChar w:fldCharType="separate"/>
        </w:r>
        <w:r>
          <w:rPr>
            <w:noProof/>
          </w:rPr>
          <w:t>25</w:t>
        </w:r>
        <w:r w:rsidRPr="00FE2948">
          <w:fldChar w:fldCharType="end"/>
        </w:r>
      </w:p>
    </w:sdtContent>
  </w:sdt>
  <w:p w14:paraId="629A9C5C" w14:textId="77777777" w:rsidR="00C927C4" w:rsidRPr="00FE2948" w:rsidRDefault="00C927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73DF" w14:textId="77777777" w:rsidR="00C927C4" w:rsidRPr="00FE2948" w:rsidRDefault="00C92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D6F4" w14:textId="15D7D163" w:rsidR="000F36A1" w:rsidRPr="00C927C4" w:rsidRDefault="00C927C4" w:rsidP="00C927C4">
    <w:pPr>
      <w:pStyle w:val="FooterCoverPage"/>
      <w:rPr>
        <w:rFonts w:ascii="Arial" w:hAnsi="Arial" w:cs="Arial"/>
        <w:b/>
        <w:sz w:val="48"/>
      </w:rPr>
    </w:pPr>
    <w:r w:rsidRPr="00C927C4">
      <w:rPr>
        <w:rFonts w:ascii="Arial" w:hAnsi="Arial" w:cs="Arial"/>
        <w:b/>
        <w:sz w:val="48"/>
      </w:rPr>
      <w:t>EN</w:t>
    </w:r>
    <w:r w:rsidRPr="00C927C4">
      <w:rPr>
        <w:rFonts w:ascii="Arial" w:hAnsi="Arial" w:cs="Arial"/>
        <w:b/>
        <w:sz w:val="48"/>
      </w:rPr>
      <w:tab/>
    </w:r>
    <w:r w:rsidRPr="00C927C4">
      <w:rPr>
        <w:rFonts w:ascii="Arial" w:hAnsi="Arial" w:cs="Arial"/>
        <w:b/>
        <w:sz w:val="48"/>
      </w:rPr>
      <w:tab/>
    </w:r>
    <w:r w:rsidRPr="00C927C4">
      <w:tab/>
    </w:r>
    <w:r w:rsidRPr="00C927C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3ABC" w14:textId="77777777" w:rsidR="00C927C4" w:rsidRPr="00C927C4" w:rsidRDefault="00C927C4" w:rsidP="00C927C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EF67" w14:textId="77777777" w:rsidR="000F36A1" w:rsidRPr="00FE2948" w:rsidRDefault="000F36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082802"/>
      <w:docPartObj>
        <w:docPartGallery w:val="Page Numbers (Bottom of Page)"/>
        <w:docPartUnique/>
      </w:docPartObj>
    </w:sdtPr>
    <w:sdtEndPr/>
    <w:sdtContent>
      <w:p w14:paraId="68B88587" w14:textId="3C681B3B" w:rsidR="000F36A1" w:rsidRPr="00FE2948" w:rsidRDefault="000F36A1">
        <w:pPr>
          <w:pStyle w:val="Footer"/>
          <w:jc w:val="right"/>
        </w:pPr>
        <w:r w:rsidRPr="00FE2948">
          <w:fldChar w:fldCharType="begin"/>
        </w:r>
        <w:r w:rsidRPr="00FE2948">
          <w:instrText xml:space="preserve"> PAGE   \* MERGEFORMAT </w:instrText>
        </w:r>
        <w:r w:rsidRPr="00FE2948">
          <w:fldChar w:fldCharType="separate"/>
        </w:r>
        <w:r w:rsidR="00C927C4">
          <w:rPr>
            <w:noProof/>
          </w:rPr>
          <w:t>1</w:t>
        </w:r>
        <w:r w:rsidRPr="00FE2948">
          <w:fldChar w:fldCharType="end"/>
        </w:r>
      </w:p>
    </w:sdtContent>
  </w:sdt>
  <w:p w14:paraId="09E782BC" w14:textId="77777777" w:rsidR="000F36A1" w:rsidRPr="00FE2948" w:rsidRDefault="000F36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4F45" w14:textId="77777777" w:rsidR="000F36A1" w:rsidRPr="00FE2948" w:rsidRDefault="000F36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0807" w14:textId="77777777" w:rsidR="000F36A1" w:rsidRPr="00FE2948" w:rsidRDefault="000F36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140915"/>
      <w:docPartObj>
        <w:docPartGallery w:val="Page Numbers (Bottom of Page)"/>
        <w:docPartUnique/>
      </w:docPartObj>
    </w:sdtPr>
    <w:sdtEndPr/>
    <w:sdtContent>
      <w:p w14:paraId="571D1ED2" w14:textId="5E753800" w:rsidR="000F36A1" w:rsidRPr="00FE2948" w:rsidRDefault="000F36A1">
        <w:pPr>
          <w:pStyle w:val="Footer"/>
          <w:jc w:val="right"/>
        </w:pPr>
        <w:r w:rsidRPr="00FE2948">
          <w:fldChar w:fldCharType="begin"/>
        </w:r>
        <w:r w:rsidRPr="00FE2948">
          <w:instrText xml:space="preserve"> PAGE   \* MERGEFORMAT </w:instrText>
        </w:r>
        <w:r w:rsidRPr="00FE2948">
          <w:fldChar w:fldCharType="separate"/>
        </w:r>
        <w:r w:rsidR="00C927C4">
          <w:rPr>
            <w:noProof/>
          </w:rPr>
          <w:t>25</w:t>
        </w:r>
        <w:r w:rsidRPr="00FE2948">
          <w:fldChar w:fldCharType="end"/>
        </w:r>
      </w:p>
    </w:sdtContent>
  </w:sdt>
  <w:p w14:paraId="13344265" w14:textId="77777777" w:rsidR="000F36A1" w:rsidRPr="00FE2948" w:rsidRDefault="000F36A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79A5" w14:textId="77777777" w:rsidR="000F36A1" w:rsidRPr="00FE2948" w:rsidRDefault="000F3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65C4" w14:textId="77777777" w:rsidR="000F36A1" w:rsidRPr="00FE2948" w:rsidRDefault="000F36A1" w:rsidP="006C0532">
      <w:pPr>
        <w:spacing w:after="0" w:line="240" w:lineRule="auto"/>
      </w:pPr>
      <w:r w:rsidRPr="00FE2948">
        <w:separator/>
      </w:r>
    </w:p>
  </w:footnote>
  <w:footnote w:type="continuationSeparator" w:id="0">
    <w:p w14:paraId="04199052" w14:textId="77777777" w:rsidR="000F36A1" w:rsidRPr="00FE2948" w:rsidRDefault="000F36A1" w:rsidP="006C0532">
      <w:pPr>
        <w:spacing w:after="0" w:line="240" w:lineRule="auto"/>
      </w:pPr>
      <w:r w:rsidRPr="00FE2948">
        <w:continuationSeparator/>
      </w:r>
    </w:p>
  </w:footnote>
  <w:footnote w:id="1">
    <w:p w14:paraId="4EA5D1FB" w14:textId="52955258" w:rsidR="000F36A1" w:rsidRPr="00C527C6" w:rsidRDefault="000F36A1" w:rsidP="00C527C6">
      <w:pPr>
        <w:pStyle w:val="FootnoteText"/>
        <w:spacing w:before="60"/>
        <w:ind w:left="170" w:hanging="170"/>
        <w:jc w:val="both"/>
        <w:rPr>
          <w:color w:val="000000" w:themeColor="text1"/>
        </w:rPr>
      </w:pPr>
      <w:r w:rsidRPr="00C527C6">
        <w:rPr>
          <w:rStyle w:val="FootnoteReference"/>
        </w:rPr>
        <w:footnoteRef/>
      </w:r>
      <w:r w:rsidRPr="00C527C6">
        <w:t xml:space="preserve"> </w:t>
      </w:r>
      <w:r w:rsidRPr="00C527C6">
        <w:rPr>
          <w:color w:val="000000" w:themeColor="text1"/>
        </w:rPr>
        <w:t>Regulation (EU) No</w:t>
      </w:r>
      <w:r w:rsidR="00FE2948" w:rsidRPr="00C527C6">
        <w:rPr>
          <w:color w:val="000000" w:themeColor="text1"/>
        </w:rPr>
        <w:t> </w:t>
      </w:r>
      <w:r w:rsidRPr="00C527C6">
        <w:rPr>
          <w:color w:val="000000" w:themeColor="text1"/>
        </w:rPr>
        <w:t>1287/2013 of the European Parliament and of the Council of 11</w:t>
      </w:r>
      <w:r w:rsidR="00FE2948" w:rsidRPr="00C527C6">
        <w:rPr>
          <w:color w:val="000000" w:themeColor="text1"/>
        </w:rPr>
        <w:t> </w:t>
      </w:r>
      <w:r w:rsidRPr="00C527C6">
        <w:rPr>
          <w:color w:val="000000" w:themeColor="text1"/>
        </w:rPr>
        <w:t>December 2013 establishing a Programme for the Competitiveness of Enterprises and small and medium-sized enterprises (COSME) (2014-2020) and repealing Decision No</w:t>
      </w:r>
      <w:r w:rsidR="00FE2948" w:rsidRPr="00C527C6">
        <w:rPr>
          <w:color w:val="000000" w:themeColor="text1"/>
        </w:rPr>
        <w:t> </w:t>
      </w:r>
      <w:r w:rsidRPr="00C527C6">
        <w:rPr>
          <w:color w:val="000000" w:themeColor="text1"/>
        </w:rPr>
        <w:t>1639/2006/EC, OJ L 347, 20.12.2013, p.</w:t>
      </w:r>
      <w:r w:rsidR="00FE2948" w:rsidRPr="00C527C6">
        <w:rPr>
          <w:color w:val="000000" w:themeColor="text1"/>
        </w:rPr>
        <w:t> </w:t>
      </w:r>
      <w:r w:rsidRPr="00C527C6">
        <w:rPr>
          <w:color w:val="000000" w:themeColor="text1"/>
        </w:rPr>
        <w:t>33.</w:t>
      </w:r>
    </w:p>
  </w:footnote>
  <w:footnote w:id="2">
    <w:p w14:paraId="41769582" w14:textId="57797AAB" w:rsidR="000F36A1" w:rsidRPr="0088195D" w:rsidRDefault="000F36A1" w:rsidP="00C527C6">
      <w:pPr>
        <w:pStyle w:val="FootnoteText"/>
        <w:spacing w:before="60"/>
        <w:ind w:left="170" w:hanging="170"/>
        <w:jc w:val="both"/>
        <w:rPr>
          <w:color w:val="000000" w:themeColor="text1"/>
        </w:rPr>
      </w:pPr>
      <w:r w:rsidRPr="00C527C6">
        <w:rPr>
          <w:rStyle w:val="FootnoteReference"/>
          <w:color w:val="000000" w:themeColor="text1"/>
        </w:rPr>
        <w:footnoteRef/>
      </w:r>
      <w:r w:rsidRPr="00C527C6">
        <w:rPr>
          <w:color w:val="000000" w:themeColor="text1"/>
        </w:rPr>
        <w:t xml:space="preserve"> </w:t>
      </w:r>
      <w:r w:rsidR="00FE2948" w:rsidRPr="00C527C6">
        <w:rPr>
          <w:color w:val="000000" w:themeColor="text1"/>
        </w:rPr>
        <w:t>‘</w:t>
      </w:r>
      <w:r w:rsidRPr="00C527C6">
        <w:rPr>
          <w:color w:val="000000" w:themeColor="text1"/>
        </w:rPr>
        <w:t>Europe 2020 - A strategy for smart, sustainable and inclusive growth</w:t>
      </w:r>
      <w:r w:rsidR="00FE2948" w:rsidRPr="00C527C6">
        <w:rPr>
          <w:color w:val="000000" w:themeColor="text1"/>
        </w:rPr>
        <w:t>’</w:t>
      </w:r>
      <w:r w:rsidRPr="00C527C6">
        <w:rPr>
          <w:color w:val="000000" w:themeColor="text1"/>
        </w:rPr>
        <w:t xml:space="preserve"> was endorsed by the European Council of June 2010. See: </w:t>
      </w:r>
      <w:hyperlink r:id="rId1" w:history="1">
        <w:r w:rsidRPr="00C527C6">
          <w:rPr>
            <w:rStyle w:val="Hyperlink"/>
            <w:color w:val="000000" w:themeColor="text1"/>
          </w:rPr>
          <w:t>https://op.europa.eu/en/publication-detail/-/publication/6a915e39-0aab-491c-8881-147ec91fe88a</w:t>
        </w:r>
      </w:hyperlink>
      <w:r w:rsidR="0018775F">
        <w:rPr>
          <w:color w:val="000000" w:themeColor="text1"/>
        </w:rPr>
        <w:t xml:space="preserve"> </w:t>
      </w:r>
    </w:p>
  </w:footnote>
  <w:footnote w:id="3">
    <w:p w14:paraId="7F2751AB" w14:textId="183D7BDE" w:rsidR="000F36A1" w:rsidRPr="00C527C6" w:rsidRDefault="000F36A1" w:rsidP="00C527C6">
      <w:pPr>
        <w:pStyle w:val="FootnoteText"/>
        <w:spacing w:before="60"/>
        <w:ind w:left="170" w:hanging="170"/>
        <w:jc w:val="both"/>
        <w:rPr>
          <w:color w:val="000000" w:themeColor="text1"/>
        </w:rPr>
      </w:pPr>
      <w:r w:rsidRPr="00C527C6">
        <w:rPr>
          <w:rStyle w:val="FootnoteReference"/>
          <w:color w:val="000000" w:themeColor="text1"/>
        </w:rPr>
        <w:footnoteRef/>
      </w:r>
      <w:r w:rsidRPr="00C527C6">
        <w:rPr>
          <w:color w:val="000000" w:themeColor="text1"/>
        </w:rPr>
        <w:t xml:space="preserve"> The COSME Loan Guarantee Facility (LGF) has been topped up a number of times by the European Fund for Strategic Investments (EFSI)</w:t>
      </w:r>
      <w:r w:rsidR="00972745" w:rsidRPr="00C527C6">
        <w:rPr>
          <w:color w:val="000000" w:themeColor="text1"/>
        </w:rPr>
        <w:t>. This was</w:t>
      </w:r>
      <w:r w:rsidRPr="00C527C6">
        <w:rPr>
          <w:color w:val="000000" w:themeColor="text1"/>
        </w:rPr>
        <w:t xml:space="preserve"> </w:t>
      </w:r>
      <w:r w:rsidR="00972745" w:rsidRPr="00C527C6">
        <w:rPr>
          <w:color w:val="000000" w:themeColor="text1"/>
        </w:rPr>
        <w:t xml:space="preserve">because </w:t>
      </w:r>
      <w:r w:rsidRPr="00C527C6">
        <w:rPr>
          <w:color w:val="000000" w:themeColor="text1"/>
        </w:rPr>
        <w:t>the resources available under the COSME LGF were not sufficient to satisfy market demand for the financing of SMEs (i.e. the total applications received from financial intermediaries by the European Investment Fund). The COSME Equity Facility for Growth (EFG) resources are used for investments only after absorption of the available investment capacity of the Expansion and Growth Window under the EFSI Equity instrument.</w:t>
      </w:r>
    </w:p>
  </w:footnote>
  <w:footnote w:id="4">
    <w:p w14:paraId="2F7534B0" w14:textId="0210411D" w:rsidR="000F36A1" w:rsidRPr="00C527C6" w:rsidRDefault="000F36A1" w:rsidP="00C527C6">
      <w:pPr>
        <w:pStyle w:val="FootnoteText"/>
        <w:spacing w:before="60"/>
        <w:ind w:left="170" w:hanging="170"/>
        <w:jc w:val="both"/>
        <w:rPr>
          <w:color w:val="000000" w:themeColor="text1"/>
        </w:rPr>
      </w:pPr>
      <w:r w:rsidRPr="00C527C6">
        <w:rPr>
          <w:rStyle w:val="FootnoteReference"/>
          <w:color w:val="000000" w:themeColor="text1"/>
        </w:rPr>
        <w:footnoteRef/>
      </w:r>
      <w:r w:rsidRPr="00C527C6">
        <w:rPr>
          <w:color w:val="000000" w:themeColor="text1"/>
        </w:rPr>
        <w:t xml:space="preserve"> The COSME Loan Guarantee Facility (LGF) is part of the single EU debt financial instrument for EU enterprises’ growth and research and innovation (R&amp;I), together with the InnovFin SME Guarantee facility set up under the Horizon 2020 programme. </w:t>
      </w:r>
      <w:r w:rsidRPr="00C527C6">
        <w:rPr>
          <w:bCs/>
          <w:iCs/>
          <w:color w:val="000000" w:themeColor="text1"/>
          <w:lang w:eastAsia="fr-FR"/>
        </w:rPr>
        <w:t>The COSME Equity Facility for Growth (EFG) is part of the single EU equity financial instrument for EU enterprises’ growth and research and innovation (R&amp;I), together with the Horizon 2020 early-stage equity facility (the ‘InnovFin SME Venture Capital’ facility).</w:t>
      </w:r>
    </w:p>
  </w:footnote>
  <w:footnote w:id="5">
    <w:p w14:paraId="555A7A39" w14:textId="449EB9DF" w:rsidR="000F36A1" w:rsidRPr="00FE2948" w:rsidRDefault="000F36A1" w:rsidP="00EA3F25">
      <w:pPr>
        <w:pStyle w:val="FootnoteText"/>
        <w:spacing w:before="60"/>
        <w:ind w:left="198" w:hanging="198"/>
        <w:jc w:val="both"/>
        <w:rPr>
          <w:color w:val="000000" w:themeColor="text1"/>
        </w:rPr>
      </w:pPr>
      <w:r w:rsidRPr="00C527C6">
        <w:rPr>
          <w:rStyle w:val="FootnoteReference"/>
          <w:rFonts w:eastAsiaTheme="majorEastAsia"/>
          <w:color w:val="000000" w:themeColor="text1"/>
        </w:rPr>
        <w:footnoteRef/>
      </w:r>
      <w:r w:rsidRPr="00C527C6">
        <w:rPr>
          <w:color w:val="000000" w:themeColor="text1"/>
        </w:rPr>
        <w:t xml:space="preserve"> </w:t>
      </w:r>
      <w:hyperlink r:id="rId2" w:tgtFrame="_blank" w:history="1">
        <w:r w:rsidRPr="00C527C6">
          <w:rPr>
            <w:rStyle w:val="Hyperlink"/>
            <w:color w:val="000000" w:themeColor="text1"/>
          </w:rPr>
          <w:t>https://data.europa.eu/doi/10.2873/87360</w:t>
        </w:r>
      </w:hyperlink>
    </w:p>
  </w:footnote>
  <w:footnote w:id="6">
    <w:p w14:paraId="1943164E" w14:textId="6BA8044D" w:rsidR="000F36A1" w:rsidRPr="00C527C6" w:rsidRDefault="000F36A1" w:rsidP="00C527C6">
      <w:pPr>
        <w:pStyle w:val="FootnoteText"/>
        <w:spacing w:before="60"/>
        <w:ind w:left="170" w:hanging="170"/>
        <w:jc w:val="both"/>
      </w:pPr>
      <w:r w:rsidRPr="00C527C6">
        <w:rPr>
          <w:rStyle w:val="FootnoteReference"/>
          <w:color w:val="000000" w:themeColor="text1"/>
        </w:rPr>
        <w:footnoteRef/>
      </w:r>
      <w:r w:rsidRPr="00C527C6">
        <w:rPr>
          <w:color w:val="000000" w:themeColor="text1"/>
        </w:rPr>
        <w:t xml:space="preserve"> The United Kingdom ceased to be an EU Member State as from 31</w:t>
      </w:r>
      <w:r w:rsidR="00FE2948" w:rsidRPr="00C527C6">
        <w:rPr>
          <w:color w:val="000000" w:themeColor="text1"/>
        </w:rPr>
        <w:t> </w:t>
      </w:r>
      <w:r w:rsidRPr="00C527C6">
        <w:rPr>
          <w:color w:val="000000" w:themeColor="text1"/>
        </w:rPr>
        <w:t xml:space="preserve">January 2020. UK beneficiaries participating in actions funded under the EU budget of 2019 or </w:t>
      </w:r>
      <w:r w:rsidR="00BF2558" w:rsidRPr="00C527C6">
        <w:rPr>
          <w:color w:val="000000" w:themeColor="text1"/>
        </w:rPr>
        <w:t xml:space="preserve">from </w:t>
      </w:r>
      <w:r w:rsidRPr="00C527C6">
        <w:rPr>
          <w:color w:val="000000" w:themeColor="text1"/>
        </w:rPr>
        <w:t xml:space="preserve">earlier years continued to </w:t>
      </w:r>
      <w:bookmarkStart w:id="4" w:name="_Hlk134643149"/>
      <w:r w:rsidRPr="00C527C6">
        <w:rPr>
          <w:color w:val="000000" w:themeColor="text1"/>
        </w:rPr>
        <w:t xml:space="preserve">participate in the programme until the end of those actions, and </w:t>
      </w:r>
      <w:r w:rsidR="00933DE5">
        <w:rPr>
          <w:color w:val="000000" w:themeColor="text1"/>
        </w:rPr>
        <w:t xml:space="preserve">they </w:t>
      </w:r>
      <w:r w:rsidRPr="00C527C6">
        <w:rPr>
          <w:color w:val="000000" w:themeColor="text1"/>
        </w:rPr>
        <w:t>were allowed to participate in COSME until the end of the transition period (31</w:t>
      </w:r>
      <w:r w:rsidR="00C47396" w:rsidRPr="00C527C6">
        <w:rPr>
          <w:color w:val="000000" w:themeColor="text1"/>
        </w:rPr>
        <w:t xml:space="preserve"> December </w:t>
      </w:r>
      <w:r w:rsidRPr="00C527C6">
        <w:rPr>
          <w:color w:val="000000" w:themeColor="text1"/>
        </w:rPr>
        <w:t>2020).</w:t>
      </w:r>
    </w:p>
    <w:bookmarkEnd w:id="4"/>
  </w:footnote>
  <w:footnote w:id="7">
    <w:p w14:paraId="729ACDBA" w14:textId="27B9F32A" w:rsidR="000F36A1" w:rsidRPr="00C527C6" w:rsidRDefault="000F36A1" w:rsidP="00C527C6">
      <w:pPr>
        <w:pStyle w:val="FootnoteText"/>
        <w:spacing w:before="60"/>
        <w:ind w:left="170" w:hanging="170"/>
        <w:jc w:val="both"/>
      </w:pPr>
      <w:r w:rsidRPr="00C527C6">
        <w:rPr>
          <w:rStyle w:val="FootnoteReference"/>
        </w:rPr>
        <w:footnoteRef/>
      </w:r>
      <w:r w:rsidRPr="00C527C6">
        <w:t xml:space="preserve"> This designation is without prejudice to positions on status, and is in line with UNSCR 1244/1999 and the ICJ Opinion on Kosovo’s declaration of independence.</w:t>
      </w:r>
    </w:p>
  </w:footnote>
  <w:footnote w:id="8">
    <w:p w14:paraId="307E4193" w14:textId="23B24908" w:rsidR="000F36A1" w:rsidRPr="00C527C6" w:rsidRDefault="000F36A1" w:rsidP="00C527C6">
      <w:pPr>
        <w:spacing w:before="60" w:after="0" w:line="240" w:lineRule="auto"/>
        <w:ind w:left="170" w:hanging="170"/>
        <w:jc w:val="both"/>
        <w:rPr>
          <w:rFonts w:ascii="Times New Roman" w:hAnsi="Times New Roman" w:cs="Times New Roman"/>
          <w:sz w:val="20"/>
          <w:szCs w:val="20"/>
        </w:rPr>
      </w:pPr>
      <w:r w:rsidRPr="00C527C6">
        <w:rPr>
          <w:rStyle w:val="FootnoteReference"/>
          <w:rFonts w:ascii="Times New Roman" w:hAnsi="Times New Roman" w:cs="Times New Roman"/>
          <w:sz w:val="20"/>
          <w:szCs w:val="20"/>
        </w:rPr>
        <w:footnoteRef/>
      </w:r>
      <w:r w:rsidRPr="00C527C6">
        <w:rPr>
          <w:rFonts w:ascii="Times New Roman" w:hAnsi="Times New Roman" w:cs="Times New Roman"/>
          <w:sz w:val="20"/>
          <w:szCs w:val="20"/>
        </w:rPr>
        <w:t xml:space="preserve"> This report provides some country information for actions which had a broad geographical coverage of beneficiaries. In general, the selection criteria for COSME grants and procurement actions focused on non-geographical criteria such as conformity with the objectives of the action and the quality of proposals/tenders. The European dimension was also important. Most COSME actions did not have sufficient budget to provide a broad geographical coverage of eligible countries. There is no country information in this report in these cases.</w:t>
      </w:r>
    </w:p>
  </w:footnote>
  <w:footnote w:id="9">
    <w:p w14:paraId="57474C16" w14:textId="67F813EF" w:rsidR="000F36A1" w:rsidRPr="00C527C6" w:rsidRDefault="000F36A1" w:rsidP="00C527C6">
      <w:pPr>
        <w:pStyle w:val="FootnoteText"/>
        <w:spacing w:before="60"/>
        <w:ind w:left="170" w:hanging="170"/>
        <w:rPr>
          <w:color w:val="000000" w:themeColor="text1"/>
        </w:rPr>
      </w:pPr>
      <w:r w:rsidRPr="00C527C6">
        <w:rPr>
          <w:rStyle w:val="FootnoteReference"/>
          <w:color w:val="000000" w:themeColor="text1"/>
        </w:rPr>
        <w:footnoteRef/>
      </w:r>
      <w:r w:rsidRPr="00C527C6">
        <w:rPr>
          <w:color w:val="000000" w:themeColor="text1"/>
        </w:rPr>
        <w:t xml:space="preserve"> </w:t>
      </w:r>
      <w:r w:rsidR="00AB5459">
        <w:rPr>
          <w:color w:val="000000" w:themeColor="text1"/>
        </w:rPr>
        <w:t xml:space="preserve"> </w:t>
      </w:r>
      <w:r w:rsidRPr="00C527C6">
        <w:rPr>
          <w:color w:val="000000" w:themeColor="text1"/>
        </w:rPr>
        <w:t>Since 1</w:t>
      </w:r>
      <w:r w:rsidR="00C47396" w:rsidRPr="00C527C6">
        <w:rPr>
          <w:color w:val="000000" w:themeColor="text1"/>
        </w:rPr>
        <w:t xml:space="preserve"> April </w:t>
      </w:r>
      <w:r w:rsidRPr="00C527C6">
        <w:rPr>
          <w:color w:val="000000" w:themeColor="text1"/>
        </w:rPr>
        <w:t xml:space="preserve">2021, this agency is known as </w:t>
      </w:r>
      <w:r w:rsidR="00BF2558" w:rsidRPr="00C527C6">
        <w:rPr>
          <w:color w:val="000000" w:themeColor="text1"/>
        </w:rPr>
        <w:t xml:space="preserve">the </w:t>
      </w:r>
      <w:r w:rsidR="00FE2948" w:rsidRPr="00C527C6">
        <w:rPr>
          <w:color w:val="000000" w:themeColor="text1"/>
        </w:rPr>
        <w:t>‘</w:t>
      </w:r>
      <w:r w:rsidRPr="00C527C6">
        <w:rPr>
          <w:bCs/>
          <w:color w:val="000000" w:themeColor="text1"/>
        </w:rPr>
        <w:t>European Innovation Council and SME Executive Agency (EISMEA)</w:t>
      </w:r>
      <w:r w:rsidR="00FE2948" w:rsidRPr="00C527C6">
        <w:rPr>
          <w:color w:val="000000" w:themeColor="text1"/>
        </w:rPr>
        <w:t>’</w:t>
      </w:r>
      <w:r w:rsidRPr="00C527C6">
        <w:rPr>
          <w:color w:val="000000" w:themeColor="text1"/>
        </w:rPr>
        <w:t xml:space="preserve">. </w:t>
      </w:r>
      <w:r w:rsidRPr="00C527C6">
        <w:rPr>
          <w:bCs/>
          <w:color w:val="000000" w:themeColor="text1"/>
        </w:rPr>
        <w:t>The former name EASME is used throughout this report.</w:t>
      </w:r>
    </w:p>
  </w:footnote>
  <w:footnote w:id="10">
    <w:p w14:paraId="0810F42D" w14:textId="7E52BEC2" w:rsidR="000F36A1" w:rsidRPr="00C527C6" w:rsidRDefault="000F36A1" w:rsidP="00C527C6">
      <w:pPr>
        <w:pStyle w:val="FootnoteText"/>
        <w:spacing w:before="60"/>
        <w:ind w:left="170" w:hanging="170"/>
        <w:jc w:val="both"/>
      </w:pPr>
      <w:r w:rsidRPr="00C527C6">
        <w:rPr>
          <w:rStyle w:val="FootnoteReference"/>
        </w:rPr>
        <w:footnoteRef/>
      </w:r>
      <w:r w:rsidRPr="00C527C6">
        <w:t xml:space="preserve"> For example, the 2021 edition of the European Capital of Smart Tourism was cancelled as the selection jury was unable to </w:t>
      </w:r>
      <w:r w:rsidR="00C47396" w:rsidRPr="00C527C6">
        <w:t>meet</w:t>
      </w:r>
      <w:r w:rsidRPr="00C527C6">
        <w:t xml:space="preserve"> according to plan. Several events in South</w:t>
      </w:r>
      <w:r w:rsidR="001833C3" w:rsidRPr="00C527C6">
        <w:t>-</w:t>
      </w:r>
      <w:r w:rsidRPr="00C527C6">
        <w:t>East Asia</w:t>
      </w:r>
      <w:r w:rsidR="00C47396" w:rsidRPr="00C527C6">
        <w:t>,</w:t>
      </w:r>
      <w:r w:rsidRPr="00C527C6">
        <w:t xml:space="preserve"> </w:t>
      </w:r>
      <w:r w:rsidR="00C47396" w:rsidRPr="00C527C6">
        <w:t xml:space="preserve">including a clusters matchmaking event in Singapore, </w:t>
      </w:r>
      <w:r w:rsidRPr="00C527C6">
        <w:t>were postponed due to the particularly stringent sanitary/travel restrictions.</w:t>
      </w:r>
    </w:p>
  </w:footnote>
  <w:footnote w:id="11">
    <w:p w14:paraId="5538BC96" w14:textId="57F6DB65" w:rsidR="000F36A1" w:rsidRPr="00C527C6" w:rsidRDefault="000F36A1" w:rsidP="00C527C6">
      <w:pPr>
        <w:spacing w:before="60" w:after="0" w:line="240" w:lineRule="auto"/>
        <w:ind w:left="170" w:hanging="170"/>
        <w:jc w:val="both"/>
        <w:rPr>
          <w:rFonts w:ascii="Times New Roman" w:hAnsi="Times New Roman" w:cs="Times New Roman"/>
          <w:sz w:val="20"/>
          <w:szCs w:val="20"/>
        </w:rPr>
      </w:pPr>
      <w:r w:rsidRPr="00C527C6">
        <w:rPr>
          <w:rStyle w:val="FootnoteReference"/>
          <w:rFonts w:ascii="Times New Roman" w:hAnsi="Times New Roman" w:cs="Times New Roman"/>
          <w:sz w:val="20"/>
          <w:szCs w:val="20"/>
        </w:rPr>
        <w:footnoteRef/>
      </w:r>
      <w:r w:rsidRPr="00C527C6">
        <w:rPr>
          <w:rFonts w:ascii="Times New Roman" w:hAnsi="Times New Roman" w:cs="Times New Roman"/>
          <w:sz w:val="20"/>
          <w:szCs w:val="20"/>
        </w:rPr>
        <w:t xml:space="preserve"> </w:t>
      </w:r>
      <w:r w:rsidRPr="00C527C6">
        <w:rPr>
          <w:rFonts w:ascii="Times New Roman" w:eastAsia="Times New Roman" w:hAnsi="Times New Roman" w:cs="Times New Roman"/>
          <w:color w:val="000000" w:themeColor="text1"/>
          <w:sz w:val="20"/>
          <w:szCs w:val="20"/>
          <w:lang w:eastAsia="en-GB"/>
        </w:rPr>
        <w:t>For example, the European Social Economy Missions achieved good results, but stakeholders reported that virtual events had limited the quality/depth of cooperation.</w:t>
      </w:r>
    </w:p>
  </w:footnote>
  <w:footnote w:id="12">
    <w:p w14:paraId="5A4DA718" w14:textId="2E293A28" w:rsidR="000F36A1" w:rsidRPr="00C527C6" w:rsidRDefault="000F36A1" w:rsidP="00C527C6">
      <w:pPr>
        <w:pStyle w:val="FootnoteText"/>
        <w:spacing w:before="60"/>
        <w:ind w:left="170" w:hanging="170"/>
        <w:rPr>
          <w:color w:val="000000" w:themeColor="text1"/>
        </w:rPr>
      </w:pPr>
      <w:r w:rsidRPr="00C527C6">
        <w:rPr>
          <w:rStyle w:val="FootnoteReference"/>
          <w:color w:val="000000" w:themeColor="text1"/>
        </w:rPr>
        <w:footnoteRef/>
      </w:r>
      <w:r w:rsidRPr="00C527C6">
        <w:rPr>
          <w:color w:val="000000" w:themeColor="text1"/>
        </w:rPr>
        <w:t xml:space="preserve"> C(2020)7044 final: </w:t>
      </w:r>
      <w:hyperlink r:id="rId3" w:history="1">
        <w:r w:rsidRPr="00C527C6">
          <w:rPr>
            <w:rStyle w:val="Hyperlink"/>
          </w:rPr>
          <w:t>DocsRoom - European Commission (europa.eu)</w:t>
        </w:r>
      </w:hyperlink>
      <w:r w:rsidR="00FE2948" w:rsidRPr="00C527C6">
        <w:rPr>
          <w:rStyle w:val="Hyperlink"/>
          <w:color w:val="auto"/>
          <w:u w:val="none"/>
        </w:rPr>
        <w:t>.</w:t>
      </w:r>
    </w:p>
  </w:footnote>
  <w:footnote w:id="13">
    <w:p w14:paraId="70102100" w14:textId="7EA8DDC7" w:rsidR="000F36A1" w:rsidRPr="00FE2948" w:rsidRDefault="000F36A1" w:rsidP="00C527C6">
      <w:pPr>
        <w:pStyle w:val="FootnoteText"/>
        <w:spacing w:before="60"/>
        <w:ind w:left="170" w:hanging="170"/>
        <w:rPr>
          <w:color w:val="000000" w:themeColor="text1"/>
        </w:rPr>
      </w:pPr>
      <w:r w:rsidRPr="00396ECA">
        <w:rPr>
          <w:rStyle w:val="FootnoteReference"/>
          <w:color w:val="000000" w:themeColor="text1"/>
        </w:rPr>
        <w:footnoteRef/>
      </w:r>
      <w:r w:rsidRPr="00396ECA">
        <w:rPr>
          <w:color w:val="000000" w:themeColor="text1"/>
        </w:rPr>
        <w:t xml:space="preserve"> C(2020)6322 final: </w:t>
      </w:r>
      <w:hyperlink r:id="rId4" w:history="1">
        <w:r w:rsidRPr="00396ECA">
          <w:rPr>
            <w:rStyle w:val="Hyperlink"/>
          </w:rPr>
          <w:t>DocsRoom - European Commission (europa.eu)</w:t>
        </w:r>
      </w:hyperlink>
      <w:r w:rsidR="00FE2948" w:rsidRPr="00C527C6">
        <w:rPr>
          <w:rStyle w:val="Hyperlink"/>
          <w:color w:val="auto"/>
          <w:u w:val="none"/>
        </w:rPr>
        <w:t>.</w:t>
      </w:r>
    </w:p>
  </w:footnote>
  <w:footnote w:id="14">
    <w:p w14:paraId="35CF02AC" w14:textId="3C3E07EC" w:rsidR="000F36A1" w:rsidRPr="00FE2948" w:rsidRDefault="000F36A1" w:rsidP="00D773A9">
      <w:pPr>
        <w:pStyle w:val="FootnoteText"/>
        <w:spacing w:before="60"/>
        <w:ind w:left="170" w:hanging="198"/>
        <w:rPr>
          <w:highlight w:val="yellow"/>
        </w:rPr>
      </w:pPr>
      <w:r w:rsidRPr="00FE2948">
        <w:rPr>
          <w:color w:val="000000" w:themeColor="text1"/>
          <w:vertAlign w:val="superscript"/>
        </w:rPr>
        <w:footnoteRef/>
      </w:r>
      <w:r w:rsidRPr="00FE2948">
        <w:rPr>
          <w:color w:val="000000" w:themeColor="text1"/>
          <w:vertAlign w:val="superscript"/>
        </w:rPr>
        <w:t xml:space="preserve"> </w:t>
      </w:r>
      <w:r w:rsidRPr="00FE2948">
        <w:rPr>
          <w:color w:val="000000" w:themeColor="text1"/>
        </w:rPr>
        <w:t>SEC(2013) 493 final:</w:t>
      </w:r>
      <w:r w:rsidR="00FE2948" w:rsidRPr="00FE2948">
        <w:rPr>
          <w:color w:val="000000" w:themeColor="text1"/>
        </w:rPr>
        <w:t xml:space="preserve"> </w:t>
      </w:r>
      <w:hyperlink r:id="rId5" w:history="1">
        <w:r w:rsidRPr="00FE2948">
          <w:rPr>
            <w:rStyle w:val="Hyperlink"/>
          </w:rPr>
          <w:t>https://eur-lex.europa.eu/legal-content/EN/TXT/?uri=CELEX:52013SC0493(01)</w:t>
        </w:r>
      </w:hyperlink>
      <w:r w:rsidR="00FE2948" w:rsidRPr="00396ECA">
        <w:rPr>
          <w:rStyle w:val="Hyperlink"/>
          <w:color w:val="auto"/>
          <w:u w:val="none"/>
        </w:rPr>
        <w:t>.</w:t>
      </w:r>
    </w:p>
  </w:footnote>
  <w:footnote w:id="15">
    <w:p w14:paraId="26A01D78" w14:textId="0940558C" w:rsidR="000F36A1" w:rsidRPr="00FE2948" w:rsidRDefault="000F36A1" w:rsidP="00D773A9">
      <w:pPr>
        <w:pStyle w:val="FootnoteText"/>
        <w:spacing w:before="60"/>
        <w:ind w:left="170" w:hanging="198"/>
      </w:pPr>
      <w:r w:rsidRPr="00FE2948">
        <w:rPr>
          <w:rStyle w:val="FootnoteReference"/>
        </w:rPr>
        <w:footnoteRef/>
      </w:r>
      <w:r w:rsidRPr="00FE2948">
        <w:t xml:space="preserve"> Of which 16 agreements related to </w:t>
      </w:r>
      <w:r w:rsidR="009F6F58">
        <w:t>g</w:t>
      </w:r>
      <w:r w:rsidRPr="00FE2948">
        <w:t xml:space="preserve">rowth and </w:t>
      </w:r>
      <w:r w:rsidR="009F6F58">
        <w:t>e</w:t>
      </w:r>
      <w:r w:rsidRPr="00FE2948">
        <w:t xml:space="preserve">xpansion </w:t>
      </w:r>
      <w:r w:rsidR="009F6F58">
        <w:t>s</w:t>
      </w:r>
      <w:r w:rsidRPr="00FE2948">
        <w:t xml:space="preserve">tage funds and 7 related to </w:t>
      </w:r>
      <w:r w:rsidR="009F6F58">
        <w:t>m</w:t>
      </w:r>
      <w:r w:rsidRPr="00FE2948">
        <w:t xml:space="preserve">ulti-stage funds in combination with the </w:t>
      </w:r>
      <w:r w:rsidRPr="00DF767A">
        <w:t xml:space="preserve">Innovfin Equity Facility for </w:t>
      </w:r>
      <w:r w:rsidR="00DF767A" w:rsidRPr="00396ECA">
        <w:t>e</w:t>
      </w:r>
      <w:r w:rsidRPr="00DF767A">
        <w:t xml:space="preserve">arly </w:t>
      </w:r>
      <w:r w:rsidR="00DF767A" w:rsidRPr="00396ECA">
        <w:t>s</w:t>
      </w:r>
      <w:r w:rsidRPr="00DF767A">
        <w:t>tage set up</w:t>
      </w:r>
      <w:r w:rsidRPr="00FE2948">
        <w:t xml:space="preserve"> under Horizon 2020.</w:t>
      </w:r>
    </w:p>
  </w:footnote>
  <w:footnote w:id="16">
    <w:p w14:paraId="6E04E241" w14:textId="5F85FEF6" w:rsidR="000F36A1" w:rsidRPr="00FE2948" w:rsidRDefault="000F36A1" w:rsidP="00D773A9">
      <w:pPr>
        <w:pStyle w:val="FootnoteText"/>
        <w:spacing w:before="60"/>
        <w:ind w:left="170" w:hanging="198"/>
        <w:jc w:val="both"/>
      </w:pPr>
      <w:r w:rsidRPr="00FE2948">
        <w:rPr>
          <w:rStyle w:val="FootnoteReference"/>
        </w:rPr>
        <w:footnoteRef/>
      </w:r>
      <w:r w:rsidRPr="00FE2948">
        <w:t xml:space="preserve"> The EIF makes investments in privately managed intermediary risk</w:t>
      </w:r>
      <w:r w:rsidR="00BF2558">
        <w:t xml:space="preserve"> </w:t>
      </w:r>
      <w:r w:rsidRPr="00FE2948">
        <w:t xml:space="preserve">capital funds that make equity investments in </w:t>
      </w:r>
      <w:r w:rsidRPr="00CC447B">
        <w:t xml:space="preserve">SMEs. As the EIF is instructed to make investments alongside other investors that also invest in such funds on </w:t>
      </w:r>
      <w:r w:rsidR="00CC447B" w:rsidRPr="00396ECA">
        <w:t>an equal footing</w:t>
      </w:r>
      <w:r w:rsidRPr="00CC447B">
        <w:t>, the EU</w:t>
      </w:r>
      <w:r w:rsidRPr="00FE2948">
        <w:t xml:space="preserve"> financial contribution from the COSME </w:t>
      </w:r>
      <w:r w:rsidR="009F6F58">
        <w:t>p</w:t>
      </w:r>
      <w:r w:rsidRPr="00FE2948">
        <w:t xml:space="preserve">rogramme triggers the availability of additional investment funding in that risk capital fund. The 2.6 billion </w:t>
      </w:r>
      <w:r w:rsidR="009F6F58">
        <w:t xml:space="preserve">in </w:t>
      </w:r>
      <w:r w:rsidRPr="00FE2948">
        <w:t xml:space="preserve">mobilised financing is the overall funding made available in the risk funds that the EIF invested in. Thirdly, these investments had a multiplier effect, stimulating additional investments. The multiplier effect is estimated based on </w:t>
      </w:r>
      <w:r w:rsidR="009F6F58">
        <w:t xml:space="preserve">an </w:t>
      </w:r>
      <w:r w:rsidRPr="00FE2948">
        <w:t xml:space="preserve">EIF-EFSI multiplier calculation methodology for equity (e.g. </w:t>
      </w:r>
      <w:r w:rsidR="009F6F58" w:rsidRPr="00FE2948">
        <w:t xml:space="preserve">EUR </w:t>
      </w:r>
      <w:r w:rsidRPr="00FE2948">
        <w:t xml:space="preserve">1.9 of mobilised investments for </w:t>
      </w:r>
      <w:r w:rsidR="00FE2948">
        <w:t>EUR </w:t>
      </w:r>
      <w:r w:rsidRPr="00FE2948">
        <w:t>1 of mobilised financing)</w:t>
      </w:r>
      <w:r w:rsidR="00BF2558">
        <w:t>,</w:t>
      </w:r>
      <w:r w:rsidRPr="00FE2948">
        <w:t xml:space="preserve"> hence the 4.9 billion figure as mobilised investments.</w:t>
      </w:r>
    </w:p>
  </w:footnote>
  <w:footnote w:id="17">
    <w:p w14:paraId="007DFCD9" w14:textId="6555F285" w:rsidR="000F36A1" w:rsidRPr="000A78B6" w:rsidRDefault="000F36A1" w:rsidP="00D773A9">
      <w:pPr>
        <w:pStyle w:val="FootnoteText"/>
        <w:spacing w:before="60"/>
        <w:ind w:left="170" w:hanging="198"/>
        <w:jc w:val="both"/>
      </w:pPr>
      <w:r w:rsidRPr="000A78B6">
        <w:rPr>
          <w:rStyle w:val="FootnoteReference"/>
        </w:rPr>
        <w:footnoteRef/>
      </w:r>
      <w:r w:rsidRPr="000A78B6">
        <w:t xml:space="preserve"> </w:t>
      </w:r>
      <w:r w:rsidRPr="000A78B6">
        <w:rPr>
          <w:color w:val="000000" w:themeColor="text1"/>
        </w:rPr>
        <w:t>The COSME Regulation envisages investments from EUR</w:t>
      </w:r>
      <w:r w:rsidR="00FE2948" w:rsidRPr="000A78B6">
        <w:rPr>
          <w:color w:val="000000" w:themeColor="text1"/>
        </w:rPr>
        <w:t> </w:t>
      </w:r>
      <w:r w:rsidRPr="000A78B6">
        <w:rPr>
          <w:color w:val="000000" w:themeColor="text1"/>
        </w:rPr>
        <w:t>2.6 billion to EUR</w:t>
      </w:r>
      <w:r w:rsidR="00FE2948" w:rsidRPr="000A78B6">
        <w:rPr>
          <w:color w:val="000000" w:themeColor="text1"/>
        </w:rPr>
        <w:t> </w:t>
      </w:r>
      <w:r w:rsidRPr="000A78B6">
        <w:rPr>
          <w:color w:val="000000" w:themeColor="text1"/>
        </w:rPr>
        <w:t>3.9 billion in 360 to 540 SMEs</w:t>
      </w:r>
      <w:r w:rsidR="00C90E53" w:rsidRPr="000A78B6">
        <w:rPr>
          <w:color w:val="000000" w:themeColor="text1"/>
        </w:rPr>
        <w:t>. T</w:t>
      </w:r>
      <w:r w:rsidRPr="000A78B6">
        <w:rPr>
          <w:color w:val="000000" w:themeColor="text1"/>
        </w:rPr>
        <w:t>he EUR</w:t>
      </w:r>
      <w:r w:rsidR="00FE2948" w:rsidRPr="000A78B6">
        <w:rPr>
          <w:color w:val="000000" w:themeColor="text1"/>
        </w:rPr>
        <w:t> </w:t>
      </w:r>
      <w:r w:rsidRPr="000A78B6">
        <w:rPr>
          <w:color w:val="000000" w:themeColor="text1"/>
        </w:rPr>
        <w:t xml:space="preserve">2.6 billion of investments were made in 346 SMEs up to 2021 and the COSME EFG is planned to last until </w:t>
      </w:r>
      <w:r w:rsidR="00DF767A" w:rsidRPr="000A78B6">
        <w:rPr>
          <w:color w:val="000000" w:themeColor="text1"/>
        </w:rPr>
        <w:t xml:space="preserve">the final </w:t>
      </w:r>
      <w:r w:rsidRPr="000A78B6">
        <w:rPr>
          <w:color w:val="000000" w:themeColor="text1"/>
        </w:rPr>
        <w:t>operations are wound down, e.g. 31</w:t>
      </w:r>
      <w:r w:rsidR="00FE2948" w:rsidRPr="000A78B6">
        <w:rPr>
          <w:color w:val="000000" w:themeColor="text1"/>
        </w:rPr>
        <w:t> </w:t>
      </w:r>
      <w:r w:rsidRPr="000A78B6">
        <w:rPr>
          <w:color w:val="000000" w:themeColor="text1"/>
        </w:rPr>
        <w:t xml:space="preserve">December 2034. </w:t>
      </w:r>
      <w:r w:rsidRPr="000A78B6">
        <w:rPr>
          <w:bCs/>
          <w:color w:val="000000" w:themeColor="text1"/>
          <w:lang w:eastAsia="fr-FR"/>
        </w:rPr>
        <w:t>The implementation of the targets took account of the specific challenges of implementing this financial instrument</w:t>
      </w:r>
      <w:r w:rsidR="009F6F58" w:rsidRPr="000A78B6">
        <w:rPr>
          <w:bCs/>
          <w:color w:val="000000" w:themeColor="text1"/>
          <w:lang w:eastAsia="fr-FR"/>
        </w:rPr>
        <w:t>. These were: (i)</w:t>
      </w:r>
      <w:r w:rsidRPr="000A78B6">
        <w:rPr>
          <w:bCs/>
          <w:color w:val="000000" w:themeColor="text1"/>
          <w:lang w:eastAsia="fr-FR"/>
        </w:rPr>
        <w:t xml:space="preserve"> </w:t>
      </w:r>
      <w:r w:rsidR="009F6F58" w:rsidRPr="000A78B6">
        <w:rPr>
          <w:bCs/>
          <w:color w:val="000000" w:themeColor="text1"/>
          <w:lang w:eastAsia="fr-FR"/>
        </w:rPr>
        <w:t xml:space="preserve">the </w:t>
      </w:r>
      <w:r w:rsidRPr="000A78B6">
        <w:rPr>
          <w:color w:val="000000" w:themeColor="text1"/>
        </w:rPr>
        <w:t xml:space="preserve">priority of </w:t>
      </w:r>
      <w:r w:rsidRPr="000A78B6">
        <w:rPr>
          <w:bCs/>
          <w:color w:val="000000" w:themeColor="text1"/>
          <w:lang w:eastAsia="fr-FR"/>
        </w:rPr>
        <w:t xml:space="preserve">operations </w:t>
      </w:r>
      <w:r w:rsidRPr="000A78B6">
        <w:rPr>
          <w:color w:val="000000" w:themeColor="text1"/>
        </w:rPr>
        <w:t>in non-EU countries participating in COSME programme and the fact that investment demand is lower in these countries</w:t>
      </w:r>
      <w:r w:rsidR="009F6F58" w:rsidRPr="000A78B6">
        <w:rPr>
          <w:color w:val="000000" w:themeColor="text1"/>
        </w:rPr>
        <w:t xml:space="preserve">; </w:t>
      </w:r>
      <w:r w:rsidRPr="000A78B6">
        <w:rPr>
          <w:color w:val="000000" w:themeColor="text1"/>
        </w:rPr>
        <w:t xml:space="preserve">and </w:t>
      </w:r>
      <w:r w:rsidR="009F6F58" w:rsidRPr="000A78B6">
        <w:rPr>
          <w:color w:val="000000" w:themeColor="text1"/>
        </w:rPr>
        <w:t xml:space="preserve">(ii) </w:t>
      </w:r>
      <w:r w:rsidRPr="000A78B6">
        <w:rPr>
          <w:color w:val="000000" w:themeColor="text1"/>
        </w:rPr>
        <w:t>the time needed to sign agreements with funds, which first requires complex due diligence and fund-raising processes to be completed.</w:t>
      </w:r>
    </w:p>
  </w:footnote>
  <w:footnote w:id="18">
    <w:p w14:paraId="118BCE6E" w14:textId="3B7B115A" w:rsidR="0018775F" w:rsidRPr="0018775F" w:rsidRDefault="000F36A1" w:rsidP="0018775F">
      <w:pPr>
        <w:pStyle w:val="FootnoteText"/>
        <w:spacing w:before="60"/>
        <w:ind w:left="198" w:hanging="198"/>
        <w:rPr>
          <w:color w:val="000000" w:themeColor="text1"/>
          <w:u w:val="single"/>
        </w:rPr>
      </w:pPr>
      <w:r w:rsidRPr="000A78B6">
        <w:rPr>
          <w:rStyle w:val="FootnoteReference"/>
          <w:color w:val="000000" w:themeColor="text1"/>
        </w:rPr>
        <w:footnoteRef/>
      </w:r>
      <w:r w:rsidRPr="000A78B6">
        <w:rPr>
          <w:color w:val="000000" w:themeColor="text1"/>
        </w:rPr>
        <w:t xml:space="preserve"> </w:t>
      </w:r>
      <w:hyperlink r:id="rId6" w:history="1">
        <w:r w:rsidRPr="000A78B6">
          <w:rPr>
            <w:rStyle w:val="Hyperlink"/>
            <w:color w:val="000000" w:themeColor="text1"/>
          </w:rPr>
          <w:t>https://ec.europa.eu/docsroom/documents/43872</w:t>
        </w:r>
      </w:hyperlink>
    </w:p>
  </w:footnote>
  <w:footnote w:id="19">
    <w:p w14:paraId="57EE6708" w14:textId="219B794B" w:rsidR="000F36A1" w:rsidRPr="004D3F7E" w:rsidRDefault="000F36A1" w:rsidP="004D3F7E">
      <w:pPr>
        <w:pStyle w:val="FootnoteText"/>
        <w:spacing w:before="60"/>
        <w:ind w:left="187" w:hanging="187"/>
        <w:jc w:val="both"/>
        <w:rPr>
          <w:color w:val="000000" w:themeColor="text1"/>
        </w:rPr>
      </w:pPr>
      <w:r w:rsidRPr="004D3F7E">
        <w:rPr>
          <w:rStyle w:val="FootnoteReference"/>
          <w:color w:val="000000" w:themeColor="text1"/>
        </w:rPr>
        <w:footnoteRef/>
      </w:r>
      <w:r w:rsidRPr="004D3F7E">
        <w:rPr>
          <w:color w:val="000000" w:themeColor="text1"/>
        </w:rPr>
        <w:t xml:space="preserve"> Albania, Armenia, Bosnia and Herzegovina, Iceland, Kosovo, North Macedonia, Moldova, Montenegro, Serbia, Türkiye and Ukraine. The UK formally left the EU on 31</w:t>
      </w:r>
      <w:r w:rsidR="00FE2948" w:rsidRPr="004D3F7E">
        <w:rPr>
          <w:color w:val="000000" w:themeColor="text1"/>
        </w:rPr>
        <w:t> </w:t>
      </w:r>
      <w:r w:rsidRPr="004D3F7E">
        <w:rPr>
          <w:color w:val="000000" w:themeColor="text1"/>
        </w:rPr>
        <w:t xml:space="preserve">January 2020. </w:t>
      </w:r>
      <w:r w:rsidR="0047081E" w:rsidRPr="004D3F7E">
        <w:rPr>
          <w:color w:val="000000" w:themeColor="text1"/>
        </w:rPr>
        <w:t>It</w:t>
      </w:r>
      <w:r w:rsidRPr="004D3F7E">
        <w:rPr>
          <w:color w:val="000000" w:themeColor="text1"/>
        </w:rPr>
        <w:t xml:space="preserve"> continued to participate in actions such as EEN until the end of the programme, but no longer participated in governance structures</w:t>
      </w:r>
      <w:r w:rsidR="00FE2948" w:rsidRPr="004D3F7E">
        <w:rPr>
          <w:color w:val="000000" w:themeColor="text1"/>
        </w:rPr>
        <w:t>.</w:t>
      </w:r>
    </w:p>
  </w:footnote>
  <w:footnote w:id="20">
    <w:p w14:paraId="1E910159" w14:textId="0A48CB4F" w:rsidR="00BB4F6D" w:rsidRPr="00BB4F6D" w:rsidRDefault="00BB4F6D" w:rsidP="00315E47">
      <w:pPr>
        <w:spacing w:before="60" w:after="0" w:line="240" w:lineRule="auto"/>
        <w:ind w:left="187" w:hanging="187"/>
        <w:jc w:val="both"/>
      </w:pPr>
      <w:r>
        <w:rPr>
          <w:rStyle w:val="FootnoteReference"/>
        </w:rPr>
        <w:footnoteRef/>
      </w:r>
      <w:r>
        <w:t xml:space="preserve"> </w:t>
      </w:r>
      <w:r w:rsidR="00315E47" w:rsidRPr="00315E47">
        <w:rPr>
          <w:rFonts w:ascii="Times New Roman" w:eastAsia="Times New Roman" w:hAnsi="Times New Roman" w:cs="Times New Roman"/>
          <w:color w:val="000000" w:themeColor="text1"/>
          <w:sz w:val="20"/>
          <w:szCs w:val="20"/>
          <w:lang w:eastAsia="en-GB"/>
        </w:rPr>
        <w:t xml:space="preserve">This survey was </w:t>
      </w:r>
      <w:r w:rsidRPr="00315E47">
        <w:rPr>
          <w:rFonts w:ascii="Times New Roman" w:eastAsia="Times New Roman" w:hAnsi="Times New Roman" w:cs="Times New Roman"/>
          <w:color w:val="000000" w:themeColor="text1"/>
          <w:sz w:val="20"/>
          <w:szCs w:val="20"/>
          <w:lang w:eastAsia="en-GB"/>
        </w:rPr>
        <w:t>carried out from April 2021 until the end of June 2021</w:t>
      </w:r>
      <w:r w:rsidR="00315E47" w:rsidRPr="00315E47">
        <w:rPr>
          <w:rFonts w:ascii="Times New Roman" w:eastAsia="Times New Roman" w:hAnsi="Times New Roman" w:cs="Times New Roman"/>
          <w:color w:val="000000" w:themeColor="text1"/>
          <w:sz w:val="20"/>
          <w:szCs w:val="20"/>
          <w:lang w:eastAsia="en-GB"/>
        </w:rPr>
        <w:t xml:space="preserve"> with</w:t>
      </w:r>
      <w:r w:rsidRPr="00315E47">
        <w:rPr>
          <w:rFonts w:ascii="Times New Roman" w:eastAsia="Times New Roman" w:hAnsi="Times New Roman" w:cs="Times New Roman"/>
          <w:color w:val="000000" w:themeColor="text1"/>
          <w:sz w:val="20"/>
          <w:szCs w:val="20"/>
          <w:lang w:eastAsia="en-GB"/>
        </w:rPr>
        <w:t xml:space="preserve"> 2361 responses</w:t>
      </w:r>
      <w:r w:rsidR="00315E47">
        <w:rPr>
          <w:rFonts w:ascii="Times New Roman" w:eastAsia="Times New Roman" w:hAnsi="Times New Roman" w:cs="Times New Roman"/>
          <w:color w:val="000000" w:themeColor="text1"/>
          <w:sz w:val="20"/>
          <w:szCs w:val="20"/>
          <w:lang w:eastAsia="en-GB"/>
        </w:rPr>
        <w:t>.</w:t>
      </w:r>
    </w:p>
  </w:footnote>
  <w:footnote w:id="21">
    <w:p w14:paraId="6E701C13" w14:textId="69CA2194" w:rsidR="000F36A1" w:rsidRPr="004D3F7E" w:rsidRDefault="000F36A1" w:rsidP="004D3F7E">
      <w:pPr>
        <w:spacing w:before="60" w:after="0" w:line="240" w:lineRule="auto"/>
        <w:ind w:left="187" w:hanging="187"/>
        <w:jc w:val="both"/>
        <w:rPr>
          <w:rFonts w:ascii="Times New Roman" w:hAnsi="Times New Roman" w:cs="Times New Roman"/>
          <w:sz w:val="20"/>
          <w:szCs w:val="20"/>
        </w:rPr>
      </w:pPr>
      <w:r w:rsidRPr="004D3F7E">
        <w:rPr>
          <w:rStyle w:val="FootnoteReference"/>
          <w:rFonts w:ascii="Times New Roman" w:hAnsi="Times New Roman" w:cs="Times New Roman"/>
          <w:color w:val="000000" w:themeColor="text1"/>
          <w:sz w:val="20"/>
          <w:szCs w:val="20"/>
        </w:rPr>
        <w:footnoteRef/>
      </w:r>
      <w:r w:rsidRPr="00E43F2A">
        <w:rPr>
          <w:rFonts w:ascii="Times New Roman" w:hAnsi="Times New Roman" w:cs="Times New Roman"/>
          <w:color w:val="000000" w:themeColor="text1"/>
          <w:sz w:val="16"/>
          <w:szCs w:val="16"/>
        </w:rPr>
        <w:t xml:space="preserve"> </w:t>
      </w:r>
      <w:r w:rsidRPr="004D3F7E">
        <w:rPr>
          <w:rFonts w:ascii="Times New Roman" w:eastAsia="Times New Roman" w:hAnsi="Times New Roman" w:cs="Times New Roman"/>
          <w:color w:val="000000" w:themeColor="text1"/>
          <w:sz w:val="20"/>
          <w:szCs w:val="20"/>
          <w:lang w:eastAsia="en-GB"/>
        </w:rPr>
        <w:t xml:space="preserve">These services provided EIC beneficiaries with specific support to implement their project and </w:t>
      </w:r>
      <w:r w:rsidR="00826234" w:rsidRPr="004D3F7E">
        <w:rPr>
          <w:rFonts w:ascii="Times New Roman" w:eastAsia="Times New Roman" w:hAnsi="Times New Roman" w:cs="Times New Roman"/>
          <w:color w:val="000000" w:themeColor="text1"/>
          <w:sz w:val="20"/>
          <w:szCs w:val="20"/>
          <w:lang w:eastAsia="en-GB"/>
        </w:rPr>
        <w:t>helped</w:t>
      </w:r>
      <w:r w:rsidRPr="004D3F7E">
        <w:rPr>
          <w:rFonts w:ascii="Times New Roman" w:eastAsia="Times New Roman" w:hAnsi="Times New Roman" w:cs="Times New Roman"/>
          <w:color w:val="000000" w:themeColor="text1"/>
          <w:sz w:val="20"/>
          <w:szCs w:val="20"/>
          <w:lang w:eastAsia="en-GB"/>
        </w:rPr>
        <w:t xml:space="preserve"> particularly innovative companies</w:t>
      </w:r>
      <w:r w:rsidR="005D5F7C" w:rsidRPr="004D3F7E">
        <w:rPr>
          <w:rFonts w:ascii="Times New Roman" w:eastAsia="Times New Roman" w:hAnsi="Times New Roman" w:cs="Times New Roman"/>
          <w:color w:val="000000" w:themeColor="text1"/>
          <w:sz w:val="20"/>
          <w:szCs w:val="20"/>
          <w:lang w:eastAsia="en-GB"/>
        </w:rPr>
        <w:t xml:space="preserve"> </w:t>
      </w:r>
      <w:r w:rsidRPr="004D3F7E">
        <w:rPr>
          <w:rFonts w:ascii="Times New Roman" w:eastAsia="Times New Roman" w:hAnsi="Times New Roman" w:cs="Times New Roman"/>
          <w:color w:val="000000" w:themeColor="text1"/>
          <w:sz w:val="20"/>
          <w:szCs w:val="20"/>
          <w:lang w:eastAsia="en-GB"/>
        </w:rPr>
        <w:t>enhanc</w:t>
      </w:r>
      <w:r w:rsidR="00826234" w:rsidRPr="004D3F7E">
        <w:rPr>
          <w:rFonts w:ascii="Times New Roman" w:eastAsia="Times New Roman" w:hAnsi="Times New Roman" w:cs="Times New Roman"/>
          <w:color w:val="000000" w:themeColor="text1"/>
          <w:sz w:val="20"/>
          <w:szCs w:val="20"/>
          <w:lang w:eastAsia="en-GB"/>
        </w:rPr>
        <w:t xml:space="preserve">e </w:t>
      </w:r>
      <w:r w:rsidRPr="004D3F7E">
        <w:rPr>
          <w:rFonts w:ascii="Times New Roman" w:eastAsia="Times New Roman" w:hAnsi="Times New Roman" w:cs="Times New Roman"/>
          <w:color w:val="000000" w:themeColor="text1"/>
          <w:sz w:val="20"/>
          <w:szCs w:val="20"/>
          <w:lang w:eastAsia="en-GB"/>
        </w:rPr>
        <w:t>their innovation management capacities.</w:t>
      </w:r>
    </w:p>
  </w:footnote>
  <w:footnote w:id="22">
    <w:p w14:paraId="206D09AA" w14:textId="414A219F" w:rsidR="000F36A1" w:rsidRPr="004D3F7E" w:rsidRDefault="000F36A1" w:rsidP="004D3F7E">
      <w:pPr>
        <w:spacing w:before="60" w:after="0" w:line="240" w:lineRule="auto"/>
        <w:ind w:left="187" w:hanging="187"/>
        <w:jc w:val="both"/>
        <w:rPr>
          <w:rFonts w:ascii="Times New Roman" w:hAnsi="Times New Roman" w:cs="Times New Roman"/>
          <w:sz w:val="20"/>
          <w:szCs w:val="20"/>
        </w:rPr>
      </w:pPr>
      <w:r w:rsidRPr="004D3F7E">
        <w:rPr>
          <w:rStyle w:val="FootnoteReference"/>
          <w:rFonts w:ascii="Times New Roman" w:hAnsi="Times New Roman" w:cs="Times New Roman"/>
          <w:sz w:val="20"/>
          <w:szCs w:val="20"/>
        </w:rPr>
        <w:footnoteRef/>
      </w:r>
      <w:r w:rsidRPr="004D3F7E">
        <w:rPr>
          <w:rFonts w:ascii="Times New Roman" w:hAnsi="Times New Roman" w:cs="Times New Roman"/>
          <w:sz w:val="20"/>
          <w:szCs w:val="20"/>
        </w:rPr>
        <w:t xml:space="preserve"> </w:t>
      </w:r>
      <w:r w:rsidRPr="004D3F7E">
        <w:rPr>
          <w:rFonts w:ascii="Times New Roman" w:eastAsia="Times New Roman" w:hAnsi="Times New Roman" w:cs="Times New Roman"/>
          <w:bCs/>
          <w:iCs/>
          <w:sz w:val="20"/>
          <w:szCs w:val="20"/>
          <w:lang w:eastAsia="fr-FR"/>
        </w:rPr>
        <w:t xml:space="preserve">The International IP Helpdesk India (COSME), the European IP Helpdesk (Horizon 2020), the Africa IP Helpdesk (European Union Intellectual Property Office) and IP Key (DG TRADE) for joint events on IP. They share a website with the Indian, European and Africa </w:t>
      </w:r>
      <w:r w:rsidR="00452C6A" w:rsidRPr="004D3F7E">
        <w:rPr>
          <w:rFonts w:ascii="Times New Roman" w:eastAsia="Times New Roman" w:hAnsi="Times New Roman" w:cs="Times New Roman"/>
          <w:bCs/>
          <w:iCs/>
          <w:sz w:val="20"/>
          <w:szCs w:val="20"/>
          <w:lang w:eastAsia="fr-FR"/>
        </w:rPr>
        <w:t>h</w:t>
      </w:r>
      <w:r w:rsidRPr="004D3F7E">
        <w:rPr>
          <w:rFonts w:ascii="Times New Roman" w:eastAsia="Times New Roman" w:hAnsi="Times New Roman" w:cs="Times New Roman"/>
          <w:bCs/>
          <w:iCs/>
          <w:sz w:val="20"/>
          <w:szCs w:val="20"/>
          <w:lang w:eastAsia="fr-FR"/>
        </w:rPr>
        <w:t xml:space="preserve">elpdesks and have participated as IP expertise providers in international EU Gateway/ Business Avenues missions (funded by the Foreign Policy Initiative) and </w:t>
      </w:r>
      <w:r w:rsidR="00452C6A" w:rsidRPr="004D3F7E">
        <w:rPr>
          <w:rFonts w:ascii="Times New Roman" w:eastAsia="Times New Roman" w:hAnsi="Times New Roman" w:cs="Times New Roman"/>
          <w:bCs/>
          <w:iCs/>
          <w:sz w:val="20"/>
          <w:szCs w:val="20"/>
          <w:lang w:eastAsia="fr-FR"/>
        </w:rPr>
        <w:t>c</w:t>
      </w:r>
      <w:r w:rsidRPr="004D3F7E">
        <w:rPr>
          <w:rFonts w:ascii="Times New Roman" w:eastAsia="Times New Roman" w:hAnsi="Times New Roman" w:cs="Times New Roman"/>
          <w:bCs/>
          <w:iCs/>
          <w:sz w:val="20"/>
          <w:szCs w:val="20"/>
          <w:lang w:eastAsia="fr-FR"/>
        </w:rPr>
        <w:t xml:space="preserve">ircular </w:t>
      </w:r>
      <w:r w:rsidR="00452C6A" w:rsidRPr="004D3F7E">
        <w:rPr>
          <w:rFonts w:ascii="Times New Roman" w:eastAsia="Times New Roman" w:hAnsi="Times New Roman" w:cs="Times New Roman"/>
          <w:bCs/>
          <w:iCs/>
          <w:sz w:val="20"/>
          <w:szCs w:val="20"/>
          <w:lang w:eastAsia="fr-FR"/>
        </w:rPr>
        <w:t>e</w:t>
      </w:r>
      <w:r w:rsidRPr="004D3F7E">
        <w:rPr>
          <w:rFonts w:ascii="Times New Roman" w:eastAsia="Times New Roman" w:hAnsi="Times New Roman" w:cs="Times New Roman"/>
          <w:bCs/>
          <w:iCs/>
          <w:sz w:val="20"/>
          <w:szCs w:val="20"/>
          <w:lang w:eastAsia="fr-FR"/>
        </w:rPr>
        <w:t xml:space="preserve">conomy </w:t>
      </w:r>
      <w:r w:rsidR="00452C6A" w:rsidRPr="004D3F7E">
        <w:rPr>
          <w:rFonts w:ascii="Times New Roman" w:eastAsia="Times New Roman" w:hAnsi="Times New Roman" w:cs="Times New Roman"/>
          <w:bCs/>
          <w:iCs/>
          <w:sz w:val="20"/>
          <w:szCs w:val="20"/>
          <w:lang w:eastAsia="fr-FR"/>
        </w:rPr>
        <w:t>m</w:t>
      </w:r>
      <w:r w:rsidRPr="004D3F7E">
        <w:rPr>
          <w:rFonts w:ascii="Times New Roman" w:eastAsia="Times New Roman" w:hAnsi="Times New Roman" w:cs="Times New Roman"/>
          <w:bCs/>
          <w:iCs/>
          <w:sz w:val="20"/>
          <w:szCs w:val="20"/>
          <w:lang w:eastAsia="fr-FR"/>
        </w:rPr>
        <w:t xml:space="preserve">issions (DG </w:t>
      </w:r>
      <w:r w:rsidR="0047081E" w:rsidRPr="004D3F7E">
        <w:rPr>
          <w:rFonts w:ascii="Times New Roman" w:eastAsia="Times New Roman" w:hAnsi="Times New Roman" w:cs="Times New Roman"/>
          <w:bCs/>
          <w:iCs/>
          <w:sz w:val="20"/>
          <w:szCs w:val="20"/>
          <w:lang w:eastAsia="fr-FR"/>
        </w:rPr>
        <w:t>ENVIRONMENT</w:t>
      </w:r>
      <w:r w:rsidRPr="004D3F7E">
        <w:rPr>
          <w:rFonts w:ascii="Times New Roman" w:eastAsia="Times New Roman" w:hAnsi="Times New Roman" w:cs="Times New Roman"/>
          <w:bCs/>
          <w:iCs/>
          <w:sz w:val="20"/>
          <w:szCs w:val="20"/>
          <w:lang w:eastAsia="fr-FR"/>
        </w:rPr>
        <w:t>).</w:t>
      </w:r>
    </w:p>
  </w:footnote>
  <w:footnote w:id="23">
    <w:p w14:paraId="08450EE3" w14:textId="6389A707" w:rsidR="000F36A1" w:rsidRPr="00D06DA9" w:rsidRDefault="000F36A1" w:rsidP="00D06DA9">
      <w:pPr>
        <w:pStyle w:val="FootnoteText"/>
        <w:spacing w:before="60"/>
        <w:ind w:left="187" w:hanging="187"/>
        <w:jc w:val="both"/>
        <w:rPr>
          <w:color w:val="000000" w:themeColor="text1"/>
        </w:rPr>
      </w:pPr>
      <w:r w:rsidRPr="004D3F7E">
        <w:rPr>
          <w:rStyle w:val="FootnoteReference"/>
        </w:rPr>
        <w:footnoteRef/>
      </w:r>
      <w:r w:rsidRPr="004D3F7E">
        <w:t xml:space="preserve"> </w:t>
      </w:r>
      <w:r w:rsidRPr="00D06DA9">
        <w:rPr>
          <w:color w:val="000000" w:themeColor="text1"/>
        </w:rPr>
        <w:t xml:space="preserve">This </w:t>
      </w:r>
      <w:r w:rsidRPr="00D06DA9">
        <w:rPr>
          <w:bCs/>
          <w:color w:val="000000" w:themeColor="text1"/>
          <w:lang w:eastAsia="fr-FR"/>
        </w:rPr>
        <w:t>entered into force on 1</w:t>
      </w:r>
      <w:r w:rsidR="00FE2948" w:rsidRPr="00D06DA9">
        <w:rPr>
          <w:bCs/>
          <w:color w:val="000000" w:themeColor="text1"/>
          <w:lang w:eastAsia="fr-FR"/>
        </w:rPr>
        <w:t> </w:t>
      </w:r>
      <w:r w:rsidRPr="00D06DA9">
        <w:rPr>
          <w:bCs/>
          <w:color w:val="000000" w:themeColor="text1"/>
          <w:lang w:eastAsia="fr-FR"/>
        </w:rPr>
        <w:t xml:space="preserve">February 2019. See: </w:t>
      </w:r>
      <w:hyperlink r:id="rId7" w:history="1">
        <w:r w:rsidRPr="00E43F2A">
          <w:rPr>
            <w:rStyle w:val="Hyperlink"/>
            <w:bCs/>
            <w:color w:val="000000" w:themeColor="text1"/>
            <w:u w:val="none"/>
            <w:lang w:eastAsia="fr-FR"/>
          </w:rPr>
          <w:t>https://policy.trade.ec.europa.eu/eu-trade-relationships-country-and-region/countries-and-regions/japan/eu-japan-agreement/eu-japan-agreement-chapter-chapter_en</w:t>
        </w:r>
      </w:hyperlink>
      <w:r w:rsidR="00FE2948" w:rsidRPr="00E43F2A">
        <w:rPr>
          <w:rStyle w:val="Hyperlink"/>
          <w:color w:val="000000" w:themeColor="text1"/>
          <w:u w:val="none"/>
        </w:rPr>
        <w:t>.</w:t>
      </w:r>
    </w:p>
  </w:footnote>
  <w:footnote w:id="24">
    <w:p w14:paraId="5DE9E5C2" w14:textId="1617C2DC" w:rsidR="0046425B" w:rsidRPr="00F00123" w:rsidRDefault="0046425B" w:rsidP="00D06DA9">
      <w:pPr>
        <w:pStyle w:val="Heading1"/>
        <w:numPr>
          <w:ilvl w:val="0"/>
          <w:numId w:val="0"/>
        </w:numPr>
        <w:spacing w:before="60" w:line="240" w:lineRule="auto"/>
        <w:ind w:left="187" w:hanging="187"/>
        <w:rPr>
          <w:color w:val="000000" w:themeColor="text1"/>
          <w:lang w:val="en-IE"/>
        </w:rPr>
      </w:pPr>
      <w:r w:rsidRPr="00D06DA9">
        <w:rPr>
          <w:rStyle w:val="FootnoteReference"/>
          <w:rFonts w:eastAsia="Times New Roman"/>
          <w:color w:val="000000" w:themeColor="text1"/>
          <w:sz w:val="20"/>
          <w:szCs w:val="20"/>
          <w:lang w:eastAsia="en-GB"/>
        </w:rPr>
        <w:footnoteRef/>
      </w:r>
      <w:r w:rsidRPr="00D06DA9">
        <w:rPr>
          <w:rStyle w:val="FootnoteReference"/>
          <w:rFonts w:eastAsia="Times New Roman"/>
          <w:color w:val="000000" w:themeColor="text1"/>
          <w:sz w:val="20"/>
          <w:szCs w:val="20"/>
          <w:lang w:eastAsia="en-GB"/>
        </w:rPr>
        <w:t xml:space="preserve"> </w:t>
      </w:r>
      <w:r w:rsidR="00D06DA9">
        <w:rPr>
          <w:rFonts w:eastAsia="Times New Roman"/>
          <w:color w:val="000000" w:themeColor="text1"/>
          <w:sz w:val="20"/>
          <w:szCs w:val="20"/>
          <w:lang w:eastAsia="en-GB"/>
        </w:rPr>
        <w:t xml:space="preserve"> </w:t>
      </w:r>
      <w:hyperlink r:id="rId8" w:history="1">
        <w:r w:rsidRPr="00E43F2A">
          <w:rPr>
            <w:rStyle w:val="Hyperlink"/>
            <w:color w:val="000000" w:themeColor="text1"/>
            <w:sz w:val="20"/>
            <w:szCs w:val="20"/>
            <w:u w:val="none"/>
            <w:lang w:val="en-IE"/>
          </w:rPr>
          <w:t>European Court of Auditors Special report 07/2022: SME internationalisation instruments - A large number of support actions but not fully coherent or coordinated</w:t>
        </w:r>
      </w:hyperlink>
      <w:r w:rsidRPr="00F00123">
        <w:rPr>
          <w:color w:val="000000" w:themeColor="text1"/>
          <w:sz w:val="20"/>
          <w:szCs w:val="20"/>
          <w:lang w:val="en-IE"/>
        </w:rPr>
        <w:t>. This covered the 2014-20 financial period.</w:t>
      </w:r>
    </w:p>
  </w:footnote>
  <w:footnote w:id="25">
    <w:p w14:paraId="7AFF46DB" w14:textId="7B5576CB" w:rsidR="000F36A1" w:rsidRPr="004D3F7E" w:rsidRDefault="000F36A1" w:rsidP="00D06DA9">
      <w:pPr>
        <w:pStyle w:val="FootnoteText"/>
        <w:spacing w:before="60"/>
        <w:ind w:left="187" w:hanging="187"/>
      </w:pPr>
      <w:r w:rsidRPr="00D06DA9">
        <w:rPr>
          <w:rStyle w:val="FootnoteReference"/>
          <w:color w:val="000000" w:themeColor="text1"/>
        </w:rPr>
        <w:footnoteRef/>
      </w:r>
      <w:r w:rsidR="00D06DA9">
        <w:rPr>
          <w:color w:val="000000" w:themeColor="text1"/>
        </w:rPr>
        <w:t xml:space="preserve"> </w:t>
      </w:r>
      <w:r w:rsidRPr="00D06DA9">
        <w:rPr>
          <w:color w:val="000000" w:themeColor="text1"/>
        </w:rPr>
        <w:t xml:space="preserve"> </w:t>
      </w:r>
      <w:hyperlink w:history="1"/>
      <w:hyperlink r:id="rId9" w:history="1">
        <w:r w:rsidR="00E43F2A">
          <w:rPr>
            <w:rStyle w:val="Hyperlink"/>
          </w:rPr>
          <w:t>Homepage | Public Buyers Community (europa.eu)</w:t>
        </w:r>
      </w:hyperlink>
    </w:p>
  </w:footnote>
  <w:footnote w:id="26">
    <w:p w14:paraId="72406894" w14:textId="6FE98C96" w:rsidR="000F36A1" w:rsidRPr="00FE2948" w:rsidRDefault="000F36A1" w:rsidP="006C29DE">
      <w:pPr>
        <w:pStyle w:val="FootnoteText"/>
        <w:spacing w:before="60"/>
        <w:ind w:left="187" w:hanging="187"/>
        <w:jc w:val="both"/>
        <w:rPr>
          <w:color w:val="000000" w:themeColor="text1"/>
          <w:sz w:val="18"/>
          <w:szCs w:val="18"/>
        </w:rPr>
      </w:pPr>
      <w:r w:rsidRPr="004D3F7E">
        <w:rPr>
          <w:rStyle w:val="FootnoteReference"/>
          <w:color w:val="000000" w:themeColor="text1"/>
        </w:rPr>
        <w:footnoteRef/>
      </w:r>
      <w:r w:rsidRPr="004D3F7E">
        <w:rPr>
          <w:color w:val="000000" w:themeColor="text1"/>
        </w:rPr>
        <w:t xml:space="preserve"> </w:t>
      </w:r>
      <w:r w:rsidRPr="004D3F7E">
        <w:rPr>
          <w:bCs/>
          <w:iCs/>
          <w:color w:val="000000" w:themeColor="text1"/>
          <w:lang w:eastAsia="fr-FR"/>
        </w:rPr>
        <w:t xml:space="preserve">These projects provide support for cross-border and cross-sector cooperation between European clusters </w:t>
      </w:r>
      <w:r w:rsidR="00452C6A" w:rsidRPr="004D3F7E">
        <w:rPr>
          <w:bCs/>
          <w:iCs/>
          <w:color w:val="000000" w:themeColor="text1"/>
          <w:lang w:eastAsia="fr-FR"/>
        </w:rPr>
        <w:t xml:space="preserve">to </w:t>
      </w:r>
      <w:r w:rsidRPr="004D3F7E">
        <w:rPr>
          <w:bCs/>
          <w:iCs/>
          <w:color w:val="000000" w:themeColor="text1"/>
          <w:lang w:eastAsia="fr-FR"/>
        </w:rPr>
        <w:t>develop a joint internationalisation strategy and support SME internationalisation beyond Europe.</w:t>
      </w:r>
    </w:p>
  </w:footnote>
  <w:footnote w:id="27">
    <w:p w14:paraId="77CCAB21" w14:textId="785E3185" w:rsidR="000F36A1" w:rsidRPr="005D3C63" w:rsidRDefault="000F36A1" w:rsidP="005D3C63">
      <w:pPr>
        <w:pStyle w:val="FootnoteText"/>
        <w:spacing w:before="60"/>
        <w:ind w:left="198" w:hanging="198"/>
        <w:jc w:val="both"/>
        <w:rPr>
          <w:color w:val="000000" w:themeColor="text1"/>
        </w:rPr>
      </w:pPr>
      <w:r w:rsidRPr="005D3C63">
        <w:rPr>
          <w:rStyle w:val="FootnoteReference"/>
          <w:color w:val="000000" w:themeColor="text1"/>
        </w:rPr>
        <w:footnoteRef/>
      </w:r>
      <w:r w:rsidRPr="005D3C63">
        <w:rPr>
          <w:color w:val="000000" w:themeColor="text1"/>
        </w:rPr>
        <w:t xml:space="preserve"> </w:t>
      </w:r>
      <w:r w:rsidRPr="005D3C63">
        <w:rPr>
          <w:bCs/>
          <w:color w:val="000000" w:themeColor="text1"/>
          <w:lang w:eastAsia="fr-FR"/>
        </w:rPr>
        <w:t>Belgium, Bulgaria, Croatia, Cyprus, Czech</w:t>
      </w:r>
      <w:r w:rsidR="009C16DE" w:rsidRPr="005D3C63">
        <w:rPr>
          <w:bCs/>
          <w:color w:val="000000" w:themeColor="text1"/>
          <w:lang w:eastAsia="fr-FR"/>
        </w:rPr>
        <w:t>ia</w:t>
      </w:r>
      <w:r w:rsidRPr="005D3C63">
        <w:rPr>
          <w:bCs/>
          <w:color w:val="000000" w:themeColor="text1"/>
          <w:lang w:eastAsia="fr-FR"/>
        </w:rPr>
        <w:t>, Germany, Denmark, Greece, Spain, Finland, France, Hungary, Iceland, Italy, Malta, Netherlands, Poland, Portugal, Romania, Slovak</w:t>
      </w:r>
      <w:r w:rsidR="0041273B" w:rsidRPr="005D3C63">
        <w:rPr>
          <w:bCs/>
          <w:color w:val="000000" w:themeColor="text1"/>
          <w:lang w:eastAsia="fr-FR"/>
        </w:rPr>
        <w:t>ia</w:t>
      </w:r>
      <w:r w:rsidRPr="005D3C63">
        <w:rPr>
          <w:bCs/>
          <w:color w:val="000000" w:themeColor="text1"/>
          <w:lang w:eastAsia="fr-FR"/>
        </w:rPr>
        <w:t>, Slovenia, Albania, Montenegro, Serbia and the United Kingdom.</w:t>
      </w:r>
    </w:p>
  </w:footnote>
  <w:footnote w:id="28">
    <w:p w14:paraId="6B6B404C" w14:textId="561E4A2F" w:rsidR="000F36A1" w:rsidRPr="005D3C63" w:rsidRDefault="000F36A1" w:rsidP="005D3C63">
      <w:pPr>
        <w:pStyle w:val="FootnoteText"/>
        <w:ind w:left="198" w:hanging="198"/>
        <w:jc w:val="both"/>
        <w:rPr>
          <w:color w:val="000000" w:themeColor="text1"/>
        </w:rPr>
      </w:pPr>
      <w:r w:rsidRPr="005D3C63">
        <w:rPr>
          <w:rStyle w:val="FootnoteReference"/>
          <w:color w:val="000000" w:themeColor="text1"/>
        </w:rPr>
        <w:footnoteRef/>
      </w:r>
      <w:r w:rsidRPr="005D3C63">
        <w:rPr>
          <w:color w:val="000000" w:themeColor="text1"/>
        </w:rPr>
        <w:t xml:space="preserve"> I</w:t>
      </w:r>
      <w:r w:rsidRPr="005D3C63">
        <w:rPr>
          <w:bCs/>
          <w:color w:val="000000" w:themeColor="text1"/>
          <w:lang w:eastAsia="fr-FR"/>
        </w:rPr>
        <w:t>ncluding fashion and textile, footwear, leather and fur, furniture/home decoration/interior design, jewellery and accessories.</w:t>
      </w:r>
    </w:p>
  </w:footnote>
  <w:footnote w:id="29">
    <w:p w14:paraId="7E837A6C" w14:textId="4B4D5177" w:rsidR="000F36A1" w:rsidRPr="005D3C63" w:rsidRDefault="000F36A1" w:rsidP="005D3C63">
      <w:pPr>
        <w:spacing w:before="60" w:after="0" w:line="240" w:lineRule="auto"/>
        <w:ind w:left="198" w:hanging="198"/>
        <w:jc w:val="both"/>
        <w:rPr>
          <w:rFonts w:ascii="Times New Roman" w:hAnsi="Times New Roman" w:cs="Times New Roman"/>
          <w:color w:val="000000" w:themeColor="text1"/>
          <w:sz w:val="20"/>
          <w:szCs w:val="20"/>
        </w:rPr>
      </w:pPr>
      <w:r w:rsidRPr="005D3C63">
        <w:rPr>
          <w:rStyle w:val="FootnoteReference"/>
          <w:rFonts w:ascii="Times New Roman" w:hAnsi="Times New Roman" w:cs="Times New Roman"/>
          <w:color w:val="000000" w:themeColor="text1"/>
          <w:sz w:val="20"/>
          <w:szCs w:val="20"/>
        </w:rPr>
        <w:footnoteRef/>
      </w:r>
      <w:r w:rsidRPr="005D3C63">
        <w:rPr>
          <w:rFonts w:ascii="Times New Roman" w:hAnsi="Times New Roman" w:cs="Times New Roman"/>
          <w:color w:val="000000" w:themeColor="text1"/>
          <w:sz w:val="20"/>
          <w:szCs w:val="20"/>
        </w:rPr>
        <w:t xml:space="preserve"> </w:t>
      </w:r>
      <w:hyperlink r:id="rId10" w:history="1">
        <w:r w:rsidRPr="005D3C63">
          <w:rPr>
            <w:rFonts w:ascii="Times New Roman" w:hAnsi="Times New Roman" w:cs="Times New Roman"/>
            <w:bCs/>
            <w:color w:val="000000" w:themeColor="text1"/>
            <w:sz w:val="20"/>
            <w:szCs w:val="20"/>
          </w:rPr>
          <w:t>https://single-market-economy.ec.europa.eu/smes/sme-strategy/sme-performance-review_en</w:t>
        </w:r>
      </w:hyperlink>
    </w:p>
  </w:footnote>
  <w:footnote w:id="30">
    <w:p w14:paraId="1452974D" w14:textId="2C82619E" w:rsidR="000F36A1" w:rsidRPr="00FE2948" w:rsidRDefault="000F36A1" w:rsidP="005D3C63">
      <w:pPr>
        <w:pStyle w:val="ListParagraph"/>
        <w:spacing w:before="60" w:after="0" w:line="240" w:lineRule="auto"/>
        <w:ind w:left="198" w:hanging="198"/>
        <w:jc w:val="both"/>
        <w:rPr>
          <w:rFonts w:ascii="Times New Roman" w:hAnsi="Times New Roman" w:cs="Times New Roman"/>
          <w:sz w:val="18"/>
          <w:szCs w:val="18"/>
        </w:rPr>
      </w:pPr>
      <w:r w:rsidRPr="00C27B01">
        <w:rPr>
          <w:rStyle w:val="FootnoteReference"/>
          <w:rFonts w:ascii="Times New Roman" w:hAnsi="Times New Roman" w:cs="Times New Roman"/>
          <w:color w:val="000000" w:themeColor="text1"/>
          <w:sz w:val="20"/>
          <w:szCs w:val="20"/>
        </w:rPr>
        <w:footnoteRef/>
      </w:r>
      <w:r w:rsidRPr="00C27B01">
        <w:rPr>
          <w:rFonts w:ascii="Times New Roman" w:hAnsi="Times New Roman" w:cs="Times New Roman"/>
          <w:color w:val="000000" w:themeColor="text1"/>
          <w:sz w:val="20"/>
          <w:szCs w:val="20"/>
        </w:rPr>
        <w:t xml:space="preserve"> </w:t>
      </w:r>
      <w:r w:rsidRPr="00C27B01">
        <w:rPr>
          <w:rFonts w:ascii="Times New Roman" w:eastAsia="Times New Roman" w:hAnsi="Times New Roman" w:cs="Times New Roman"/>
          <w:bCs/>
          <w:color w:val="000000" w:themeColor="text1"/>
          <w:sz w:val="20"/>
          <w:szCs w:val="20"/>
          <w:lang w:eastAsia="fr-FR"/>
        </w:rPr>
        <w:t>June 2020 (online with 46 participants), October 2020 (online with 83 participants), November 2020 (online during the SME Assembly with 67 participants), and December 2020 (online with 72 participants).</w:t>
      </w:r>
    </w:p>
  </w:footnote>
  <w:footnote w:id="31">
    <w:p w14:paraId="3F831D3F" w14:textId="6310D1B3" w:rsidR="000F36A1" w:rsidRPr="00C27B01" w:rsidRDefault="000F36A1" w:rsidP="000B392D">
      <w:pPr>
        <w:pStyle w:val="FootnoteText"/>
        <w:spacing w:before="60"/>
        <w:ind w:left="198" w:hanging="198"/>
        <w:jc w:val="both"/>
      </w:pPr>
      <w:r w:rsidRPr="00C27B01">
        <w:rPr>
          <w:rStyle w:val="FootnoteReference"/>
        </w:rPr>
        <w:footnoteRef/>
      </w:r>
      <w:r w:rsidRPr="00C27B01">
        <w:t xml:space="preserve"> The original plans for a</w:t>
      </w:r>
      <w:r w:rsidRPr="00C27B01">
        <w:rPr>
          <w:bCs/>
          <w:lang w:eastAsia="fr-FR"/>
        </w:rPr>
        <w:t xml:space="preserve"> physical conference in Berlin were transformed </w:t>
      </w:r>
      <w:r w:rsidR="001207FF" w:rsidRPr="00C27B01">
        <w:rPr>
          <w:bCs/>
          <w:lang w:eastAsia="fr-FR"/>
        </w:rPr>
        <w:t>in</w:t>
      </w:r>
      <w:r w:rsidRPr="00C27B01">
        <w:rPr>
          <w:bCs/>
          <w:lang w:eastAsia="fr-FR"/>
        </w:rPr>
        <w:t xml:space="preserve">to a virtual event due to the </w:t>
      </w:r>
      <w:r w:rsidR="001207FF" w:rsidRPr="00C27B01">
        <w:rPr>
          <w:bCs/>
          <w:lang w:eastAsia="fr-FR"/>
        </w:rPr>
        <w:t>COVID</w:t>
      </w:r>
      <w:r w:rsidRPr="00C27B01">
        <w:rPr>
          <w:bCs/>
          <w:lang w:eastAsia="fr-FR"/>
        </w:rPr>
        <w:t>-19 lockdown.</w:t>
      </w:r>
    </w:p>
  </w:footnote>
  <w:footnote w:id="32">
    <w:p w14:paraId="1D8DAC16" w14:textId="4B68343E" w:rsidR="000F36A1" w:rsidRPr="00E43F2A" w:rsidRDefault="000F36A1" w:rsidP="00A149C0">
      <w:pPr>
        <w:keepNext/>
        <w:spacing w:before="60" w:after="0" w:line="240" w:lineRule="auto"/>
        <w:ind w:left="198" w:hanging="198"/>
        <w:jc w:val="both"/>
        <w:rPr>
          <w:rFonts w:ascii="Times New Roman" w:eastAsia="Times New Roman" w:hAnsi="Times New Roman" w:cs="Times New Roman"/>
          <w:bCs/>
          <w:color w:val="000000" w:themeColor="text1"/>
          <w:sz w:val="20"/>
          <w:szCs w:val="20"/>
          <w:lang w:eastAsia="fr-FR"/>
        </w:rPr>
      </w:pPr>
      <w:r w:rsidRPr="00C27B01">
        <w:rPr>
          <w:rStyle w:val="FootnoteReference"/>
          <w:rFonts w:ascii="Times New Roman" w:hAnsi="Times New Roman" w:cs="Times New Roman"/>
          <w:sz w:val="20"/>
          <w:szCs w:val="20"/>
        </w:rPr>
        <w:footnoteRef/>
      </w:r>
      <w:r w:rsidRPr="00C27B01">
        <w:rPr>
          <w:rFonts w:ascii="Times New Roman" w:hAnsi="Times New Roman" w:cs="Times New Roman"/>
          <w:sz w:val="20"/>
          <w:szCs w:val="20"/>
        </w:rPr>
        <w:t xml:space="preserve"> </w:t>
      </w:r>
      <w:r w:rsidRPr="00F00123">
        <w:rPr>
          <w:rFonts w:ascii="Times New Roman" w:eastAsia="Times New Roman" w:hAnsi="Times New Roman" w:cs="Times New Roman"/>
          <w:bCs/>
          <w:color w:val="000000" w:themeColor="text1"/>
          <w:sz w:val="20"/>
          <w:szCs w:val="20"/>
          <w:lang w:eastAsia="fr-FR"/>
        </w:rPr>
        <w:t>This report includes an overview of the latest trends in SME performance in Europe and recommendations for action</w:t>
      </w:r>
      <w:r w:rsidR="00D07933">
        <w:rPr>
          <w:rFonts w:ascii="Times New Roman" w:eastAsia="Times New Roman" w:hAnsi="Times New Roman" w:cs="Times New Roman"/>
          <w:bCs/>
          <w:color w:val="000000" w:themeColor="text1"/>
          <w:sz w:val="20"/>
          <w:szCs w:val="20"/>
          <w:lang w:eastAsia="fr-FR"/>
        </w:rPr>
        <w:t xml:space="preserve"> </w:t>
      </w:r>
      <w:hyperlink r:id="rId11" w:history="1">
        <w:r w:rsidR="00D07933" w:rsidRPr="00D07933">
          <w:rPr>
            <w:rStyle w:val="Hyperlink"/>
            <w:rFonts w:ascii="Times New Roman" w:hAnsi="Times New Roman" w:cs="Times New Roman"/>
            <w:sz w:val="20"/>
            <w:szCs w:val="20"/>
          </w:rPr>
          <w:t>https://ec.europa.eu/transparency/expert-groups-register/core/api/front/expertGroupAddtitionalInfo/40291/download</w:t>
        </w:r>
      </w:hyperlink>
      <w:r w:rsidRPr="00F00123">
        <w:rPr>
          <w:rFonts w:ascii="Times New Roman" w:eastAsia="Times New Roman" w:hAnsi="Times New Roman" w:cs="Times New Roman"/>
          <w:bCs/>
          <w:color w:val="000000" w:themeColor="text1"/>
          <w:sz w:val="20"/>
          <w:szCs w:val="20"/>
          <w:lang w:eastAsia="fr-FR"/>
        </w:rPr>
        <w:t xml:space="preserve">). It was presented to the Competitiveness Council in November 2020 (see: </w:t>
      </w:r>
      <w:hyperlink r:id="rId12" w:history="1">
        <w:r w:rsidRPr="00E43F2A">
          <w:rPr>
            <w:rFonts w:ascii="Times New Roman" w:hAnsi="Times New Roman" w:cs="Times New Roman"/>
            <w:color w:val="000000" w:themeColor="text1"/>
            <w:sz w:val="20"/>
            <w:szCs w:val="20"/>
          </w:rPr>
          <w:t>Competitiveness Council Internal market and industry - Consilium europa.eu</w:t>
        </w:r>
      </w:hyperlink>
      <w:r w:rsidRPr="00E43F2A">
        <w:rPr>
          <w:rFonts w:ascii="Times New Roman" w:hAnsi="Times New Roman" w:cs="Times New Roman"/>
          <w:color w:val="000000" w:themeColor="text1"/>
          <w:sz w:val="20"/>
          <w:szCs w:val="20"/>
        </w:rPr>
        <w:t>)</w:t>
      </w:r>
      <w:r w:rsidRPr="00F00123">
        <w:rPr>
          <w:rFonts w:ascii="Times New Roman" w:eastAsia="Times New Roman" w:hAnsi="Times New Roman" w:cs="Times New Roman"/>
          <w:bCs/>
          <w:color w:val="000000" w:themeColor="text1"/>
          <w:sz w:val="20"/>
          <w:szCs w:val="20"/>
          <w:lang w:eastAsia="fr-FR"/>
        </w:rPr>
        <w:t>.</w:t>
      </w:r>
    </w:p>
  </w:footnote>
  <w:footnote w:id="33">
    <w:p w14:paraId="1DF87FA6" w14:textId="6CE6CF18" w:rsidR="000F36A1" w:rsidRPr="005D3C63" w:rsidRDefault="000F36A1" w:rsidP="000B392D">
      <w:pPr>
        <w:pStyle w:val="FootnoteText"/>
        <w:spacing w:before="60"/>
        <w:ind w:left="198" w:hanging="198"/>
        <w:jc w:val="both"/>
      </w:pPr>
      <w:r w:rsidRPr="005D3C63">
        <w:rPr>
          <w:rStyle w:val="FootnoteReference"/>
        </w:rPr>
        <w:footnoteRef/>
      </w:r>
      <w:r w:rsidRPr="005D3C63">
        <w:t xml:space="preserve"> </w:t>
      </w:r>
      <w:hyperlink r:id="rId13" w:history="1">
        <w:r w:rsidRPr="005D3C63">
          <w:rPr>
            <w:rStyle w:val="Hyperlink"/>
          </w:rPr>
          <w:t>https://commission.europa.eu/events/eu-open-business-new-compass-smes-2021-05-26_en</w:t>
        </w:r>
      </w:hyperlink>
    </w:p>
  </w:footnote>
  <w:footnote w:id="34">
    <w:p w14:paraId="52EB29CE" w14:textId="644740A0" w:rsidR="000F36A1" w:rsidRPr="005D3C63" w:rsidRDefault="000F36A1" w:rsidP="000B392D">
      <w:pPr>
        <w:pStyle w:val="FootnoteText"/>
        <w:spacing w:before="60"/>
        <w:ind w:left="198" w:hanging="198"/>
        <w:jc w:val="both"/>
      </w:pPr>
      <w:r w:rsidRPr="005D3C63">
        <w:rPr>
          <w:rStyle w:val="FootnoteReference"/>
        </w:rPr>
        <w:footnoteRef/>
      </w:r>
      <w:r w:rsidRPr="005D3C63">
        <w:t xml:space="preserve"> The questions </w:t>
      </w:r>
      <w:r w:rsidR="00FE2948" w:rsidRPr="005D3C63">
        <w:t>‘</w:t>
      </w:r>
      <w:r w:rsidRPr="005D3C63">
        <w:t>Did the webinar inspire you?</w:t>
      </w:r>
      <w:r w:rsidR="00FE2948" w:rsidRPr="005D3C63">
        <w:t>’</w:t>
      </w:r>
      <w:r w:rsidRPr="005D3C63">
        <w:t xml:space="preserve">, </w:t>
      </w:r>
      <w:r w:rsidR="00FE2948" w:rsidRPr="005D3C63">
        <w:t>‘</w:t>
      </w:r>
      <w:r w:rsidRPr="005D3C63">
        <w:t>Will it trigger some action from you?</w:t>
      </w:r>
      <w:r w:rsidR="00FE2948" w:rsidRPr="005D3C63">
        <w:t>’</w:t>
      </w:r>
      <w:r w:rsidRPr="005D3C63">
        <w:t xml:space="preserve">, </w:t>
      </w:r>
      <w:r w:rsidR="00FE2948" w:rsidRPr="005D3C63">
        <w:t>‘</w:t>
      </w:r>
      <w:r w:rsidRPr="005D3C63">
        <w:t>Did it answer your expectations?</w:t>
      </w:r>
      <w:r w:rsidR="00FE2948" w:rsidRPr="005D3C63">
        <w:t>’</w:t>
      </w:r>
      <w:r w:rsidRPr="005D3C63">
        <w:t xml:space="preserve">, </w:t>
      </w:r>
      <w:r w:rsidR="00FE2948" w:rsidRPr="005D3C63">
        <w:t>‘</w:t>
      </w:r>
      <w:r w:rsidRPr="005D3C63">
        <w:t>Would you recommend it to others?</w:t>
      </w:r>
      <w:r w:rsidR="00FE2948" w:rsidRPr="005D3C63">
        <w:t>’</w:t>
      </w:r>
      <w:r w:rsidRPr="005D3C63">
        <w:t xml:space="preserve"> were answered by 80% (on average) with </w:t>
      </w:r>
      <w:r w:rsidR="00FE2948" w:rsidRPr="005D3C63">
        <w:t>‘</w:t>
      </w:r>
      <w:r w:rsidRPr="005D3C63">
        <w:t>yes</w:t>
      </w:r>
      <w:r w:rsidR="00FE2948" w:rsidRPr="005D3C63">
        <w:t>’</w:t>
      </w:r>
      <w:r w:rsidRPr="005D3C63">
        <w:t xml:space="preserve"> or </w:t>
      </w:r>
      <w:r w:rsidR="00FE2948" w:rsidRPr="005D3C63">
        <w:t>‘</w:t>
      </w:r>
      <w:r w:rsidRPr="005D3C63">
        <w:t>rather yes</w:t>
      </w:r>
      <w:r w:rsidR="00FE2948" w:rsidRPr="005D3C63">
        <w:t>’.</w:t>
      </w:r>
    </w:p>
  </w:footnote>
  <w:footnote w:id="35">
    <w:p w14:paraId="64BECB2E" w14:textId="4DE3D24A" w:rsidR="000F36A1" w:rsidRPr="00C27B01" w:rsidRDefault="000F36A1">
      <w:pPr>
        <w:pStyle w:val="FootnoteText"/>
      </w:pPr>
      <w:r w:rsidRPr="005D3C63">
        <w:rPr>
          <w:rStyle w:val="FootnoteReference"/>
        </w:rPr>
        <w:footnoteRef/>
      </w:r>
      <w:r w:rsidRPr="00C27B01">
        <w:t xml:space="preserve"> This amount was less in 2020 due to the Erasmus for Young Entrepreneurs call taking place in 2019.</w:t>
      </w:r>
    </w:p>
  </w:footnote>
  <w:footnote w:id="36">
    <w:p w14:paraId="315CBA6A" w14:textId="7647D684" w:rsidR="00B31971" w:rsidRPr="004D6287" w:rsidRDefault="00B31971" w:rsidP="00B31971">
      <w:pPr>
        <w:pStyle w:val="FootnoteText"/>
        <w:spacing w:before="60"/>
        <w:ind w:left="187" w:hanging="187"/>
      </w:pPr>
      <w:r>
        <w:rPr>
          <w:rStyle w:val="FootnoteReference"/>
        </w:rPr>
        <w:footnoteRef/>
      </w:r>
      <w:r>
        <w:t xml:space="preserve"> </w:t>
      </w:r>
      <w:r w:rsidR="000A27F0">
        <w:t>Moreover, a</w:t>
      </w:r>
      <w:r>
        <w:t xml:space="preserve"> higher priority was given to financial instruments in 2020 (66% of COSME budget was allocated to these whereas the target figure over the life of the programme was 60%). The financial instruments also supported entrepreneurship goals. </w:t>
      </w:r>
    </w:p>
  </w:footnote>
  <w:footnote w:id="37">
    <w:p w14:paraId="2DEF8899" w14:textId="01AA4F7C" w:rsidR="001D708B" w:rsidRPr="00E43F2A" w:rsidRDefault="000F36A1" w:rsidP="001D708B">
      <w:pPr>
        <w:spacing w:before="60" w:after="0" w:line="240" w:lineRule="auto"/>
        <w:ind w:left="198" w:hanging="198"/>
        <w:jc w:val="both"/>
        <w:rPr>
          <w:rStyle w:val="Hyperlink"/>
          <w:rFonts w:ascii="Times New Roman" w:hAnsi="Times New Roman" w:cs="Times New Roman"/>
          <w:sz w:val="20"/>
          <w:szCs w:val="20"/>
          <w:u w:val="none"/>
        </w:rPr>
      </w:pPr>
      <w:r w:rsidRPr="00C27B01">
        <w:rPr>
          <w:rStyle w:val="FootnoteReference"/>
          <w:rFonts w:ascii="Times New Roman" w:hAnsi="Times New Roman" w:cs="Times New Roman"/>
          <w:sz w:val="20"/>
          <w:szCs w:val="20"/>
        </w:rPr>
        <w:footnoteRef/>
      </w:r>
      <w:r w:rsidRPr="005D3C63">
        <w:rPr>
          <w:rFonts w:ascii="Times New Roman" w:hAnsi="Times New Roman" w:cs="Times New Roman"/>
          <w:sz w:val="20"/>
          <w:szCs w:val="20"/>
        </w:rPr>
        <w:t xml:space="preserve"> </w:t>
      </w:r>
      <w:r w:rsidRPr="00F00123">
        <w:rPr>
          <w:rFonts w:ascii="Times New Roman" w:eastAsia="Times New Roman" w:hAnsi="Times New Roman" w:cs="Times New Roman"/>
          <w:bCs/>
          <w:sz w:val="20"/>
          <w:szCs w:val="20"/>
          <w:lang w:eastAsia="fr-FR"/>
        </w:rPr>
        <w:t xml:space="preserve">For further information, see the </w:t>
      </w:r>
      <w:hyperlink r:id="rId14" w:history="1">
        <w:r w:rsidRPr="00E43F2A">
          <w:rPr>
            <w:rStyle w:val="Hyperlink"/>
            <w:rFonts w:ascii="Times New Roman" w:eastAsia="Times New Roman" w:hAnsi="Times New Roman" w:cs="Times New Roman"/>
            <w:bCs/>
            <w:sz w:val="20"/>
            <w:szCs w:val="20"/>
            <w:u w:val="none"/>
            <w:lang w:eastAsia="fr-FR"/>
          </w:rPr>
          <w:t>project webpage</w:t>
        </w:r>
      </w:hyperlink>
      <w:r w:rsidRPr="00E43F2A">
        <w:rPr>
          <w:rStyle w:val="Hyperlink"/>
          <w:rFonts w:ascii="Times New Roman" w:eastAsia="Times New Roman" w:hAnsi="Times New Roman" w:cs="Times New Roman"/>
          <w:bCs/>
          <w:sz w:val="20"/>
          <w:szCs w:val="20"/>
          <w:u w:val="none"/>
          <w:lang w:eastAsia="fr-FR"/>
        </w:rPr>
        <w:t xml:space="preserve"> </w:t>
      </w:r>
      <w:r w:rsidRPr="00F00123">
        <w:rPr>
          <w:rFonts w:ascii="Times New Roman" w:hAnsi="Times New Roman" w:cs="Times New Roman"/>
          <w:sz w:val="20"/>
          <w:szCs w:val="20"/>
        </w:rPr>
        <w:t xml:space="preserve">and the </w:t>
      </w:r>
      <w:r w:rsidRPr="00F00123">
        <w:rPr>
          <w:rFonts w:ascii="Times New Roman" w:eastAsia="Times New Roman" w:hAnsi="Times New Roman" w:cs="Times New Roman"/>
          <w:bCs/>
          <w:sz w:val="20"/>
          <w:szCs w:val="20"/>
          <w:lang w:eastAsia="fr-FR"/>
        </w:rPr>
        <w:t>videos from the first two ESTEAM FESTs (</w:t>
      </w:r>
      <w:hyperlink r:id="rId15" w:history="1">
        <w:r w:rsidRPr="00E43F2A">
          <w:rPr>
            <w:rStyle w:val="Hyperlink"/>
            <w:rFonts w:ascii="Times New Roman" w:hAnsi="Times New Roman" w:cs="Times New Roman"/>
            <w:sz w:val="20"/>
            <w:szCs w:val="20"/>
            <w:u w:val="none"/>
          </w:rPr>
          <w:t>https://eismea.ec.europa.eu/esteam-fests-and-communities-girls-and-women_en</w:t>
        </w:r>
      </w:hyperlink>
      <w:r w:rsidRPr="00F00123">
        <w:rPr>
          <w:rFonts w:ascii="Times New Roman" w:eastAsia="Times New Roman" w:hAnsi="Times New Roman" w:cs="Times New Roman"/>
          <w:bCs/>
          <w:sz w:val="20"/>
          <w:szCs w:val="20"/>
          <w:lang w:eastAsia="fr-FR"/>
        </w:rPr>
        <w:t>)</w:t>
      </w:r>
      <w:r w:rsidR="00A149C0">
        <w:rPr>
          <w:rFonts w:ascii="Times New Roman" w:eastAsia="Times New Roman" w:hAnsi="Times New Roman" w:cs="Times New Roman"/>
          <w:bCs/>
          <w:sz w:val="20"/>
          <w:szCs w:val="20"/>
          <w:lang w:eastAsia="fr-FR"/>
        </w:rPr>
        <w:t>.</w:t>
      </w:r>
    </w:p>
    <w:p w14:paraId="5FA24B7D" w14:textId="47E9528B" w:rsidR="000F36A1" w:rsidRPr="00FE2948" w:rsidRDefault="000F36A1" w:rsidP="007B1571">
      <w:pPr>
        <w:spacing w:before="60" w:after="0" w:line="240" w:lineRule="auto"/>
        <w:ind w:left="198" w:hanging="198"/>
        <w:jc w:val="both"/>
        <w:rPr>
          <w:rFonts w:ascii="Times New Roman" w:hAnsi="Times New Roman" w:cs="Times New Roman"/>
          <w:sz w:val="18"/>
          <w:szCs w:val="18"/>
        </w:rPr>
      </w:pPr>
      <w:r w:rsidRPr="00E43F2A">
        <w:rPr>
          <w:rStyle w:val="Hyperlink"/>
          <w:rFonts w:ascii="Times New Roman" w:eastAsia="Times New Roman" w:hAnsi="Times New Roman" w:cs="Times New Roman"/>
          <w:bCs/>
          <w:sz w:val="20"/>
          <w:szCs w:val="20"/>
          <w:u w:val="none"/>
          <w:lang w:eastAsia="fr-FR"/>
        </w:rPr>
        <w:t>.</w:t>
      </w:r>
    </w:p>
  </w:footnote>
  <w:footnote w:id="38">
    <w:p w14:paraId="6E8A9D6D" w14:textId="18F50A08" w:rsidR="000F36A1" w:rsidRPr="00C27B01" w:rsidRDefault="000F36A1" w:rsidP="00E43F2A">
      <w:pPr>
        <w:pStyle w:val="FootnoteText"/>
        <w:spacing w:before="60"/>
        <w:ind w:left="187" w:hanging="187"/>
        <w:jc w:val="both"/>
      </w:pPr>
      <w:r w:rsidRPr="006C29DE">
        <w:rPr>
          <w:rStyle w:val="FootnoteReference"/>
        </w:rPr>
        <w:footnoteRef/>
      </w:r>
      <w:r w:rsidRPr="006C29DE">
        <w:rPr>
          <w:rStyle w:val="FootnoteReference"/>
          <w:vertAlign w:val="baseline"/>
        </w:rPr>
        <w:t xml:space="preserve"> </w:t>
      </w:r>
      <w:hyperlink r:id="rId16" w:history="1">
        <w:r w:rsidR="0003773C" w:rsidRPr="00A85F7D">
          <w:rPr>
            <w:rStyle w:val="Hyperlink"/>
            <w:rFonts w:eastAsiaTheme="minorHAnsi"/>
            <w:lang w:eastAsia="en-US"/>
          </w:rPr>
          <w:t>https://op.europa.eu/en/publication-detail/-/publication/c0335fd8-33db-11ed-8b77-01aa75ed71a1/language-en/format-PDF/source-267469968</w:t>
        </w:r>
      </w:hyperlink>
    </w:p>
  </w:footnote>
  <w:footnote w:id="39">
    <w:p w14:paraId="1ED8DCBD" w14:textId="6999201E" w:rsidR="000F36A1" w:rsidRPr="0003773C" w:rsidRDefault="000F36A1" w:rsidP="006C29DE">
      <w:pPr>
        <w:pStyle w:val="FootnoteText"/>
        <w:spacing w:before="60"/>
        <w:ind w:left="187" w:hanging="187"/>
        <w:jc w:val="both"/>
        <w:rPr>
          <w:lang w:val="en-IE"/>
        </w:rPr>
      </w:pPr>
      <w:r w:rsidRPr="00C27B01">
        <w:rPr>
          <w:rStyle w:val="FootnoteReference"/>
        </w:rPr>
        <w:footnoteRef/>
      </w:r>
      <w:r w:rsidRPr="006C29DE">
        <w:rPr>
          <w:lang w:val="en-IE"/>
        </w:rPr>
        <w:t xml:space="preserve"> </w:t>
      </w:r>
      <w:hyperlink r:id="rId17" w:history="1">
        <w:r w:rsidR="007B1571" w:rsidRPr="006C29DE">
          <w:rPr>
            <w:rStyle w:val="Hyperlink"/>
          </w:rPr>
          <w:t xml:space="preserve">Commission Recommendation </w:t>
        </w:r>
        <w:r w:rsidR="007B1571" w:rsidRPr="006C29DE">
          <w:rPr>
            <w:rStyle w:val="Hyperlink"/>
            <w:rFonts w:eastAsiaTheme="minorHAnsi"/>
            <w:lang w:val="en-IE" w:eastAsia="en-US"/>
          </w:rPr>
          <w:t>2003/361/EC</w:t>
        </w:r>
        <w:r w:rsidR="007B1571" w:rsidRPr="006C29DE">
          <w:rPr>
            <w:rStyle w:val="Hyperlink"/>
          </w:rPr>
          <w:t xml:space="preserve"> of 6 May 2003 concerning the definition of micro, small and medium-sized enterprises</w:t>
        </w:r>
      </w:hyperlink>
    </w:p>
  </w:footnote>
  <w:footnote w:id="40">
    <w:p w14:paraId="3C1C2774" w14:textId="1C8E9309" w:rsidR="0003773C" w:rsidRPr="006C29DE" w:rsidRDefault="000F36A1" w:rsidP="0003773C">
      <w:pPr>
        <w:pStyle w:val="FootnoteText"/>
        <w:spacing w:before="60"/>
        <w:ind w:left="187" w:hanging="187"/>
        <w:jc w:val="both"/>
        <w:rPr>
          <w:sz w:val="18"/>
          <w:szCs w:val="18"/>
          <w:lang w:val="en-IE"/>
        </w:rPr>
      </w:pPr>
      <w:r w:rsidRPr="006C29DE">
        <w:rPr>
          <w:rStyle w:val="FootnoteReference"/>
        </w:rPr>
        <w:footnoteRef/>
      </w:r>
      <w:r w:rsidRPr="006C29DE">
        <w:rPr>
          <w:lang w:val="en-IE"/>
        </w:rPr>
        <w:t xml:space="preserve"> </w:t>
      </w:r>
      <w:hyperlink r:id="rId18" w:history="1">
        <w:r w:rsidR="0003773C" w:rsidRPr="00A85F7D">
          <w:rPr>
            <w:rStyle w:val="Hyperlink"/>
            <w:lang w:val="en-IE"/>
          </w:rPr>
          <w:t>https://www.esri.ie/system/files/publications/BKMNEXT429.pdf</w:t>
        </w:r>
      </w:hyperlink>
    </w:p>
  </w:footnote>
  <w:footnote w:id="41">
    <w:p w14:paraId="50CB2235" w14:textId="699ABC57" w:rsidR="000F36A1" w:rsidRPr="007C2CFA" w:rsidRDefault="000F36A1" w:rsidP="0003773C">
      <w:pPr>
        <w:pStyle w:val="FootnoteText"/>
        <w:spacing w:before="60"/>
        <w:jc w:val="both"/>
        <w:rPr>
          <w:color w:val="000000" w:themeColor="text1"/>
        </w:rPr>
      </w:pPr>
      <w:r w:rsidRPr="00CE1105">
        <w:rPr>
          <w:rStyle w:val="FootnoteReference"/>
        </w:rPr>
        <w:footnoteRef/>
      </w:r>
      <w:r w:rsidRPr="00CE1105">
        <w:t xml:space="preserve"> Many COSME measures included some support for climate-related goals. However, as this was always set </w:t>
      </w:r>
      <w:r w:rsidRPr="00CE1105">
        <w:rPr>
          <w:color w:val="000000" w:themeColor="text1"/>
        </w:rPr>
        <w:t>within the broader competitiveness objective, there was generally no distinct budget for the climate component of the measures.</w:t>
      </w:r>
    </w:p>
  </w:footnote>
  <w:footnote w:id="42">
    <w:p w14:paraId="7062FD7B" w14:textId="177D885F" w:rsidR="000F36A1" w:rsidRPr="006C29DE" w:rsidRDefault="000F36A1" w:rsidP="00B529E2">
      <w:pPr>
        <w:pStyle w:val="FootnoteText"/>
        <w:spacing w:before="60"/>
        <w:ind w:left="198" w:hanging="198"/>
        <w:rPr>
          <w:highlight w:val="yellow"/>
        </w:rPr>
      </w:pPr>
      <w:r w:rsidRPr="006C29DE">
        <w:rPr>
          <w:rStyle w:val="FootnoteReference"/>
        </w:rPr>
        <w:footnoteRef/>
      </w:r>
      <w:r w:rsidRPr="006C29DE">
        <w:t xml:space="preserve"> These SMEs received a range of service</w:t>
      </w:r>
      <w:r w:rsidR="007C2CFA" w:rsidRPr="006C29DE">
        <w:t>s</w:t>
      </w:r>
      <w:r w:rsidRPr="006C29DE">
        <w:t xml:space="preserve"> tailored to their specific needs at various points in time. A central part of the EEN service delivery model is establishing a longer</w:t>
      </w:r>
      <w:r w:rsidR="00CF65ED" w:rsidRPr="006C29DE">
        <w:t>-</w:t>
      </w:r>
      <w:r w:rsidRPr="006C29DE">
        <w:t>term relationship with SMEs and supporting them over the medium</w:t>
      </w:r>
      <w:r w:rsidR="00582404" w:rsidRPr="006C29DE">
        <w:t xml:space="preserve"> </w:t>
      </w:r>
      <w:r w:rsidRPr="006C29DE">
        <w:t>term to help them tackle the full range of issues, challenges and opportunities they are facing.</w:t>
      </w:r>
    </w:p>
  </w:footnote>
  <w:footnote w:id="43">
    <w:p w14:paraId="5B9B7F10" w14:textId="77777777" w:rsidR="004A5C16" w:rsidRPr="00712798" w:rsidRDefault="004A5C16" w:rsidP="004A5C16">
      <w:pPr>
        <w:pStyle w:val="FootnoteText"/>
        <w:ind w:left="170" w:hanging="170"/>
        <w:jc w:val="both"/>
        <w:rPr>
          <w:sz w:val="18"/>
          <w:szCs w:val="18"/>
          <w:lang w:val="en-IE"/>
        </w:rPr>
      </w:pPr>
      <w:r w:rsidRPr="00B06C73">
        <w:rPr>
          <w:rStyle w:val="FootnoteReference"/>
        </w:rPr>
        <w:footnoteRef/>
      </w:r>
      <w:r w:rsidRPr="00B06C73">
        <w:t xml:space="preserve"> </w:t>
      </w:r>
      <w:r w:rsidRPr="00B06C73">
        <w:rPr>
          <w:color w:val="000000" w:themeColor="text1"/>
        </w:rPr>
        <w:t>As this project was severely affected once the war broke out, the grant agreement was frozen. After re-evaluation of the situation several months later, the grant agreement was</w:t>
      </w:r>
      <w:r w:rsidRPr="00B06C73">
        <w:rPr>
          <w:color w:val="000000" w:themeColor="text1"/>
          <w:lang w:val="en-IE"/>
        </w:rPr>
        <w:t xml:space="preserve"> amended to include an additional </w:t>
      </w:r>
      <w:r w:rsidRPr="00B06C73">
        <w:rPr>
          <w:color w:val="000000" w:themeColor="text1"/>
        </w:rPr>
        <w:t xml:space="preserve">non-EU </w:t>
      </w:r>
      <w:r w:rsidRPr="00B06C73">
        <w:rPr>
          <w:color w:val="000000" w:themeColor="text1"/>
          <w:lang w:val="en-IE"/>
        </w:rPr>
        <w:t>target country</w:t>
      </w:r>
      <w:r w:rsidRPr="00B06C73">
        <w:rPr>
          <w:color w:val="000000" w:themeColor="text1"/>
        </w:rPr>
        <w:t xml:space="preserve">, allowing the project to </w:t>
      </w:r>
      <w:r w:rsidRPr="00B06C73">
        <w:rPr>
          <w:color w:val="000000" w:themeColor="text1"/>
          <w:lang w:val="en-IE"/>
        </w:rPr>
        <w:t>re-start</w:t>
      </w:r>
      <w:r w:rsidRPr="00B06C73">
        <w:rPr>
          <w:color w:val="000000" w:themeColor="text1"/>
        </w:rPr>
        <w:t xml:space="preserve"> its</w:t>
      </w:r>
      <w:r w:rsidRPr="00B06C73">
        <w:rPr>
          <w:color w:val="000000" w:themeColor="text1"/>
          <w:lang w:val="en-IE"/>
        </w:rPr>
        <w:t xml:space="preserve"> activities.</w:t>
      </w:r>
    </w:p>
  </w:footnote>
  <w:footnote w:id="44">
    <w:p w14:paraId="6A1C2289" w14:textId="15551931" w:rsidR="000F36A1" w:rsidRPr="000D09FE" w:rsidRDefault="000F36A1" w:rsidP="007D7C84">
      <w:pPr>
        <w:pStyle w:val="FootnoteText"/>
        <w:spacing w:before="60"/>
        <w:ind w:left="227" w:hanging="227"/>
        <w:jc w:val="both"/>
      </w:pPr>
      <w:r w:rsidRPr="000D09FE">
        <w:rPr>
          <w:rStyle w:val="FootnoteReference"/>
        </w:rPr>
        <w:footnoteRef/>
      </w:r>
      <w:r w:rsidRPr="000D09FE">
        <w:t xml:space="preserve"> These are now supported under the SME Pillar of the </w:t>
      </w:r>
      <w:r w:rsidR="001D708B">
        <w:t>s</w:t>
      </w:r>
      <w:r w:rsidRPr="000D09FE">
        <w:t xml:space="preserve">ingle </w:t>
      </w:r>
      <w:r w:rsidR="001D708B">
        <w:t>m</w:t>
      </w:r>
      <w:r w:rsidRPr="000D09FE">
        <w:t xml:space="preserve">arket </w:t>
      </w:r>
      <w:r w:rsidR="001D708B">
        <w:t>p</w:t>
      </w:r>
      <w:r w:rsidRPr="000D09FE">
        <w:t xml:space="preserve">rogramme. In particular, the EEN Network, EYE and the Joint Cluster Initiatives are now </w:t>
      </w:r>
      <w:r w:rsidR="00FE2948" w:rsidRPr="000D09FE">
        <w:t>multiannual</w:t>
      </w:r>
      <w:r w:rsidRPr="000D09FE">
        <w:t xml:space="preserve"> actions </w:t>
      </w:r>
      <w:r w:rsidR="00FE2948" w:rsidRPr="000D09FE">
        <w:t>benefiting</w:t>
      </w:r>
      <w:r w:rsidRPr="000D09FE">
        <w:t xml:space="preserve"> from co-funding until 2024 to provide better medium-term continuity for these services. See also paragraph 3 of these conclusions.</w:t>
      </w:r>
    </w:p>
  </w:footnote>
  <w:footnote w:id="45">
    <w:p w14:paraId="7F060EF9" w14:textId="63862088" w:rsidR="000F36A1" w:rsidRPr="009C5E43" w:rsidRDefault="000F36A1" w:rsidP="009B7896">
      <w:pPr>
        <w:pStyle w:val="FootnoteText"/>
        <w:spacing w:before="60"/>
        <w:ind w:left="227" w:hanging="227"/>
        <w:jc w:val="both"/>
      </w:pPr>
      <w:r w:rsidRPr="009C5E43">
        <w:rPr>
          <w:rStyle w:val="FootnoteReference"/>
        </w:rPr>
        <w:footnoteRef/>
      </w:r>
      <w:r w:rsidRPr="009C5E43">
        <w:t xml:space="preserve"> This monitoring report focuses on EEN services co-funded via the COSME programme. The EEN also provided an additional specifically defined set of services with Horizon 2020 programme support (</w:t>
      </w:r>
      <w:r w:rsidR="00CC590B" w:rsidRPr="009C5E43">
        <w:t>k</w:t>
      </w:r>
      <w:r w:rsidRPr="009C5E43">
        <w:t>ey account management services for the SME instrument, and services to help SMEs enhance their innovation management capacities).</w:t>
      </w:r>
    </w:p>
  </w:footnote>
  <w:footnote w:id="46">
    <w:p w14:paraId="356A6E95" w14:textId="23B9C5B4" w:rsidR="000F36A1" w:rsidRPr="00FE2948" w:rsidRDefault="000F36A1" w:rsidP="0048653D">
      <w:pPr>
        <w:pStyle w:val="FootnoteText"/>
        <w:spacing w:before="60"/>
        <w:ind w:left="170" w:hanging="170"/>
        <w:jc w:val="both"/>
      </w:pPr>
      <w:r w:rsidRPr="00FE2948">
        <w:rPr>
          <w:rStyle w:val="FootnoteReference"/>
          <w:color w:val="0000FF"/>
        </w:rPr>
        <w:footnoteRef/>
      </w:r>
      <w:r w:rsidRPr="00FE2948">
        <w:rPr>
          <w:color w:val="0000FF"/>
        </w:rPr>
        <w:t xml:space="preserve"> </w:t>
      </w:r>
      <w:hyperlink r:id="rId19" w:history="1">
        <w:r w:rsidR="00187600" w:rsidRPr="00152DDD">
          <w:rPr>
            <w:rStyle w:val="Hyperlink"/>
          </w:rPr>
          <w:t>https://profile.clustercollaboration.eu</w:t>
        </w:r>
      </w:hyperlink>
    </w:p>
  </w:footnote>
  <w:footnote w:id="47">
    <w:p w14:paraId="254C2F8D" w14:textId="5F387B2A" w:rsidR="000F36A1" w:rsidRPr="00FE2948" w:rsidRDefault="000F36A1" w:rsidP="006C29DE">
      <w:pPr>
        <w:pStyle w:val="FootnoteText"/>
        <w:spacing w:before="60"/>
        <w:ind w:left="187" w:hanging="187"/>
        <w:jc w:val="both"/>
      </w:pPr>
      <w:r w:rsidRPr="00FE2948">
        <w:rPr>
          <w:rStyle w:val="FootnoteReference"/>
        </w:rPr>
        <w:footnoteRef/>
      </w:r>
      <w:r w:rsidRPr="00FE2948">
        <w:t xml:space="preserve"> This led to the creation of EEN Sustainability Advisers as from 2022. Since the start of 2022, the EEN SME client assessment (the starting point for defining which services an SME needs</w:t>
      </w:r>
      <w:r w:rsidR="00862F1F">
        <w:t>)</w:t>
      </w:r>
      <w:r w:rsidRPr="00FE2948">
        <w:t xml:space="preserve"> covers the full set of environmental, social and economic aspects. Sustainability is mainstreamed across all EEN services including innovation and access to finance. These new EEN services cover different areas such as waste and water management, use of clean energy, human rights monitoring and reporting, workers’ rights, safety and health.</w:t>
      </w:r>
    </w:p>
  </w:footnote>
  <w:footnote w:id="48">
    <w:p w14:paraId="721236EC" w14:textId="5FB786D9" w:rsidR="0049432F" w:rsidRPr="0049432F" w:rsidRDefault="0049432F" w:rsidP="006C29DE">
      <w:pPr>
        <w:pStyle w:val="FootnoteText"/>
        <w:spacing w:before="60"/>
        <w:ind w:left="187" w:hanging="187"/>
      </w:pPr>
      <w:r>
        <w:rPr>
          <w:rStyle w:val="FootnoteReference"/>
        </w:rPr>
        <w:footnoteRef/>
      </w:r>
      <w:r>
        <w:t xml:space="preserve"> </w:t>
      </w:r>
      <w:hyperlink r:id="rId20" w:history="1">
        <w:r w:rsidR="0018775F" w:rsidRPr="00722FF8">
          <w:rPr>
            <w:rStyle w:val="Hyperlink"/>
          </w:rPr>
          <w:t>https://worth-partnership.ec.europa.eu/projects/framiore-capsule-collection_en</w:t>
        </w:r>
      </w:hyperlink>
      <w:r w:rsidR="0018775F">
        <w:t xml:space="preserve"> </w:t>
      </w:r>
    </w:p>
  </w:footnote>
  <w:footnote w:id="49">
    <w:p w14:paraId="506DA7C3" w14:textId="1AF4E176" w:rsidR="00432079" w:rsidRPr="00432079" w:rsidRDefault="00432079" w:rsidP="006C29DE">
      <w:pPr>
        <w:pStyle w:val="FootnoteText"/>
        <w:spacing w:before="60"/>
        <w:ind w:left="187" w:hanging="187"/>
      </w:pPr>
      <w:r>
        <w:rPr>
          <w:rStyle w:val="FootnoteReference"/>
        </w:rPr>
        <w:footnoteRef/>
      </w:r>
      <w:r>
        <w:t xml:space="preserve"> </w:t>
      </w:r>
      <w:hyperlink r:id="rId21" w:history="1">
        <w:r w:rsidR="0018775F" w:rsidRPr="00722FF8">
          <w:rPr>
            <w:rStyle w:val="Hyperlink"/>
          </w:rPr>
          <w:t>https://ec.europa.eu/info/funding-tenders/opportunities/portal/screen/opportunities/projects-details/31059643/101038173/COSME</w:t>
        </w:r>
      </w:hyperlink>
      <w:r w:rsidR="0018775F">
        <w:t xml:space="preserve"> </w:t>
      </w:r>
    </w:p>
  </w:footnote>
  <w:footnote w:id="50">
    <w:p w14:paraId="764A869B" w14:textId="1E14630D" w:rsidR="0011593E" w:rsidRPr="0011593E" w:rsidRDefault="0011593E" w:rsidP="0011593E">
      <w:pPr>
        <w:rPr>
          <w:rStyle w:val="Strong"/>
          <w:rFonts w:ascii="Times New Roman" w:hAnsi="Times New Roman" w:cs="Times New Roman"/>
          <w:sz w:val="20"/>
          <w:szCs w:val="20"/>
          <w:lang w:val="en-IE"/>
        </w:rPr>
      </w:pPr>
      <w:r w:rsidRPr="0011593E">
        <w:rPr>
          <w:rStyle w:val="FootnoteReference"/>
          <w:rFonts w:ascii="Times New Roman" w:hAnsi="Times New Roman" w:cs="Times New Roman"/>
          <w:sz w:val="20"/>
          <w:szCs w:val="20"/>
        </w:rPr>
        <w:footnoteRef/>
      </w:r>
      <w:r w:rsidRPr="0011593E">
        <w:rPr>
          <w:rFonts w:ascii="Times New Roman" w:hAnsi="Times New Roman" w:cs="Times New Roman"/>
          <w:sz w:val="20"/>
          <w:szCs w:val="20"/>
        </w:rPr>
        <w:t xml:space="preserve"> </w:t>
      </w:r>
      <w:r>
        <w:rPr>
          <w:rFonts w:ascii="Times New Roman" w:hAnsi="Times New Roman" w:cs="Times New Roman"/>
          <w:sz w:val="20"/>
          <w:szCs w:val="20"/>
        </w:rPr>
        <w:t xml:space="preserve">Further information on these projects is available on: </w:t>
      </w:r>
      <w:hyperlink r:id="rId22" w:history="1">
        <w:r w:rsidRPr="0011593E">
          <w:rPr>
            <w:rStyle w:val="Hyperlink"/>
            <w:rFonts w:ascii="Times New Roman" w:hAnsi="Times New Roman" w:cs="Times New Roman"/>
            <w:sz w:val="20"/>
            <w:szCs w:val="20"/>
            <w:lang w:val="en-IE"/>
          </w:rPr>
          <w:t>https://clustercollaboration.eu/</w:t>
        </w:r>
      </w:hyperlink>
    </w:p>
    <w:p w14:paraId="26CF8BF8" w14:textId="241AD149" w:rsidR="0011593E" w:rsidRPr="0011593E" w:rsidRDefault="0011593E">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9E0C" w14:textId="77777777" w:rsidR="00C927C4" w:rsidRPr="00C927C4" w:rsidRDefault="00C927C4" w:rsidP="00C927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4178" w14:textId="77777777" w:rsidR="00C927C4" w:rsidRPr="00FE2948" w:rsidRDefault="00C927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EAD9" w14:textId="77777777" w:rsidR="00C927C4" w:rsidRPr="00FE2948" w:rsidRDefault="00C927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A5E2" w14:textId="77777777" w:rsidR="00C927C4" w:rsidRPr="00FE2948" w:rsidRDefault="00C92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B416" w14:textId="77777777" w:rsidR="00C927C4" w:rsidRPr="00C927C4" w:rsidRDefault="00C927C4" w:rsidP="00C927C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F3B78" w14:textId="77777777" w:rsidR="00C927C4" w:rsidRPr="00C927C4" w:rsidRDefault="00C927C4" w:rsidP="00C927C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D2DC" w14:textId="77777777" w:rsidR="000F36A1" w:rsidRPr="00FE2948" w:rsidRDefault="000F36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2316" w14:textId="77777777" w:rsidR="000F36A1" w:rsidRPr="00FE2948" w:rsidRDefault="000F3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A53A" w14:textId="77777777" w:rsidR="000F36A1" w:rsidRPr="00FE2948" w:rsidRDefault="000F36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D12B" w14:textId="77777777" w:rsidR="000F36A1" w:rsidRPr="00FE2948" w:rsidRDefault="000F36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B0E4" w14:textId="77777777" w:rsidR="000F36A1" w:rsidRPr="00FE2948" w:rsidRDefault="000F36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E4309" w14:textId="77777777" w:rsidR="000F36A1" w:rsidRPr="00FE2948" w:rsidRDefault="000F3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811"/>
    <w:multiLevelType w:val="hybridMultilevel"/>
    <w:tmpl w:val="0250F0C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43C1556"/>
    <w:multiLevelType w:val="hybridMultilevel"/>
    <w:tmpl w:val="513A85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4D76BD"/>
    <w:multiLevelType w:val="hybridMultilevel"/>
    <w:tmpl w:val="B8AC54C0"/>
    <w:lvl w:ilvl="0" w:tplc="B51A2812">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E36313B"/>
    <w:multiLevelType w:val="multilevel"/>
    <w:tmpl w:val="B130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87B99"/>
    <w:multiLevelType w:val="hybridMultilevel"/>
    <w:tmpl w:val="33EEB8CC"/>
    <w:lvl w:ilvl="0" w:tplc="DDD4A9F2">
      <w:start w:val="1"/>
      <w:numFmt w:val="decimal"/>
      <w:lvlText w:val="%1."/>
      <w:lvlJc w:val="left"/>
      <w:pPr>
        <w:ind w:left="720" w:hanging="360"/>
      </w:pPr>
      <w:rPr>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E5B8D"/>
    <w:multiLevelType w:val="multilevel"/>
    <w:tmpl w:val="E60C2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3D1DED"/>
    <w:multiLevelType w:val="multilevel"/>
    <w:tmpl w:val="7B6C61F2"/>
    <w:lvl w:ilvl="0">
      <w:start w:val="1"/>
      <w:numFmt w:val="decimal"/>
      <w:pStyle w:val="Heading1"/>
      <w:lvlText w:val="%1."/>
      <w:lvlJc w:val="left"/>
      <w:pPr>
        <w:ind w:left="360" w:hanging="360"/>
      </w:pPr>
      <w:rPr>
        <w:rFonts w:hint="default"/>
      </w:rPr>
    </w:lvl>
    <w:lvl w:ilvl="1">
      <w:start w:val="4"/>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5063E64"/>
    <w:multiLevelType w:val="hybridMultilevel"/>
    <w:tmpl w:val="81983B8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5E5E1527"/>
    <w:multiLevelType w:val="hybridMultilevel"/>
    <w:tmpl w:val="3C5AD56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61D865DB"/>
    <w:multiLevelType w:val="hybridMultilevel"/>
    <w:tmpl w:val="8AA2F294"/>
    <w:lvl w:ilvl="0" w:tplc="7E7E4DB8">
      <w:start w:val="1"/>
      <w:numFmt w:val="decimal"/>
      <w:lvlText w:val="%1."/>
      <w:lvlJc w:val="left"/>
      <w:pPr>
        <w:ind w:left="720" w:hanging="360"/>
      </w:pPr>
      <w:rPr>
        <w:rFonts w:hint="default"/>
        <w:b w:val="0"/>
        <w:bCs/>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59A0900"/>
    <w:multiLevelType w:val="hybridMultilevel"/>
    <w:tmpl w:val="DAFA56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1744BC5"/>
    <w:multiLevelType w:val="hybridMultilevel"/>
    <w:tmpl w:val="FF96BF7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73C35FC4"/>
    <w:multiLevelType w:val="hybridMultilevel"/>
    <w:tmpl w:val="5308BDCC"/>
    <w:lvl w:ilvl="0" w:tplc="080C0001">
      <w:start w:val="1"/>
      <w:numFmt w:val="bullet"/>
      <w:lvlText w:val=""/>
      <w:lvlJc w:val="left"/>
      <w:pPr>
        <w:ind w:left="720" w:hanging="360"/>
      </w:pPr>
      <w:rPr>
        <w:rFonts w:ascii="Symbol" w:hAnsi="Symbol" w:hint="default"/>
      </w:rPr>
    </w:lvl>
    <w:lvl w:ilvl="1" w:tplc="E370F144">
      <w:numFmt w:val="bullet"/>
      <w:lvlText w:val="-"/>
      <w:lvlJc w:val="left"/>
      <w:pPr>
        <w:ind w:left="1440" w:hanging="360"/>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9173B3B"/>
    <w:multiLevelType w:val="hybridMultilevel"/>
    <w:tmpl w:val="1228CA7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7A7D524B"/>
    <w:multiLevelType w:val="hybridMultilevel"/>
    <w:tmpl w:val="0CE88C2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E9B65EC"/>
    <w:multiLevelType w:val="hybridMultilevel"/>
    <w:tmpl w:val="C17E9B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8"/>
  </w:num>
  <w:num w:numId="5">
    <w:abstractNumId w:val="1"/>
  </w:num>
  <w:num w:numId="6">
    <w:abstractNumId w:val="0"/>
  </w:num>
  <w:num w:numId="7">
    <w:abstractNumId w:val="12"/>
  </w:num>
  <w:num w:numId="8">
    <w:abstractNumId w:val="11"/>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5"/>
  </w:num>
  <w:num w:numId="15">
    <w:abstractNumId w:val="2"/>
  </w:num>
  <w:num w:numId="16">
    <w:abstractNumId w:val="14"/>
  </w:num>
  <w:num w:numId="17">
    <w:abstractNumId w:val="6"/>
  </w:num>
  <w:num w:numId="18">
    <w:abstractNumId w:val="6"/>
  </w:num>
  <w:num w:numId="19">
    <w:abstractNumId w:val="13"/>
  </w:num>
  <w:num w:numId="20">
    <w:abstractNumId w:val="3"/>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es-ES" w:vendorID="64" w:dllVersion="6"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es-ES" w:vendorID="64" w:dllVersion="0" w:nlCheck="1" w:checkStyle="0"/>
  <w:activeWritingStyle w:appName="MSWord" w:lang="fr-BE" w:vendorID="64" w:dllVersion="0" w:nlCheck="1" w:checkStyle="0"/>
  <w:revisionView w:markup="0"/>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5D94D02-820D-478C-966E-99639FBC21FD"/>
    <w:docVar w:name="LW_COVERPAGE_TYPE" w:val="1"/>
    <w:docVar w:name="LW_CROSSREFERENCE" w:val="&lt;UNUSED&gt;"/>
    <w:docVar w:name="LW_DocType" w:val="NORMAL"/>
    <w:docVar w:name="LW_EMISSION" w:val="19.10.2023"/>
    <w:docVar w:name="LW_EMISSION_ISODATE" w:val="2023-10-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6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SME _x000d__x000d__x000b_2014-2020 Programme for the Competitiveness of Enterprises and SMEs_x000d__x000d__x000b__x000d__x000d__x000b_2020 Monitoring Report"/>
    <w:docVar w:name="LW_TYPE.DOC.CP" w:val="REPORT FROM THE COMMISSION TO THE EUROPEAN PARLIAMENT AND THE COUNCIL"/>
    <w:docVar w:name="LwApiVersions" w:val="LW4CoDe 1.23.2.0; LW 8.0, Build 20211117"/>
    <w:docVar w:name="Stamp" w:val="\\dossiers.dgt.cec.eu.int\dossiers\GROW\GROW-2023-01073\GROW-2023-01073-00-00-EN-EDT-00.202307251050256123306.DOCX"/>
  </w:docVars>
  <w:rsids>
    <w:rsidRoot w:val="006C0532"/>
    <w:rsid w:val="00000F5C"/>
    <w:rsid w:val="00001524"/>
    <w:rsid w:val="00001688"/>
    <w:rsid w:val="00002146"/>
    <w:rsid w:val="000030BE"/>
    <w:rsid w:val="00007BBE"/>
    <w:rsid w:val="00010641"/>
    <w:rsid w:val="0001174B"/>
    <w:rsid w:val="0001259D"/>
    <w:rsid w:val="000136F5"/>
    <w:rsid w:val="0001771D"/>
    <w:rsid w:val="00022099"/>
    <w:rsid w:val="0002603E"/>
    <w:rsid w:val="00027158"/>
    <w:rsid w:val="00027360"/>
    <w:rsid w:val="0002774C"/>
    <w:rsid w:val="000300F7"/>
    <w:rsid w:val="000331A9"/>
    <w:rsid w:val="00035443"/>
    <w:rsid w:val="000355CD"/>
    <w:rsid w:val="00037127"/>
    <w:rsid w:val="000371DA"/>
    <w:rsid w:val="0003773C"/>
    <w:rsid w:val="000414C4"/>
    <w:rsid w:val="0004303D"/>
    <w:rsid w:val="000435D9"/>
    <w:rsid w:val="000436E9"/>
    <w:rsid w:val="000449C7"/>
    <w:rsid w:val="00046143"/>
    <w:rsid w:val="0004713E"/>
    <w:rsid w:val="00054C29"/>
    <w:rsid w:val="00055613"/>
    <w:rsid w:val="000608C6"/>
    <w:rsid w:val="00062B4F"/>
    <w:rsid w:val="00063EBC"/>
    <w:rsid w:val="0006538A"/>
    <w:rsid w:val="00065484"/>
    <w:rsid w:val="000660F7"/>
    <w:rsid w:val="0006729B"/>
    <w:rsid w:val="000719E1"/>
    <w:rsid w:val="000749A8"/>
    <w:rsid w:val="00074BF0"/>
    <w:rsid w:val="00076580"/>
    <w:rsid w:val="00076B29"/>
    <w:rsid w:val="00080AEB"/>
    <w:rsid w:val="0008538D"/>
    <w:rsid w:val="00087CC7"/>
    <w:rsid w:val="00094B59"/>
    <w:rsid w:val="00097D7A"/>
    <w:rsid w:val="000A05F1"/>
    <w:rsid w:val="000A0705"/>
    <w:rsid w:val="000A27F0"/>
    <w:rsid w:val="000A4B17"/>
    <w:rsid w:val="000A54ED"/>
    <w:rsid w:val="000A58FE"/>
    <w:rsid w:val="000A78B6"/>
    <w:rsid w:val="000B09F0"/>
    <w:rsid w:val="000B0EAC"/>
    <w:rsid w:val="000B2C3B"/>
    <w:rsid w:val="000B317B"/>
    <w:rsid w:val="000B392D"/>
    <w:rsid w:val="000B4733"/>
    <w:rsid w:val="000B7784"/>
    <w:rsid w:val="000C2B54"/>
    <w:rsid w:val="000C4D87"/>
    <w:rsid w:val="000C583C"/>
    <w:rsid w:val="000D0736"/>
    <w:rsid w:val="000D09FE"/>
    <w:rsid w:val="000D165A"/>
    <w:rsid w:val="000D32CF"/>
    <w:rsid w:val="000D38CE"/>
    <w:rsid w:val="000D4400"/>
    <w:rsid w:val="000D44E9"/>
    <w:rsid w:val="000D6595"/>
    <w:rsid w:val="000E0565"/>
    <w:rsid w:val="000E0F52"/>
    <w:rsid w:val="000E168F"/>
    <w:rsid w:val="000E1E6F"/>
    <w:rsid w:val="000E27F9"/>
    <w:rsid w:val="000E77F0"/>
    <w:rsid w:val="000F36A1"/>
    <w:rsid w:val="000F49C0"/>
    <w:rsid w:val="000F706E"/>
    <w:rsid w:val="000F7481"/>
    <w:rsid w:val="00101EDB"/>
    <w:rsid w:val="001026E1"/>
    <w:rsid w:val="00104394"/>
    <w:rsid w:val="00105589"/>
    <w:rsid w:val="00105D82"/>
    <w:rsid w:val="00105DA6"/>
    <w:rsid w:val="00106BCD"/>
    <w:rsid w:val="00111059"/>
    <w:rsid w:val="00111869"/>
    <w:rsid w:val="001156AF"/>
    <w:rsid w:val="0011593E"/>
    <w:rsid w:val="0011783D"/>
    <w:rsid w:val="001207FF"/>
    <w:rsid w:val="00122861"/>
    <w:rsid w:val="001242B2"/>
    <w:rsid w:val="0012614A"/>
    <w:rsid w:val="00126A78"/>
    <w:rsid w:val="00130B8E"/>
    <w:rsid w:val="00131884"/>
    <w:rsid w:val="00133F24"/>
    <w:rsid w:val="001342AA"/>
    <w:rsid w:val="00134CED"/>
    <w:rsid w:val="001409D2"/>
    <w:rsid w:val="00142A6D"/>
    <w:rsid w:val="00144FD8"/>
    <w:rsid w:val="00146B57"/>
    <w:rsid w:val="00150316"/>
    <w:rsid w:val="001503AF"/>
    <w:rsid w:val="00151FB0"/>
    <w:rsid w:val="0015571F"/>
    <w:rsid w:val="00155C1E"/>
    <w:rsid w:val="00156097"/>
    <w:rsid w:val="00162DE0"/>
    <w:rsid w:val="00163500"/>
    <w:rsid w:val="00165C66"/>
    <w:rsid w:val="001672ED"/>
    <w:rsid w:val="001704E6"/>
    <w:rsid w:val="00170DB4"/>
    <w:rsid w:val="001744F2"/>
    <w:rsid w:val="00174AF6"/>
    <w:rsid w:val="00174B3B"/>
    <w:rsid w:val="00174BA6"/>
    <w:rsid w:val="00177956"/>
    <w:rsid w:val="001802EC"/>
    <w:rsid w:val="00180D3F"/>
    <w:rsid w:val="00181937"/>
    <w:rsid w:val="001823E0"/>
    <w:rsid w:val="001833C3"/>
    <w:rsid w:val="0018755A"/>
    <w:rsid w:val="00187600"/>
    <w:rsid w:val="0018775F"/>
    <w:rsid w:val="001913A5"/>
    <w:rsid w:val="0019379F"/>
    <w:rsid w:val="00194215"/>
    <w:rsid w:val="001A0030"/>
    <w:rsid w:val="001A19A4"/>
    <w:rsid w:val="001A1D3C"/>
    <w:rsid w:val="001A4D78"/>
    <w:rsid w:val="001A4E34"/>
    <w:rsid w:val="001A5F6C"/>
    <w:rsid w:val="001A663F"/>
    <w:rsid w:val="001A72F3"/>
    <w:rsid w:val="001B370C"/>
    <w:rsid w:val="001B3BF8"/>
    <w:rsid w:val="001B4701"/>
    <w:rsid w:val="001B53A3"/>
    <w:rsid w:val="001B57B0"/>
    <w:rsid w:val="001B6C65"/>
    <w:rsid w:val="001B7E2D"/>
    <w:rsid w:val="001C0C14"/>
    <w:rsid w:val="001C3540"/>
    <w:rsid w:val="001C5C6F"/>
    <w:rsid w:val="001C6C3C"/>
    <w:rsid w:val="001C728C"/>
    <w:rsid w:val="001D030D"/>
    <w:rsid w:val="001D104C"/>
    <w:rsid w:val="001D24B3"/>
    <w:rsid w:val="001D65BA"/>
    <w:rsid w:val="001D6755"/>
    <w:rsid w:val="001D682B"/>
    <w:rsid w:val="001D708B"/>
    <w:rsid w:val="001E08BE"/>
    <w:rsid w:val="001E0BD2"/>
    <w:rsid w:val="001E3BF7"/>
    <w:rsid w:val="001E40AB"/>
    <w:rsid w:val="001E7C22"/>
    <w:rsid w:val="001F1C77"/>
    <w:rsid w:val="001F2840"/>
    <w:rsid w:val="001F4006"/>
    <w:rsid w:val="001F56AF"/>
    <w:rsid w:val="002000CF"/>
    <w:rsid w:val="00200E8C"/>
    <w:rsid w:val="00210D02"/>
    <w:rsid w:val="002139D5"/>
    <w:rsid w:val="0021408E"/>
    <w:rsid w:val="00215894"/>
    <w:rsid w:val="0021722A"/>
    <w:rsid w:val="002216FB"/>
    <w:rsid w:val="00221D6C"/>
    <w:rsid w:val="002220B3"/>
    <w:rsid w:val="00222504"/>
    <w:rsid w:val="00223DCF"/>
    <w:rsid w:val="00223FEC"/>
    <w:rsid w:val="00225F6F"/>
    <w:rsid w:val="0022744A"/>
    <w:rsid w:val="002335E6"/>
    <w:rsid w:val="002361AB"/>
    <w:rsid w:val="0023740C"/>
    <w:rsid w:val="00237412"/>
    <w:rsid w:val="00241650"/>
    <w:rsid w:val="00242A95"/>
    <w:rsid w:val="00244FB7"/>
    <w:rsid w:val="00246B2B"/>
    <w:rsid w:val="00247424"/>
    <w:rsid w:val="00251DED"/>
    <w:rsid w:val="00253245"/>
    <w:rsid w:val="00253611"/>
    <w:rsid w:val="00260774"/>
    <w:rsid w:val="00262F4C"/>
    <w:rsid w:val="00266DF2"/>
    <w:rsid w:val="0026745D"/>
    <w:rsid w:val="002702D7"/>
    <w:rsid w:val="00270CCC"/>
    <w:rsid w:val="002729F6"/>
    <w:rsid w:val="00272FA7"/>
    <w:rsid w:val="00275DCA"/>
    <w:rsid w:val="00276024"/>
    <w:rsid w:val="002762D6"/>
    <w:rsid w:val="00276E89"/>
    <w:rsid w:val="002775E6"/>
    <w:rsid w:val="00277ABC"/>
    <w:rsid w:val="00281368"/>
    <w:rsid w:val="00283FAB"/>
    <w:rsid w:val="00284249"/>
    <w:rsid w:val="00284835"/>
    <w:rsid w:val="00285A2A"/>
    <w:rsid w:val="00286436"/>
    <w:rsid w:val="00291A1A"/>
    <w:rsid w:val="0029663C"/>
    <w:rsid w:val="002A1140"/>
    <w:rsid w:val="002A1A4E"/>
    <w:rsid w:val="002A4143"/>
    <w:rsid w:val="002A4DFD"/>
    <w:rsid w:val="002A4F30"/>
    <w:rsid w:val="002A7774"/>
    <w:rsid w:val="002B1146"/>
    <w:rsid w:val="002B1D1E"/>
    <w:rsid w:val="002B6C0A"/>
    <w:rsid w:val="002C2151"/>
    <w:rsid w:val="002C2E52"/>
    <w:rsid w:val="002C33E1"/>
    <w:rsid w:val="002C40D0"/>
    <w:rsid w:val="002C66CA"/>
    <w:rsid w:val="002C76C0"/>
    <w:rsid w:val="002D0047"/>
    <w:rsid w:val="002D05B6"/>
    <w:rsid w:val="002D2020"/>
    <w:rsid w:val="002D3446"/>
    <w:rsid w:val="002D38B3"/>
    <w:rsid w:val="002D5F31"/>
    <w:rsid w:val="002E0476"/>
    <w:rsid w:val="002E154C"/>
    <w:rsid w:val="002E2085"/>
    <w:rsid w:val="002E3EEA"/>
    <w:rsid w:val="002E4742"/>
    <w:rsid w:val="002F22FF"/>
    <w:rsid w:val="002F3313"/>
    <w:rsid w:val="002F3E29"/>
    <w:rsid w:val="002F7586"/>
    <w:rsid w:val="002F7D6C"/>
    <w:rsid w:val="003003C0"/>
    <w:rsid w:val="003009C7"/>
    <w:rsid w:val="003043D4"/>
    <w:rsid w:val="003060BA"/>
    <w:rsid w:val="003103B5"/>
    <w:rsid w:val="00310498"/>
    <w:rsid w:val="003108B5"/>
    <w:rsid w:val="00311046"/>
    <w:rsid w:val="003121D8"/>
    <w:rsid w:val="00312DA4"/>
    <w:rsid w:val="00314772"/>
    <w:rsid w:val="00315E47"/>
    <w:rsid w:val="00315FC2"/>
    <w:rsid w:val="00317508"/>
    <w:rsid w:val="00320C84"/>
    <w:rsid w:val="00321AB8"/>
    <w:rsid w:val="00321D8B"/>
    <w:rsid w:val="00322ABA"/>
    <w:rsid w:val="00322B31"/>
    <w:rsid w:val="00322EEC"/>
    <w:rsid w:val="00323444"/>
    <w:rsid w:val="00324327"/>
    <w:rsid w:val="0032440A"/>
    <w:rsid w:val="0032574D"/>
    <w:rsid w:val="00327916"/>
    <w:rsid w:val="00327F37"/>
    <w:rsid w:val="00331299"/>
    <w:rsid w:val="00333FFF"/>
    <w:rsid w:val="00334679"/>
    <w:rsid w:val="00335A40"/>
    <w:rsid w:val="00337432"/>
    <w:rsid w:val="00340A7E"/>
    <w:rsid w:val="0034182F"/>
    <w:rsid w:val="003426DC"/>
    <w:rsid w:val="003441EA"/>
    <w:rsid w:val="00344A3A"/>
    <w:rsid w:val="00350E80"/>
    <w:rsid w:val="00351DE4"/>
    <w:rsid w:val="00352C15"/>
    <w:rsid w:val="00354593"/>
    <w:rsid w:val="00360063"/>
    <w:rsid w:val="00362B96"/>
    <w:rsid w:val="003638EF"/>
    <w:rsid w:val="00363CA4"/>
    <w:rsid w:val="00366B81"/>
    <w:rsid w:val="003679CC"/>
    <w:rsid w:val="00367F0D"/>
    <w:rsid w:val="003701E1"/>
    <w:rsid w:val="003718DE"/>
    <w:rsid w:val="00371AFD"/>
    <w:rsid w:val="00372809"/>
    <w:rsid w:val="00373F01"/>
    <w:rsid w:val="00374497"/>
    <w:rsid w:val="00375048"/>
    <w:rsid w:val="0037691A"/>
    <w:rsid w:val="003769BE"/>
    <w:rsid w:val="00377D3F"/>
    <w:rsid w:val="00382076"/>
    <w:rsid w:val="0038284F"/>
    <w:rsid w:val="003863E4"/>
    <w:rsid w:val="003917EC"/>
    <w:rsid w:val="00393FAF"/>
    <w:rsid w:val="00394486"/>
    <w:rsid w:val="00396D9D"/>
    <w:rsid w:val="00396ECA"/>
    <w:rsid w:val="003A1008"/>
    <w:rsid w:val="003A27D2"/>
    <w:rsid w:val="003B060E"/>
    <w:rsid w:val="003B3312"/>
    <w:rsid w:val="003B4619"/>
    <w:rsid w:val="003B5C0D"/>
    <w:rsid w:val="003B792A"/>
    <w:rsid w:val="003C0310"/>
    <w:rsid w:val="003C0BF5"/>
    <w:rsid w:val="003C0C5D"/>
    <w:rsid w:val="003C33D4"/>
    <w:rsid w:val="003C3623"/>
    <w:rsid w:val="003C7E14"/>
    <w:rsid w:val="003D6676"/>
    <w:rsid w:val="003D6CA2"/>
    <w:rsid w:val="003E15D7"/>
    <w:rsid w:val="003E23C9"/>
    <w:rsid w:val="003E4EE4"/>
    <w:rsid w:val="003E514A"/>
    <w:rsid w:val="003E6182"/>
    <w:rsid w:val="003E707C"/>
    <w:rsid w:val="003F1DF6"/>
    <w:rsid w:val="003F50F9"/>
    <w:rsid w:val="003F69C5"/>
    <w:rsid w:val="003F7816"/>
    <w:rsid w:val="003F7D46"/>
    <w:rsid w:val="004006D2"/>
    <w:rsid w:val="004061B3"/>
    <w:rsid w:val="0040640A"/>
    <w:rsid w:val="004066B2"/>
    <w:rsid w:val="00407921"/>
    <w:rsid w:val="004079D5"/>
    <w:rsid w:val="004100FC"/>
    <w:rsid w:val="0041078E"/>
    <w:rsid w:val="0041273B"/>
    <w:rsid w:val="004139B9"/>
    <w:rsid w:val="00415177"/>
    <w:rsid w:val="00421192"/>
    <w:rsid w:val="004219E0"/>
    <w:rsid w:val="00421E01"/>
    <w:rsid w:val="004224A0"/>
    <w:rsid w:val="00425BCB"/>
    <w:rsid w:val="00425EDB"/>
    <w:rsid w:val="00426B26"/>
    <w:rsid w:val="00432079"/>
    <w:rsid w:val="00434155"/>
    <w:rsid w:val="00434441"/>
    <w:rsid w:val="0043545C"/>
    <w:rsid w:val="00436911"/>
    <w:rsid w:val="00437113"/>
    <w:rsid w:val="00440766"/>
    <w:rsid w:val="004412B3"/>
    <w:rsid w:val="00442190"/>
    <w:rsid w:val="004422D1"/>
    <w:rsid w:val="00442837"/>
    <w:rsid w:val="00446F53"/>
    <w:rsid w:val="004508EE"/>
    <w:rsid w:val="00451C86"/>
    <w:rsid w:val="00452BDC"/>
    <w:rsid w:val="00452C6A"/>
    <w:rsid w:val="0045470A"/>
    <w:rsid w:val="00456DCE"/>
    <w:rsid w:val="004614B7"/>
    <w:rsid w:val="00461640"/>
    <w:rsid w:val="00462383"/>
    <w:rsid w:val="0046347E"/>
    <w:rsid w:val="004641DE"/>
    <w:rsid w:val="0046425B"/>
    <w:rsid w:val="00467F1E"/>
    <w:rsid w:val="0047081E"/>
    <w:rsid w:val="004711C3"/>
    <w:rsid w:val="00472A71"/>
    <w:rsid w:val="00474E17"/>
    <w:rsid w:val="00475407"/>
    <w:rsid w:val="00482CDF"/>
    <w:rsid w:val="00483792"/>
    <w:rsid w:val="0048653D"/>
    <w:rsid w:val="004869AF"/>
    <w:rsid w:val="00486CA3"/>
    <w:rsid w:val="00491B60"/>
    <w:rsid w:val="00491D85"/>
    <w:rsid w:val="00492F93"/>
    <w:rsid w:val="00493174"/>
    <w:rsid w:val="0049432F"/>
    <w:rsid w:val="004A0B84"/>
    <w:rsid w:val="004A29D5"/>
    <w:rsid w:val="004A468F"/>
    <w:rsid w:val="004A59C9"/>
    <w:rsid w:val="004A5C16"/>
    <w:rsid w:val="004A5E87"/>
    <w:rsid w:val="004A6CAC"/>
    <w:rsid w:val="004A7737"/>
    <w:rsid w:val="004B08E0"/>
    <w:rsid w:val="004B1A21"/>
    <w:rsid w:val="004B6495"/>
    <w:rsid w:val="004C2078"/>
    <w:rsid w:val="004C22CA"/>
    <w:rsid w:val="004C499C"/>
    <w:rsid w:val="004C4DC3"/>
    <w:rsid w:val="004C6A36"/>
    <w:rsid w:val="004D0B11"/>
    <w:rsid w:val="004D3F7E"/>
    <w:rsid w:val="004D4564"/>
    <w:rsid w:val="004D5808"/>
    <w:rsid w:val="004D659A"/>
    <w:rsid w:val="004E1D29"/>
    <w:rsid w:val="004E4E14"/>
    <w:rsid w:val="004E5E3E"/>
    <w:rsid w:val="004E77EA"/>
    <w:rsid w:val="004F16A7"/>
    <w:rsid w:val="004F1D98"/>
    <w:rsid w:val="004F3381"/>
    <w:rsid w:val="004F34C6"/>
    <w:rsid w:val="004F4055"/>
    <w:rsid w:val="004F704B"/>
    <w:rsid w:val="004F75AA"/>
    <w:rsid w:val="00500D61"/>
    <w:rsid w:val="0050340E"/>
    <w:rsid w:val="00503839"/>
    <w:rsid w:val="00503CEA"/>
    <w:rsid w:val="005043AF"/>
    <w:rsid w:val="00506162"/>
    <w:rsid w:val="00510A0D"/>
    <w:rsid w:val="00510F25"/>
    <w:rsid w:val="0051278C"/>
    <w:rsid w:val="00513418"/>
    <w:rsid w:val="00513D01"/>
    <w:rsid w:val="0051453E"/>
    <w:rsid w:val="0051483C"/>
    <w:rsid w:val="0051668F"/>
    <w:rsid w:val="00517853"/>
    <w:rsid w:val="0052141F"/>
    <w:rsid w:val="0052645F"/>
    <w:rsid w:val="00526C15"/>
    <w:rsid w:val="005272C0"/>
    <w:rsid w:val="0053170B"/>
    <w:rsid w:val="00531961"/>
    <w:rsid w:val="005321E4"/>
    <w:rsid w:val="00533AAF"/>
    <w:rsid w:val="005368AC"/>
    <w:rsid w:val="00542094"/>
    <w:rsid w:val="00543E88"/>
    <w:rsid w:val="00545933"/>
    <w:rsid w:val="0054719C"/>
    <w:rsid w:val="005476AF"/>
    <w:rsid w:val="00552F6F"/>
    <w:rsid w:val="00554323"/>
    <w:rsid w:val="00555A37"/>
    <w:rsid w:val="005621F7"/>
    <w:rsid w:val="0056479B"/>
    <w:rsid w:val="00564EC6"/>
    <w:rsid w:val="00565E25"/>
    <w:rsid w:val="0056681C"/>
    <w:rsid w:val="00566B36"/>
    <w:rsid w:val="005716DC"/>
    <w:rsid w:val="005735D4"/>
    <w:rsid w:val="00576844"/>
    <w:rsid w:val="00576F65"/>
    <w:rsid w:val="005776B5"/>
    <w:rsid w:val="00577A67"/>
    <w:rsid w:val="005811F0"/>
    <w:rsid w:val="00581521"/>
    <w:rsid w:val="00582404"/>
    <w:rsid w:val="0058325F"/>
    <w:rsid w:val="00583B8D"/>
    <w:rsid w:val="00584207"/>
    <w:rsid w:val="00586FDE"/>
    <w:rsid w:val="00590598"/>
    <w:rsid w:val="0059141F"/>
    <w:rsid w:val="00594801"/>
    <w:rsid w:val="00594E3D"/>
    <w:rsid w:val="0059581D"/>
    <w:rsid w:val="0059594F"/>
    <w:rsid w:val="00595B29"/>
    <w:rsid w:val="00596B21"/>
    <w:rsid w:val="005A293A"/>
    <w:rsid w:val="005A399D"/>
    <w:rsid w:val="005A3D31"/>
    <w:rsid w:val="005A4DB4"/>
    <w:rsid w:val="005A4DC3"/>
    <w:rsid w:val="005A5537"/>
    <w:rsid w:val="005A66F7"/>
    <w:rsid w:val="005A6FD8"/>
    <w:rsid w:val="005A7837"/>
    <w:rsid w:val="005A7A3D"/>
    <w:rsid w:val="005B0112"/>
    <w:rsid w:val="005B0537"/>
    <w:rsid w:val="005B147D"/>
    <w:rsid w:val="005B321D"/>
    <w:rsid w:val="005B40D4"/>
    <w:rsid w:val="005C0C61"/>
    <w:rsid w:val="005C3EB2"/>
    <w:rsid w:val="005C3F7F"/>
    <w:rsid w:val="005D19B9"/>
    <w:rsid w:val="005D299F"/>
    <w:rsid w:val="005D3C63"/>
    <w:rsid w:val="005D4C54"/>
    <w:rsid w:val="005D51AF"/>
    <w:rsid w:val="005D5F7C"/>
    <w:rsid w:val="005D70C1"/>
    <w:rsid w:val="005E19FA"/>
    <w:rsid w:val="005E2E27"/>
    <w:rsid w:val="005E47FA"/>
    <w:rsid w:val="005E4F34"/>
    <w:rsid w:val="005E7222"/>
    <w:rsid w:val="005E73A4"/>
    <w:rsid w:val="005E76F6"/>
    <w:rsid w:val="005E77C0"/>
    <w:rsid w:val="005F1ABD"/>
    <w:rsid w:val="005F1C56"/>
    <w:rsid w:val="005F1FF6"/>
    <w:rsid w:val="005F220A"/>
    <w:rsid w:val="005F3A9D"/>
    <w:rsid w:val="005F59B6"/>
    <w:rsid w:val="005F5C84"/>
    <w:rsid w:val="006026C3"/>
    <w:rsid w:val="0060667E"/>
    <w:rsid w:val="00607678"/>
    <w:rsid w:val="006103D7"/>
    <w:rsid w:val="00611868"/>
    <w:rsid w:val="00612ACD"/>
    <w:rsid w:val="006131C4"/>
    <w:rsid w:val="006164F9"/>
    <w:rsid w:val="00627C29"/>
    <w:rsid w:val="0063035A"/>
    <w:rsid w:val="00630651"/>
    <w:rsid w:val="006314BD"/>
    <w:rsid w:val="00632095"/>
    <w:rsid w:val="00634FD3"/>
    <w:rsid w:val="00636B4B"/>
    <w:rsid w:val="006406D7"/>
    <w:rsid w:val="00642B6F"/>
    <w:rsid w:val="00642E09"/>
    <w:rsid w:val="0064300C"/>
    <w:rsid w:val="0064378E"/>
    <w:rsid w:val="00643E0C"/>
    <w:rsid w:val="0064442A"/>
    <w:rsid w:val="00644BAB"/>
    <w:rsid w:val="00645371"/>
    <w:rsid w:val="00645C39"/>
    <w:rsid w:val="00646CC6"/>
    <w:rsid w:val="00647236"/>
    <w:rsid w:val="006475EB"/>
    <w:rsid w:val="00647E80"/>
    <w:rsid w:val="00651C14"/>
    <w:rsid w:val="00652042"/>
    <w:rsid w:val="00653033"/>
    <w:rsid w:val="00654BE0"/>
    <w:rsid w:val="006569BE"/>
    <w:rsid w:val="006607DB"/>
    <w:rsid w:val="00660BB3"/>
    <w:rsid w:val="00661F85"/>
    <w:rsid w:val="00663DD3"/>
    <w:rsid w:val="00664D0C"/>
    <w:rsid w:val="00665DB8"/>
    <w:rsid w:val="0066674A"/>
    <w:rsid w:val="006668C7"/>
    <w:rsid w:val="00671F34"/>
    <w:rsid w:val="006732B9"/>
    <w:rsid w:val="006735CA"/>
    <w:rsid w:val="00676C49"/>
    <w:rsid w:val="00676DFD"/>
    <w:rsid w:val="00677156"/>
    <w:rsid w:val="006802A0"/>
    <w:rsid w:val="006810F1"/>
    <w:rsid w:val="00681ADF"/>
    <w:rsid w:val="00682E2C"/>
    <w:rsid w:val="00682E6A"/>
    <w:rsid w:val="00683662"/>
    <w:rsid w:val="00683FC7"/>
    <w:rsid w:val="00684B66"/>
    <w:rsid w:val="00684BA3"/>
    <w:rsid w:val="00684D0B"/>
    <w:rsid w:val="00684D35"/>
    <w:rsid w:val="00687AA9"/>
    <w:rsid w:val="00692139"/>
    <w:rsid w:val="0069234C"/>
    <w:rsid w:val="00693EDE"/>
    <w:rsid w:val="006942F8"/>
    <w:rsid w:val="00694946"/>
    <w:rsid w:val="00696641"/>
    <w:rsid w:val="00697306"/>
    <w:rsid w:val="00697312"/>
    <w:rsid w:val="006A06F3"/>
    <w:rsid w:val="006A2BC8"/>
    <w:rsid w:val="006A3769"/>
    <w:rsid w:val="006A6CC5"/>
    <w:rsid w:val="006B0442"/>
    <w:rsid w:val="006B08F4"/>
    <w:rsid w:val="006B10C4"/>
    <w:rsid w:val="006B2F6E"/>
    <w:rsid w:val="006B3326"/>
    <w:rsid w:val="006B6B7F"/>
    <w:rsid w:val="006B70A4"/>
    <w:rsid w:val="006B7ECD"/>
    <w:rsid w:val="006C0065"/>
    <w:rsid w:val="006C0532"/>
    <w:rsid w:val="006C0A53"/>
    <w:rsid w:val="006C23D9"/>
    <w:rsid w:val="006C2457"/>
    <w:rsid w:val="006C29DE"/>
    <w:rsid w:val="006C360E"/>
    <w:rsid w:val="006C4544"/>
    <w:rsid w:val="006C5C40"/>
    <w:rsid w:val="006C5DBD"/>
    <w:rsid w:val="006C7216"/>
    <w:rsid w:val="006D12D9"/>
    <w:rsid w:val="006D2272"/>
    <w:rsid w:val="006D22FA"/>
    <w:rsid w:val="006D2351"/>
    <w:rsid w:val="006D2403"/>
    <w:rsid w:val="006D2E0B"/>
    <w:rsid w:val="006D494A"/>
    <w:rsid w:val="006D5BB3"/>
    <w:rsid w:val="006E1D14"/>
    <w:rsid w:val="006E1ECD"/>
    <w:rsid w:val="006E4A73"/>
    <w:rsid w:val="006E4C6D"/>
    <w:rsid w:val="006E7B4A"/>
    <w:rsid w:val="006F15E2"/>
    <w:rsid w:val="006F1753"/>
    <w:rsid w:val="006F214A"/>
    <w:rsid w:val="006F3AE1"/>
    <w:rsid w:val="006F5ADC"/>
    <w:rsid w:val="006F78F5"/>
    <w:rsid w:val="00700A77"/>
    <w:rsid w:val="0070132F"/>
    <w:rsid w:val="00702282"/>
    <w:rsid w:val="00704C70"/>
    <w:rsid w:val="007065E2"/>
    <w:rsid w:val="00706792"/>
    <w:rsid w:val="00706E33"/>
    <w:rsid w:val="00710076"/>
    <w:rsid w:val="00712798"/>
    <w:rsid w:val="00713A20"/>
    <w:rsid w:val="00714DB7"/>
    <w:rsid w:val="00716B42"/>
    <w:rsid w:val="00716BDD"/>
    <w:rsid w:val="00716DFF"/>
    <w:rsid w:val="00720082"/>
    <w:rsid w:val="0072045E"/>
    <w:rsid w:val="007215A6"/>
    <w:rsid w:val="007227EB"/>
    <w:rsid w:val="007265A1"/>
    <w:rsid w:val="00726E61"/>
    <w:rsid w:val="007307EC"/>
    <w:rsid w:val="00731DDA"/>
    <w:rsid w:val="00737244"/>
    <w:rsid w:val="00740940"/>
    <w:rsid w:val="007411D9"/>
    <w:rsid w:val="00741733"/>
    <w:rsid w:val="007418A9"/>
    <w:rsid w:val="00741BEE"/>
    <w:rsid w:val="00741C49"/>
    <w:rsid w:val="00742E9E"/>
    <w:rsid w:val="00743195"/>
    <w:rsid w:val="00744631"/>
    <w:rsid w:val="007535F0"/>
    <w:rsid w:val="00753882"/>
    <w:rsid w:val="00753CD8"/>
    <w:rsid w:val="00753E9D"/>
    <w:rsid w:val="00754127"/>
    <w:rsid w:val="00756835"/>
    <w:rsid w:val="00757726"/>
    <w:rsid w:val="0076082F"/>
    <w:rsid w:val="00764348"/>
    <w:rsid w:val="00765D2D"/>
    <w:rsid w:val="007677AD"/>
    <w:rsid w:val="00767F1E"/>
    <w:rsid w:val="00774536"/>
    <w:rsid w:val="007751F5"/>
    <w:rsid w:val="00776D89"/>
    <w:rsid w:val="007775F5"/>
    <w:rsid w:val="00777CFC"/>
    <w:rsid w:val="00784309"/>
    <w:rsid w:val="00784CEE"/>
    <w:rsid w:val="00785B71"/>
    <w:rsid w:val="00786FAC"/>
    <w:rsid w:val="007924AD"/>
    <w:rsid w:val="00792565"/>
    <w:rsid w:val="007A191F"/>
    <w:rsid w:val="007A1C31"/>
    <w:rsid w:val="007A7211"/>
    <w:rsid w:val="007A7707"/>
    <w:rsid w:val="007B03F4"/>
    <w:rsid w:val="007B06F2"/>
    <w:rsid w:val="007B08E9"/>
    <w:rsid w:val="007B0CC4"/>
    <w:rsid w:val="007B1558"/>
    <w:rsid w:val="007B1571"/>
    <w:rsid w:val="007B33B0"/>
    <w:rsid w:val="007B34E5"/>
    <w:rsid w:val="007B4513"/>
    <w:rsid w:val="007B57C1"/>
    <w:rsid w:val="007B792D"/>
    <w:rsid w:val="007C004F"/>
    <w:rsid w:val="007C01A3"/>
    <w:rsid w:val="007C08CE"/>
    <w:rsid w:val="007C0C58"/>
    <w:rsid w:val="007C2B7E"/>
    <w:rsid w:val="007C2CFA"/>
    <w:rsid w:val="007C3B1C"/>
    <w:rsid w:val="007C592C"/>
    <w:rsid w:val="007C790A"/>
    <w:rsid w:val="007D00F3"/>
    <w:rsid w:val="007D21B6"/>
    <w:rsid w:val="007D285B"/>
    <w:rsid w:val="007D2AA1"/>
    <w:rsid w:val="007D46A5"/>
    <w:rsid w:val="007D5B92"/>
    <w:rsid w:val="007D64E4"/>
    <w:rsid w:val="007D7C84"/>
    <w:rsid w:val="007E0226"/>
    <w:rsid w:val="007E088D"/>
    <w:rsid w:val="007E180F"/>
    <w:rsid w:val="007E5856"/>
    <w:rsid w:val="007E5996"/>
    <w:rsid w:val="007E5F10"/>
    <w:rsid w:val="007F0799"/>
    <w:rsid w:val="007F3372"/>
    <w:rsid w:val="007F4433"/>
    <w:rsid w:val="007F5F53"/>
    <w:rsid w:val="007F66EA"/>
    <w:rsid w:val="008013CE"/>
    <w:rsid w:val="008018DB"/>
    <w:rsid w:val="00801DAD"/>
    <w:rsid w:val="0080368F"/>
    <w:rsid w:val="008042CB"/>
    <w:rsid w:val="00804F60"/>
    <w:rsid w:val="0080553B"/>
    <w:rsid w:val="0080787D"/>
    <w:rsid w:val="00810934"/>
    <w:rsid w:val="00810C5D"/>
    <w:rsid w:val="00811CEA"/>
    <w:rsid w:val="00814553"/>
    <w:rsid w:val="00824695"/>
    <w:rsid w:val="00824E41"/>
    <w:rsid w:val="00826234"/>
    <w:rsid w:val="008268E1"/>
    <w:rsid w:val="008269F3"/>
    <w:rsid w:val="00827713"/>
    <w:rsid w:val="00830A73"/>
    <w:rsid w:val="00830EF5"/>
    <w:rsid w:val="00834184"/>
    <w:rsid w:val="00834C6F"/>
    <w:rsid w:val="008353EC"/>
    <w:rsid w:val="00836D88"/>
    <w:rsid w:val="0083717F"/>
    <w:rsid w:val="00837C73"/>
    <w:rsid w:val="00840CA9"/>
    <w:rsid w:val="00841D24"/>
    <w:rsid w:val="008422EE"/>
    <w:rsid w:val="00842374"/>
    <w:rsid w:val="008439FA"/>
    <w:rsid w:val="00844C3A"/>
    <w:rsid w:val="00845D1C"/>
    <w:rsid w:val="008461E8"/>
    <w:rsid w:val="0084636E"/>
    <w:rsid w:val="00847051"/>
    <w:rsid w:val="00852551"/>
    <w:rsid w:val="00853728"/>
    <w:rsid w:val="00857067"/>
    <w:rsid w:val="00857B57"/>
    <w:rsid w:val="00861092"/>
    <w:rsid w:val="00862F1F"/>
    <w:rsid w:val="00863D2D"/>
    <w:rsid w:val="0086527C"/>
    <w:rsid w:val="0086704C"/>
    <w:rsid w:val="00867C80"/>
    <w:rsid w:val="00871F27"/>
    <w:rsid w:val="008720D4"/>
    <w:rsid w:val="00872534"/>
    <w:rsid w:val="0087270E"/>
    <w:rsid w:val="00873469"/>
    <w:rsid w:val="0087583B"/>
    <w:rsid w:val="0088195D"/>
    <w:rsid w:val="00882C7D"/>
    <w:rsid w:val="008857E8"/>
    <w:rsid w:val="00890C01"/>
    <w:rsid w:val="00892817"/>
    <w:rsid w:val="008A09CF"/>
    <w:rsid w:val="008A1C43"/>
    <w:rsid w:val="008B037C"/>
    <w:rsid w:val="008B4A12"/>
    <w:rsid w:val="008B564B"/>
    <w:rsid w:val="008B5F77"/>
    <w:rsid w:val="008B7983"/>
    <w:rsid w:val="008C0B0D"/>
    <w:rsid w:val="008C10D7"/>
    <w:rsid w:val="008C1CBA"/>
    <w:rsid w:val="008C2FD0"/>
    <w:rsid w:val="008C301C"/>
    <w:rsid w:val="008C35F7"/>
    <w:rsid w:val="008C4140"/>
    <w:rsid w:val="008C4705"/>
    <w:rsid w:val="008D5CB9"/>
    <w:rsid w:val="008E12F9"/>
    <w:rsid w:val="008E136B"/>
    <w:rsid w:val="008E204E"/>
    <w:rsid w:val="008E4C37"/>
    <w:rsid w:val="008E6FC9"/>
    <w:rsid w:val="008E7221"/>
    <w:rsid w:val="008E7966"/>
    <w:rsid w:val="008F1611"/>
    <w:rsid w:val="008F31CD"/>
    <w:rsid w:val="008F4189"/>
    <w:rsid w:val="008F5402"/>
    <w:rsid w:val="008F5D26"/>
    <w:rsid w:val="008F73A4"/>
    <w:rsid w:val="008F73C1"/>
    <w:rsid w:val="008F7E96"/>
    <w:rsid w:val="00900A96"/>
    <w:rsid w:val="00902256"/>
    <w:rsid w:val="00905F41"/>
    <w:rsid w:val="009067C8"/>
    <w:rsid w:val="00907703"/>
    <w:rsid w:val="009106D9"/>
    <w:rsid w:val="00912F56"/>
    <w:rsid w:val="009134F1"/>
    <w:rsid w:val="009143E6"/>
    <w:rsid w:val="00921724"/>
    <w:rsid w:val="009240BD"/>
    <w:rsid w:val="00924EF1"/>
    <w:rsid w:val="00925EE3"/>
    <w:rsid w:val="00927B86"/>
    <w:rsid w:val="0093051E"/>
    <w:rsid w:val="00931005"/>
    <w:rsid w:val="00932684"/>
    <w:rsid w:val="009339C0"/>
    <w:rsid w:val="00933DE5"/>
    <w:rsid w:val="00935DB6"/>
    <w:rsid w:val="009366FC"/>
    <w:rsid w:val="009369AF"/>
    <w:rsid w:val="009377DD"/>
    <w:rsid w:val="0094093A"/>
    <w:rsid w:val="00940FB5"/>
    <w:rsid w:val="009428FC"/>
    <w:rsid w:val="00950121"/>
    <w:rsid w:val="00954CCD"/>
    <w:rsid w:val="00955241"/>
    <w:rsid w:val="00955A39"/>
    <w:rsid w:val="00955B2C"/>
    <w:rsid w:val="0096014A"/>
    <w:rsid w:val="00961E8F"/>
    <w:rsid w:val="00964F7A"/>
    <w:rsid w:val="00972745"/>
    <w:rsid w:val="009736C6"/>
    <w:rsid w:val="00974847"/>
    <w:rsid w:val="00975D47"/>
    <w:rsid w:val="009763E6"/>
    <w:rsid w:val="00980B30"/>
    <w:rsid w:val="00980F54"/>
    <w:rsid w:val="00984ECB"/>
    <w:rsid w:val="00985BDA"/>
    <w:rsid w:val="009900B2"/>
    <w:rsid w:val="0099021A"/>
    <w:rsid w:val="00990301"/>
    <w:rsid w:val="00990347"/>
    <w:rsid w:val="0099232B"/>
    <w:rsid w:val="0099280E"/>
    <w:rsid w:val="0099371B"/>
    <w:rsid w:val="009959B5"/>
    <w:rsid w:val="009A0167"/>
    <w:rsid w:val="009A018A"/>
    <w:rsid w:val="009A2196"/>
    <w:rsid w:val="009A3AD8"/>
    <w:rsid w:val="009A5930"/>
    <w:rsid w:val="009A60E8"/>
    <w:rsid w:val="009A6B92"/>
    <w:rsid w:val="009A7929"/>
    <w:rsid w:val="009A7D3F"/>
    <w:rsid w:val="009B3056"/>
    <w:rsid w:val="009B3D22"/>
    <w:rsid w:val="009B7147"/>
    <w:rsid w:val="009B7896"/>
    <w:rsid w:val="009B7B9D"/>
    <w:rsid w:val="009C1682"/>
    <w:rsid w:val="009C16DE"/>
    <w:rsid w:val="009C35C1"/>
    <w:rsid w:val="009C4222"/>
    <w:rsid w:val="009C5E43"/>
    <w:rsid w:val="009D05CC"/>
    <w:rsid w:val="009D0C05"/>
    <w:rsid w:val="009D0FAB"/>
    <w:rsid w:val="009D17D7"/>
    <w:rsid w:val="009D1DEA"/>
    <w:rsid w:val="009D2413"/>
    <w:rsid w:val="009D378A"/>
    <w:rsid w:val="009D4865"/>
    <w:rsid w:val="009E0C89"/>
    <w:rsid w:val="009E0FDD"/>
    <w:rsid w:val="009E3C71"/>
    <w:rsid w:val="009E600C"/>
    <w:rsid w:val="009E638D"/>
    <w:rsid w:val="009E6604"/>
    <w:rsid w:val="009F0E7F"/>
    <w:rsid w:val="009F24D3"/>
    <w:rsid w:val="009F2838"/>
    <w:rsid w:val="009F6F58"/>
    <w:rsid w:val="009F7759"/>
    <w:rsid w:val="009F7FE5"/>
    <w:rsid w:val="00A013DB"/>
    <w:rsid w:val="00A01913"/>
    <w:rsid w:val="00A03F2E"/>
    <w:rsid w:val="00A05546"/>
    <w:rsid w:val="00A060CC"/>
    <w:rsid w:val="00A07E82"/>
    <w:rsid w:val="00A149C0"/>
    <w:rsid w:val="00A14AAF"/>
    <w:rsid w:val="00A14E6C"/>
    <w:rsid w:val="00A21519"/>
    <w:rsid w:val="00A22720"/>
    <w:rsid w:val="00A22AAA"/>
    <w:rsid w:val="00A240CB"/>
    <w:rsid w:val="00A24B4D"/>
    <w:rsid w:val="00A25331"/>
    <w:rsid w:val="00A25B6B"/>
    <w:rsid w:val="00A27921"/>
    <w:rsid w:val="00A30A82"/>
    <w:rsid w:val="00A323B8"/>
    <w:rsid w:val="00A32935"/>
    <w:rsid w:val="00A32A73"/>
    <w:rsid w:val="00A3352A"/>
    <w:rsid w:val="00A34699"/>
    <w:rsid w:val="00A4221A"/>
    <w:rsid w:val="00A4357F"/>
    <w:rsid w:val="00A45AB4"/>
    <w:rsid w:val="00A4739F"/>
    <w:rsid w:val="00A512F9"/>
    <w:rsid w:val="00A52913"/>
    <w:rsid w:val="00A53318"/>
    <w:rsid w:val="00A53E61"/>
    <w:rsid w:val="00A56652"/>
    <w:rsid w:val="00A56EA1"/>
    <w:rsid w:val="00A64167"/>
    <w:rsid w:val="00A646A7"/>
    <w:rsid w:val="00A65141"/>
    <w:rsid w:val="00A6586F"/>
    <w:rsid w:val="00A664CF"/>
    <w:rsid w:val="00A66D86"/>
    <w:rsid w:val="00A70821"/>
    <w:rsid w:val="00A7381E"/>
    <w:rsid w:val="00A73886"/>
    <w:rsid w:val="00A76408"/>
    <w:rsid w:val="00A77638"/>
    <w:rsid w:val="00A77D0C"/>
    <w:rsid w:val="00A80173"/>
    <w:rsid w:val="00A8032F"/>
    <w:rsid w:val="00A82255"/>
    <w:rsid w:val="00A825FB"/>
    <w:rsid w:val="00A82E9E"/>
    <w:rsid w:val="00A85795"/>
    <w:rsid w:val="00A902FC"/>
    <w:rsid w:val="00A90822"/>
    <w:rsid w:val="00A908C0"/>
    <w:rsid w:val="00A90CF5"/>
    <w:rsid w:val="00A929C7"/>
    <w:rsid w:val="00A96004"/>
    <w:rsid w:val="00AB126E"/>
    <w:rsid w:val="00AB1BB9"/>
    <w:rsid w:val="00AB52BF"/>
    <w:rsid w:val="00AB5459"/>
    <w:rsid w:val="00AB6F80"/>
    <w:rsid w:val="00AB7093"/>
    <w:rsid w:val="00AC3BCF"/>
    <w:rsid w:val="00AC4A62"/>
    <w:rsid w:val="00AC4DCD"/>
    <w:rsid w:val="00AC73AA"/>
    <w:rsid w:val="00AC74EF"/>
    <w:rsid w:val="00AC7825"/>
    <w:rsid w:val="00AD1E25"/>
    <w:rsid w:val="00AD3785"/>
    <w:rsid w:val="00AD45B6"/>
    <w:rsid w:val="00AD57AF"/>
    <w:rsid w:val="00AE00F2"/>
    <w:rsid w:val="00AE0BDB"/>
    <w:rsid w:val="00AE191F"/>
    <w:rsid w:val="00AE1D5E"/>
    <w:rsid w:val="00AE2487"/>
    <w:rsid w:val="00AE3049"/>
    <w:rsid w:val="00AE529B"/>
    <w:rsid w:val="00AE57B2"/>
    <w:rsid w:val="00AE6B85"/>
    <w:rsid w:val="00AF0C1C"/>
    <w:rsid w:val="00AF0D3A"/>
    <w:rsid w:val="00AF1086"/>
    <w:rsid w:val="00AF1E69"/>
    <w:rsid w:val="00AF2646"/>
    <w:rsid w:val="00AF53BA"/>
    <w:rsid w:val="00AF7D66"/>
    <w:rsid w:val="00B005B5"/>
    <w:rsid w:val="00B021A2"/>
    <w:rsid w:val="00B036CE"/>
    <w:rsid w:val="00B04350"/>
    <w:rsid w:val="00B04C3C"/>
    <w:rsid w:val="00B06985"/>
    <w:rsid w:val="00B06C73"/>
    <w:rsid w:val="00B10AEF"/>
    <w:rsid w:val="00B10E33"/>
    <w:rsid w:val="00B11329"/>
    <w:rsid w:val="00B11B5E"/>
    <w:rsid w:val="00B12AC2"/>
    <w:rsid w:val="00B14652"/>
    <w:rsid w:val="00B14789"/>
    <w:rsid w:val="00B16EDF"/>
    <w:rsid w:val="00B218AF"/>
    <w:rsid w:val="00B21997"/>
    <w:rsid w:val="00B23304"/>
    <w:rsid w:val="00B2385B"/>
    <w:rsid w:val="00B23EC8"/>
    <w:rsid w:val="00B23F16"/>
    <w:rsid w:val="00B250C7"/>
    <w:rsid w:val="00B26737"/>
    <w:rsid w:val="00B311AA"/>
    <w:rsid w:val="00B31971"/>
    <w:rsid w:val="00B33145"/>
    <w:rsid w:val="00B341F7"/>
    <w:rsid w:val="00B36696"/>
    <w:rsid w:val="00B430C7"/>
    <w:rsid w:val="00B4416F"/>
    <w:rsid w:val="00B44F08"/>
    <w:rsid w:val="00B50B74"/>
    <w:rsid w:val="00B51938"/>
    <w:rsid w:val="00B52587"/>
    <w:rsid w:val="00B526A2"/>
    <w:rsid w:val="00B529E2"/>
    <w:rsid w:val="00B5386C"/>
    <w:rsid w:val="00B53FCF"/>
    <w:rsid w:val="00B54DE1"/>
    <w:rsid w:val="00B567DA"/>
    <w:rsid w:val="00B5681B"/>
    <w:rsid w:val="00B5782F"/>
    <w:rsid w:val="00B57DC5"/>
    <w:rsid w:val="00B6082F"/>
    <w:rsid w:val="00B635E6"/>
    <w:rsid w:val="00B66C89"/>
    <w:rsid w:val="00B66EF3"/>
    <w:rsid w:val="00B67053"/>
    <w:rsid w:val="00B7027E"/>
    <w:rsid w:val="00B708CF"/>
    <w:rsid w:val="00B72798"/>
    <w:rsid w:val="00B7574E"/>
    <w:rsid w:val="00B76EB0"/>
    <w:rsid w:val="00B76F53"/>
    <w:rsid w:val="00B805C8"/>
    <w:rsid w:val="00B81DC8"/>
    <w:rsid w:val="00B834DC"/>
    <w:rsid w:val="00B83E31"/>
    <w:rsid w:val="00B8409B"/>
    <w:rsid w:val="00B84674"/>
    <w:rsid w:val="00B861D3"/>
    <w:rsid w:val="00B90C2A"/>
    <w:rsid w:val="00B93FBC"/>
    <w:rsid w:val="00B9527B"/>
    <w:rsid w:val="00B96933"/>
    <w:rsid w:val="00B9725F"/>
    <w:rsid w:val="00BA424F"/>
    <w:rsid w:val="00BA4E79"/>
    <w:rsid w:val="00BA5338"/>
    <w:rsid w:val="00BA5D03"/>
    <w:rsid w:val="00BA5F2F"/>
    <w:rsid w:val="00BA65E4"/>
    <w:rsid w:val="00BA6D1E"/>
    <w:rsid w:val="00BA6D9B"/>
    <w:rsid w:val="00BA7338"/>
    <w:rsid w:val="00BB2363"/>
    <w:rsid w:val="00BB4F6D"/>
    <w:rsid w:val="00BB53EC"/>
    <w:rsid w:val="00BB58FC"/>
    <w:rsid w:val="00BC0926"/>
    <w:rsid w:val="00BC498B"/>
    <w:rsid w:val="00BC5B02"/>
    <w:rsid w:val="00BC7B5D"/>
    <w:rsid w:val="00BC7BE8"/>
    <w:rsid w:val="00BD0576"/>
    <w:rsid w:val="00BD137E"/>
    <w:rsid w:val="00BD23E3"/>
    <w:rsid w:val="00BD240A"/>
    <w:rsid w:val="00BD5626"/>
    <w:rsid w:val="00BD5B65"/>
    <w:rsid w:val="00BD5C7B"/>
    <w:rsid w:val="00BE4BEA"/>
    <w:rsid w:val="00BE6428"/>
    <w:rsid w:val="00BE6E40"/>
    <w:rsid w:val="00BE7E17"/>
    <w:rsid w:val="00BF2558"/>
    <w:rsid w:val="00BF382C"/>
    <w:rsid w:val="00BF4D5E"/>
    <w:rsid w:val="00BF7A30"/>
    <w:rsid w:val="00BF7D3D"/>
    <w:rsid w:val="00C001E6"/>
    <w:rsid w:val="00C0072C"/>
    <w:rsid w:val="00C0126F"/>
    <w:rsid w:val="00C02038"/>
    <w:rsid w:val="00C07DAA"/>
    <w:rsid w:val="00C123C1"/>
    <w:rsid w:val="00C1342B"/>
    <w:rsid w:val="00C144D4"/>
    <w:rsid w:val="00C15350"/>
    <w:rsid w:val="00C17F25"/>
    <w:rsid w:val="00C217CD"/>
    <w:rsid w:val="00C2436F"/>
    <w:rsid w:val="00C27B01"/>
    <w:rsid w:val="00C3179F"/>
    <w:rsid w:val="00C31AD0"/>
    <w:rsid w:val="00C32D53"/>
    <w:rsid w:val="00C33FD8"/>
    <w:rsid w:val="00C34AFD"/>
    <w:rsid w:val="00C364D1"/>
    <w:rsid w:val="00C403AC"/>
    <w:rsid w:val="00C40AB8"/>
    <w:rsid w:val="00C44A4D"/>
    <w:rsid w:val="00C47396"/>
    <w:rsid w:val="00C476FC"/>
    <w:rsid w:val="00C4778B"/>
    <w:rsid w:val="00C47E5D"/>
    <w:rsid w:val="00C509FF"/>
    <w:rsid w:val="00C511D4"/>
    <w:rsid w:val="00C514AF"/>
    <w:rsid w:val="00C527C6"/>
    <w:rsid w:val="00C546BC"/>
    <w:rsid w:val="00C562C8"/>
    <w:rsid w:val="00C56845"/>
    <w:rsid w:val="00C60866"/>
    <w:rsid w:val="00C660A1"/>
    <w:rsid w:val="00C665AE"/>
    <w:rsid w:val="00C66C3F"/>
    <w:rsid w:val="00C67150"/>
    <w:rsid w:val="00C70378"/>
    <w:rsid w:val="00C71620"/>
    <w:rsid w:val="00C7492F"/>
    <w:rsid w:val="00C77368"/>
    <w:rsid w:val="00C8439D"/>
    <w:rsid w:val="00C85908"/>
    <w:rsid w:val="00C85BD4"/>
    <w:rsid w:val="00C85FD4"/>
    <w:rsid w:val="00C87544"/>
    <w:rsid w:val="00C878E8"/>
    <w:rsid w:val="00C90E53"/>
    <w:rsid w:val="00C927C4"/>
    <w:rsid w:val="00C94B2F"/>
    <w:rsid w:val="00C955BA"/>
    <w:rsid w:val="00C97E60"/>
    <w:rsid w:val="00CA3AC2"/>
    <w:rsid w:val="00CA5751"/>
    <w:rsid w:val="00CA6980"/>
    <w:rsid w:val="00CA6C2E"/>
    <w:rsid w:val="00CA6D4D"/>
    <w:rsid w:val="00CA71EF"/>
    <w:rsid w:val="00CB0F37"/>
    <w:rsid w:val="00CB1BE3"/>
    <w:rsid w:val="00CB4C17"/>
    <w:rsid w:val="00CB7440"/>
    <w:rsid w:val="00CB76C8"/>
    <w:rsid w:val="00CC0AF4"/>
    <w:rsid w:val="00CC3551"/>
    <w:rsid w:val="00CC41BB"/>
    <w:rsid w:val="00CC447B"/>
    <w:rsid w:val="00CC4FA4"/>
    <w:rsid w:val="00CC590B"/>
    <w:rsid w:val="00CC6EBF"/>
    <w:rsid w:val="00CD00B8"/>
    <w:rsid w:val="00CD153B"/>
    <w:rsid w:val="00CD1997"/>
    <w:rsid w:val="00CD48E4"/>
    <w:rsid w:val="00CD48F7"/>
    <w:rsid w:val="00CD4D81"/>
    <w:rsid w:val="00CD56E3"/>
    <w:rsid w:val="00CD7663"/>
    <w:rsid w:val="00CE0A92"/>
    <w:rsid w:val="00CE1105"/>
    <w:rsid w:val="00CE15F9"/>
    <w:rsid w:val="00CE4B24"/>
    <w:rsid w:val="00CE6F42"/>
    <w:rsid w:val="00CE761D"/>
    <w:rsid w:val="00CF1D44"/>
    <w:rsid w:val="00CF65ED"/>
    <w:rsid w:val="00CF6E3F"/>
    <w:rsid w:val="00CF6E5A"/>
    <w:rsid w:val="00D0257B"/>
    <w:rsid w:val="00D062CD"/>
    <w:rsid w:val="00D06344"/>
    <w:rsid w:val="00D06DA9"/>
    <w:rsid w:val="00D072AF"/>
    <w:rsid w:val="00D07933"/>
    <w:rsid w:val="00D100C7"/>
    <w:rsid w:val="00D13690"/>
    <w:rsid w:val="00D16ED7"/>
    <w:rsid w:val="00D226B3"/>
    <w:rsid w:val="00D24DA8"/>
    <w:rsid w:val="00D26736"/>
    <w:rsid w:val="00D26D67"/>
    <w:rsid w:val="00D2757F"/>
    <w:rsid w:val="00D35CF5"/>
    <w:rsid w:val="00D36C88"/>
    <w:rsid w:val="00D4089C"/>
    <w:rsid w:val="00D41003"/>
    <w:rsid w:val="00D414AD"/>
    <w:rsid w:val="00D41AC0"/>
    <w:rsid w:val="00D46A88"/>
    <w:rsid w:val="00D4719E"/>
    <w:rsid w:val="00D50AC3"/>
    <w:rsid w:val="00D55FF2"/>
    <w:rsid w:val="00D56248"/>
    <w:rsid w:val="00D56F88"/>
    <w:rsid w:val="00D61C7E"/>
    <w:rsid w:val="00D641F2"/>
    <w:rsid w:val="00D659AA"/>
    <w:rsid w:val="00D66802"/>
    <w:rsid w:val="00D714F3"/>
    <w:rsid w:val="00D71A53"/>
    <w:rsid w:val="00D773A9"/>
    <w:rsid w:val="00D80C34"/>
    <w:rsid w:val="00D83ECC"/>
    <w:rsid w:val="00D8472F"/>
    <w:rsid w:val="00D85497"/>
    <w:rsid w:val="00D90E6E"/>
    <w:rsid w:val="00D92AC1"/>
    <w:rsid w:val="00D94C97"/>
    <w:rsid w:val="00D966F6"/>
    <w:rsid w:val="00D96BDA"/>
    <w:rsid w:val="00DA11DD"/>
    <w:rsid w:val="00DA177F"/>
    <w:rsid w:val="00DA1E14"/>
    <w:rsid w:val="00DA2BF9"/>
    <w:rsid w:val="00DA3A71"/>
    <w:rsid w:val="00DA4A65"/>
    <w:rsid w:val="00DA4F42"/>
    <w:rsid w:val="00DA59EE"/>
    <w:rsid w:val="00DA6406"/>
    <w:rsid w:val="00DA7999"/>
    <w:rsid w:val="00DB477C"/>
    <w:rsid w:val="00DC0951"/>
    <w:rsid w:val="00DC10FD"/>
    <w:rsid w:val="00DC56BC"/>
    <w:rsid w:val="00DC5D4D"/>
    <w:rsid w:val="00DD0B2D"/>
    <w:rsid w:val="00DD43D8"/>
    <w:rsid w:val="00DD6A32"/>
    <w:rsid w:val="00DD7243"/>
    <w:rsid w:val="00DE0DD1"/>
    <w:rsid w:val="00DE0E83"/>
    <w:rsid w:val="00DE1CE4"/>
    <w:rsid w:val="00DE3564"/>
    <w:rsid w:val="00DE7E12"/>
    <w:rsid w:val="00DF519E"/>
    <w:rsid w:val="00DF767A"/>
    <w:rsid w:val="00E00285"/>
    <w:rsid w:val="00E01464"/>
    <w:rsid w:val="00E03D5E"/>
    <w:rsid w:val="00E04A03"/>
    <w:rsid w:val="00E07A8E"/>
    <w:rsid w:val="00E13373"/>
    <w:rsid w:val="00E138A7"/>
    <w:rsid w:val="00E158C7"/>
    <w:rsid w:val="00E211A0"/>
    <w:rsid w:val="00E21B4A"/>
    <w:rsid w:val="00E22B00"/>
    <w:rsid w:val="00E23428"/>
    <w:rsid w:val="00E23D18"/>
    <w:rsid w:val="00E24433"/>
    <w:rsid w:val="00E24F48"/>
    <w:rsid w:val="00E340E6"/>
    <w:rsid w:val="00E3533F"/>
    <w:rsid w:val="00E361AF"/>
    <w:rsid w:val="00E36CAE"/>
    <w:rsid w:val="00E40926"/>
    <w:rsid w:val="00E40EF1"/>
    <w:rsid w:val="00E4302C"/>
    <w:rsid w:val="00E43374"/>
    <w:rsid w:val="00E43F2A"/>
    <w:rsid w:val="00E44AB4"/>
    <w:rsid w:val="00E4543C"/>
    <w:rsid w:val="00E50A9F"/>
    <w:rsid w:val="00E517C4"/>
    <w:rsid w:val="00E53075"/>
    <w:rsid w:val="00E53589"/>
    <w:rsid w:val="00E554DA"/>
    <w:rsid w:val="00E56274"/>
    <w:rsid w:val="00E6322F"/>
    <w:rsid w:val="00E64DBC"/>
    <w:rsid w:val="00E6508D"/>
    <w:rsid w:val="00E6573F"/>
    <w:rsid w:val="00E66344"/>
    <w:rsid w:val="00E665E8"/>
    <w:rsid w:val="00E67D90"/>
    <w:rsid w:val="00E70BF1"/>
    <w:rsid w:val="00E71655"/>
    <w:rsid w:val="00E72DF5"/>
    <w:rsid w:val="00E73EAB"/>
    <w:rsid w:val="00E761BE"/>
    <w:rsid w:val="00E80F9E"/>
    <w:rsid w:val="00E8221B"/>
    <w:rsid w:val="00E84041"/>
    <w:rsid w:val="00E85159"/>
    <w:rsid w:val="00E87490"/>
    <w:rsid w:val="00E87806"/>
    <w:rsid w:val="00E87A29"/>
    <w:rsid w:val="00E90087"/>
    <w:rsid w:val="00E9172E"/>
    <w:rsid w:val="00E91986"/>
    <w:rsid w:val="00E91F43"/>
    <w:rsid w:val="00E924CA"/>
    <w:rsid w:val="00E95320"/>
    <w:rsid w:val="00EA0549"/>
    <w:rsid w:val="00EA3F25"/>
    <w:rsid w:val="00EA688F"/>
    <w:rsid w:val="00EB33C9"/>
    <w:rsid w:val="00EB41F8"/>
    <w:rsid w:val="00EB49DB"/>
    <w:rsid w:val="00EB740E"/>
    <w:rsid w:val="00EB7F2B"/>
    <w:rsid w:val="00EC01A5"/>
    <w:rsid w:val="00EC20C2"/>
    <w:rsid w:val="00EC33B3"/>
    <w:rsid w:val="00EC383D"/>
    <w:rsid w:val="00EC3E3D"/>
    <w:rsid w:val="00EC46F5"/>
    <w:rsid w:val="00ED1617"/>
    <w:rsid w:val="00ED1944"/>
    <w:rsid w:val="00ED2056"/>
    <w:rsid w:val="00ED3268"/>
    <w:rsid w:val="00ED35D6"/>
    <w:rsid w:val="00ED63E3"/>
    <w:rsid w:val="00EE0402"/>
    <w:rsid w:val="00EE1960"/>
    <w:rsid w:val="00EE1D78"/>
    <w:rsid w:val="00EE39D4"/>
    <w:rsid w:val="00EE3A85"/>
    <w:rsid w:val="00EE4BD6"/>
    <w:rsid w:val="00EE69D3"/>
    <w:rsid w:val="00EF0843"/>
    <w:rsid w:val="00EF21E9"/>
    <w:rsid w:val="00EF24C2"/>
    <w:rsid w:val="00EF313A"/>
    <w:rsid w:val="00EF4344"/>
    <w:rsid w:val="00EF44D4"/>
    <w:rsid w:val="00F00123"/>
    <w:rsid w:val="00F00D87"/>
    <w:rsid w:val="00F0148F"/>
    <w:rsid w:val="00F01789"/>
    <w:rsid w:val="00F01C95"/>
    <w:rsid w:val="00F03DAE"/>
    <w:rsid w:val="00F04BE7"/>
    <w:rsid w:val="00F13A2C"/>
    <w:rsid w:val="00F161CC"/>
    <w:rsid w:val="00F17A71"/>
    <w:rsid w:val="00F21267"/>
    <w:rsid w:val="00F25540"/>
    <w:rsid w:val="00F257AA"/>
    <w:rsid w:val="00F26267"/>
    <w:rsid w:val="00F3125F"/>
    <w:rsid w:val="00F31EBB"/>
    <w:rsid w:val="00F338A3"/>
    <w:rsid w:val="00F33F99"/>
    <w:rsid w:val="00F3426B"/>
    <w:rsid w:val="00F343ED"/>
    <w:rsid w:val="00F36CB7"/>
    <w:rsid w:val="00F400D8"/>
    <w:rsid w:val="00F4014B"/>
    <w:rsid w:val="00F44E6F"/>
    <w:rsid w:val="00F46F9E"/>
    <w:rsid w:val="00F534F1"/>
    <w:rsid w:val="00F56142"/>
    <w:rsid w:val="00F601A2"/>
    <w:rsid w:val="00F6202E"/>
    <w:rsid w:val="00F63CB9"/>
    <w:rsid w:val="00F65072"/>
    <w:rsid w:val="00F71C6A"/>
    <w:rsid w:val="00F7239A"/>
    <w:rsid w:val="00F73ADB"/>
    <w:rsid w:val="00F75895"/>
    <w:rsid w:val="00F80C4C"/>
    <w:rsid w:val="00F81C93"/>
    <w:rsid w:val="00F82536"/>
    <w:rsid w:val="00F828F2"/>
    <w:rsid w:val="00F832CA"/>
    <w:rsid w:val="00F85C6A"/>
    <w:rsid w:val="00F92749"/>
    <w:rsid w:val="00F94920"/>
    <w:rsid w:val="00F94ACE"/>
    <w:rsid w:val="00F95824"/>
    <w:rsid w:val="00FA1ADA"/>
    <w:rsid w:val="00FA1EB6"/>
    <w:rsid w:val="00FA3CC4"/>
    <w:rsid w:val="00FA5129"/>
    <w:rsid w:val="00FA61DF"/>
    <w:rsid w:val="00FA6673"/>
    <w:rsid w:val="00FA7A25"/>
    <w:rsid w:val="00FB3F28"/>
    <w:rsid w:val="00FB7031"/>
    <w:rsid w:val="00FB70EF"/>
    <w:rsid w:val="00FC0BC9"/>
    <w:rsid w:val="00FC2FF3"/>
    <w:rsid w:val="00FC3C79"/>
    <w:rsid w:val="00FC655F"/>
    <w:rsid w:val="00FC6FDB"/>
    <w:rsid w:val="00FD0B61"/>
    <w:rsid w:val="00FD0B7C"/>
    <w:rsid w:val="00FD28C5"/>
    <w:rsid w:val="00FD4374"/>
    <w:rsid w:val="00FD7F6C"/>
    <w:rsid w:val="00FE028D"/>
    <w:rsid w:val="00FE0469"/>
    <w:rsid w:val="00FE0880"/>
    <w:rsid w:val="00FE0F5D"/>
    <w:rsid w:val="00FE1408"/>
    <w:rsid w:val="00FE1F58"/>
    <w:rsid w:val="00FE2948"/>
    <w:rsid w:val="00FE4B76"/>
    <w:rsid w:val="00FE6CB8"/>
    <w:rsid w:val="00FE7742"/>
    <w:rsid w:val="00FE7F99"/>
    <w:rsid w:val="00FF10A0"/>
    <w:rsid w:val="00FF1117"/>
    <w:rsid w:val="00FF19CA"/>
    <w:rsid w:val="00FF2210"/>
    <w:rsid w:val="00FF5E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257BD56B"/>
  <w15:chartTrackingRefBased/>
  <w15:docId w15:val="{A558713D-B09A-422E-960B-0EC8BBA2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D6676"/>
    <w:pPr>
      <w:keepNext/>
      <w:keepLines/>
      <w:numPr>
        <w:numId w:val="2"/>
      </w:numPr>
      <w:spacing w:before="240" w:after="0"/>
      <w:outlineLvl w:val="0"/>
    </w:pPr>
    <w:rPr>
      <w:rFonts w:ascii="Times New Roman" w:eastAsiaTheme="majorEastAsia" w:hAnsi="Times New Roman" w:cs="Times New Roman"/>
      <w:color w:val="2E74B5" w:themeColor="accent1" w:themeShade="BF"/>
      <w:sz w:val="24"/>
      <w:szCs w:val="24"/>
    </w:rPr>
  </w:style>
  <w:style w:type="paragraph" w:styleId="Heading2">
    <w:name w:val="heading 2"/>
    <w:basedOn w:val="ListParagraph"/>
    <w:next w:val="Normal"/>
    <w:link w:val="Heading2Char"/>
    <w:uiPriority w:val="9"/>
    <w:unhideWhenUsed/>
    <w:qFormat/>
    <w:rsid w:val="00975D47"/>
    <w:pPr>
      <w:numPr>
        <w:ilvl w:val="1"/>
        <w:numId w:val="2"/>
      </w:numPr>
      <w:outlineLvl w:val="1"/>
    </w:pPr>
    <w:rPr>
      <w:rFonts w:asciiTheme="majorHAnsi" w:eastAsiaTheme="majorEastAsia" w:hAnsiTheme="majorHAnsi" w:cstheme="majorBidi"/>
      <w:color w:val="1F4D78" w:themeColor="accent1" w:themeShade="7F"/>
      <w:sz w:val="24"/>
      <w:szCs w:val="24"/>
      <w:lang w:val="en-IE"/>
    </w:rPr>
  </w:style>
  <w:style w:type="paragraph" w:styleId="Heading3">
    <w:name w:val="heading 3"/>
    <w:basedOn w:val="Normal"/>
    <w:next w:val="Normal"/>
    <w:link w:val="Heading3Char"/>
    <w:uiPriority w:val="9"/>
    <w:unhideWhenUsed/>
    <w:qFormat/>
    <w:rsid w:val="00F04BE7"/>
    <w:pPr>
      <w:keepNext/>
      <w:keepLines/>
      <w:spacing w:before="40" w:after="0" w:line="276" w:lineRule="auto"/>
      <w:outlineLvl w:val="2"/>
    </w:pPr>
    <w:rPr>
      <w:rFonts w:asciiTheme="majorHAnsi" w:eastAsia="Times New Roman" w:hAnsiTheme="majorHAnsi" w:cstheme="majorBidi"/>
      <w:b/>
      <w:color w:val="000000" w:themeColor="text1"/>
      <w:sz w:val="24"/>
      <w:szCs w:val="24"/>
      <w:u w:val="single"/>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6C0532"/>
    <w:rPr>
      <w:color w:val="0000FF"/>
      <w:shd w:val="clear" w:color="auto" w:fill="auto"/>
    </w:rPr>
  </w:style>
  <w:style w:type="paragraph" w:customStyle="1" w:styleId="Pagedecouverture">
    <w:name w:val="Page de couverture"/>
    <w:basedOn w:val="Normal"/>
    <w:next w:val="Normal"/>
    <w:rsid w:val="006C053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6C0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532"/>
  </w:style>
  <w:style w:type="paragraph" w:styleId="Footer">
    <w:name w:val="footer"/>
    <w:basedOn w:val="Normal"/>
    <w:link w:val="FooterChar"/>
    <w:uiPriority w:val="99"/>
    <w:unhideWhenUsed/>
    <w:rsid w:val="006C0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532"/>
  </w:style>
  <w:style w:type="paragraph" w:customStyle="1" w:styleId="FooterCoverPage">
    <w:name w:val="Footer Cover Page"/>
    <w:basedOn w:val="Normal"/>
    <w:link w:val="FooterCoverPageChar"/>
    <w:rsid w:val="006C053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C0532"/>
    <w:rPr>
      <w:rFonts w:ascii="Times New Roman" w:hAnsi="Times New Roman" w:cs="Times New Roman"/>
      <w:sz w:val="24"/>
      <w:lang w:val="en-GB"/>
    </w:rPr>
  </w:style>
  <w:style w:type="paragraph" w:customStyle="1" w:styleId="FooterSensitivity">
    <w:name w:val="Footer Sensitivity"/>
    <w:basedOn w:val="Normal"/>
    <w:link w:val="FooterSensitivityChar"/>
    <w:rsid w:val="006C053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C0532"/>
    <w:rPr>
      <w:rFonts w:ascii="Times New Roman" w:hAnsi="Times New Roman" w:cs="Times New Roman"/>
      <w:b/>
      <w:sz w:val="32"/>
      <w:lang w:val="en-GB"/>
    </w:rPr>
  </w:style>
  <w:style w:type="paragraph" w:customStyle="1" w:styleId="HeaderCoverPage">
    <w:name w:val="Header Cover Page"/>
    <w:basedOn w:val="Normal"/>
    <w:link w:val="HeaderCoverPageChar"/>
    <w:rsid w:val="006C053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C0532"/>
    <w:rPr>
      <w:rFonts w:ascii="Times New Roman" w:hAnsi="Times New Roman" w:cs="Times New Roman"/>
      <w:sz w:val="24"/>
      <w:lang w:val="en-GB"/>
    </w:rPr>
  </w:style>
  <w:style w:type="paragraph" w:customStyle="1" w:styleId="HeaderSensitivity">
    <w:name w:val="Header Sensitivity"/>
    <w:basedOn w:val="Normal"/>
    <w:link w:val="HeaderSensitivityChar"/>
    <w:rsid w:val="006C053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C0532"/>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6C053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C0532"/>
    <w:rPr>
      <w:rFonts w:ascii="Times New Roman" w:hAnsi="Times New Roman" w:cs="Times New Roman"/>
      <w:sz w:val="28"/>
      <w:lang w:val="en-GB"/>
    </w:rPr>
  </w:style>
  <w:style w:type="character" w:customStyle="1" w:styleId="Heading1Char">
    <w:name w:val="Heading 1 Char"/>
    <w:basedOn w:val="DefaultParagraphFont"/>
    <w:link w:val="Heading1"/>
    <w:uiPriority w:val="9"/>
    <w:rsid w:val="003D6676"/>
    <w:rPr>
      <w:rFonts w:ascii="Times New Roman" w:eastAsiaTheme="majorEastAsia" w:hAnsi="Times New Roman" w:cs="Times New Roman"/>
      <w:color w:val="2E74B5" w:themeColor="accent1" w:themeShade="BF"/>
      <w:sz w:val="24"/>
      <w:szCs w:val="24"/>
      <w:lang w:val="en-GB"/>
    </w:rPr>
  </w:style>
  <w:style w:type="paragraph" w:styleId="TOCHeading">
    <w:name w:val="TOC Heading"/>
    <w:basedOn w:val="Heading1"/>
    <w:next w:val="Normal"/>
    <w:uiPriority w:val="39"/>
    <w:unhideWhenUsed/>
    <w:qFormat/>
    <w:rsid w:val="00660BB3"/>
    <w:pPr>
      <w:numPr>
        <w:numId w:val="0"/>
      </w:numPr>
      <w:ind w:left="360" w:hanging="360"/>
      <w:outlineLvl w:val="9"/>
    </w:pPr>
    <w:rPr>
      <w:lang w:val="en-US"/>
    </w:rPr>
  </w:style>
  <w:style w:type="character" w:customStyle="1" w:styleId="Heading2Char">
    <w:name w:val="Heading 2 Char"/>
    <w:basedOn w:val="DefaultParagraphFont"/>
    <w:link w:val="Heading2"/>
    <w:uiPriority w:val="9"/>
    <w:rsid w:val="00975D47"/>
    <w:rPr>
      <w:rFonts w:asciiTheme="majorHAnsi" w:eastAsiaTheme="majorEastAsia" w:hAnsiTheme="majorHAnsi" w:cstheme="majorBidi"/>
      <w:color w:val="1F4D78" w:themeColor="accent1" w:themeShade="7F"/>
      <w:sz w:val="24"/>
      <w:szCs w:val="24"/>
    </w:rPr>
  </w:style>
  <w:style w:type="character" w:customStyle="1" w:styleId="Heading3Char">
    <w:name w:val="Heading 3 Char"/>
    <w:basedOn w:val="DefaultParagraphFont"/>
    <w:link w:val="Heading3"/>
    <w:uiPriority w:val="9"/>
    <w:rsid w:val="00F04BE7"/>
    <w:rPr>
      <w:rFonts w:asciiTheme="majorHAnsi" w:eastAsia="Times New Roman" w:hAnsiTheme="majorHAnsi" w:cstheme="majorBidi"/>
      <w:b/>
      <w:color w:val="000000" w:themeColor="text1"/>
      <w:sz w:val="24"/>
      <w:szCs w:val="24"/>
      <w:u w:val="single"/>
      <w:lang w:val="en-GB" w:eastAsia="fr-FR"/>
    </w:rPr>
  </w:style>
  <w:style w:type="character" w:styleId="Hyperlink">
    <w:name w:val="Hyperlink"/>
    <w:basedOn w:val="DefaultParagraphFont"/>
    <w:uiPriority w:val="99"/>
    <w:unhideWhenUsed/>
    <w:rsid w:val="006C0532"/>
    <w:rPr>
      <w:color w:val="0563C1"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rsid w:val="006C0532"/>
    <w:pPr>
      <w:spacing w:after="200" w:line="276" w:lineRule="auto"/>
      <w:ind w:left="720"/>
      <w:contextualSpacing/>
    </w:p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uiPriority w:val="99"/>
    <w:qFormat/>
    <w:rsid w:val="006C053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uiPriority w:val="99"/>
    <w:qFormat/>
    <w:rsid w:val="006C0532"/>
    <w:rPr>
      <w:rFonts w:ascii="Times New Roman" w:eastAsia="Times New Roman" w:hAnsi="Times New Roman" w:cs="Times New Roman"/>
      <w:sz w:val="20"/>
      <w:szCs w:val="20"/>
      <w:lang w:val="en-GB" w:eastAsia="en-GB"/>
    </w:rPr>
  </w:style>
  <w:style w:type="character" w:styleId="FootnoteReference">
    <w:name w:val="footnote reference"/>
    <w:aliases w:val="Footnote symbol,Footnote reference number,Footnote,Times 10 Point,Exposant 3 Point,Ref,de nota al pie,note TESI,SUPERS,EN Footnote text,EN Footnote Reference,number,no...,Footnote Reference Number,E FNZ,-E Fußnotenzeichen,fr,FR,FR1"/>
    <w:basedOn w:val="DefaultParagraphFont"/>
    <w:uiPriority w:val="99"/>
    <w:unhideWhenUsed/>
    <w:qFormat/>
    <w:rsid w:val="006C0532"/>
    <w:rPr>
      <w:vertAlign w:val="superscript"/>
    </w:rPr>
  </w:style>
  <w:style w:type="paragraph" w:styleId="TOC1">
    <w:name w:val="toc 1"/>
    <w:basedOn w:val="Normal"/>
    <w:next w:val="Normal"/>
    <w:autoRedefine/>
    <w:uiPriority w:val="39"/>
    <w:unhideWhenUsed/>
    <w:rsid w:val="0011593E"/>
    <w:pPr>
      <w:tabs>
        <w:tab w:val="left" w:pos="440"/>
        <w:tab w:val="right" w:leader="dot" w:pos="9016"/>
      </w:tabs>
      <w:spacing w:after="100"/>
    </w:pPr>
  </w:style>
  <w:style w:type="paragraph" w:styleId="TOC2">
    <w:name w:val="toc 2"/>
    <w:basedOn w:val="Normal"/>
    <w:next w:val="Normal"/>
    <w:autoRedefine/>
    <w:uiPriority w:val="39"/>
    <w:unhideWhenUsed/>
    <w:rsid w:val="00187600"/>
    <w:pPr>
      <w:tabs>
        <w:tab w:val="right" w:leader="dot" w:pos="9016"/>
      </w:tabs>
      <w:spacing w:after="100"/>
      <w:ind w:left="220"/>
    </w:pPr>
  </w:style>
  <w:style w:type="paragraph" w:styleId="TOC3">
    <w:name w:val="toc 3"/>
    <w:basedOn w:val="Normal"/>
    <w:next w:val="Normal"/>
    <w:autoRedefine/>
    <w:uiPriority w:val="39"/>
    <w:unhideWhenUsed/>
    <w:rsid w:val="00BE6428"/>
    <w:pPr>
      <w:tabs>
        <w:tab w:val="right" w:leader="dot" w:pos="9016"/>
      </w:tabs>
      <w:spacing w:after="100"/>
      <w:ind w:left="440"/>
    </w:pPr>
  </w:style>
  <w:style w:type="character" w:styleId="FollowedHyperlink">
    <w:name w:val="FollowedHyperlink"/>
    <w:basedOn w:val="DefaultParagraphFont"/>
    <w:uiPriority w:val="99"/>
    <w:semiHidden/>
    <w:unhideWhenUsed/>
    <w:rsid w:val="00503CEA"/>
    <w:rPr>
      <w:color w:val="954F72" w:themeColor="followedHyperlink"/>
      <w:u w:val="single"/>
    </w:rPr>
  </w:style>
  <w:style w:type="character" w:styleId="CommentReference">
    <w:name w:val="annotation reference"/>
    <w:basedOn w:val="DefaultParagraphFont"/>
    <w:uiPriority w:val="99"/>
    <w:semiHidden/>
    <w:unhideWhenUsed/>
    <w:rsid w:val="00E6508D"/>
    <w:rPr>
      <w:sz w:val="16"/>
      <w:szCs w:val="16"/>
    </w:rPr>
  </w:style>
  <w:style w:type="paragraph" w:styleId="CommentText">
    <w:name w:val="annotation text"/>
    <w:basedOn w:val="Normal"/>
    <w:link w:val="CommentTextChar"/>
    <w:uiPriority w:val="99"/>
    <w:unhideWhenUsed/>
    <w:rsid w:val="00E6508D"/>
    <w:pPr>
      <w:spacing w:line="240" w:lineRule="auto"/>
    </w:pPr>
    <w:rPr>
      <w:sz w:val="20"/>
      <w:szCs w:val="20"/>
    </w:rPr>
  </w:style>
  <w:style w:type="character" w:customStyle="1" w:styleId="CommentTextChar">
    <w:name w:val="Comment Text Char"/>
    <w:basedOn w:val="DefaultParagraphFont"/>
    <w:link w:val="CommentText"/>
    <w:uiPriority w:val="99"/>
    <w:rsid w:val="00E6508D"/>
    <w:rPr>
      <w:sz w:val="20"/>
      <w:szCs w:val="20"/>
    </w:rPr>
  </w:style>
  <w:style w:type="paragraph" w:styleId="CommentSubject">
    <w:name w:val="annotation subject"/>
    <w:basedOn w:val="CommentText"/>
    <w:next w:val="CommentText"/>
    <w:link w:val="CommentSubjectChar"/>
    <w:uiPriority w:val="99"/>
    <w:semiHidden/>
    <w:unhideWhenUsed/>
    <w:rsid w:val="00E6508D"/>
    <w:rPr>
      <w:b/>
      <w:bCs/>
    </w:rPr>
  </w:style>
  <w:style w:type="character" w:customStyle="1" w:styleId="CommentSubjectChar">
    <w:name w:val="Comment Subject Char"/>
    <w:basedOn w:val="CommentTextChar"/>
    <w:link w:val="CommentSubject"/>
    <w:uiPriority w:val="99"/>
    <w:semiHidden/>
    <w:rsid w:val="00E6508D"/>
    <w:rPr>
      <w:b/>
      <w:bCs/>
      <w:sz w:val="20"/>
      <w:szCs w:val="20"/>
    </w:rPr>
  </w:style>
  <w:style w:type="paragraph" w:styleId="BalloonText">
    <w:name w:val="Balloon Text"/>
    <w:basedOn w:val="Normal"/>
    <w:link w:val="BalloonTextChar"/>
    <w:uiPriority w:val="99"/>
    <w:semiHidden/>
    <w:unhideWhenUsed/>
    <w:rsid w:val="00E65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8D"/>
    <w:rPr>
      <w:rFonts w:ascii="Segoe UI" w:hAnsi="Segoe UI" w:cs="Segoe UI"/>
      <w:sz w:val="18"/>
      <w:szCs w:val="18"/>
    </w:rPr>
  </w:style>
  <w:style w:type="character" w:customStyle="1" w:styleId="markedcontent">
    <w:name w:val="markedcontent"/>
    <w:basedOn w:val="DefaultParagraphFont"/>
    <w:rsid w:val="00D94C97"/>
  </w:style>
  <w:style w:type="table" w:styleId="TableGrid">
    <w:name w:val="Table Grid"/>
    <w:basedOn w:val="TableNormal"/>
    <w:uiPriority w:val="39"/>
    <w:rsid w:val="005A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screen">
    <w:name w:val="off-screen"/>
    <w:basedOn w:val="Normal"/>
    <w:rsid w:val="005043AF"/>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op">
    <w:name w:val="eop"/>
    <w:basedOn w:val="DefaultParagraphFont"/>
    <w:rsid w:val="00964F7A"/>
  </w:style>
  <w:style w:type="paragraph" w:customStyle="1" w:styleId="PSParagraphTitle">
    <w:name w:val="PS_Paragraph_Title"/>
    <w:basedOn w:val="Normal"/>
    <w:qFormat/>
    <w:rsid w:val="00964F7A"/>
    <w:pPr>
      <w:spacing w:before="120" w:after="120" w:line="240" w:lineRule="auto"/>
      <w:jc w:val="both"/>
    </w:pPr>
    <w:rPr>
      <w:rFonts w:ascii="Times New Roman" w:eastAsia="Times New Roman" w:hAnsi="Times New Roman" w:cs="Times New Roman"/>
      <w:b/>
      <w:i/>
      <w:sz w:val="20"/>
      <w:szCs w:val="20"/>
      <w:lang w:eastAsia="en-GB"/>
    </w:rPr>
  </w:style>
  <w:style w:type="character" w:customStyle="1" w:styleId="normaltextrun">
    <w:name w:val="normaltextrun"/>
    <w:basedOn w:val="DefaultParagraphFont"/>
    <w:rsid w:val="004A29D5"/>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locked/>
    <w:rsid w:val="00A85795"/>
    <w:rPr>
      <w:lang w:val="en-GB"/>
    </w:rPr>
  </w:style>
  <w:style w:type="character" w:styleId="Strong">
    <w:name w:val="Strong"/>
    <w:basedOn w:val="DefaultParagraphFont"/>
    <w:uiPriority w:val="22"/>
    <w:qFormat/>
    <w:rsid w:val="00D714F3"/>
    <w:rPr>
      <w:b/>
      <w:bCs/>
    </w:rPr>
  </w:style>
  <w:style w:type="paragraph" w:styleId="Revision">
    <w:name w:val="Revision"/>
    <w:hidden/>
    <w:uiPriority w:val="99"/>
    <w:semiHidden/>
    <w:rsid w:val="00583B8D"/>
    <w:pPr>
      <w:spacing w:after="0" w:line="240" w:lineRule="auto"/>
    </w:pPr>
  </w:style>
  <w:style w:type="character" w:customStyle="1" w:styleId="UnresolvedMention1">
    <w:name w:val="Unresolved Mention1"/>
    <w:basedOn w:val="DefaultParagraphFont"/>
    <w:uiPriority w:val="99"/>
    <w:semiHidden/>
    <w:unhideWhenUsed/>
    <w:rsid w:val="00684D35"/>
    <w:rPr>
      <w:color w:val="605E5C"/>
      <w:shd w:val="clear" w:color="auto" w:fill="E1DFDD"/>
    </w:rPr>
  </w:style>
  <w:style w:type="character" w:customStyle="1" w:styleId="margintops">
    <w:name w:val="margintop_s"/>
    <w:basedOn w:val="DefaultParagraphFont"/>
    <w:rsid w:val="006569BE"/>
  </w:style>
  <w:style w:type="paragraph" w:customStyle="1" w:styleId="title-bold">
    <w:name w:val="title-bold"/>
    <w:basedOn w:val="Normal"/>
    <w:rsid w:val="00A52913"/>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NormalWeb">
    <w:name w:val="Normal (Web)"/>
    <w:basedOn w:val="Normal"/>
    <w:uiPriority w:val="99"/>
    <w:unhideWhenUsed/>
    <w:rsid w:val="00A52913"/>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field">
    <w:name w:val="field"/>
    <w:basedOn w:val="DefaultParagraphFont"/>
    <w:rsid w:val="00055613"/>
  </w:style>
  <w:style w:type="paragraph" w:customStyle="1" w:styleId="Default">
    <w:name w:val="Default"/>
    <w:rsid w:val="00312DA4"/>
    <w:pPr>
      <w:autoSpaceDE w:val="0"/>
      <w:autoSpaceDN w:val="0"/>
      <w:adjustRightInd w:val="0"/>
      <w:spacing w:after="0" w:line="240" w:lineRule="auto"/>
    </w:pPr>
    <w:rPr>
      <w:rFonts w:ascii="Arial" w:hAnsi="Arial" w:cs="Arial"/>
      <w:color w:val="000000"/>
      <w:sz w:val="24"/>
      <w:szCs w:val="24"/>
      <w:lang w:val="fr-BE"/>
    </w:rPr>
  </w:style>
  <w:style w:type="character" w:styleId="IntenseReference">
    <w:name w:val="Intense Reference"/>
    <w:basedOn w:val="DefaultParagraphFont"/>
    <w:uiPriority w:val="32"/>
    <w:qFormat/>
    <w:rsid w:val="00961E8F"/>
    <w:rPr>
      <w:b/>
      <w:bCs/>
      <w:smallCaps/>
      <w:color w:val="5B9BD5" w:themeColor="accent1"/>
      <w:spacing w:val="5"/>
    </w:rPr>
  </w:style>
  <w:style w:type="character" w:customStyle="1" w:styleId="UnresolvedMention">
    <w:name w:val="Unresolved Mention"/>
    <w:basedOn w:val="DefaultParagraphFont"/>
    <w:uiPriority w:val="99"/>
    <w:semiHidden/>
    <w:unhideWhenUsed/>
    <w:rsid w:val="00972745"/>
    <w:rPr>
      <w:color w:val="605E5C"/>
      <w:shd w:val="clear" w:color="auto" w:fill="E1DFDD"/>
    </w:rPr>
  </w:style>
  <w:style w:type="character" w:customStyle="1" w:styleId="cf01">
    <w:name w:val="cf01"/>
    <w:basedOn w:val="DefaultParagraphFont"/>
    <w:rsid w:val="00CC447B"/>
    <w:rPr>
      <w:rFonts w:ascii="Segoe UI" w:hAnsi="Segoe UI" w:cs="Segoe UI" w:hint="default"/>
      <w:sz w:val="18"/>
      <w:szCs w:val="18"/>
      <w:shd w:val="clear" w:color="auto" w:fill="FFFF00"/>
    </w:rPr>
  </w:style>
  <w:style w:type="paragraph" w:customStyle="1" w:styleId="pf0">
    <w:name w:val="pf0"/>
    <w:basedOn w:val="Normal"/>
    <w:rsid w:val="00CD153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f11">
    <w:name w:val="cf11"/>
    <w:basedOn w:val="DefaultParagraphFont"/>
    <w:rsid w:val="004A59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57">
      <w:bodyDiv w:val="1"/>
      <w:marLeft w:val="0"/>
      <w:marRight w:val="0"/>
      <w:marTop w:val="0"/>
      <w:marBottom w:val="0"/>
      <w:divBdr>
        <w:top w:val="none" w:sz="0" w:space="0" w:color="auto"/>
        <w:left w:val="none" w:sz="0" w:space="0" w:color="auto"/>
        <w:bottom w:val="none" w:sz="0" w:space="0" w:color="auto"/>
        <w:right w:val="none" w:sz="0" w:space="0" w:color="auto"/>
      </w:divBdr>
    </w:div>
    <w:div w:id="21521152">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12135866">
      <w:bodyDiv w:val="1"/>
      <w:marLeft w:val="0"/>
      <w:marRight w:val="0"/>
      <w:marTop w:val="0"/>
      <w:marBottom w:val="0"/>
      <w:divBdr>
        <w:top w:val="none" w:sz="0" w:space="0" w:color="auto"/>
        <w:left w:val="none" w:sz="0" w:space="0" w:color="auto"/>
        <w:bottom w:val="none" w:sz="0" w:space="0" w:color="auto"/>
        <w:right w:val="none" w:sz="0" w:space="0" w:color="auto"/>
      </w:divBdr>
    </w:div>
    <w:div w:id="113447550">
      <w:bodyDiv w:val="1"/>
      <w:marLeft w:val="0"/>
      <w:marRight w:val="0"/>
      <w:marTop w:val="0"/>
      <w:marBottom w:val="0"/>
      <w:divBdr>
        <w:top w:val="none" w:sz="0" w:space="0" w:color="auto"/>
        <w:left w:val="none" w:sz="0" w:space="0" w:color="auto"/>
        <w:bottom w:val="none" w:sz="0" w:space="0" w:color="auto"/>
        <w:right w:val="none" w:sz="0" w:space="0" w:color="auto"/>
      </w:divBdr>
    </w:div>
    <w:div w:id="203950456">
      <w:bodyDiv w:val="1"/>
      <w:marLeft w:val="0"/>
      <w:marRight w:val="0"/>
      <w:marTop w:val="0"/>
      <w:marBottom w:val="0"/>
      <w:divBdr>
        <w:top w:val="none" w:sz="0" w:space="0" w:color="auto"/>
        <w:left w:val="none" w:sz="0" w:space="0" w:color="auto"/>
        <w:bottom w:val="none" w:sz="0" w:space="0" w:color="auto"/>
        <w:right w:val="none" w:sz="0" w:space="0" w:color="auto"/>
      </w:divBdr>
      <w:divsChild>
        <w:div w:id="1994675013">
          <w:marLeft w:val="0"/>
          <w:marRight w:val="0"/>
          <w:marTop w:val="0"/>
          <w:marBottom w:val="0"/>
          <w:divBdr>
            <w:top w:val="none" w:sz="0" w:space="0" w:color="auto"/>
            <w:left w:val="none" w:sz="0" w:space="0" w:color="auto"/>
            <w:bottom w:val="none" w:sz="0" w:space="0" w:color="auto"/>
            <w:right w:val="none" w:sz="0" w:space="0" w:color="auto"/>
          </w:divBdr>
        </w:div>
        <w:div w:id="457263159">
          <w:marLeft w:val="0"/>
          <w:marRight w:val="0"/>
          <w:marTop w:val="0"/>
          <w:marBottom w:val="0"/>
          <w:divBdr>
            <w:top w:val="none" w:sz="0" w:space="0" w:color="auto"/>
            <w:left w:val="none" w:sz="0" w:space="0" w:color="auto"/>
            <w:bottom w:val="none" w:sz="0" w:space="0" w:color="auto"/>
            <w:right w:val="none" w:sz="0" w:space="0" w:color="auto"/>
          </w:divBdr>
          <w:divsChild>
            <w:div w:id="101927094">
              <w:marLeft w:val="0"/>
              <w:marRight w:val="0"/>
              <w:marTop w:val="0"/>
              <w:marBottom w:val="0"/>
              <w:divBdr>
                <w:top w:val="none" w:sz="0" w:space="0" w:color="auto"/>
                <w:left w:val="none" w:sz="0" w:space="0" w:color="auto"/>
                <w:bottom w:val="none" w:sz="0" w:space="0" w:color="auto"/>
                <w:right w:val="none" w:sz="0" w:space="0" w:color="auto"/>
              </w:divBdr>
              <w:divsChild>
                <w:div w:id="55133586">
                  <w:marLeft w:val="0"/>
                  <w:marRight w:val="0"/>
                  <w:marTop w:val="0"/>
                  <w:marBottom w:val="0"/>
                  <w:divBdr>
                    <w:top w:val="none" w:sz="0" w:space="0" w:color="auto"/>
                    <w:left w:val="none" w:sz="0" w:space="0" w:color="auto"/>
                    <w:bottom w:val="none" w:sz="0" w:space="0" w:color="auto"/>
                    <w:right w:val="none" w:sz="0" w:space="0" w:color="auto"/>
                  </w:divBdr>
                  <w:divsChild>
                    <w:div w:id="1440374347">
                      <w:marLeft w:val="0"/>
                      <w:marRight w:val="0"/>
                      <w:marTop w:val="0"/>
                      <w:marBottom w:val="0"/>
                      <w:divBdr>
                        <w:top w:val="none" w:sz="0" w:space="0" w:color="auto"/>
                        <w:left w:val="none" w:sz="0" w:space="0" w:color="auto"/>
                        <w:bottom w:val="none" w:sz="0" w:space="0" w:color="auto"/>
                        <w:right w:val="none" w:sz="0" w:space="0" w:color="auto"/>
                      </w:divBdr>
                      <w:divsChild>
                        <w:div w:id="1136214253">
                          <w:marLeft w:val="0"/>
                          <w:marRight w:val="0"/>
                          <w:marTop w:val="0"/>
                          <w:marBottom w:val="0"/>
                          <w:divBdr>
                            <w:top w:val="none" w:sz="0" w:space="0" w:color="auto"/>
                            <w:left w:val="none" w:sz="0" w:space="0" w:color="auto"/>
                            <w:bottom w:val="none" w:sz="0" w:space="0" w:color="auto"/>
                            <w:right w:val="none" w:sz="0" w:space="0" w:color="auto"/>
                          </w:divBdr>
                          <w:divsChild>
                            <w:div w:id="1768648617">
                              <w:marLeft w:val="0"/>
                              <w:marRight w:val="0"/>
                              <w:marTop w:val="0"/>
                              <w:marBottom w:val="0"/>
                              <w:divBdr>
                                <w:top w:val="none" w:sz="0" w:space="0" w:color="auto"/>
                                <w:left w:val="none" w:sz="0" w:space="0" w:color="auto"/>
                                <w:bottom w:val="none" w:sz="0" w:space="0" w:color="auto"/>
                                <w:right w:val="none" w:sz="0" w:space="0" w:color="auto"/>
                              </w:divBdr>
                              <w:divsChild>
                                <w:div w:id="5393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757433">
      <w:bodyDiv w:val="1"/>
      <w:marLeft w:val="0"/>
      <w:marRight w:val="0"/>
      <w:marTop w:val="0"/>
      <w:marBottom w:val="0"/>
      <w:divBdr>
        <w:top w:val="none" w:sz="0" w:space="0" w:color="auto"/>
        <w:left w:val="none" w:sz="0" w:space="0" w:color="auto"/>
        <w:bottom w:val="none" w:sz="0" w:space="0" w:color="auto"/>
        <w:right w:val="none" w:sz="0" w:space="0" w:color="auto"/>
      </w:divBdr>
    </w:div>
    <w:div w:id="226457021">
      <w:bodyDiv w:val="1"/>
      <w:marLeft w:val="0"/>
      <w:marRight w:val="0"/>
      <w:marTop w:val="0"/>
      <w:marBottom w:val="0"/>
      <w:divBdr>
        <w:top w:val="none" w:sz="0" w:space="0" w:color="auto"/>
        <w:left w:val="none" w:sz="0" w:space="0" w:color="auto"/>
        <w:bottom w:val="none" w:sz="0" w:space="0" w:color="auto"/>
        <w:right w:val="none" w:sz="0" w:space="0" w:color="auto"/>
      </w:divBdr>
    </w:div>
    <w:div w:id="295070664">
      <w:bodyDiv w:val="1"/>
      <w:marLeft w:val="0"/>
      <w:marRight w:val="0"/>
      <w:marTop w:val="0"/>
      <w:marBottom w:val="0"/>
      <w:divBdr>
        <w:top w:val="none" w:sz="0" w:space="0" w:color="auto"/>
        <w:left w:val="none" w:sz="0" w:space="0" w:color="auto"/>
        <w:bottom w:val="none" w:sz="0" w:space="0" w:color="auto"/>
        <w:right w:val="none" w:sz="0" w:space="0" w:color="auto"/>
      </w:divBdr>
    </w:div>
    <w:div w:id="381054724">
      <w:bodyDiv w:val="1"/>
      <w:marLeft w:val="0"/>
      <w:marRight w:val="0"/>
      <w:marTop w:val="0"/>
      <w:marBottom w:val="0"/>
      <w:divBdr>
        <w:top w:val="none" w:sz="0" w:space="0" w:color="auto"/>
        <w:left w:val="none" w:sz="0" w:space="0" w:color="auto"/>
        <w:bottom w:val="none" w:sz="0" w:space="0" w:color="auto"/>
        <w:right w:val="none" w:sz="0" w:space="0" w:color="auto"/>
      </w:divBdr>
    </w:div>
    <w:div w:id="382605930">
      <w:bodyDiv w:val="1"/>
      <w:marLeft w:val="0"/>
      <w:marRight w:val="0"/>
      <w:marTop w:val="0"/>
      <w:marBottom w:val="0"/>
      <w:divBdr>
        <w:top w:val="none" w:sz="0" w:space="0" w:color="auto"/>
        <w:left w:val="none" w:sz="0" w:space="0" w:color="auto"/>
        <w:bottom w:val="none" w:sz="0" w:space="0" w:color="auto"/>
        <w:right w:val="none" w:sz="0" w:space="0" w:color="auto"/>
      </w:divBdr>
    </w:div>
    <w:div w:id="477459520">
      <w:bodyDiv w:val="1"/>
      <w:marLeft w:val="0"/>
      <w:marRight w:val="0"/>
      <w:marTop w:val="0"/>
      <w:marBottom w:val="0"/>
      <w:divBdr>
        <w:top w:val="none" w:sz="0" w:space="0" w:color="auto"/>
        <w:left w:val="none" w:sz="0" w:space="0" w:color="auto"/>
        <w:bottom w:val="none" w:sz="0" w:space="0" w:color="auto"/>
        <w:right w:val="none" w:sz="0" w:space="0" w:color="auto"/>
      </w:divBdr>
    </w:div>
    <w:div w:id="722751307">
      <w:bodyDiv w:val="1"/>
      <w:marLeft w:val="0"/>
      <w:marRight w:val="0"/>
      <w:marTop w:val="0"/>
      <w:marBottom w:val="0"/>
      <w:divBdr>
        <w:top w:val="none" w:sz="0" w:space="0" w:color="auto"/>
        <w:left w:val="none" w:sz="0" w:space="0" w:color="auto"/>
        <w:bottom w:val="none" w:sz="0" w:space="0" w:color="auto"/>
        <w:right w:val="none" w:sz="0" w:space="0" w:color="auto"/>
      </w:divBdr>
    </w:div>
    <w:div w:id="760875288">
      <w:bodyDiv w:val="1"/>
      <w:marLeft w:val="0"/>
      <w:marRight w:val="0"/>
      <w:marTop w:val="0"/>
      <w:marBottom w:val="0"/>
      <w:divBdr>
        <w:top w:val="none" w:sz="0" w:space="0" w:color="auto"/>
        <w:left w:val="none" w:sz="0" w:space="0" w:color="auto"/>
        <w:bottom w:val="none" w:sz="0" w:space="0" w:color="auto"/>
        <w:right w:val="none" w:sz="0" w:space="0" w:color="auto"/>
      </w:divBdr>
    </w:div>
    <w:div w:id="836460423">
      <w:bodyDiv w:val="1"/>
      <w:marLeft w:val="0"/>
      <w:marRight w:val="0"/>
      <w:marTop w:val="0"/>
      <w:marBottom w:val="0"/>
      <w:divBdr>
        <w:top w:val="none" w:sz="0" w:space="0" w:color="auto"/>
        <w:left w:val="none" w:sz="0" w:space="0" w:color="auto"/>
        <w:bottom w:val="none" w:sz="0" w:space="0" w:color="auto"/>
        <w:right w:val="none" w:sz="0" w:space="0" w:color="auto"/>
      </w:divBdr>
    </w:div>
    <w:div w:id="1066414490">
      <w:bodyDiv w:val="1"/>
      <w:marLeft w:val="0"/>
      <w:marRight w:val="0"/>
      <w:marTop w:val="0"/>
      <w:marBottom w:val="0"/>
      <w:divBdr>
        <w:top w:val="none" w:sz="0" w:space="0" w:color="auto"/>
        <w:left w:val="none" w:sz="0" w:space="0" w:color="auto"/>
        <w:bottom w:val="none" w:sz="0" w:space="0" w:color="auto"/>
        <w:right w:val="none" w:sz="0" w:space="0" w:color="auto"/>
      </w:divBdr>
    </w:div>
    <w:div w:id="1106929526">
      <w:bodyDiv w:val="1"/>
      <w:marLeft w:val="0"/>
      <w:marRight w:val="0"/>
      <w:marTop w:val="0"/>
      <w:marBottom w:val="0"/>
      <w:divBdr>
        <w:top w:val="none" w:sz="0" w:space="0" w:color="auto"/>
        <w:left w:val="none" w:sz="0" w:space="0" w:color="auto"/>
        <w:bottom w:val="none" w:sz="0" w:space="0" w:color="auto"/>
        <w:right w:val="none" w:sz="0" w:space="0" w:color="auto"/>
      </w:divBdr>
    </w:div>
    <w:div w:id="1113356984">
      <w:bodyDiv w:val="1"/>
      <w:marLeft w:val="0"/>
      <w:marRight w:val="0"/>
      <w:marTop w:val="0"/>
      <w:marBottom w:val="0"/>
      <w:divBdr>
        <w:top w:val="none" w:sz="0" w:space="0" w:color="auto"/>
        <w:left w:val="none" w:sz="0" w:space="0" w:color="auto"/>
        <w:bottom w:val="none" w:sz="0" w:space="0" w:color="auto"/>
        <w:right w:val="none" w:sz="0" w:space="0" w:color="auto"/>
      </w:divBdr>
    </w:div>
    <w:div w:id="1115170765">
      <w:bodyDiv w:val="1"/>
      <w:marLeft w:val="0"/>
      <w:marRight w:val="0"/>
      <w:marTop w:val="0"/>
      <w:marBottom w:val="0"/>
      <w:divBdr>
        <w:top w:val="none" w:sz="0" w:space="0" w:color="auto"/>
        <w:left w:val="none" w:sz="0" w:space="0" w:color="auto"/>
        <w:bottom w:val="none" w:sz="0" w:space="0" w:color="auto"/>
        <w:right w:val="none" w:sz="0" w:space="0" w:color="auto"/>
      </w:divBdr>
    </w:div>
    <w:div w:id="1124008222">
      <w:bodyDiv w:val="1"/>
      <w:marLeft w:val="0"/>
      <w:marRight w:val="0"/>
      <w:marTop w:val="0"/>
      <w:marBottom w:val="0"/>
      <w:divBdr>
        <w:top w:val="none" w:sz="0" w:space="0" w:color="auto"/>
        <w:left w:val="none" w:sz="0" w:space="0" w:color="auto"/>
        <w:bottom w:val="none" w:sz="0" w:space="0" w:color="auto"/>
        <w:right w:val="none" w:sz="0" w:space="0" w:color="auto"/>
      </w:divBdr>
    </w:div>
    <w:div w:id="1232812935">
      <w:bodyDiv w:val="1"/>
      <w:marLeft w:val="0"/>
      <w:marRight w:val="0"/>
      <w:marTop w:val="0"/>
      <w:marBottom w:val="0"/>
      <w:divBdr>
        <w:top w:val="none" w:sz="0" w:space="0" w:color="auto"/>
        <w:left w:val="none" w:sz="0" w:space="0" w:color="auto"/>
        <w:bottom w:val="none" w:sz="0" w:space="0" w:color="auto"/>
        <w:right w:val="none" w:sz="0" w:space="0" w:color="auto"/>
      </w:divBdr>
    </w:div>
    <w:div w:id="1312640579">
      <w:bodyDiv w:val="1"/>
      <w:marLeft w:val="0"/>
      <w:marRight w:val="0"/>
      <w:marTop w:val="0"/>
      <w:marBottom w:val="0"/>
      <w:divBdr>
        <w:top w:val="none" w:sz="0" w:space="0" w:color="auto"/>
        <w:left w:val="none" w:sz="0" w:space="0" w:color="auto"/>
        <w:bottom w:val="none" w:sz="0" w:space="0" w:color="auto"/>
        <w:right w:val="none" w:sz="0" w:space="0" w:color="auto"/>
      </w:divBdr>
    </w:div>
    <w:div w:id="1350988588">
      <w:bodyDiv w:val="1"/>
      <w:marLeft w:val="0"/>
      <w:marRight w:val="0"/>
      <w:marTop w:val="0"/>
      <w:marBottom w:val="0"/>
      <w:divBdr>
        <w:top w:val="none" w:sz="0" w:space="0" w:color="auto"/>
        <w:left w:val="none" w:sz="0" w:space="0" w:color="auto"/>
        <w:bottom w:val="none" w:sz="0" w:space="0" w:color="auto"/>
        <w:right w:val="none" w:sz="0" w:space="0" w:color="auto"/>
      </w:divBdr>
    </w:div>
    <w:div w:id="1386446722">
      <w:bodyDiv w:val="1"/>
      <w:marLeft w:val="0"/>
      <w:marRight w:val="0"/>
      <w:marTop w:val="0"/>
      <w:marBottom w:val="0"/>
      <w:divBdr>
        <w:top w:val="none" w:sz="0" w:space="0" w:color="auto"/>
        <w:left w:val="none" w:sz="0" w:space="0" w:color="auto"/>
        <w:bottom w:val="none" w:sz="0" w:space="0" w:color="auto"/>
        <w:right w:val="none" w:sz="0" w:space="0" w:color="auto"/>
      </w:divBdr>
    </w:div>
    <w:div w:id="1620408408">
      <w:bodyDiv w:val="1"/>
      <w:marLeft w:val="0"/>
      <w:marRight w:val="0"/>
      <w:marTop w:val="0"/>
      <w:marBottom w:val="0"/>
      <w:divBdr>
        <w:top w:val="none" w:sz="0" w:space="0" w:color="auto"/>
        <w:left w:val="none" w:sz="0" w:space="0" w:color="auto"/>
        <w:bottom w:val="none" w:sz="0" w:space="0" w:color="auto"/>
        <w:right w:val="none" w:sz="0" w:space="0" w:color="auto"/>
      </w:divBdr>
    </w:div>
    <w:div w:id="1722635261">
      <w:bodyDiv w:val="1"/>
      <w:marLeft w:val="0"/>
      <w:marRight w:val="0"/>
      <w:marTop w:val="0"/>
      <w:marBottom w:val="0"/>
      <w:divBdr>
        <w:top w:val="none" w:sz="0" w:space="0" w:color="auto"/>
        <w:left w:val="none" w:sz="0" w:space="0" w:color="auto"/>
        <w:bottom w:val="none" w:sz="0" w:space="0" w:color="auto"/>
        <w:right w:val="none" w:sz="0" w:space="0" w:color="auto"/>
      </w:divBdr>
    </w:div>
    <w:div w:id="1778136610">
      <w:bodyDiv w:val="1"/>
      <w:marLeft w:val="0"/>
      <w:marRight w:val="0"/>
      <w:marTop w:val="0"/>
      <w:marBottom w:val="0"/>
      <w:divBdr>
        <w:top w:val="none" w:sz="0" w:space="0" w:color="auto"/>
        <w:left w:val="none" w:sz="0" w:space="0" w:color="auto"/>
        <w:bottom w:val="none" w:sz="0" w:space="0" w:color="auto"/>
        <w:right w:val="none" w:sz="0" w:space="0" w:color="auto"/>
      </w:divBdr>
    </w:div>
    <w:div w:id="1900479261">
      <w:bodyDiv w:val="1"/>
      <w:marLeft w:val="0"/>
      <w:marRight w:val="0"/>
      <w:marTop w:val="0"/>
      <w:marBottom w:val="0"/>
      <w:divBdr>
        <w:top w:val="none" w:sz="0" w:space="0" w:color="auto"/>
        <w:left w:val="none" w:sz="0" w:space="0" w:color="auto"/>
        <w:bottom w:val="none" w:sz="0" w:space="0" w:color="auto"/>
        <w:right w:val="none" w:sz="0" w:space="0" w:color="auto"/>
      </w:divBdr>
    </w:div>
    <w:div w:id="1945191453">
      <w:bodyDiv w:val="1"/>
      <w:marLeft w:val="0"/>
      <w:marRight w:val="0"/>
      <w:marTop w:val="0"/>
      <w:marBottom w:val="0"/>
      <w:divBdr>
        <w:top w:val="none" w:sz="0" w:space="0" w:color="auto"/>
        <w:left w:val="none" w:sz="0" w:space="0" w:color="auto"/>
        <w:bottom w:val="none" w:sz="0" w:space="0" w:color="auto"/>
        <w:right w:val="none" w:sz="0" w:space="0" w:color="auto"/>
      </w:divBdr>
    </w:div>
    <w:div w:id="1968047439">
      <w:bodyDiv w:val="1"/>
      <w:marLeft w:val="0"/>
      <w:marRight w:val="0"/>
      <w:marTop w:val="0"/>
      <w:marBottom w:val="0"/>
      <w:divBdr>
        <w:top w:val="none" w:sz="0" w:space="0" w:color="auto"/>
        <w:left w:val="none" w:sz="0" w:space="0" w:color="auto"/>
        <w:bottom w:val="none" w:sz="0" w:space="0" w:color="auto"/>
        <w:right w:val="none" w:sz="0" w:space="0" w:color="auto"/>
      </w:divBdr>
      <w:divsChild>
        <w:div w:id="392578613">
          <w:marLeft w:val="0"/>
          <w:marRight w:val="0"/>
          <w:marTop w:val="0"/>
          <w:marBottom w:val="0"/>
          <w:divBdr>
            <w:top w:val="none" w:sz="0" w:space="0" w:color="auto"/>
            <w:left w:val="none" w:sz="0" w:space="0" w:color="auto"/>
            <w:bottom w:val="none" w:sz="0" w:space="0" w:color="auto"/>
            <w:right w:val="none" w:sz="0" w:space="0" w:color="auto"/>
          </w:divBdr>
        </w:div>
        <w:div w:id="2141997985">
          <w:marLeft w:val="0"/>
          <w:marRight w:val="0"/>
          <w:marTop w:val="0"/>
          <w:marBottom w:val="0"/>
          <w:divBdr>
            <w:top w:val="none" w:sz="0" w:space="0" w:color="auto"/>
            <w:left w:val="none" w:sz="0" w:space="0" w:color="auto"/>
            <w:bottom w:val="none" w:sz="0" w:space="0" w:color="auto"/>
            <w:right w:val="none" w:sz="0" w:space="0" w:color="auto"/>
          </w:divBdr>
          <w:divsChild>
            <w:div w:id="470439668">
              <w:marLeft w:val="0"/>
              <w:marRight w:val="0"/>
              <w:marTop w:val="0"/>
              <w:marBottom w:val="0"/>
              <w:divBdr>
                <w:top w:val="none" w:sz="0" w:space="0" w:color="auto"/>
                <w:left w:val="none" w:sz="0" w:space="0" w:color="auto"/>
                <w:bottom w:val="none" w:sz="0" w:space="0" w:color="auto"/>
                <w:right w:val="none" w:sz="0" w:space="0" w:color="auto"/>
              </w:divBdr>
              <w:divsChild>
                <w:div w:id="2116975659">
                  <w:marLeft w:val="0"/>
                  <w:marRight w:val="0"/>
                  <w:marTop w:val="0"/>
                  <w:marBottom w:val="0"/>
                  <w:divBdr>
                    <w:top w:val="none" w:sz="0" w:space="0" w:color="auto"/>
                    <w:left w:val="none" w:sz="0" w:space="0" w:color="auto"/>
                    <w:bottom w:val="none" w:sz="0" w:space="0" w:color="auto"/>
                    <w:right w:val="none" w:sz="0" w:space="0" w:color="auto"/>
                  </w:divBdr>
                  <w:divsChild>
                    <w:div w:id="445273484">
                      <w:marLeft w:val="0"/>
                      <w:marRight w:val="0"/>
                      <w:marTop w:val="0"/>
                      <w:marBottom w:val="0"/>
                      <w:divBdr>
                        <w:top w:val="none" w:sz="0" w:space="0" w:color="auto"/>
                        <w:left w:val="none" w:sz="0" w:space="0" w:color="auto"/>
                        <w:bottom w:val="none" w:sz="0" w:space="0" w:color="auto"/>
                        <w:right w:val="none" w:sz="0" w:space="0" w:color="auto"/>
                      </w:divBdr>
                      <w:divsChild>
                        <w:div w:id="858130313">
                          <w:marLeft w:val="0"/>
                          <w:marRight w:val="0"/>
                          <w:marTop w:val="0"/>
                          <w:marBottom w:val="0"/>
                          <w:divBdr>
                            <w:top w:val="none" w:sz="0" w:space="0" w:color="auto"/>
                            <w:left w:val="none" w:sz="0" w:space="0" w:color="auto"/>
                            <w:bottom w:val="none" w:sz="0" w:space="0" w:color="auto"/>
                            <w:right w:val="none" w:sz="0" w:space="0" w:color="auto"/>
                          </w:divBdr>
                          <w:divsChild>
                            <w:div w:id="1871726228">
                              <w:marLeft w:val="0"/>
                              <w:marRight w:val="0"/>
                              <w:marTop w:val="0"/>
                              <w:marBottom w:val="0"/>
                              <w:divBdr>
                                <w:top w:val="none" w:sz="0" w:space="0" w:color="auto"/>
                                <w:left w:val="none" w:sz="0" w:space="0" w:color="auto"/>
                                <w:bottom w:val="none" w:sz="0" w:space="0" w:color="auto"/>
                                <w:right w:val="none" w:sz="0" w:space="0" w:color="auto"/>
                              </w:divBdr>
                              <w:divsChild>
                                <w:div w:id="18840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1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europa.eu/eurobarometer/surveys/detail/2287" TargetMode="Externa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s://www.eif.org/what_we_do/equity/single_eu_equity_instrument/cosme_efg/cosme-efg-implementation-update.pdf" TargetMode="External"/><Relationship Id="rId38" Type="http://schemas.openxmlformats.org/officeDocument/2006/relationships/hyperlink" Target="https://setis.ec.europa.eu/publications/clean-energy-technology-observatory-ceto/ceto-reports-2022_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2.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www.eif.org/what_we_do/equity/single_eu_equity_instrument/cosme_efg/intermediaries.pdf" TargetMode="External"/><Relationship Id="rId37" Type="http://schemas.openxmlformats.org/officeDocument/2006/relationships/hyperlink" Target="https://setis.ec.europa.eu/publications/clean-energy-technology-observatory-ceto/ceto-reports-2022_en" TargetMode="Externa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docsroom/documents/38462" TargetMode="External"/><Relationship Id="rId23" Type="http://schemas.openxmlformats.org/officeDocument/2006/relationships/header" Target="header8.xml"/><Relationship Id="rId28" Type="http://schemas.openxmlformats.org/officeDocument/2006/relationships/chart" Target="charts/chart1.xml"/><Relationship Id="rId36" Type="http://schemas.openxmlformats.org/officeDocument/2006/relationships/hyperlink" Target="https://ec.europa.eu/info/strategy/priorities-2019-2024/economy-works-people/jobs-growth-and-investment/european-pillar-social-rights/european-pillar-social-rights-20-principles_en"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gardenliving.fi/en/home/" TargetMode="Externa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s://www.eif.org/what_we_do/equity/Case_studies/efsi-cosme-finnsiirto-finland.htm" TargetMode="External"/><Relationship Id="rId35" Type="http://schemas.openxmlformats.org/officeDocument/2006/relationships/hyperlink" Target="https://clustercollaboration.eu/eu-cluster-partnerships/escp4i/rec-n-comp" TargetMode="External"/><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en/publications?did=61072" TargetMode="External"/><Relationship Id="rId13" Type="http://schemas.openxmlformats.org/officeDocument/2006/relationships/hyperlink" Target="https://commission.europa.eu/events/eu-open-business-new-compass-smes-2021-05-26_en" TargetMode="External"/><Relationship Id="rId18" Type="http://schemas.openxmlformats.org/officeDocument/2006/relationships/hyperlink" Target="https://www.esri.ie/system/files/publications/BKMNEXT429.pdf" TargetMode="External"/><Relationship Id="rId3" Type="http://schemas.openxmlformats.org/officeDocument/2006/relationships/hyperlink" Target="https://ec.europa.eu/docsroom/documents/43487" TargetMode="External"/><Relationship Id="rId21" Type="http://schemas.openxmlformats.org/officeDocument/2006/relationships/hyperlink" Target="https://ec.europa.eu/info/funding-tenders/opportunities/portal/screen/opportunities/projects-details/31059643/101038173/COSME" TargetMode="External"/><Relationship Id="rId7" Type="http://schemas.openxmlformats.org/officeDocument/2006/relationships/hyperlink" Target="https://policy.trade.ec.europa.eu/eu-trade-relationships-country-and-region/countries-and-regions/japan/eu-japan-agreement/eu-japan-agreement-chapter-chapter_en" TargetMode="External"/><Relationship Id="rId12" Type="http://schemas.openxmlformats.org/officeDocument/2006/relationships/hyperlink" Target="https://www.consilium.europa.eu/en/meetings/compet/2020/11/19/" TargetMode="External"/><Relationship Id="rId17" Type="http://schemas.openxmlformats.org/officeDocument/2006/relationships/hyperlink" Target="https://eur-lex.europa.eu/legal-content/EN/TXT/?uri=CELEX:32003H0361" TargetMode="External"/><Relationship Id="rId2" Type="http://schemas.openxmlformats.org/officeDocument/2006/relationships/hyperlink" Target="https://data.europa.eu/doi/10.2873/87360" TargetMode="External"/><Relationship Id="rId16" Type="http://schemas.openxmlformats.org/officeDocument/2006/relationships/hyperlink" Target="https://op.europa.eu/en/publication-detail/-/publication/c0335fd8-33db-11ed-8b77-01aa75ed71a1/language-en/format-PDF/source-267469968" TargetMode="External"/><Relationship Id="rId20" Type="http://schemas.openxmlformats.org/officeDocument/2006/relationships/hyperlink" Target="https://worth-partnership.ec.europa.eu/projects/framiore-capsule-collection_en" TargetMode="External"/><Relationship Id="rId1" Type="http://schemas.openxmlformats.org/officeDocument/2006/relationships/hyperlink" Target="https://op.europa.eu/en/publication-detail/-/publication/6a915e39-0aab-491c-8881-147ec91fe88a" TargetMode="External"/><Relationship Id="rId6" Type="http://schemas.openxmlformats.org/officeDocument/2006/relationships/hyperlink" Target="https://ec.europa.eu/docsroom/documents/43872" TargetMode="External"/><Relationship Id="rId11" Type="http://schemas.openxmlformats.org/officeDocument/2006/relationships/hyperlink" Target="https://ec.europa.eu/transparency/expert-groups-register/core/api/front/expertGroupAddtitionalInfo/40291/download" TargetMode="External"/><Relationship Id="rId5" Type="http://schemas.openxmlformats.org/officeDocument/2006/relationships/hyperlink" Target="https://eur-lex.europa.eu/legal-content/EN/TXT/?uri=CELEX:52013SC0493(01)" TargetMode="External"/><Relationship Id="rId15" Type="http://schemas.openxmlformats.org/officeDocument/2006/relationships/hyperlink" Target="https://eismea.ec.europa.eu/esteam-fests-and-communities-girls-and-women_en" TargetMode="External"/><Relationship Id="rId10" Type="http://schemas.openxmlformats.org/officeDocument/2006/relationships/hyperlink" Target="https://single-market-economy.ec.europa.eu/smes/sme-strategy/sme-performance-review_en" TargetMode="External"/><Relationship Id="rId19" Type="http://schemas.openxmlformats.org/officeDocument/2006/relationships/hyperlink" Target="https://profile.clustercollaboration.eu" TargetMode="External"/><Relationship Id="rId4" Type="http://schemas.openxmlformats.org/officeDocument/2006/relationships/hyperlink" Target="https://ec.europa.eu/docsroom/documents/43123" TargetMode="External"/><Relationship Id="rId9" Type="http://schemas.openxmlformats.org/officeDocument/2006/relationships/hyperlink" Target="https://public-buyers-community.ec.europa.eu/" TargetMode="External"/><Relationship Id="rId14" Type="http://schemas.openxmlformats.org/officeDocument/2006/relationships/hyperlink" Target="https://www2.deloitte.com/be/en/pages/technology-media-and-telecommunications/articles/belgium-women-esteam.html" TargetMode="External"/><Relationship Id="rId22" Type="http://schemas.openxmlformats.org/officeDocument/2006/relationships/hyperlink" Target="https://clustercollaboration.e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GROW\C\1\Common\1%20FINANCIAL_INSTRUMENTS\1%20COSME%20FIs\06%20Reporting\1.%20Budgetary%20reporting\2022%20-%20Budget%20procedure%202023\WD%2010%20-%20art%2041.4%20COSME-EF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8774962709924"/>
          <c:y val="0.19978247429931625"/>
          <c:w val="0.5817665603979324"/>
          <c:h val="0.58915155351702331"/>
        </c:manualLayout>
      </c:layout>
      <c:pieChart>
        <c:varyColors val="1"/>
        <c:ser>
          <c:idx val="0"/>
          <c:order val="0"/>
          <c:dLbls>
            <c:dLbl>
              <c:idx val="0"/>
              <c:layout>
                <c:manualLayout>
                  <c:x val="-0.1230280053183595"/>
                  <c:y val="9.3738917332089486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F3D-4D47-9A9E-39BCE4E2408C}"/>
                </c:ext>
              </c:extLst>
            </c:dLbl>
            <c:dLbl>
              <c:idx val="1"/>
              <c:layout>
                <c:manualLayout>
                  <c:x val="-0.45190377404907256"/>
                  <c:y val="-0.1103102713664551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F3D-4D47-9A9E-39BCE4E2408C}"/>
                </c:ext>
              </c:extLst>
            </c:dLbl>
            <c:dLbl>
              <c:idx val="2"/>
              <c:layout>
                <c:manualLayout>
                  <c:x val="-0.25377564762849791"/>
                  <c:y val="-9.7524664141947007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F3D-4D47-9A9E-39BCE4E2408C}"/>
                </c:ext>
              </c:extLst>
            </c:dLbl>
            <c:dLbl>
              <c:idx val="6"/>
              <c:layout>
                <c:manualLayout>
                  <c:x val="9.0019380548844355E-2"/>
                  <c:y val="-2.7320280310518309E-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F3D-4D47-9A9E-39BCE4E2408C}"/>
                </c:ext>
              </c:extLst>
            </c:dLbl>
            <c:dLbl>
              <c:idx val="7"/>
              <c:layout>
                <c:manualLayout>
                  <c:x val="0.13961077639873373"/>
                  <c:y val="6.8478985965964412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F3D-4D47-9A9E-39BCE4E2408C}"/>
                </c:ext>
              </c:extLst>
            </c:dLbl>
            <c:dLbl>
              <c:idx val="10"/>
              <c:layout>
                <c:manualLayout>
                  <c:x val="0.37890390141515934"/>
                  <c:y val="0.12665916760404949"/>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F3D-4D47-9A9E-39BCE4E2408C}"/>
                </c:ext>
              </c:extLst>
            </c:dLbl>
            <c:dLbl>
              <c:idx val="14"/>
              <c:layout>
                <c:manualLayout>
                  <c:x val="-0.207260477605378"/>
                  <c:y val="0.19866200935409389"/>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F3D-4D47-9A9E-39BCE4E2408C}"/>
                </c:ext>
              </c:extLst>
            </c:dLbl>
            <c:dLbl>
              <c:idx val="22"/>
              <c:layout>
                <c:manualLayout>
                  <c:x val="-0.12416038705332452"/>
                  <c:y val="-0.2256434111149640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F3D-4D47-9A9E-39BCE4E2408C}"/>
                </c:ext>
              </c:extLst>
            </c:dLbl>
            <c:dLbl>
              <c:idx val="25"/>
              <c:layout>
                <c:manualLayout>
                  <c:x val="2.8602759133282502E-2"/>
                  <c:y val="-0.1839801979639763"/>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7F3D-4D47-9A9E-39BCE4E2408C}"/>
                </c:ext>
              </c:extLst>
            </c:dLbl>
            <c:dLbl>
              <c:idx val="27"/>
              <c:layout>
                <c:manualLayout>
                  <c:x val="-0.35514672398722152"/>
                  <c:y val="-4.0830798405838371E-2"/>
                </c:manualLayout>
              </c:layou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7F3D-4D47-9A9E-39BCE4E2408C}"/>
                </c:ext>
              </c:extLst>
            </c:dLbl>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'Report input table'!$D$79:$D$106</c:f>
              <c:strCache>
                <c:ptCount val="28"/>
                <c:pt idx="0">
                  <c:v>Austria</c:v>
                </c:pt>
                <c:pt idx="1">
                  <c:v>Belgium</c:v>
                </c:pt>
                <c:pt idx="2">
                  <c:v>Croatia</c:v>
                </c:pt>
                <c:pt idx="3">
                  <c:v>Cyprus</c:v>
                </c:pt>
                <c:pt idx="4">
                  <c:v>Czechia</c:v>
                </c:pt>
                <c:pt idx="5">
                  <c:v>Denmark</c:v>
                </c:pt>
                <c:pt idx="6">
                  <c:v>Estonia</c:v>
                </c:pt>
                <c:pt idx="7">
                  <c:v>Finland</c:v>
                </c:pt>
                <c:pt idx="8">
                  <c:v>France</c:v>
                </c:pt>
                <c:pt idx="9">
                  <c:v>Germany</c:v>
                </c:pt>
                <c:pt idx="10">
                  <c:v>Greece</c:v>
                </c:pt>
                <c:pt idx="11">
                  <c:v>Hungary</c:v>
                </c:pt>
                <c:pt idx="12">
                  <c:v>Ireland</c:v>
                </c:pt>
                <c:pt idx="13">
                  <c:v>Israel</c:v>
                </c:pt>
                <c:pt idx="14">
                  <c:v>Italy</c:v>
                </c:pt>
                <c:pt idx="15">
                  <c:v>Luxembourg</c:v>
                </c:pt>
                <c:pt idx="16">
                  <c:v>Netherlands</c:v>
                </c:pt>
                <c:pt idx="17">
                  <c:v>Norway</c:v>
                </c:pt>
                <c:pt idx="18">
                  <c:v>Portugal</c:v>
                </c:pt>
                <c:pt idx="19">
                  <c:v>Romania</c:v>
                </c:pt>
                <c:pt idx="20">
                  <c:v>Slovakia</c:v>
                </c:pt>
                <c:pt idx="21">
                  <c:v>Slovenia</c:v>
                </c:pt>
                <c:pt idx="22">
                  <c:v>Spain</c:v>
                </c:pt>
                <c:pt idx="23">
                  <c:v>Sweden</c:v>
                </c:pt>
                <c:pt idx="24">
                  <c:v>Switzerland</c:v>
                </c:pt>
                <c:pt idx="25">
                  <c:v>Türkiye </c:v>
                </c:pt>
                <c:pt idx="26">
                  <c:v>United Kingdom</c:v>
                </c:pt>
                <c:pt idx="27">
                  <c:v>United States</c:v>
                </c:pt>
              </c:strCache>
            </c:strRef>
          </c:cat>
          <c:val>
            <c:numRef>
              <c:f>'Report input table'!$F$79:$F$106</c:f>
              <c:numCache>
                <c:formatCode>0.0%</c:formatCode>
                <c:ptCount val="28"/>
                <c:pt idx="0" formatCode="0.000%">
                  <c:v>3.845532569785326E-5</c:v>
                </c:pt>
                <c:pt idx="1">
                  <c:v>9.6494905193553922E-3</c:v>
                </c:pt>
                <c:pt idx="2">
                  <c:v>2.8761083566386332E-3</c:v>
                </c:pt>
                <c:pt idx="3">
                  <c:v>4.3043798534727843E-3</c:v>
                </c:pt>
                <c:pt idx="4">
                  <c:v>2.9490331006374656E-2</c:v>
                </c:pt>
                <c:pt idx="5">
                  <c:v>1.6740569782901744E-2</c:v>
                </c:pt>
                <c:pt idx="6" formatCode="0.000%">
                  <c:v>3.9139726007628025E-5</c:v>
                </c:pt>
                <c:pt idx="7">
                  <c:v>5.4333464349358609E-2</c:v>
                </c:pt>
                <c:pt idx="8">
                  <c:v>0.18819035993694433</c:v>
                </c:pt>
                <c:pt idx="9">
                  <c:v>0.2468981150360452</c:v>
                </c:pt>
                <c:pt idx="10">
                  <c:v>2.7771755509489918E-2</c:v>
                </c:pt>
                <c:pt idx="11">
                  <c:v>4.4619369823220428E-3</c:v>
                </c:pt>
                <c:pt idx="12">
                  <c:v>1.7430099539973369E-2</c:v>
                </c:pt>
                <c:pt idx="13">
                  <c:v>1.7515384702811325E-2</c:v>
                </c:pt>
                <c:pt idx="14">
                  <c:v>1.9779372823572911E-3</c:v>
                </c:pt>
                <c:pt idx="15">
                  <c:v>9.6387110961059941E-3</c:v>
                </c:pt>
                <c:pt idx="16">
                  <c:v>7.4620446432048487E-2</c:v>
                </c:pt>
                <c:pt idx="17">
                  <c:v>1.2603807360524716E-2</c:v>
                </c:pt>
                <c:pt idx="18">
                  <c:v>8.0812580576423657E-3</c:v>
                </c:pt>
                <c:pt idx="19">
                  <c:v>3.7174189643628588E-3</c:v>
                </c:pt>
                <c:pt idx="20">
                  <c:v>7.486783967411946E-4</c:v>
                </c:pt>
                <c:pt idx="21">
                  <c:v>3.8504634325611086E-3</c:v>
                </c:pt>
                <c:pt idx="22">
                  <c:v>3.9693852578516226E-3</c:v>
                </c:pt>
                <c:pt idx="23">
                  <c:v>5.8862598242104151E-2</c:v>
                </c:pt>
                <c:pt idx="24">
                  <c:v>4.364466812732757E-3</c:v>
                </c:pt>
                <c:pt idx="25">
                  <c:v>8.3798123486456978E-3</c:v>
                </c:pt>
                <c:pt idx="26">
                  <c:v>0.14970044194952803</c:v>
                </c:pt>
                <c:pt idx="27">
                  <c:v>3.9744983739400101E-2</c:v>
                </c:pt>
              </c:numCache>
            </c:numRef>
          </c:val>
          <c:extLst>
            <c:ext xmlns:c16="http://schemas.microsoft.com/office/drawing/2014/chart" uri="{C3380CC4-5D6E-409C-BE32-E72D297353CC}">
              <c16:uniqueId val="{0000000A-7F3D-4D47-9A9E-39BCE4E2408C}"/>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8774962709924"/>
          <c:y val="0.19978247429931625"/>
          <c:w val="0.5817665603979324"/>
          <c:h val="0.58915155351702331"/>
        </c:manualLayout>
      </c:layout>
      <c:pieChart>
        <c:varyColors val="1"/>
        <c:ser>
          <c:idx val="0"/>
          <c:order val="0"/>
          <c:dLbls>
            <c:dLbl>
              <c:idx val="0"/>
              <c:layout>
                <c:manualLayout>
                  <c:x val="-0.45023824437190202"/>
                  <c:y val="-0.10803367717779051"/>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09A-4EFD-BD94-95B4B0BE2A5D}"/>
                </c:ext>
              </c:extLst>
            </c:dLbl>
            <c:dLbl>
              <c:idx val="1"/>
              <c:layout>
                <c:manualLayout>
                  <c:x val="-0.32009208742547779"/>
                  <c:y val="-0.11190592124836297"/>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09A-4EFD-BD94-95B4B0BE2A5D}"/>
                </c:ext>
              </c:extLst>
            </c:dLbl>
            <c:dLbl>
              <c:idx val="2"/>
              <c:layout>
                <c:manualLayout>
                  <c:x val="-0.19903079642188534"/>
                  <c:y val="-0.10422342268569849"/>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09A-4EFD-BD94-95B4B0BE2A5D}"/>
                </c:ext>
              </c:extLst>
            </c:dLbl>
            <c:dLbl>
              <c:idx val="3"/>
              <c:layout>
                <c:manualLayout>
                  <c:x val="-7.8228250495942606E-2"/>
                  <c:y val="-8.1625351441688185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09A-4EFD-BD94-95B4B0BE2A5D}"/>
                </c:ext>
              </c:extLst>
            </c:dLbl>
            <c:dLbl>
              <c:idx val="4"/>
              <c:layout>
                <c:manualLayout>
                  <c:x val="9.4527445646958572E-2"/>
                  <c:y val="-0.12308222133149406"/>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09A-4EFD-BD94-95B4B0BE2A5D}"/>
                </c:ext>
              </c:extLst>
            </c:dLbl>
            <c:dLbl>
              <c:idx val="5"/>
              <c:layout>
                <c:manualLayout>
                  <c:x val="0.22233495187132171"/>
                  <c:y val="-0.13764403249861049"/>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09A-4EFD-BD94-95B4B0BE2A5D}"/>
                </c:ext>
              </c:extLst>
            </c:dLbl>
            <c:dLbl>
              <c:idx val="6"/>
              <c:layout>
                <c:manualLayout>
                  <c:x val="0.23356811730242116"/>
                  <c:y val="-8.4974701938226621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09A-4EFD-BD94-95B4B0BE2A5D}"/>
                </c:ext>
              </c:extLst>
            </c:dLbl>
            <c:dLbl>
              <c:idx val="7"/>
              <c:layout>
                <c:manualLayout>
                  <c:x val="0.20216688097900903"/>
                  <c:y val="-2.233346758031142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09A-4EFD-BD94-95B4B0BE2A5D}"/>
                </c:ext>
              </c:extLst>
            </c:dLbl>
            <c:dLbl>
              <c:idx val="8"/>
              <c:layout>
                <c:manualLayout>
                  <c:x val="0.21748622963233075"/>
                  <c:y val="4.6922858370075871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709A-4EFD-BD94-95B4B0BE2A5D}"/>
                </c:ext>
              </c:extLst>
            </c:dLbl>
            <c:dLbl>
              <c:idx val="9"/>
              <c:layout>
                <c:manualLayout>
                  <c:x val="4.60515640729929E-2"/>
                  <c:y val="7.7724982469768125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709A-4EFD-BD94-95B4B0BE2A5D}"/>
                </c:ext>
              </c:extLst>
            </c:dLbl>
            <c:dLbl>
              <c:idx val="17"/>
              <c:layout>
                <c:manualLayout>
                  <c:x val="0.16044401911538145"/>
                  <c:y val="0.21166800754206547"/>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709A-4EFD-BD94-95B4B0BE2A5D}"/>
                </c:ext>
              </c:extLst>
            </c:dLbl>
            <c:dLbl>
              <c:idx val="18"/>
              <c:layout>
                <c:manualLayout>
                  <c:x val="2.1865703802313896E-2"/>
                  <c:y val="0.35941002757962265"/>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709A-4EFD-BD94-95B4B0BE2A5D}"/>
                </c:ext>
              </c:extLst>
            </c:dLbl>
            <c:dLbl>
              <c:idx val="19"/>
              <c:layout>
                <c:manualLayout>
                  <c:x val="-8.4608855258038462E-2"/>
                  <c:y val="0.32791262530648013"/>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709A-4EFD-BD94-95B4B0BE2A5D}"/>
                </c:ext>
              </c:extLst>
            </c:dLbl>
            <c:dLbl>
              <c:idx val="20"/>
              <c:layout>
                <c:manualLayout>
                  <c:x val="-7.8275184026547984E-2"/>
                  <c:y val="0.22444666169857186"/>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709A-4EFD-BD94-95B4B0BE2A5D}"/>
                </c:ext>
              </c:extLst>
            </c:dLbl>
            <c:dLbl>
              <c:idx val="21"/>
              <c:layout>
                <c:manualLayout>
                  <c:x val="-7.7427501653142022E-2"/>
                  <c:y val="0.12529069572778923"/>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709A-4EFD-BD94-95B4B0BE2A5D}"/>
                </c:ext>
              </c:extLst>
            </c:dLbl>
            <c:dLbl>
              <c:idx val="22"/>
              <c:layout>
                <c:manualLayout>
                  <c:x val="-7.814240924293947E-2"/>
                  <c:y val="4.6992500982936607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709A-4EFD-BD94-95B4B0BE2A5D}"/>
                </c:ext>
              </c:extLst>
            </c:dLbl>
            <c:dLbl>
              <c:idx val="24"/>
              <c:layout>
                <c:manualLayout>
                  <c:x val="-0.10368149056705825"/>
                  <c:y val="8.9987630783182837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0-709A-4EFD-BD94-95B4B0BE2A5D}"/>
                </c:ext>
              </c:extLst>
            </c:dLbl>
            <c:dLbl>
              <c:idx val="25"/>
              <c:layout>
                <c:manualLayout>
                  <c:x val="-0.10404605418118436"/>
                  <c:y val="4.0174795305246057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709A-4EFD-BD94-95B4B0BE2A5D}"/>
                </c:ext>
              </c:extLst>
            </c:dLbl>
            <c:dLbl>
              <c:idx val="26"/>
              <c:layout>
                <c:manualLayout>
                  <c:x val="-0.13497908928013735"/>
                  <c:y val="5.5119066865518011E-3"/>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709A-4EFD-BD94-95B4B0BE2A5D}"/>
                </c:ext>
              </c:extLst>
            </c:dLbl>
            <c:dLbl>
              <c:idx val="27"/>
              <c:layout>
                <c:manualLayout>
                  <c:x val="-0.12553297473091735"/>
                  <c:y val="-4.4184411342944908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709A-4EFD-BD94-95B4B0BE2A5D}"/>
                </c:ext>
              </c:extLst>
            </c:dLbl>
            <c:dLbl>
              <c:idx val="28"/>
              <c:layout>
                <c:manualLayout>
                  <c:x val="-4.6571496865572947E-3"/>
                  <c:y val="-6.3947798652491977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709A-4EFD-BD94-95B4B0BE2A5D}"/>
                </c:ext>
              </c:extLst>
            </c:dLbl>
            <c:dLbl>
              <c:idx val="30"/>
              <c:layout>
                <c:manualLayout>
                  <c:x val="-0.36509174720099941"/>
                  <c:y val="8.5057546035393367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709A-4EFD-BD94-95B4B0BE2A5D}"/>
                </c:ext>
              </c:extLst>
            </c:dLbl>
            <c:dLbl>
              <c:idx val="31"/>
              <c:layout>
                <c:manualLayout>
                  <c:x val="-0.31167859778662166"/>
                  <c:y val="2.7846904873739281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6-709A-4EFD-BD94-95B4B0BE2A5D}"/>
                </c:ext>
              </c:extLst>
            </c:dLbl>
            <c:dLbl>
              <c:idx val="32"/>
              <c:layout>
                <c:manualLayout>
                  <c:x val="-0.40714750563115132"/>
                  <c:y val="-3.3928771295763951E-2"/>
                </c:manualLayout>
              </c:layout>
              <c:dLblPos val="bestFit"/>
              <c:showLegendKey val="1"/>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7-709A-4EFD-BD94-95B4B0BE2A5D}"/>
                </c:ext>
              </c:extLst>
            </c:dLbl>
            <c:numFmt formatCode="0.00%" sourceLinked="0"/>
            <c:spPr>
              <a:noFill/>
              <a:ln>
                <a:noFill/>
              </a:ln>
              <a:effectLst/>
            </c:spPr>
            <c:dLblPos val="bestFit"/>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'U:\Common\1 FINANCIAL_INSTRUMENTS\1 COSME FIs\06 Reporting\1. Budgetary reporting\2022 - Budget procedure 2023\[WD 10 - art 41.4 COSME-LGF.xlsx]Report input table'!$D$102:$D$134</c:f>
              <c:strCache>
                <c:ptCount val="33"/>
                <c:pt idx="0">
                  <c:v>Albania</c:v>
                </c:pt>
                <c:pt idx="1">
                  <c:v>Austria</c:v>
                </c:pt>
                <c:pt idx="2">
                  <c:v>Belgium</c:v>
                </c:pt>
                <c:pt idx="3">
                  <c:v>Bosnia &amp; Herzegovina</c:v>
                </c:pt>
                <c:pt idx="4">
                  <c:v>Bulgaria</c:v>
                </c:pt>
                <c:pt idx="5">
                  <c:v>Croatia</c:v>
                </c:pt>
                <c:pt idx="6">
                  <c:v>Czechia</c:v>
                </c:pt>
                <c:pt idx="7">
                  <c:v>Denmark</c:v>
                </c:pt>
                <c:pt idx="8">
                  <c:v>Estonia</c:v>
                </c:pt>
                <c:pt idx="9">
                  <c:v>Finland</c:v>
                </c:pt>
                <c:pt idx="10">
                  <c:v>France</c:v>
                </c:pt>
                <c:pt idx="11">
                  <c:v>Germany</c:v>
                </c:pt>
                <c:pt idx="12">
                  <c:v>Greece</c:v>
                </c:pt>
                <c:pt idx="13">
                  <c:v>Hungary</c:v>
                </c:pt>
                <c:pt idx="14">
                  <c:v>Iceland</c:v>
                </c:pt>
                <c:pt idx="15">
                  <c:v>Ireland</c:v>
                </c:pt>
                <c:pt idx="16">
                  <c:v>Italy</c:v>
                </c:pt>
                <c:pt idx="17">
                  <c:v>Kosovo*</c:v>
                </c:pt>
                <c:pt idx="18">
                  <c:v>Latvia</c:v>
                </c:pt>
                <c:pt idx="19">
                  <c:v>Lithuania</c:v>
                </c:pt>
                <c:pt idx="20">
                  <c:v>Luxembourg</c:v>
                </c:pt>
                <c:pt idx="21">
                  <c:v>Montenegro</c:v>
                </c:pt>
                <c:pt idx="22">
                  <c:v>Netherlands</c:v>
                </c:pt>
                <c:pt idx="23">
                  <c:v>Poland</c:v>
                </c:pt>
                <c:pt idx="24">
                  <c:v>Portugal</c:v>
                </c:pt>
                <c:pt idx="25">
                  <c:v>Romania</c:v>
                </c:pt>
                <c:pt idx="26">
                  <c:v>Serbia</c:v>
                </c:pt>
                <c:pt idx="27">
                  <c:v>Slovakia</c:v>
                </c:pt>
                <c:pt idx="28">
                  <c:v>Slovenia</c:v>
                </c:pt>
                <c:pt idx="29">
                  <c:v>Spain</c:v>
                </c:pt>
                <c:pt idx="30">
                  <c:v>Sweden</c:v>
                </c:pt>
                <c:pt idx="31">
                  <c:v>Türkiye </c:v>
                </c:pt>
                <c:pt idx="32">
                  <c:v>United Kingdom</c:v>
                </c:pt>
              </c:strCache>
            </c:strRef>
          </c:cat>
          <c:val>
            <c:numRef>
              <c:f>'U:\Common\1 FINANCIAL_INSTRUMENTS\1 COSME FIs\06 Reporting\1. Budgetary reporting\2022 - Budget procedure 2023\[WD 10 - art 41.4 COSME-LGF.xlsx]Report input table'!$F$102:$F$134</c:f>
              <c:numCache>
                <c:formatCode>0.00%</c:formatCode>
                <c:ptCount val="33"/>
                <c:pt idx="0">
                  <c:v>3.9332912050527166E-4</c:v>
                </c:pt>
                <c:pt idx="1">
                  <c:v>1.1484958663245365E-2</c:v>
                </c:pt>
                <c:pt idx="2">
                  <c:v>1.4970408665516445E-2</c:v>
                </c:pt>
                <c:pt idx="3">
                  <c:v>7.0325420057956386E-4</c:v>
                </c:pt>
                <c:pt idx="4">
                  <c:v>2.7221244674256236E-2</c:v>
                </c:pt>
                <c:pt idx="5">
                  <c:v>3.2258193544394676E-4</c:v>
                </c:pt>
                <c:pt idx="6">
                  <c:v>2.9871441355871498E-2</c:v>
                </c:pt>
                <c:pt idx="7">
                  <c:v>2.1486290364644361E-3</c:v>
                </c:pt>
                <c:pt idx="8">
                  <c:v>7.412308268643134E-3</c:v>
                </c:pt>
                <c:pt idx="9">
                  <c:v>5.3860498424277235E-3</c:v>
                </c:pt>
                <c:pt idx="10">
                  <c:v>0.12827260052694175</c:v>
                </c:pt>
                <c:pt idx="11">
                  <c:v>4.0257228346085173E-2</c:v>
                </c:pt>
                <c:pt idx="12">
                  <c:v>6.7445238763990209E-2</c:v>
                </c:pt>
                <c:pt idx="13">
                  <c:v>1.9253318100691235E-2</c:v>
                </c:pt>
                <c:pt idx="14">
                  <c:v>2.4897969863093325E-4</c:v>
                </c:pt>
                <c:pt idx="15">
                  <c:v>2.9017144643767134E-3</c:v>
                </c:pt>
                <c:pt idx="16">
                  <c:v>0.33528591202484997</c:v>
                </c:pt>
                <c:pt idx="17">
                  <c:v>1.6610521262207896E-3</c:v>
                </c:pt>
                <c:pt idx="18">
                  <c:v>2.6161532135561623E-3</c:v>
                </c:pt>
                <c:pt idx="19">
                  <c:v>3.37947284844198E-3</c:v>
                </c:pt>
                <c:pt idx="20">
                  <c:v>5.5031691281122572E-4</c:v>
                </c:pt>
                <c:pt idx="21">
                  <c:v>1.0772201782595556E-3</c:v>
                </c:pt>
                <c:pt idx="22">
                  <c:v>4.2620465290180804E-3</c:v>
                </c:pt>
                <c:pt idx="23">
                  <c:v>5.3650997887001832E-2</c:v>
                </c:pt>
                <c:pt idx="24">
                  <c:v>1.2152848173303971E-2</c:v>
                </c:pt>
                <c:pt idx="25">
                  <c:v>1.5968773299723668E-2</c:v>
                </c:pt>
                <c:pt idx="26">
                  <c:v>2.0089077644292672E-2</c:v>
                </c:pt>
                <c:pt idx="27">
                  <c:v>3.7586198558516668E-3</c:v>
                </c:pt>
                <c:pt idx="28">
                  <c:v>1.2195132779486469E-2</c:v>
                </c:pt>
                <c:pt idx="29">
                  <c:v>0.14642377891041145</c:v>
                </c:pt>
                <c:pt idx="30">
                  <c:v>2.5578227599131539E-5</c:v>
                </c:pt>
                <c:pt idx="31">
                  <c:v>2.6715131396590402E-2</c:v>
                </c:pt>
                <c:pt idx="32">
                  <c:v>1.8946023289113435E-3</c:v>
                </c:pt>
              </c:numCache>
            </c:numRef>
          </c:val>
          <c:extLst>
            <c:ext xmlns:c16="http://schemas.microsoft.com/office/drawing/2014/chart" uri="{C3380CC4-5D6E-409C-BE32-E72D297353CC}">
              <c16:uniqueId val="{00000018-709A-4EFD-BD94-95B4B0BE2A5D}"/>
            </c:ext>
          </c:extLst>
        </c:ser>
        <c:dLbls>
          <c:dLblPos val="bestFit"/>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ED23B-43BF-4799-83C7-7854B003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9103</Words>
  <Characters>50980</Characters>
  <Application>Microsoft Office Word</Application>
  <DocSecurity>0</DocSecurity>
  <Lines>1185</Lines>
  <Paragraphs>606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25</cp:revision>
  <cp:lastPrinted>2023-08-25T13:10:00Z</cp:lastPrinted>
  <dcterms:created xsi:type="dcterms:W3CDTF">2023-10-06T07:01:00Z</dcterms:created>
  <dcterms:modified xsi:type="dcterms:W3CDTF">2023-10-10T12:52:00Z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2022-07-06T08:20:40Z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1f0e6eb1-0ed7-465a-9d29-8709d3c5b212</vt:lpwstr>
  </property>
  <property fmtid="{D5CDD505-2E9C-101B-9397-08002B2CF9AE}" pid="15" name="MSIP_Label_6bd9ddd1-4d20-43f6-abfa-fc3c07406f94_ContentBits">
    <vt:lpwstr>0</vt:lpwstr>
  </property>
</Properties>
</file>