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4AC7F" w14:textId="784CA603" w:rsidR="00B54742" w:rsidRPr="00A56B91" w:rsidRDefault="00DD1B45" w:rsidP="00DD1B45">
      <w:pPr>
        <w:pStyle w:val="Pagedecouverture"/>
        <w:rPr>
          <w:noProof/>
        </w:rPr>
      </w:pPr>
      <w:bookmarkStart w:id="0" w:name="LW_BM_COVERPAGE"/>
      <w:r>
        <w:rPr>
          <w:noProof/>
        </w:rPr>
        <w:pict w14:anchorId="03A6B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E1BB9F09-13E4-4B0F-A1E5-E282E01CD46E" style="width:455.25pt;height:324pt">
            <v:imagedata r:id="rId11" o:title=""/>
          </v:shape>
        </w:pict>
      </w:r>
    </w:p>
    <w:bookmarkEnd w:id="0"/>
    <w:p w14:paraId="23759573" w14:textId="77777777" w:rsidR="00B54742" w:rsidRPr="00A56B91" w:rsidRDefault="00B54742" w:rsidP="00D8269C">
      <w:pPr>
        <w:spacing w:after="240" w:line="240" w:lineRule="auto"/>
        <w:rPr>
          <w:rFonts w:ascii="Times New Roman" w:hAnsi="Times New Roman" w:cs="Times New Roman"/>
          <w:noProof/>
          <w:sz w:val="24"/>
          <w:lang w:val="en-IE"/>
        </w:rPr>
        <w:sectPr w:rsidR="00B54742" w:rsidRPr="00A56B91" w:rsidSect="00DD1B45">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1BBEE578" w14:textId="58A6DBB0" w:rsidR="00330EEF" w:rsidRPr="00C67017" w:rsidRDefault="00FF6B15" w:rsidP="00A06243">
      <w:pPr>
        <w:pStyle w:val="Heading1"/>
      </w:pPr>
      <w:bookmarkStart w:id="1" w:name="_GoBack"/>
      <w:bookmarkEnd w:id="1"/>
      <w:r>
        <w:lastRenderedPageBreak/>
        <w:t>ВЪВЕДЕНИЕ</w:t>
      </w:r>
    </w:p>
    <w:p w14:paraId="35B5395D" w14:textId="4473FD1A" w:rsidR="00427E50" w:rsidRPr="00A56B91" w:rsidRDefault="0083092D" w:rsidP="002E727D">
      <w:pPr>
        <w:rPr>
          <w:rFonts w:ascii="Times New Roman" w:hAnsi="Times New Roman" w:cs="Times New Roman"/>
          <w:noProof/>
          <w:sz w:val="24"/>
        </w:rPr>
      </w:pPr>
      <w:r>
        <w:rPr>
          <w:rFonts w:ascii="Times New Roman" w:hAnsi="Times New Roman"/>
          <w:b/>
          <w:noProof/>
          <w:sz w:val="24"/>
        </w:rPr>
        <w:t xml:space="preserve">Хората в Европа живеят по-дълго и водят по-здравословен начин на живот. </w:t>
      </w:r>
      <w:r>
        <w:rPr>
          <w:rFonts w:ascii="Times New Roman" w:hAnsi="Times New Roman"/>
          <w:noProof/>
          <w:sz w:val="24"/>
        </w:rPr>
        <w:t>Очакваната продължителност на живота се увеличи благодарение на повсеместния социален и икономически напредък на Европа през последните десетилетия, който включва по-добър жизнен стандарт, достъп до образование и обучение и напредък в здравеопазването и медицината. С увеличаването на продължителността на живота Европа трябва да изгради „общество на дълголетие“, което цени по-дългия живот, прекаран в по-напреднала възраст, разкрива възможности пред по-възрастните граждани и се грижи за благосъстоянието и благополучието на настоящите и бъдещите поколения.</w:t>
      </w:r>
    </w:p>
    <w:p w14:paraId="6C4DAD49" w14:textId="4F06DB69" w:rsidR="003603EB" w:rsidRPr="00A56B91" w:rsidRDefault="00127A94" w:rsidP="002E727D">
      <w:pPr>
        <w:rPr>
          <w:rFonts w:ascii="Times New Roman" w:hAnsi="Times New Roman" w:cs="Times New Roman"/>
          <w:noProof/>
          <w:sz w:val="24"/>
        </w:rPr>
      </w:pPr>
      <w:r>
        <w:rPr>
          <w:rFonts w:ascii="Times New Roman" w:hAnsi="Times New Roman"/>
          <w:b/>
          <w:noProof/>
          <w:sz w:val="24"/>
        </w:rPr>
        <w:t>Демографските промени обаче оказват пряко въздействие върху човешкия капитал на ЕС и неговата конкурентоспособност.</w:t>
      </w:r>
      <w:r>
        <w:rPr>
          <w:rFonts w:ascii="Times New Roman" w:hAnsi="Times New Roman"/>
          <w:noProof/>
          <w:sz w:val="24"/>
        </w:rPr>
        <w:t xml:space="preserve"> Очаква се застаряването на населението и намаляването на населението в трудоспособна възраст да задълбочат недостига на работна ръка и да увеличат натиска върху публичните бюджети. Застаряването на населението вероятно ще окаже също така трайно въздействие върху инвестициите, производителността и предприемаческата дейност. Освен това демографските промени засягат социалното, териториалното и междупоколенческото сближаване на нашите демократични общества, тъй като някои държави членки и региони са засегнати в по-голяма степен от други. </w:t>
      </w:r>
    </w:p>
    <w:p w14:paraId="26E11A61" w14:textId="5D58881F" w:rsidR="00362125" w:rsidRPr="00A56B91" w:rsidRDefault="00362125" w:rsidP="002E727D">
      <w:pPr>
        <w:rPr>
          <w:rFonts w:ascii="Times New Roman" w:hAnsi="Times New Roman" w:cs="Times New Roman"/>
          <w:noProof/>
          <w:sz w:val="24"/>
        </w:rPr>
      </w:pPr>
      <w:r>
        <w:rPr>
          <w:rFonts w:ascii="Times New Roman" w:hAnsi="Times New Roman"/>
          <w:b/>
          <w:noProof/>
          <w:sz w:val="24"/>
        </w:rPr>
        <w:t>В заключенията си от юни 2023 г. Европейският съвет призова за създаването на инструментариум за справяне с демографските предизвикателства и по-специално с тяхното отражение върху конкурентното предимство на Европа.</w:t>
      </w:r>
      <w:r>
        <w:rPr>
          <w:rFonts w:ascii="Times New Roman" w:hAnsi="Times New Roman"/>
          <w:noProof/>
          <w:sz w:val="24"/>
        </w:rPr>
        <w:t xml:space="preserve"> Гражданите очакват съвместни действия от страна на ЕС и техните национални правителства за справяне с демографските промени и последиците от тях. Съответните политики следва да се ръководят от принципите на равенство между половете и справедливост между поколенията</w:t>
      </w:r>
      <w:r>
        <w:rPr>
          <w:rStyle w:val="FootnoteReference"/>
          <w:rFonts w:ascii="Times New Roman" w:hAnsi="Times New Roman" w:cs="Times New Roman"/>
          <w:noProof/>
          <w:sz w:val="24"/>
          <w:lang w:val="en-IE"/>
        </w:rPr>
        <w:footnoteReference w:id="2"/>
      </w:r>
      <w:r>
        <w:rPr>
          <w:rFonts w:ascii="Times New Roman" w:hAnsi="Times New Roman"/>
          <w:noProof/>
          <w:sz w:val="24"/>
        </w:rPr>
        <w:t>, да се основават на местните реалности, отчитащи особеностите на селските и отдалечените региони, и да обхващат други глобални водещи тенденции, като например двойния екологичен и цифров преход. Мащабът на задачата изисква координиран подход, който обхваща всички равнища на управление и всички участници в икономиката и обществото по демократичен и приобщаващ начин. По този начин демографските тенденции могат да бъдат управлявани с цел укрепване на устойчивостта на Европа като цяло, както беше подчертано от гражданите на ЕС в контекста на Конференцията за бъдещето на Европа</w:t>
      </w:r>
      <w:r>
        <w:rPr>
          <w:rStyle w:val="FootnoteReference"/>
          <w:rFonts w:ascii="Times New Roman" w:hAnsi="Times New Roman" w:cs="Times New Roman"/>
          <w:noProof/>
          <w:sz w:val="24"/>
          <w:lang w:val="en-IE"/>
        </w:rPr>
        <w:footnoteReference w:id="3"/>
      </w:r>
      <w:r>
        <w:rPr>
          <w:rFonts w:ascii="Times New Roman" w:hAnsi="Times New Roman"/>
          <w:noProof/>
          <w:sz w:val="24"/>
        </w:rPr>
        <w:t>.</w:t>
      </w:r>
    </w:p>
    <w:p w14:paraId="022942D8" w14:textId="14476D12" w:rsidR="007C5EAA" w:rsidRPr="00A56B91" w:rsidRDefault="00035566" w:rsidP="00637EF0">
      <w:pPr>
        <w:rPr>
          <w:rFonts w:ascii="Times New Roman" w:hAnsi="Times New Roman" w:cs="Times New Roman"/>
          <w:noProof/>
          <w:sz w:val="24"/>
        </w:rPr>
      </w:pPr>
      <w:r>
        <w:rPr>
          <w:rFonts w:ascii="Times New Roman" w:hAnsi="Times New Roman"/>
          <w:b/>
          <w:noProof/>
          <w:sz w:val="24"/>
        </w:rPr>
        <w:t xml:space="preserve">Демографските промени се определят преди всичко от житейския избор, който хората и семействата правят. </w:t>
      </w:r>
      <w:r>
        <w:rPr>
          <w:rFonts w:ascii="Times New Roman" w:hAnsi="Times New Roman"/>
          <w:noProof/>
          <w:sz w:val="24"/>
        </w:rPr>
        <w:t>Политиките на ЕС и националните политики обаче следва да подкрепят хората в Европа при изпълнението на техните стремежи. За тази цел публичните политики и подкрепата на съответното равнище следва да бъдат адаптирани с оглед на:</w:t>
      </w:r>
    </w:p>
    <w:p w14:paraId="42E490DA" w14:textId="286AF424" w:rsidR="00D268A2" w:rsidRPr="006260B2" w:rsidRDefault="00965B43" w:rsidP="004E1DBA">
      <w:pPr>
        <w:pStyle w:val="ListParagraph"/>
        <w:rPr>
          <w:noProof/>
        </w:rPr>
      </w:pPr>
      <w:r>
        <w:rPr>
          <w:noProof/>
        </w:rPr>
        <w:t xml:space="preserve">по-доброто съвместяване на </w:t>
      </w:r>
      <w:r>
        <w:rPr>
          <w:b/>
          <w:noProof/>
        </w:rPr>
        <w:t>семейните планове и платения труд</w:t>
      </w:r>
      <w:r>
        <w:rPr>
          <w:noProof/>
        </w:rPr>
        <w:t xml:space="preserve">, по-специално чрез осигуряване на достъп до качествени грижи за децата и равновесие между професионалния и личния живот, с оглед насърчаване на равенството между половете; </w:t>
      </w:r>
    </w:p>
    <w:p w14:paraId="70318AE7" w14:textId="495AF7F7" w:rsidR="00D268A2" w:rsidRPr="006260B2" w:rsidRDefault="00B413E1" w:rsidP="004E1DBA">
      <w:pPr>
        <w:pStyle w:val="ListParagraph"/>
        <w:rPr>
          <w:noProof/>
        </w:rPr>
      </w:pPr>
      <w:r>
        <w:rPr>
          <w:noProof/>
        </w:rPr>
        <w:t xml:space="preserve">подкрепата и предоставянето на възможности на </w:t>
      </w:r>
      <w:r>
        <w:rPr>
          <w:b/>
          <w:noProof/>
        </w:rPr>
        <w:t>по-младите поколения</w:t>
      </w:r>
      <w:r>
        <w:rPr>
          <w:noProof/>
        </w:rPr>
        <w:t xml:space="preserve"> да процъфтяват, да развиват уменията си, да имат по-лесен достъп до пазара на труда и до жилища на достъпни цени; </w:t>
      </w:r>
    </w:p>
    <w:p w14:paraId="2D56EE79" w14:textId="7340F7AE" w:rsidR="00D268A2" w:rsidRPr="006260B2" w:rsidRDefault="00B413E1" w:rsidP="004E1DBA">
      <w:pPr>
        <w:pStyle w:val="ListParagraph"/>
        <w:rPr>
          <w:noProof/>
        </w:rPr>
      </w:pPr>
      <w:r>
        <w:rPr>
          <w:noProof/>
        </w:rPr>
        <w:t xml:space="preserve">разкриването на възможности пред </w:t>
      </w:r>
      <w:r>
        <w:rPr>
          <w:b/>
          <w:noProof/>
        </w:rPr>
        <w:t>по-възрастните поколения</w:t>
      </w:r>
      <w:r>
        <w:rPr>
          <w:noProof/>
        </w:rPr>
        <w:t xml:space="preserve"> и поддържането на тяхното благосъстояние чрез реформи, съчетани с подходящи политики за пазара на труда и работното място; </w:t>
      </w:r>
    </w:p>
    <w:p w14:paraId="6BF61CC3" w14:textId="60A42B43" w:rsidR="006D3FE7" w:rsidRPr="006260B2" w:rsidRDefault="009B1120" w:rsidP="004E1DBA">
      <w:pPr>
        <w:pStyle w:val="ListParagraph"/>
        <w:rPr>
          <w:noProof/>
        </w:rPr>
      </w:pPr>
      <w:r>
        <w:rPr>
          <w:noProof/>
        </w:rPr>
        <w:t xml:space="preserve">подпомагането, при необходимост, на преодоляването на недостига на работна ръка чрез </w:t>
      </w:r>
      <w:r>
        <w:rPr>
          <w:b/>
          <w:noProof/>
        </w:rPr>
        <w:t>управлявана законна миграция, като това се осъществява</w:t>
      </w:r>
      <w:r>
        <w:rPr>
          <w:noProof/>
        </w:rPr>
        <w:t xml:space="preserve"> при пълно допълване с оползотворяването на талантите от и вътре в Съюза. </w:t>
      </w:r>
    </w:p>
    <w:p w14:paraId="0ABCBE75" w14:textId="42504D50" w:rsidR="002A6B24" w:rsidRPr="00A06243" w:rsidRDefault="00656208" w:rsidP="002E727D">
      <w:pPr>
        <w:rPr>
          <w:rFonts w:ascii="Times New Roman" w:hAnsi="Times New Roman" w:cs="Times New Roman"/>
          <w:noProof/>
          <w:spacing w:val="-4"/>
          <w:sz w:val="24"/>
        </w:rPr>
      </w:pPr>
      <w:r w:rsidRPr="00A06243">
        <w:rPr>
          <w:rFonts w:ascii="Times New Roman" w:hAnsi="Times New Roman"/>
          <w:noProof/>
          <w:spacing w:val="-4"/>
          <w:sz w:val="24"/>
        </w:rPr>
        <w:t xml:space="preserve">Инструментите на ЕС — регулаторни инструменти, рамки на политиката и финансиране — следва да бъдат ефективно съчетавани с национални и регионални политики, за да се предоставят възможности и подкрепа на всички поколения и да се реализират техният житейски избор и потенциалът им в икономиката и обществото като цяло. </w:t>
      </w:r>
    </w:p>
    <w:p w14:paraId="68279D66" w14:textId="5D9B85A0" w:rsidR="006C73F9" w:rsidRPr="00C67017" w:rsidRDefault="007B492A" w:rsidP="00A06243">
      <w:pPr>
        <w:pStyle w:val="Heading1"/>
      </w:pPr>
      <w:r>
        <w:t xml:space="preserve">ДЕМОГРАФСКИТЕ ПРОМЕНИ ТРАНСФОРМИРАТ НАШИТЕ ИКОНОМИКИ И ОБЩЕСТВА </w:t>
      </w:r>
    </w:p>
    <w:p w14:paraId="794E59D2" w14:textId="1DB2D6A6" w:rsidR="00405D7C" w:rsidRPr="00A56B91" w:rsidRDefault="00120558" w:rsidP="002E727D">
      <w:pPr>
        <w:rPr>
          <w:rFonts w:ascii="Times New Roman" w:hAnsi="Times New Roman" w:cs="Times New Roman"/>
          <w:noProof/>
          <w:sz w:val="24"/>
        </w:rPr>
      </w:pPr>
      <w:r>
        <w:rPr>
          <w:rFonts w:ascii="Times New Roman" w:hAnsi="Times New Roman"/>
          <w:b/>
          <w:noProof/>
          <w:sz w:val="24"/>
        </w:rPr>
        <w:t>През следващите години намаляването на населението на ЕС и продължаващото му застаряване заплашват да окаже отрицателно въздействие върху дългосрочната конкурентоспособност на ЕС.</w:t>
      </w:r>
      <w:r>
        <w:rPr>
          <w:rFonts w:ascii="Times New Roman" w:hAnsi="Times New Roman"/>
          <w:noProof/>
          <w:sz w:val="24"/>
        </w:rPr>
        <w:t xml:space="preserve"> През XXI-ви век населението се очаква да нараства в световен мащаб и застаряването му ще бъде все по-важна демографска тенденция навсякъде по света</w:t>
      </w:r>
      <w:r>
        <w:rPr>
          <w:rStyle w:val="FootnoteReference"/>
          <w:rFonts w:ascii="Times New Roman" w:hAnsi="Times New Roman" w:cs="Times New Roman"/>
          <w:noProof/>
          <w:sz w:val="24"/>
        </w:rPr>
        <w:footnoteReference w:id="4"/>
      </w:r>
      <w:r>
        <w:rPr>
          <w:rFonts w:ascii="Times New Roman" w:hAnsi="Times New Roman"/>
          <w:noProof/>
          <w:sz w:val="24"/>
        </w:rPr>
        <w:t xml:space="preserve">. Посоката и темпът на демографските промени се различават в отделните държави, като прогнозите са голям дял от прираста на световното население да бъде в държави с ниски доходи. В рамките на ЕС поради застаряването и намаляващата раждаемост населението ще достигне връхната си точка около 2026 г. и постепенно ще започне да намалява през следващите десетилетия. </w:t>
      </w:r>
      <w:bookmarkStart w:id="2" w:name="_Hlk147516040"/>
      <w:r>
        <w:rPr>
          <w:rFonts w:ascii="Times New Roman" w:hAnsi="Times New Roman"/>
          <w:noProof/>
          <w:sz w:val="24"/>
        </w:rPr>
        <w:t>Очаква се населението в трудоспособна възраст в ЕС да намалее (с 57,4 милиона души до 2100 г.), а коефициентът на възрастова зависимост да нарасне (от 33 % на 60 % до 2100 г.)</w:t>
      </w:r>
      <w:r>
        <w:rPr>
          <w:rStyle w:val="FootnoteReference"/>
          <w:rFonts w:ascii="Times New Roman" w:hAnsi="Times New Roman" w:cs="Times New Roman"/>
          <w:noProof/>
          <w:sz w:val="24"/>
        </w:rPr>
        <w:footnoteReference w:id="5"/>
      </w:r>
      <w:r>
        <w:rPr>
          <w:noProof/>
        </w:rPr>
        <w:t>.</w:t>
      </w:r>
      <w:r>
        <w:rPr>
          <w:rFonts w:ascii="Times New Roman" w:hAnsi="Times New Roman"/>
          <w:noProof/>
          <w:sz w:val="24"/>
        </w:rPr>
        <w:t xml:space="preserve"> </w:t>
      </w:r>
      <w:bookmarkEnd w:id="2"/>
      <w:r>
        <w:rPr>
          <w:rFonts w:ascii="Times New Roman" w:hAnsi="Times New Roman"/>
          <w:noProof/>
          <w:sz w:val="24"/>
        </w:rPr>
        <w:t>В резултат на тези тенденции делът на ЕС от световното население ще продължи да намалява (от 6 % днес на под 4 % през 2070 г.</w:t>
      </w:r>
      <w:r>
        <w:rPr>
          <w:rStyle w:val="FootnoteReference"/>
          <w:rFonts w:ascii="Times New Roman" w:hAnsi="Times New Roman" w:cs="Times New Roman"/>
          <w:noProof/>
          <w:sz w:val="24"/>
        </w:rPr>
        <w:footnoteReference w:id="6"/>
      </w:r>
      <w:r>
        <w:rPr>
          <w:rFonts w:ascii="Times New Roman" w:hAnsi="Times New Roman"/>
          <w:noProof/>
          <w:sz w:val="24"/>
        </w:rPr>
        <w:t xml:space="preserve">), което потенциално ще намали относителната тежест на единния пазар в световната икономика и геополитическото влияние на ЕС. </w:t>
      </w:r>
    </w:p>
    <w:p w14:paraId="00A43D93" w14:textId="3F700062" w:rsidR="00BC0EE9" w:rsidRPr="00A56B91" w:rsidRDefault="00BC0EE9" w:rsidP="00695AB2">
      <w:pPr>
        <w:pStyle w:val="Subtitle"/>
        <w:rPr>
          <w:rFonts w:ascii="Times New Roman" w:hAnsi="Times New Roman"/>
          <w:noProof/>
          <w:sz w:val="24"/>
          <w:szCs w:val="24"/>
        </w:rPr>
      </w:pPr>
      <w:r>
        <w:rPr>
          <w:rFonts w:ascii="Times New Roman" w:hAnsi="Times New Roman"/>
          <w:noProof/>
          <w:sz w:val="24"/>
        </w:rPr>
        <w:t>Очакван и прогнозен дял на световното население ПО КОНТИНЕНТИ, 1960—2100 г. (</w:t>
      </w:r>
      <w:r w:rsidR="00E21CE4">
        <w:rPr>
          <w:rFonts w:ascii="Times New Roman" w:hAnsi="Times New Roman"/>
          <w:noProof/>
          <w:sz w:val="24"/>
        </w:rPr>
        <w:t>в</w:t>
      </w:r>
      <w:r>
        <w:rPr>
          <w:rFonts w:ascii="Times New Roman" w:hAnsi="Times New Roman"/>
          <w:noProof/>
          <w:sz w:val="24"/>
        </w:rPr>
        <w:t> %)</w:t>
      </w:r>
    </w:p>
    <w:p w14:paraId="15F40DCA" w14:textId="61480377" w:rsidR="00E5614D" w:rsidRDefault="00E5614D" w:rsidP="00E5614D">
      <w:pPr>
        <w:jc w:val="center"/>
        <w:rPr>
          <w:rFonts w:ascii="Times New Roman" w:hAnsi="Times New Roman"/>
          <w:i/>
          <w:noProof/>
          <w:sz w:val="24"/>
        </w:rPr>
      </w:pPr>
      <w:r>
        <w:rPr>
          <w:rFonts w:ascii="Times New Roman" w:hAnsi="Times New Roman"/>
          <w:i/>
          <w:noProof/>
          <w:sz w:val="24"/>
        </w:rPr>
        <w:t xml:space="preserve"> </w:t>
      </w:r>
    </w:p>
    <w:p w14:paraId="6FC8A036" w14:textId="369EF75D" w:rsidR="00BC3B30" w:rsidRPr="00A56B91" w:rsidRDefault="00BC3B30" w:rsidP="00E5614D">
      <w:pPr>
        <w:jc w:val="center"/>
        <w:rPr>
          <w:rFonts w:ascii="Times New Roman" w:hAnsi="Times New Roman" w:cs="Times New Roman"/>
          <w:i/>
          <w:noProof/>
          <w:sz w:val="24"/>
        </w:rPr>
      </w:pPr>
      <w:r>
        <w:rPr>
          <w:noProof/>
          <w:lang w:val="en-GB" w:eastAsia="en-GB"/>
        </w:rPr>
        <w:drawing>
          <wp:inline distT="0" distB="0" distL="0" distR="0" wp14:anchorId="0B8478A4" wp14:editId="60CE3159">
            <wp:extent cx="5943600" cy="2814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14955"/>
                    </a:xfrm>
                    <a:prstGeom prst="rect">
                      <a:avLst/>
                    </a:prstGeom>
                  </pic:spPr>
                </pic:pic>
              </a:graphicData>
            </a:graphic>
          </wp:inline>
        </w:drawing>
      </w:r>
    </w:p>
    <w:p w14:paraId="64214DA4" w14:textId="5BBF06CC" w:rsidR="0029489F" w:rsidRPr="00A56B91" w:rsidRDefault="00B70936" w:rsidP="00C67017">
      <w:pPr>
        <w:pStyle w:val="pf0"/>
        <w:spacing w:after="160" w:afterAutospacing="0" w:line="259" w:lineRule="auto"/>
        <w:rPr>
          <w:noProof/>
          <w:sz w:val="24"/>
        </w:rPr>
      </w:pPr>
      <w:r>
        <w:rPr>
          <w:b/>
          <w:noProof/>
          <w:sz w:val="24"/>
        </w:rPr>
        <w:t>Демографските промени — ако не се вземат мерки — могат допълнително да изострят недостига на работна ръка, създавайки затруднения в икономиката.</w:t>
      </w:r>
      <w:r>
        <w:rPr>
          <w:noProof/>
          <w:sz w:val="24"/>
        </w:rPr>
        <w:t xml:space="preserve"> Понастоящем недостигът на работна ръка в ЕС е достигнал рекордни равнища, като намаляването на населението в трудоспособна възраст е един от факторите за това. Налице е особено голямо търсене на специалисти в областта на НТИМ (науки, технологии, инженерство, математика), ИКТ (информационни и комуникационни технологии), строителството, сектора на полагането на грижи и транспорта (по-специално шофьори на камиони и автобуси) в няколко държави членки и региони</w:t>
      </w:r>
      <w:r>
        <w:rPr>
          <w:rStyle w:val="FootnoteReference"/>
          <w:bCs/>
          <w:noProof/>
          <w:sz w:val="24"/>
        </w:rPr>
        <w:footnoteReference w:id="7"/>
      </w:r>
      <w:r>
        <w:rPr>
          <w:noProof/>
          <w:sz w:val="24"/>
        </w:rPr>
        <w:t xml:space="preserve">. Тъй като поколението на следвоенния бум в раждаемостта (родените между средата на 1940-те и средата на 1960-те години на миналия век) се пенсионират до средата на 30-те години на нашия век, недостигът както на високо-, така и на нискоквалифицираните професии се очаква да нарасне значително при липсата на тенденции за компенсиране на това явление. Активизирането на пазара на труда и увеличаването на заплатите в особено засегнатите професии могат да намалят недостига на работна ръка. Ако обаче тези мерки не са подкрепени от увеличение на производителността, нарастващите разходи за труд могат да повлияят и на конкурентоспособността на предприятията от ЕС спрямо конкурентите от други големи икономики. </w:t>
      </w:r>
    </w:p>
    <w:p w14:paraId="2D3838F7" w14:textId="4A74A38A" w:rsidR="0050139B" w:rsidRDefault="009520F1" w:rsidP="002E727D">
      <w:pPr>
        <w:rPr>
          <w:rFonts w:ascii="Times New Roman" w:hAnsi="Times New Roman" w:cs="Times New Roman"/>
          <w:b/>
          <w:noProof/>
          <w:sz w:val="24"/>
        </w:rPr>
      </w:pPr>
      <w:r>
        <w:rPr>
          <w:rFonts w:ascii="Times New Roman" w:hAnsi="Times New Roman"/>
          <w:b/>
          <w:noProof/>
          <w:sz w:val="24"/>
        </w:rPr>
        <w:t xml:space="preserve">Демографските промени могат да създадат нови възможности в различни сектори, но и да увеличат някои рискове от стратегически зависимости. </w:t>
      </w:r>
      <w:r>
        <w:rPr>
          <w:rFonts w:ascii="Times New Roman" w:hAnsi="Times New Roman"/>
          <w:noProof/>
          <w:sz w:val="24"/>
        </w:rPr>
        <w:t>Застаряването на населението на Европа повишава потенциала на „сребърната икономика“ до прогнозираните 28,1 % от БВП на ЕС през 2025 г.</w:t>
      </w:r>
      <w:r>
        <w:rPr>
          <w:rStyle w:val="FootnoteReference"/>
          <w:rFonts w:ascii="Times New Roman" w:hAnsi="Times New Roman" w:cs="Times New Roman"/>
          <w:noProof/>
          <w:sz w:val="24"/>
          <w:lang w:val="en-GB"/>
        </w:rPr>
        <w:footnoteReference w:id="8"/>
      </w:r>
      <w:r>
        <w:rPr>
          <w:rFonts w:ascii="Times New Roman" w:hAnsi="Times New Roman"/>
          <w:noProof/>
          <w:sz w:val="24"/>
        </w:rPr>
        <w:t xml:space="preserve"> В едно общество на дълголетие се появяват възможности в различни сектори и области като технологиите, здравеопазването и полагането на грижи, медицината, храненето и благосъстоянието, образованието и ученето през целия живот, транспорта и финансовите услуги и социалната икономика. Демографските промени влияят и върху достъпа до някои критично важни лекарствени продукти, като търсенето на лекарства, предназначени за заболявания, свързани с възрастта, и на предоставянето на гериатрични грижи се увеличават, като по този начин демографските промени оказват влияние върху приоритетите при фармацевтичните НИРД. Освен това недостигът на работна ръка може да възпрепятства амбициите за увеличаване на местното производство.</w:t>
      </w:r>
      <w:r>
        <w:rPr>
          <w:rFonts w:ascii="Times New Roman" w:hAnsi="Times New Roman"/>
          <w:b/>
          <w:noProof/>
          <w:sz w:val="24"/>
        </w:rPr>
        <w:t xml:space="preserve"> </w:t>
      </w:r>
    </w:p>
    <w:p w14:paraId="32CC720F" w14:textId="77B2C064" w:rsidR="002C49C0" w:rsidRPr="00A56B91" w:rsidRDefault="00A47633" w:rsidP="002E727D">
      <w:pPr>
        <w:rPr>
          <w:rFonts w:ascii="Times New Roman" w:hAnsi="Times New Roman" w:cs="Times New Roman"/>
          <w:noProof/>
          <w:sz w:val="24"/>
        </w:rPr>
      </w:pPr>
      <w:r>
        <w:rPr>
          <w:rFonts w:ascii="Times New Roman" w:hAnsi="Times New Roman"/>
          <w:b/>
          <w:noProof/>
          <w:sz w:val="24"/>
        </w:rPr>
        <w:t>Демографските промени утежняват предизвикателствата пред производителността.</w:t>
      </w:r>
      <w:r>
        <w:rPr>
          <w:rFonts w:ascii="Times New Roman" w:hAnsi="Times New Roman"/>
          <w:noProof/>
          <w:sz w:val="24"/>
        </w:rPr>
        <w:t xml:space="preserve"> По-високата производителност, която отчасти се дължи на иновациите и автоматизацията (напр. използването на роботика, изкуствен интелект), както и растящите заплати, свързани с тези промени, могат да предложат „дивидент на дълголетието“, който да компенсира намаляването на населението в трудоспособна възраст. Въпреки това непрекъснатото увеличаване на производителността може да се окаже трудно, особено като се има предвид, че по-скромните спестявания на по-възрастното поколение насочват ресурсите към потребление, а не към продуктивни инвестиции. По-възрастните работници потенциално се нуждаят и от актуализиране на уменията. Освен това застаряването на населението намалява предприемаческата дейност, тъй като по-възрастните хора е по-малко вероятно да започнат нов бизнес, а прехвърлянето на стопанска дейност между поколенията става по-сложно и по-рядко.</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1" w:themeFillTint="33"/>
        <w:tblCellMar>
          <w:top w:w="142" w:type="dxa"/>
          <w:left w:w="142" w:type="dxa"/>
          <w:bottom w:w="142" w:type="dxa"/>
          <w:right w:w="142" w:type="dxa"/>
        </w:tblCellMar>
        <w:tblLook w:val="04A0" w:firstRow="1" w:lastRow="0" w:firstColumn="1" w:lastColumn="0" w:noHBand="0" w:noVBand="1"/>
      </w:tblPr>
      <w:tblGrid>
        <w:gridCol w:w="9356"/>
      </w:tblGrid>
      <w:tr w:rsidR="00E5614D" w:rsidRPr="00A56B91" w14:paraId="5B4D25E3" w14:textId="77777777" w:rsidTr="00637EF0">
        <w:trPr>
          <w:trHeight w:val="416"/>
        </w:trPr>
        <w:tc>
          <w:tcPr>
            <w:tcW w:w="9356" w:type="dxa"/>
            <w:shd w:val="clear" w:color="auto" w:fill="FFF2CC" w:themeFill="accent1" w:themeFillTint="33"/>
          </w:tcPr>
          <w:p w14:paraId="7862D6B2" w14:textId="23C55230" w:rsidR="00E5614D" w:rsidRPr="00A56B91" w:rsidRDefault="00E5614D" w:rsidP="00637EF0">
            <w:pPr>
              <w:pStyle w:val="Boxtitle"/>
              <w:rPr>
                <w:rFonts w:ascii="Times New Roman" w:hAnsi="Times New Roman"/>
                <w:noProof/>
              </w:rPr>
            </w:pPr>
            <w:r>
              <w:rPr>
                <w:rFonts w:ascii="Times New Roman" w:hAnsi="Times New Roman"/>
                <w:noProof/>
              </w:rPr>
              <w:t>Как виждат европейците демографските промени и последиците от тях?</w:t>
            </w:r>
          </w:p>
          <w:p w14:paraId="4A179985" w14:textId="76A8D713" w:rsidR="00304366" w:rsidRDefault="00E5614D" w:rsidP="00F3678D">
            <w:pPr>
              <w:pStyle w:val="Boxbody"/>
              <w:rPr>
                <w:rFonts w:ascii="Times New Roman" w:hAnsi="Times New Roman"/>
                <w:noProof/>
                <w:sz w:val="24"/>
                <w:szCs w:val="24"/>
              </w:rPr>
            </w:pPr>
            <w:r>
              <w:rPr>
                <w:rFonts w:ascii="Times New Roman" w:hAnsi="Times New Roman"/>
                <w:noProof/>
                <w:sz w:val="24"/>
              </w:rPr>
              <w:t>Според резултатите от скорошно проучване на Евробарометър</w:t>
            </w:r>
            <w:r>
              <w:rPr>
                <w:rFonts w:ascii="Times New Roman" w:hAnsi="Times New Roman"/>
                <w:b/>
                <w:noProof/>
                <w:sz w:val="24"/>
              </w:rPr>
              <w:t xml:space="preserve"> </w:t>
            </w:r>
            <w:r>
              <w:rPr>
                <w:rFonts w:ascii="Times New Roman" w:hAnsi="Times New Roman"/>
                <w:noProof/>
                <w:sz w:val="24"/>
              </w:rPr>
              <w:t xml:space="preserve">70 % от европейците са съгласни, че демографските тенденции излагат на риск дългосрочно икономическия </w:t>
            </w:r>
            <w:r>
              <w:rPr>
                <w:rFonts w:ascii="Times New Roman" w:hAnsi="Times New Roman"/>
                <w:b/>
                <w:noProof/>
                <w:sz w:val="24"/>
              </w:rPr>
              <w:t>просперитет и конкурентоспособността</w:t>
            </w:r>
            <w:r>
              <w:rPr>
                <w:rFonts w:ascii="Times New Roman" w:hAnsi="Times New Roman"/>
                <w:noProof/>
                <w:sz w:val="24"/>
              </w:rPr>
              <w:t xml:space="preserve"> на ЕС. </w:t>
            </w:r>
          </w:p>
          <w:p w14:paraId="298A77D9" w14:textId="4D645222" w:rsidR="00F3678D" w:rsidRPr="00A56B91" w:rsidRDefault="00F3678D" w:rsidP="00EE7D11">
            <w:pPr>
              <w:pStyle w:val="Boxbody"/>
              <w:jc w:val="center"/>
              <w:rPr>
                <w:rFonts w:ascii="Times New Roman" w:hAnsi="Times New Roman"/>
                <w:noProof/>
                <w:sz w:val="24"/>
                <w:szCs w:val="24"/>
              </w:rPr>
            </w:pPr>
            <w:r>
              <w:rPr>
                <w:noProof/>
                <w:lang w:val="en-GB" w:eastAsia="en-GB"/>
              </w:rPr>
              <w:drawing>
                <wp:inline distT="0" distB="0" distL="0" distR="0" wp14:anchorId="1CAFC9E8" wp14:editId="7178A3AB">
                  <wp:extent cx="5044695" cy="3371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6206" cy="3385590"/>
                          </a:xfrm>
                          <a:prstGeom prst="rect">
                            <a:avLst/>
                          </a:prstGeom>
                        </pic:spPr>
                      </pic:pic>
                    </a:graphicData>
                  </a:graphic>
                </wp:inline>
              </w:drawing>
            </w:r>
          </w:p>
          <w:p w14:paraId="038C7A44" w14:textId="77777777" w:rsidR="00E5614D" w:rsidRPr="00A56B91" w:rsidRDefault="00E5614D" w:rsidP="00DE4A7D">
            <w:pPr>
              <w:pStyle w:val="Boxbody"/>
              <w:rPr>
                <w:rFonts w:ascii="Times New Roman" w:hAnsi="Times New Roman"/>
                <w:noProof/>
                <w:sz w:val="24"/>
                <w:szCs w:val="24"/>
              </w:rPr>
            </w:pPr>
            <w:r>
              <w:rPr>
                <w:rFonts w:ascii="Times New Roman" w:hAnsi="Times New Roman"/>
                <w:noProof/>
                <w:sz w:val="24"/>
              </w:rPr>
              <w:t xml:space="preserve">Мнозинството от европейците (51 %) смятат, че управлението на демографските промени следва да </w:t>
            </w:r>
            <w:r>
              <w:rPr>
                <w:rFonts w:ascii="Times New Roman" w:hAnsi="Times New Roman"/>
                <w:b/>
                <w:noProof/>
                <w:sz w:val="24"/>
              </w:rPr>
              <w:t>остане политически приоритет</w:t>
            </w:r>
            <w:r>
              <w:rPr>
                <w:rFonts w:ascii="Times New Roman" w:hAnsi="Times New Roman"/>
                <w:noProof/>
                <w:sz w:val="24"/>
              </w:rPr>
              <w:t xml:space="preserve"> както за ЕС, така и за държавите членки, а голямо мнозинство — 85 % — са съгласни, че това изисква </w:t>
            </w:r>
            <w:r>
              <w:rPr>
                <w:rFonts w:ascii="Times New Roman" w:hAnsi="Times New Roman"/>
                <w:b/>
                <w:noProof/>
                <w:sz w:val="24"/>
              </w:rPr>
              <w:t>тясно сътрудничество между всички равнища на управление</w:t>
            </w:r>
            <w:r>
              <w:rPr>
                <w:rFonts w:ascii="Times New Roman" w:hAnsi="Times New Roman"/>
                <w:noProof/>
                <w:sz w:val="24"/>
              </w:rPr>
              <w:t>.</w:t>
            </w:r>
          </w:p>
          <w:p w14:paraId="3F3B26D2" w14:textId="76CC11D0" w:rsidR="00E5614D" w:rsidRPr="00A56B91" w:rsidRDefault="00E5614D" w:rsidP="008D6DF0">
            <w:pPr>
              <w:pStyle w:val="Boxbody"/>
              <w:spacing w:after="0"/>
              <w:rPr>
                <w:rFonts w:ascii="Times New Roman" w:hAnsi="Times New Roman"/>
                <w:b/>
                <w:noProof/>
                <w:sz w:val="24"/>
                <w:szCs w:val="24"/>
              </w:rPr>
            </w:pPr>
            <w:r>
              <w:rPr>
                <w:rFonts w:ascii="Times New Roman" w:hAnsi="Times New Roman"/>
                <w:noProof/>
                <w:sz w:val="24"/>
              </w:rPr>
              <w:t xml:space="preserve">На въпроса за политическите решения предпочитаните от гражданите мерки за справяне със застаряването на населението са да се гарантират адекватни </w:t>
            </w:r>
            <w:r>
              <w:rPr>
                <w:rFonts w:ascii="Times New Roman" w:hAnsi="Times New Roman"/>
                <w:b/>
                <w:noProof/>
                <w:sz w:val="24"/>
              </w:rPr>
              <w:t>пенсии</w:t>
            </w:r>
            <w:r>
              <w:rPr>
                <w:rFonts w:ascii="Times New Roman" w:hAnsi="Times New Roman"/>
                <w:noProof/>
                <w:sz w:val="24"/>
              </w:rPr>
              <w:t xml:space="preserve">, които да останат финансово достъпни за </w:t>
            </w:r>
            <w:r>
              <w:rPr>
                <w:rFonts w:ascii="Times New Roman" w:hAnsi="Times New Roman"/>
                <w:b/>
                <w:noProof/>
                <w:sz w:val="24"/>
              </w:rPr>
              <w:t>бъдещите поколения</w:t>
            </w:r>
            <w:r>
              <w:rPr>
                <w:rFonts w:ascii="Times New Roman" w:hAnsi="Times New Roman"/>
                <w:noProof/>
                <w:sz w:val="24"/>
              </w:rPr>
              <w:t xml:space="preserve"> (49 %), както и да се предоставят висококачествени и финансово достъпни </w:t>
            </w:r>
            <w:r>
              <w:rPr>
                <w:rFonts w:ascii="Times New Roman" w:hAnsi="Times New Roman"/>
                <w:b/>
                <w:noProof/>
                <w:sz w:val="24"/>
              </w:rPr>
              <w:t>здравни услуги</w:t>
            </w:r>
            <w:r>
              <w:rPr>
                <w:rFonts w:ascii="Times New Roman" w:hAnsi="Times New Roman"/>
                <w:noProof/>
                <w:sz w:val="24"/>
              </w:rPr>
              <w:t xml:space="preserve"> (49 %). По отношение на пазара на труда гражданите считат действията за справяне с </w:t>
            </w:r>
            <w:r>
              <w:rPr>
                <w:rFonts w:ascii="Times New Roman" w:hAnsi="Times New Roman"/>
                <w:b/>
                <w:noProof/>
                <w:sz w:val="24"/>
              </w:rPr>
              <w:t>младежката безработица</w:t>
            </w:r>
            <w:r>
              <w:rPr>
                <w:rFonts w:ascii="Times New Roman" w:hAnsi="Times New Roman"/>
                <w:noProof/>
                <w:sz w:val="24"/>
              </w:rPr>
              <w:t xml:space="preserve"> за най-ефективни (61 %), следвани от политиките за </w:t>
            </w:r>
            <w:r>
              <w:rPr>
                <w:rFonts w:ascii="Times New Roman" w:hAnsi="Times New Roman"/>
                <w:b/>
                <w:noProof/>
                <w:sz w:val="24"/>
              </w:rPr>
              <w:t>равновесие между професионалния и личния живот</w:t>
            </w:r>
            <w:r>
              <w:rPr>
                <w:rFonts w:ascii="Times New Roman" w:hAnsi="Times New Roman"/>
                <w:noProof/>
                <w:sz w:val="24"/>
              </w:rPr>
              <w:t xml:space="preserve"> (48 %)</w:t>
            </w:r>
            <w:r>
              <w:rPr>
                <w:rStyle w:val="FootnoteReference"/>
                <w:rFonts w:ascii="Times New Roman" w:hAnsi="Times New Roman"/>
                <w:noProof/>
                <w:sz w:val="24"/>
                <w:szCs w:val="24"/>
              </w:rPr>
              <w:footnoteReference w:id="9"/>
            </w:r>
            <w:r>
              <w:rPr>
                <w:rFonts w:ascii="Times New Roman" w:hAnsi="Times New Roman"/>
                <w:noProof/>
                <w:sz w:val="24"/>
              </w:rPr>
              <w:t>.</w:t>
            </w:r>
          </w:p>
        </w:tc>
      </w:tr>
    </w:tbl>
    <w:p w14:paraId="63767781" w14:textId="193B7379" w:rsidR="00605E38" w:rsidRPr="00A56B91" w:rsidRDefault="00303160" w:rsidP="00C67017">
      <w:pPr>
        <w:pStyle w:val="pf0"/>
        <w:spacing w:before="160" w:beforeAutospacing="0" w:after="160" w:afterAutospacing="0" w:line="259" w:lineRule="auto"/>
        <w:rPr>
          <w:noProof/>
          <w:sz w:val="24"/>
        </w:rPr>
      </w:pPr>
      <w:r>
        <w:rPr>
          <w:b/>
          <w:noProof/>
          <w:sz w:val="24"/>
        </w:rPr>
        <w:t xml:space="preserve">Застаряването на населението оказва по-голям натиск върху публичните бюджети. </w:t>
      </w:r>
      <w:r>
        <w:rPr>
          <w:noProof/>
          <w:sz w:val="24"/>
        </w:rPr>
        <w:t>Намаляването на населението в трудоспособна възраст се отразява негативно върху приходите от данъците върху доходите на физическите лица и осигурителните вноски. Обратно, тъй като населението застарява, разходите за здравеопазване, дългосрочни грижи и пенсии се очаква да нараснат от 24,6 % от БВП през 2019 г. до почти 27 % през 2040 г.</w:t>
      </w:r>
      <w:r>
        <w:rPr>
          <w:rStyle w:val="FootnoteReference"/>
          <w:noProof/>
          <w:sz w:val="24"/>
          <w:lang w:val="en-GB"/>
        </w:rPr>
        <w:footnoteReference w:id="10"/>
      </w:r>
      <w:r>
        <w:rPr>
          <w:noProof/>
          <w:sz w:val="24"/>
        </w:rPr>
        <w:t xml:space="preserve"> Вследствие на това натискът върху публичните бюджети може да намали фискалното пространство за инвестиции в други приоритети на политиката, като например двойния екологичен и цифров преход. Освен това застаряващото общество се нуждае от инвестиции в адаптирани решения за мобилност и инфраструктура</w:t>
      </w:r>
      <w:r>
        <w:rPr>
          <w:rStyle w:val="FootnoteReference"/>
          <w:bCs/>
          <w:noProof/>
          <w:sz w:val="24"/>
          <w:lang w:val="en-GB"/>
        </w:rPr>
        <w:footnoteReference w:id="11"/>
      </w:r>
      <w:r>
        <w:rPr>
          <w:noProof/>
          <w:sz w:val="24"/>
        </w:rPr>
        <w:t xml:space="preserve">, които могат да бъдат от полза за цялото население и да се осъществяват по екологосъобразен и съобразен с цифровите технологии начин. </w:t>
      </w:r>
    </w:p>
    <w:p w14:paraId="6C5BBF6A" w14:textId="60A6CF77" w:rsidR="00E12F9C" w:rsidRPr="00A56B91" w:rsidRDefault="00E12F9C" w:rsidP="00C67017">
      <w:pPr>
        <w:pStyle w:val="pf0"/>
        <w:spacing w:before="0" w:beforeAutospacing="0" w:after="160" w:afterAutospacing="0" w:line="259" w:lineRule="auto"/>
        <w:rPr>
          <w:noProof/>
          <w:sz w:val="24"/>
        </w:rPr>
      </w:pPr>
      <w:r>
        <w:rPr>
          <w:b/>
          <w:noProof/>
          <w:sz w:val="24"/>
        </w:rPr>
        <w:t xml:space="preserve">Демографската трансформация на ЕС взаимодейства с други глобални водещи тенденции, като двойния екологичен и цифров преход. </w:t>
      </w:r>
      <w:r>
        <w:rPr>
          <w:noProof/>
          <w:sz w:val="24"/>
        </w:rPr>
        <w:t xml:space="preserve">Въглеродните емисии са тясно свързани с равнището на доходите, но и с възрастовия профил на потребителите. Въпреки че потребяват по-малко в абсолютно изражение, възрастните хора обикновено живеят в по-малки домакинства и имат по-голямо потребление на енергия, което води до повече емисии на глава от населението. Голяма част от тях живеят в селските райони, където зависимостта от използването на автомобили е по-голяма. Тъй като делът на възрастните хора от населението се увеличава, се счита, че до 2060 г. до 39 % от емисиите ще бъдат генерирани от хора на възраст над 65 години. Същевременно изменението на климата и замърсяването на въздуха оказват пагубно въздействие върху смъртността и заболеваемостта на населението, като засягат по-специално по-уязвимите групи, включително възрастните хора. </w:t>
      </w:r>
      <w:bookmarkStart w:id="3" w:name="_Hlk147512185"/>
      <w:r>
        <w:rPr>
          <w:noProof/>
          <w:sz w:val="24"/>
        </w:rPr>
        <w:t>Извънредната ситуация в областта на климата и влошаването на състоянието на околната среда също могат да повлияят на избора на хората дали да имат деца.</w:t>
      </w:r>
      <w:bookmarkEnd w:id="3"/>
      <w:r>
        <w:rPr>
          <w:noProof/>
          <w:sz w:val="24"/>
        </w:rPr>
        <w:t xml:space="preserve"> В контекста на цифровия преход технологиите могат да направят здравеопазването и дългосрочните грижи по-ефективни от гледна точка на разходите и да подобрят достъпа до услуги и тяхното качество, включително в селските и отдалечените региони и за хората с увреждания или с намалена подвижност. Въпреки това лошата цифрова инфраструктура и слабите цифрови умения могат да задълбочат разделението между регионите, групите и поколенията.</w:t>
      </w:r>
    </w:p>
    <w:p w14:paraId="485F1DEB" w14:textId="67C9BA19" w:rsidR="00E5614D" w:rsidRPr="00A56B91" w:rsidRDefault="002B2F4A" w:rsidP="00695AB2">
      <w:pPr>
        <w:pStyle w:val="Subtitle"/>
        <w:rPr>
          <w:rFonts w:ascii="Times New Roman" w:hAnsi="Times New Roman"/>
          <w:noProof/>
          <w:sz w:val="24"/>
          <w:szCs w:val="24"/>
        </w:rPr>
      </w:pPr>
      <w:r>
        <w:rPr>
          <w:rFonts w:ascii="Times New Roman" w:hAnsi="Times New Roman"/>
          <w:noProof/>
          <w:sz w:val="24"/>
        </w:rPr>
        <w:t>Демографско развитие, 2021—2050 </w:t>
      </w:r>
      <w:r w:rsidR="007F2A52">
        <w:rPr>
          <w:rFonts w:ascii="Times New Roman" w:hAnsi="Times New Roman"/>
          <w:noProof/>
          <w:sz w:val="24"/>
        </w:rPr>
        <w:t>г</w:t>
      </w:r>
      <w:r>
        <w:rPr>
          <w:rFonts w:ascii="Times New Roman" w:hAnsi="Times New Roman"/>
          <w:noProof/>
          <w:sz w:val="24"/>
        </w:rPr>
        <w:t>.</w:t>
      </w:r>
    </w:p>
    <w:p w14:paraId="72A1592A" w14:textId="09F8912F" w:rsidR="00637EF0" w:rsidRDefault="00637EF0" w:rsidP="00D74989">
      <w:pPr>
        <w:spacing w:after="240" w:line="240" w:lineRule="auto"/>
        <w:jc w:val="center"/>
        <w:rPr>
          <w:rFonts w:ascii="Times New Roman" w:hAnsi="Times New Roman" w:cs="Times New Roman"/>
          <w:noProof/>
          <w:sz w:val="24"/>
        </w:rPr>
      </w:pPr>
    </w:p>
    <w:p w14:paraId="0F49CC3F" w14:textId="6ABE0C80" w:rsidR="007F2A52" w:rsidRPr="00A56B91" w:rsidRDefault="007F2A52" w:rsidP="00D74989">
      <w:pPr>
        <w:spacing w:after="240" w:line="240" w:lineRule="auto"/>
        <w:jc w:val="center"/>
        <w:rPr>
          <w:rFonts w:ascii="Times New Roman" w:hAnsi="Times New Roman" w:cs="Times New Roman"/>
          <w:noProof/>
          <w:sz w:val="24"/>
        </w:rPr>
      </w:pPr>
      <w:r>
        <w:rPr>
          <w:noProof/>
          <w:lang w:val="en-GB" w:eastAsia="en-GB"/>
        </w:rPr>
        <w:drawing>
          <wp:inline distT="0" distB="0" distL="0" distR="0" wp14:anchorId="17F267F0" wp14:editId="760070E9">
            <wp:extent cx="5943600" cy="3710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10305"/>
                    </a:xfrm>
                    <a:prstGeom prst="rect">
                      <a:avLst/>
                    </a:prstGeom>
                  </pic:spPr>
                </pic:pic>
              </a:graphicData>
            </a:graphic>
          </wp:inline>
        </w:drawing>
      </w:r>
    </w:p>
    <w:p w14:paraId="68DB646B" w14:textId="4813D5EA" w:rsidR="00DA401A" w:rsidRPr="00A56B91" w:rsidRDefault="00F5387A" w:rsidP="00637EF0">
      <w:pPr>
        <w:rPr>
          <w:rFonts w:ascii="Times New Roman" w:hAnsi="Times New Roman" w:cs="Times New Roman"/>
          <w:noProof/>
          <w:sz w:val="24"/>
        </w:rPr>
      </w:pPr>
      <w:bookmarkStart w:id="4" w:name="_Hlk147511025"/>
      <w:r>
        <w:rPr>
          <w:rFonts w:ascii="Times New Roman" w:hAnsi="Times New Roman"/>
          <w:b/>
          <w:noProof/>
          <w:sz w:val="24"/>
        </w:rPr>
        <w:t>Риск от задълбочаване на териториалните различия в рамките на държавите членки и между тях.</w:t>
      </w:r>
      <w:r>
        <w:rPr>
          <w:rFonts w:ascii="Times New Roman" w:hAnsi="Times New Roman"/>
          <w:noProof/>
          <w:sz w:val="24"/>
        </w:rPr>
        <w:t xml:space="preserve"> Някои региони се изправят едновременно пред няколко предизвикателства, свързани със застаряването на населението, ниския и нерастящ дял на хората с висше образование и изходящата миграция на младите и образованите хора. Така те рискуват да попаднат в „капан за развитието на таланти“, като се ограничава капацитетът им за изграждане на устойчиви, конкурентоспособни и основани на знанието икономики</w:t>
      </w:r>
      <w:r>
        <w:rPr>
          <w:rStyle w:val="FootnoteReference"/>
          <w:rFonts w:ascii="Times New Roman" w:hAnsi="Times New Roman" w:cs="Times New Roman"/>
          <w:noProof/>
          <w:sz w:val="24"/>
          <w:lang w:val="en-GB"/>
        </w:rPr>
        <w:footnoteReference w:id="12"/>
      </w:r>
      <w:r>
        <w:rPr>
          <w:rFonts w:ascii="Times New Roman" w:hAnsi="Times New Roman"/>
          <w:noProof/>
          <w:sz w:val="24"/>
        </w:rPr>
        <w:t xml:space="preserve">. </w:t>
      </w:r>
      <w:bookmarkEnd w:id="4"/>
      <w:r>
        <w:rPr>
          <w:rFonts w:ascii="Times New Roman" w:hAnsi="Times New Roman"/>
          <w:noProof/>
          <w:sz w:val="24"/>
        </w:rPr>
        <w:t>В резултат на демографските промени и структурните трансформации много по-слабо развити и селски региони все по-често се сблъскват с недостиг на работна ръка и умения, както и с ниска регионална конкурентоспособност и способност за привличане на инвестиции, с разделения между градските и селските райони в някои държави</w:t>
      </w:r>
      <w:r>
        <w:rPr>
          <w:rStyle w:val="FootnoteReference"/>
          <w:rFonts w:ascii="Times New Roman" w:hAnsi="Times New Roman" w:cs="Times New Roman"/>
          <w:noProof/>
          <w:sz w:val="24"/>
          <w:lang w:val="en-GB"/>
        </w:rPr>
        <w:footnoteReference w:id="13"/>
      </w:r>
      <w:r>
        <w:rPr>
          <w:rFonts w:ascii="Times New Roman" w:hAnsi="Times New Roman"/>
          <w:noProof/>
          <w:sz w:val="24"/>
        </w:rPr>
        <w:t>. Подобни териториални различия подкопават и социалното сближаване и доверието в демократичните институции и процеси в Европа</w:t>
      </w:r>
      <w:r>
        <w:rPr>
          <w:rStyle w:val="FootnoteReference"/>
          <w:rFonts w:ascii="Times New Roman" w:hAnsi="Times New Roman" w:cs="Times New Roman"/>
          <w:noProof/>
          <w:sz w:val="24"/>
          <w:lang w:val="en-GB"/>
        </w:rPr>
        <w:footnoteReference w:id="14"/>
      </w:r>
      <w:r>
        <w:rPr>
          <w:rFonts w:ascii="Times New Roman" w:hAnsi="Times New Roman"/>
          <w:noProof/>
          <w:sz w:val="24"/>
        </w:rPr>
        <w:t xml:space="preserve">. </w:t>
      </w:r>
    </w:p>
    <w:p w14:paraId="2A639D83" w14:textId="4388E7DE" w:rsidR="00D8269C" w:rsidRPr="00C67017" w:rsidRDefault="00FA090B" w:rsidP="00A06243">
      <w:pPr>
        <w:pStyle w:val="Heading1"/>
      </w:pPr>
      <w:r>
        <w:t>ИНСТРУМЕНТИ НА ПОЛИТИКАТА: СПРАВЯНЕ С ДЕМОГРАФСКИТЕ ПРОМЕНИ И ТЯХНОТО УПРАВЛЕНИЕ</w:t>
      </w:r>
    </w:p>
    <w:p w14:paraId="3A5CECEC" w14:textId="09B69AE7" w:rsidR="00122E5E" w:rsidRPr="00A56B91" w:rsidRDefault="00071866" w:rsidP="002E727D">
      <w:pPr>
        <w:rPr>
          <w:rFonts w:ascii="Times New Roman" w:hAnsi="Times New Roman" w:cs="Times New Roman"/>
          <w:noProof/>
          <w:sz w:val="24"/>
        </w:rPr>
      </w:pPr>
      <w:r>
        <w:rPr>
          <w:rFonts w:ascii="Times New Roman" w:hAnsi="Times New Roman"/>
          <w:b/>
          <w:noProof/>
          <w:sz w:val="24"/>
        </w:rPr>
        <w:t>Създателите на политики на всички равнища трябва да изградят среда, която да дава възможност на хората в целия Съюз да осъществят своя житейски избор и да съвместяват семейния и професионалния живот.</w:t>
      </w:r>
      <w:r>
        <w:rPr>
          <w:rFonts w:ascii="Times New Roman" w:hAnsi="Times New Roman"/>
          <w:noProof/>
          <w:sz w:val="24"/>
        </w:rPr>
        <w:t xml:space="preserve"> В допълнение към тези усилия, законната миграция и ефективната интеграция на чужденците, пребиваващи законно в ЕС, могат да спомогнат за облекчаване на натиска върху пазара на труда и да дадат допълнителен тласък на иновациите и предприемачеството. Вече е налице всеобхватен набор от инструменти на политиката на ЕС в подкрепа на държавите членки при управлението на демографските промени и тяхното въздействие. „Инструментариумът“, представен в настоящото съобщение, се основава на най-добрите и обещаващи практики от целия Съюз и допълва действията на национално равнище. В набора от инструменти се признава необходимостта да се вземе предвид териториалното измерение на демографските промени, по-специално в регионите, които се сблъскват с феномена на намаляване на населението и значителна изходяща мобилност на младите работници („изтичане на мозъци“). </w:t>
      </w:r>
    </w:p>
    <w:p w14:paraId="52BB7DF4" w14:textId="64277A9B" w:rsidR="00215C25" w:rsidRPr="00A56B91" w:rsidRDefault="00F12C40" w:rsidP="00695AB2">
      <w:pPr>
        <w:pStyle w:val="Subtitle"/>
        <w:rPr>
          <w:rFonts w:ascii="Times New Roman" w:hAnsi="Times New Roman"/>
          <w:noProof/>
          <w:sz w:val="24"/>
          <w:szCs w:val="24"/>
        </w:rPr>
      </w:pPr>
      <w:r>
        <w:rPr>
          <w:rFonts w:ascii="Times New Roman" w:hAnsi="Times New Roman"/>
          <w:noProof/>
          <w:sz w:val="24"/>
        </w:rPr>
        <w:t>Всеобхватен подход към демографските промени</w:t>
      </w:r>
    </w:p>
    <w:p w14:paraId="5003E707" w14:textId="704276B3" w:rsidR="00E6572A" w:rsidRDefault="00E6572A" w:rsidP="00026833">
      <w:pPr>
        <w:spacing w:after="0" w:line="240" w:lineRule="auto"/>
        <w:jc w:val="center"/>
        <w:rPr>
          <w:rFonts w:ascii="Times New Roman" w:hAnsi="Times New Roman" w:cs="Times New Roman"/>
          <w:noProof/>
          <w:sz w:val="24"/>
        </w:rPr>
      </w:pPr>
    </w:p>
    <w:p w14:paraId="3097070D" w14:textId="123CEB26" w:rsidR="00B930E5" w:rsidRPr="00B930E5" w:rsidRDefault="00B930E5" w:rsidP="00026833">
      <w:pPr>
        <w:spacing w:after="0" w:line="240" w:lineRule="auto"/>
        <w:jc w:val="center"/>
        <w:rPr>
          <w:rFonts w:ascii="Times New Roman" w:hAnsi="Times New Roman" w:cs="Times New Roman"/>
          <w:noProof/>
          <w:sz w:val="24"/>
          <w:lang w:val="fr-BE"/>
        </w:rPr>
      </w:pPr>
      <w:r>
        <w:rPr>
          <w:noProof/>
          <w:lang w:val="en-GB" w:eastAsia="en-GB"/>
        </w:rPr>
        <w:drawing>
          <wp:inline distT="0" distB="0" distL="0" distR="0" wp14:anchorId="4615D67D" wp14:editId="0741540F">
            <wp:extent cx="5943600" cy="2994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94660"/>
                    </a:xfrm>
                    <a:prstGeom prst="rect">
                      <a:avLst/>
                    </a:prstGeom>
                  </pic:spPr>
                </pic:pic>
              </a:graphicData>
            </a:graphic>
          </wp:inline>
        </w:drawing>
      </w:r>
    </w:p>
    <w:p w14:paraId="5EDD496A" w14:textId="6F65538E" w:rsidR="00275101" w:rsidRPr="00C67017" w:rsidRDefault="004C777D" w:rsidP="00B36950">
      <w:pPr>
        <w:pStyle w:val="Heading2"/>
        <w:rPr>
          <w:noProof/>
        </w:rPr>
      </w:pPr>
      <w:r>
        <w:rPr>
          <w:noProof/>
        </w:rPr>
        <w:t>Съвместяване на семейните планове и платения труд</w:t>
      </w:r>
    </w:p>
    <w:p w14:paraId="6A565640" w14:textId="4900FB27" w:rsidR="00275101" w:rsidRPr="00A56B91" w:rsidRDefault="000A2F5C" w:rsidP="002E727D">
      <w:pPr>
        <w:rPr>
          <w:rFonts w:ascii="Times New Roman" w:hAnsi="Times New Roman" w:cs="Times New Roman"/>
          <w:noProof/>
          <w:sz w:val="24"/>
        </w:rPr>
      </w:pPr>
      <w:r>
        <w:rPr>
          <w:rFonts w:ascii="Times New Roman" w:hAnsi="Times New Roman"/>
          <w:b/>
          <w:noProof/>
          <w:sz w:val="24"/>
        </w:rPr>
        <w:t>Всеки следва да бъде подкрепен, за да може да избере както кариера, така и семейство.</w:t>
      </w:r>
      <w:r>
        <w:rPr>
          <w:rFonts w:ascii="Times New Roman" w:hAnsi="Times New Roman"/>
          <w:noProof/>
          <w:sz w:val="24"/>
        </w:rPr>
        <w:t xml:space="preserve"> Изборът на човек да има деца е личен. Качеството на живот, наличието на грижи и жилищно настаняване, както и възможностите за работа и адекватните доходи обаче могат да предопределят този избор. Налице е нарастваща тенденция младите хора да отлагат решението за създаване на семейство или да ограничат неговия размер. И все пак, много от тях, когато бяха запитани, особено високообразованите жени, посочват, че биха искали да имат повече деца, отколкото в действителност имат. Основните елементи, обясняващи разликата между действителния и желания размер на семейството, включват трудността да се съчетават работата и отговорностите за полагане на грижи и продължаващото неравенство между половете, както и икономическата и социалната несигурност, свързана с перспективите за заетост, разходите за живот и жилище. </w:t>
      </w:r>
    </w:p>
    <w:p w14:paraId="5443FA0B" w14:textId="56C28299" w:rsidR="0035175D" w:rsidRPr="00A56B91" w:rsidRDefault="0035175D" w:rsidP="0076202B">
      <w:pPr>
        <w:pStyle w:val="Subtitle"/>
        <w:spacing w:before="240" w:after="0"/>
        <w:rPr>
          <w:rFonts w:ascii="Times New Roman" w:hAnsi="Times New Roman"/>
          <w:noProof/>
          <w:sz w:val="24"/>
          <w:szCs w:val="24"/>
        </w:rPr>
      </w:pPr>
      <w:r>
        <w:rPr>
          <w:rFonts w:ascii="Times New Roman" w:hAnsi="Times New Roman"/>
          <w:noProof/>
          <w:sz w:val="24"/>
        </w:rPr>
        <w:t>Равнища на заетост при жените и коефициент на раждаемост в ЕС</w:t>
      </w:r>
    </w:p>
    <w:p w14:paraId="33977714" w14:textId="54C00472" w:rsidR="007F0606" w:rsidRPr="00A56B91" w:rsidRDefault="007F0606" w:rsidP="0035175D">
      <w:pPr>
        <w:rPr>
          <w:rFonts w:ascii="Times New Roman" w:hAnsi="Times New Roman" w:cs="Times New Roman"/>
          <w:noProof/>
          <w:sz w:val="24"/>
        </w:rPr>
      </w:pPr>
      <w:r>
        <w:rPr>
          <w:noProof/>
          <w:lang w:val="en-GB" w:eastAsia="en-GB"/>
        </w:rPr>
        <w:drawing>
          <wp:inline distT="0" distB="0" distL="0" distR="0" wp14:anchorId="65775C82" wp14:editId="068B3719">
            <wp:extent cx="5943600" cy="3131185"/>
            <wp:effectExtent l="0" t="0" r="0" b="0"/>
            <wp:docPr id="3" name="Chart 3">
              <a:extLst xmlns:a="http://schemas.openxmlformats.org/drawingml/2006/main">
                <a:ext uri="{FF2B5EF4-FFF2-40B4-BE49-F238E27FC236}">
                  <a16:creationId xmlns:a16="http://schemas.microsoft.com/office/drawing/2014/main" id="{188B9C2F-B98E-14BE-4421-476BF4876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CEAF4B" w14:textId="7026C39A" w:rsidR="0090194C" w:rsidRPr="00A56B91" w:rsidRDefault="00075809" w:rsidP="002E727D">
      <w:pPr>
        <w:rPr>
          <w:rFonts w:ascii="Times New Roman" w:hAnsi="Times New Roman" w:cs="Times New Roman"/>
          <w:noProof/>
          <w:sz w:val="24"/>
        </w:rPr>
      </w:pPr>
      <w:r>
        <w:rPr>
          <w:rFonts w:ascii="Times New Roman" w:hAnsi="Times New Roman"/>
          <w:b/>
          <w:noProof/>
          <w:sz w:val="24"/>
        </w:rPr>
        <w:t>За да</w:t>
      </w:r>
      <w:r>
        <w:rPr>
          <w:rFonts w:ascii="Times New Roman" w:hAnsi="Times New Roman"/>
          <w:noProof/>
          <w:sz w:val="24"/>
        </w:rPr>
        <w:t xml:space="preserve"> </w:t>
      </w:r>
      <w:r>
        <w:rPr>
          <w:rFonts w:ascii="Times New Roman" w:hAnsi="Times New Roman"/>
          <w:b/>
          <w:noProof/>
          <w:sz w:val="24"/>
        </w:rPr>
        <w:t>постигнем целта на ЕС за равнище на заетост за 2030 г.</w:t>
      </w:r>
      <w:r>
        <w:rPr>
          <w:rStyle w:val="FootnoteReference"/>
          <w:rFonts w:ascii="Times New Roman" w:hAnsi="Times New Roman" w:cs="Times New Roman"/>
          <w:b/>
          <w:bCs/>
          <w:noProof/>
          <w:sz w:val="24"/>
          <w:lang w:val="en-IE"/>
        </w:rPr>
        <w:footnoteReference w:id="15"/>
      </w:r>
      <w:r>
        <w:rPr>
          <w:rFonts w:ascii="Times New Roman" w:hAnsi="Times New Roman"/>
          <w:b/>
          <w:noProof/>
          <w:sz w:val="24"/>
        </w:rPr>
        <w:t xml:space="preserve">, трябва да се стремим да намалим поне наполовина разликата в заетостта между жените и мъжете в сравнение с 2019 г. </w:t>
      </w:r>
      <w:r>
        <w:rPr>
          <w:rFonts w:ascii="Times New Roman" w:hAnsi="Times New Roman"/>
          <w:noProof/>
          <w:sz w:val="24"/>
        </w:rPr>
        <w:t>Увеличаването на участието на жените на пазара на труда би могло да бъде едно от най-ефективните средства за преодоляване на отрицателните последици от застаряването на населението</w:t>
      </w:r>
      <w:r>
        <w:rPr>
          <w:rStyle w:val="FootnoteReference"/>
          <w:rFonts w:ascii="Times New Roman" w:hAnsi="Times New Roman" w:cs="Times New Roman"/>
          <w:noProof/>
          <w:sz w:val="24"/>
        </w:rPr>
        <w:footnoteReference w:id="16"/>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Въпреки напредъка през последните десетилетия участието на жените на пазара на труда все още е по-ниско от това на мъжете. В ЕС равнището на заетост при жените остава с 10,7 процентни пункта по-ниско от това на мъжете и се наблюдават значителни различия между държавите членки (вариращи от 20,1 процентни пункта в Румъния до 1,4 процентни пункта в Литва)</w:t>
      </w:r>
      <w:r>
        <w:rPr>
          <w:rStyle w:val="FootnoteReference"/>
          <w:rFonts w:ascii="Times New Roman" w:hAnsi="Times New Roman" w:cs="Times New Roman"/>
          <w:noProof/>
          <w:sz w:val="24"/>
          <w:lang w:val="en-GB"/>
        </w:rPr>
        <w:footnoteReference w:id="17"/>
      </w:r>
      <w:r w:rsidR="00A06243">
        <w:rPr>
          <w:rFonts w:ascii="Times New Roman" w:hAnsi="Times New Roman"/>
          <w:noProof/>
          <w:sz w:val="24"/>
          <w:lang w:val="en-US"/>
        </w:rPr>
        <w:t>.</w:t>
      </w:r>
      <w:r>
        <w:rPr>
          <w:rFonts w:ascii="Times New Roman" w:hAnsi="Times New Roman"/>
          <w:noProof/>
          <w:sz w:val="24"/>
        </w:rPr>
        <w:t xml:space="preserve"> Някои държави членки, като </w:t>
      </w:r>
      <w:r>
        <w:rPr>
          <w:rFonts w:ascii="Times New Roman" w:hAnsi="Times New Roman"/>
          <w:b/>
          <w:noProof/>
          <w:sz w:val="24"/>
        </w:rPr>
        <w:t>Швеция и Дания</w:t>
      </w:r>
      <w:r>
        <w:rPr>
          <w:rFonts w:ascii="Times New Roman" w:hAnsi="Times New Roman"/>
          <w:noProof/>
          <w:sz w:val="24"/>
        </w:rPr>
        <w:t>, успяват да имат относително високи равнища на заетост сред жените, над 75 % (заедно с разлика в заетостта между жените и мъжете под средното равнище), като същевременно техният коефициент на раждаемост също е относително висок в сравнение с ЕС. Въпреки това жените в почти всички държави членки, включително в посочените по-горе, работят на непълно работно време по-често от мъжете, а разликата в заплащането на жените и мъжете продължава да бъде значителна, особено при жените с деца, със значителни различия между държавите членки</w:t>
      </w:r>
      <w:r>
        <w:rPr>
          <w:rStyle w:val="FootnoteReference"/>
          <w:rFonts w:ascii="Times New Roman" w:hAnsi="Times New Roman" w:cs="Times New Roman"/>
          <w:noProof/>
          <w:sz w:val="24"/>
          <w:lang w:val="en-GB"/>
        </w:rPr>
        <w:footnoteReference w:id="18"/>
      </w:r>
      <w:r>
        <w:rPr>
          <w:rFonts w:ascii="Times New Roman" w:hAnsi="Times New Roman"/>
          <w:noProof/>
          <w:sz w:val="24"/>
        </w:rPr>
        <w:t>.</w:t>
      </w:r>
    </w:p>
    <w:p w14:paraId="03B010F2" w14:textId="5C81D2F9" w:rsidR="008D2701" w:rsidRPr="00A56B91" w:rsidRDefault="00275101" w:rsidP="002E727D">
      <w:pPr>
        <w:rPr>
          <w:rFonts w:ascii="Times New Roman" w:hAnsi="Times New Roman" w:cs="Times New Roman"/>
          <w:noProof/>
          <w:sz w:val="24"/>
        </w:rPr>
      </w:pPr>
      <w:r>
        <w:rPr>
          <w:rFonts w:ascii="Times New Roman" w:hAnsi="Times New Roman"/>
          <w:b/>
          <w:noProof/>
          <w:sz w:val="24"/>
        </w:rPr>
        <w:t>Отговорностите за полагане на неплатени грижи възпрепятстват около 7,7 милиона жени в Европа да участват на пазара на труда.</w:t>
      </w:r>
      <w:r>
        <w:rPr>
          <w:rFonts w:ascii="Times New Roman" w:hAnsi="Times New Roman"/>
          <w:noProof/>
          <w:sz w:val="24"/>
        </w:rPr>
        <w:t xml:space="preserve"> За сравнение се счита, че само 450 000 мъже са засегнати в това отношение</w:t>
      </w:r>
      <w:r>
        <w:rPr>
          <w:rStyle w:val="FootnoteReference"/>
          <w:rFonts w:ascii="Times New Roman" w:hAnsi="Times New Roman" w:cs="Times New Roman"/>
          <w:noProof/>
          <w:sz w:val="24"/>
          <w:lang w:val="en-GB"/>
        </w:rPr>
        <w:footnoteReference w:id="19"/>
      </w:r>
      <w:r>
        <w:rPr>
          <w:rFonts w:ascii="Times New Roman" w:hAnsi="Times New Roman"/>
          <w:noProof/>
          <w:sz w:val="24"/>
        </w:rPr>
        <w:t>. Участието на пазара на труда на майките с бебета дори се влоши през последните две десетилетия</w:t>
      </w:r>
      <w:r>
        <w:rPr>
          <w:rStyle w:val="FootnoteReference"/>
          <w:rFonts w:ascii="Times New Roman" w:hAnsi="Times New Roman" w:cs="Times New Roman"/>
          <w:noProof/>
          <w:sz w:val="24"/>
          <w:lang w:val="en-IE"/>
        </w:rPr>
        <w:footnoteReference w:id="20"/>
      </w:r>
      <w:r>
        <w:rPr>
          <w:rFonts w:ascii="Times New Roman" w:hAnsi="Times New Roman"/>
          <w:noProof/>
          <w:sz w:val="24"/>
        </w:rPr>
        <w:t>, като често се отразява на тяхната кариера и доходи в продължение на години. Интензивността на грижите също е от значение: само 35 % от лицата, полагащи неформални грижи, които предоставят повече от 40 часа грижи седмично, работят (спрямо 71 % от тези, които предоставят по-малко от 10 часа грижи седмично)</w:t>
      </w:r>
      <w:r>
        <w:rPr>
          <w:rStyle w:val="FootnoteReference"/>
          <w:rFonts w:ascii="Times New Roman" w:hAnsi="Times New Roman" w:cs="Times New Roman"/>
          <w:noProof/>
          <w:sz w:val="24"/>
          <w:lang w:val="en-IE"/>
        </w:rPr>
        <w:footnoteReference w:id="21"/>
      </w:r>
      <w:r>
        <w:rPr>
          <w:rFonts w:ascii="Times New Roman" w:hAnsi="Times New Roman"/>
          <w:noProof/>
          <w:sz w:val="24"/>
        </w:rPr>
        <w:t>. Жените остават значително по-слабо представени в много професии с недостиг на работна ръка, като например в сферата на ИКТ. Това изостря недостига на работна ръка и коефициента на възрастова зависимост, като икономически активните хора както понастоящем, така и в бъдеще, са по-малко. Допълнителното увеличаване на нуждата от грижи поради застаряването на населението може да засегне непропорционално жените, тъй като тежестта на неформалните грижи все още е неравномерно разпределена.</w:t>
      </w:r>
    </w:p>
    <w:p w14:paraId="14BE525F" w14:textId="6D1B8651" w:rsidR="00CD2BAB" w:rsidRPr="00A56B91" w:rsidRDefault="00DD1B45" w:rsidP="00241384">
      <w:pPr>
        <w:rPr>
          <w:rFonts w:ascii="Times New Roman" w:hAnsi="Times New Roman" w:cs="Times New Roman"/>
          <w:noProof/>
          <w:sz w:val="24"/>
        </w:rPr>
      </w:pPr>
      <w:r>
        <w:rPr>
          <w:rFonts w:ascii="Times New Roman" w:hAnsi="Times New Roman"/>
          <w:noProof/>
          <w:sz w:val="24"/>
        </w:rPr>
        <w:pict w14:anchorId="383B9269">
          <v:roundrect id="_x0000_s2058" style="position:absolute;left:0;text-align:left;margin-left:240.15pt;margin-top:12.6pt;width:226.55pt;height:217.9pt;z-index:251658241;visibility:visible;mso-wrap-distance-left:14.2pt;mso-wrap-distance-right:14.2pt;mso-wrap-distance-bottom:14.2pt;mso-position-horizontal-relative:margin;mso-width-relative:margin;mso-height-relative:margin;v-text-anchor:middle" arcsize="4560f" fillcolor="#def8f8 [664]" strokecolor="#5fdfdc [3208]" strokeweight="2.5pt">
            <v:stroke joinstyle="miter"/>
            <v:shadow color="#868686"/>
            <v:textbox style="mso-next-textbox:#_x0000_s2058" inset=",5mm,,5mm">
              <w:txbxContent>
                <w:p w14:paraId="73C6A644" w14:textId="1ABCB1B0" w:rsidR="000E0C90" w:rsidRPr="00241384" w:rsidRDefault="006E2E77" w:rsidP="006E2E77">
                  <w:pPr>
                    <w:pStyle w:val="Framebody"/>
                    <w:rPr>
                      <w:sz w:val="24"/>
                      <w:szCs w:val="24"/>
                    </w:rPr>
                  </w:pPr>
                  <w:r>
                    <w:rPr>
                      <w:sz w:val="24"/>
                    </w:rPr>
                    <w:t xml:space="preserve">В своя план за възстановяване и устойчивост </w:t>
                  </w:r>
                  <w:r>
                    <w:rPr>
                      <w:b/>
                      <w:sz w:val="24"/>
                    </w:rPr>
                    <w:t>Хърватия</w:t>
                  </w:r>
                  <w:r>
                    <w:rPr>
                      <w:sz w:val="24"/>
                    </w:rPr>
                    <w:t xml:space="preserve"> си поставя за цел да разшири обхвата на образованието и грижите в ранна детска възраст, като инвестира около 215 милиона евро. Целта е да се гарантира, че всички деца на възраст над четири години са обхванати от ОГРДВ, като същевременно се създават 22 500 нови места чрез инвестиции в строителство и саниране, като по този начин се намаляват регионалните различия.</w:t>
                  </w:r>
                </w:p>
              </w:txbxContent>
            </v:textbox>
            <w10:wrap type="square" anchorx="margin"/>
          </v:roundrect>
        </w:pict>
      </w:r>
      <w:r w:rsidR="00C67017">
        <w:rPr>
          <w:rFonts w:ascii="Times New Roman" w:hAnsi="Times New Roman"/>
          <w:b/>
          <w:noProof/>
          <w:sz w:val="24"/>
        </w:rPr>
        <w:t>Финансово приемливи, достъпни и качествени грижи за децата дават възможност на родителите да съвместяват платения труд и семейния живот.</w:t>
      </w:r>
      <w:r w:rsidR="00C67017">
        <w:rPr>
          <w:rFonts w:ascii="Times New Roman" w:hAnsi="Times New Roman"/>
          <w:noProof/>
          <w:sz w:val="24"/>
        </w:rPr>
        <w:t xml:space="preserve"> В Стратегията на ЕС за правата на детето</w:t>
      </w:r>
      <w:r w:rsidR="00C67017">
        <w:rPr>
          <w:rStyle w:val="FootnoteReference"/>
          <w:rFonts w:ascii="Times New Roman" w:hAnsi="Times New Roman" w:cs="Times New Roman"/>
          <w:noProof/>
          <w:sz w:val="24"/>
          <w:lang w:val="en-IE"/>
        </w:rPr>
        <w:footnoteReference w:id="22"/>
      </w:r>
      <w:r w:rsidR="00C67017">
        <w:rPr>
          <w:rFonts w:ascii="Times New Roman" w:hAnsi="Times New Roman"/>
          <w:noProof/>
          <w:sz w:val="24"/>
        </w:rPr>
        <w:t xml:space="preserve"> се подчертава, че достъпът до приобщаващо, несегрегирано, качествено образование следва да бъде гарантиран. През 2022 г. само над една трета от децата на възраст под три години (35,7 %) в ЕС са получили формално образование и грижи в ранна детска възраст (ОГРДВ), със значителни разлики в рамките на държавите и между тях, както и значително по-нисък процент на децата в неравностойно положение. Само девет държави членки са постигнали преразгледаната цел от Барселона за 2030 г. за 45 % участие на децата в тази възрастова група в ОГРДВ. Само в </w:t>
      </w:r>
      <w:r w:rsidR="00C67017">
        <w:rPr>
          <w:rFonts w:ascii="Times New Roman" w:hAnsi="Times New Roman"/>
          <w:b/>
          <w:noProof/>
          <w:sz w:val="24"/>
        </w:rPr>
        <w:t>Дания</w:t>
      </w:r>
      <w:r w:rsidR="00C67017">
        <w:rPr>
          <w:rFonts w:ascii="Times New Roman" w:hAnsi="Times New Roman"/>
          <w:noProof/>
          <w:sz w:val="24"/>
        </w:rPr>
        <w:t xml:space="preserve"> по-голямата част от всички деца на възраст под три години са обхванати от целодневни грижи за деца. Разширяването на финансово приемливите и висококачествени услуги за полагане на грижи, както например е направено в голяма степен в ПВУ на </w:t>
      </w:r>
      <w:r w:rsidR="00C67017">
        <w:rPr>
          <w:rFonts w:ascii="Times New Roman" w:hAnsi="Times New Roman"/>
          <w:b/>
          <w:noProof/>
          <w:sz w:val="24"/>
        </w:rPr>
        <w:t>Португалия</w:t>
      </w:r>
      <w:r w:rsidR="00C67017">
        <w:rPr>
          <w:rFonts w:ascii="Times New Roman" w:hAnsi="Times New Roman"/>
          <w:noProof/>
          <w:sz w:val="24"/>
        </w:rPr>
        <w:t>, може да окаже положително въздействие върху заетостта на жените, особено в държави, които понастоящем са с нисък процент на участие на жените на пазара на труда и нисък дял на официално предоставяне на грижи. Селските и отдалечените региони, в които предлагането на услуги за полагане на грижи е слабо, биха имали значителна полза от разширяването на социалната инфраструктура. На свой ред достъпните, финансово приемливи и качествени грижи за децата дават възможност на родителите да отглеждат семейство, като същевременно продължават да бъдат активни, за да имат независим доход и да се развиват професионално.</w:t>
      </w:r>
    </w:p>
    <w:p w14:paraId="0AAB9085" w14:textId="2E02BF0E" w:rsidR="0035175D" w:rsidRPr="00FF0698" w:rsidRDefault="00BF3E17" w:rsidP="00FF0698">
      <w:pPr>
        <w:pStyle w:val="Subtitle"/>
        <w:rPr>
          <w:rFonts w:ascii="Times New Roman" w:hAnsi="Times New Roman"/>
          <w:noProof/>
          <w:sz w:val="24"/>
          <w:lang w:val="fr-BE"/>
        </w:rPr>
      </w:pPr>
      <w:r>
        <w:rPr>
          <w:rFonts w:ascii="Times New Roman" w:hAnsi="Times New Roman"/>
          <w:noProof/>
          <w:sz w:val="24"/>
        </w:rPr>
        <w:t>Деца, обхванати от професионални грижи</w:t>
      </w:r>
      <w:r>
        <w:rPr>
          <w:noProof/>
        </w:rPr>
        <w:t xml:space="preserve"> </w:t>
      </w:r>
      <w:r>
        <w:rPr>
          <w:noProof/>
        </w:rPr>
        <w:br/>
      </w:r>
      <w:r>
        <w:rPr>
          <w:rFonts w:ascii="Times New Roman" w:hAnsi="Times New Roman"/>
          <w:noProof/>
          <w:sz w:val="24"/>
        </w:rPr>
        <w:t>(% дял на децата на възраст под три години)</w:t>
      </w:r>
    </w:p>
    <w:p w14:paraId="2F9FB20A" w14:textId="0A15C8B4" w:rsidR="00FF0698" w:rsidRPr="00A56B91" w:rsidRDefault="00FF0698" w:rsidP="00241384">
      <w:pPr>
        <w:jc w:val="center"/>
        <w:rPr>
          <w:rFonts w:ascii="Times New Roman" w:hAnsi="Times New Roman" w:cs="Times New Roman"/>
          <w:noProof/>
          <w:sz w:val="24"/>
        </w:rPr>
      </w:pPr>
      <w:r>
        <w:rPr>
          <w:noProof/>
          <w:lang w:val="en-GB" w:eastAsia="en-GB"/>
        </w:rPr>
        <w:drawing>
          <wp:inline distT="0" distB="0" distL="0" distR="0" wp14:anchorId="00C150F9" wp14:editId="500B0AC3">
            <wp:extent cx="5273040" cy="2155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8585" cy="2170508"/>
                    </a:xfrm>
                    <a:prstGeom prst="rect">
                      <a:avLst/>
                    </a:prstGeom>
                  </pic:spPr>
                </pic:pic>
              </a:graphicData>
            </a:graphic>
          </wp:inline>
        </w:drawing>
      </w:r>
    </w:p>
    <w:p w14:paraId="6D7072E8" w14:textId="67104048" w:rsidR="00275101" w:rsidRPr="00A56B91" w:rsidRDefault="00D26E57" w:rsidP="002E727D">
      <w:pPr>
        <w:rPr>
          <w:rFonts w:ascii="Times New Roman" w:hAnsi="Times New Roman" w:cs="Times New Roman"/>
          <w:noProof/>
          <w:sz w:val="24"/>
        </w:rPr>
      </w:pPr>
      <w:r>
        <w:rPr>
          <w:rFonts w:ascii="Times New Roman" w:hAnsi="Times New Roman"/>
          <w:b/>
          <w:noProof/>
          <w:sz w:val="24"/>
        </w:rPr>
        <w:t>Гъвкавите схеми на работа и политиките за равновесие между професионалния и личния живот могат да облекчат тежестта за жените, свързана с полагането на грижи.</w:t>
      </w:r>
      <w:r>
        <w:rPr>
          <w:rFonts w:ascii="Times New Roman" w:hAnsi="Times New Roman"/>
          <w:noProof/>
          <w:sz w:val="24"/>
        </w:rPr>
        <w:t xml:space="preserve"> Опитът, натрупан в държавите членки, показва, че различни мерки могат да имат дълготрайно въздействие върху възстановяването на равновесието между родителите по отношение на тежестта на грижите, включително гъвкави модели на работа, адекватни права на отпуск, по-специално отпуск по бащинство и непрехвърляем и добре платен родителски отпуск, в съчетание с мерки за повишаване на използването им. Бащите в ЕС имат право на поне 10 дни компенсиран отпуск по бащинство и четири месеца платен родителски отпуск, но досега тези права са били транспонирани по различни начини. Например </w:t>
      </w:r>
      <w:r>
        <w:rPr>
          <w:rFonts w:ascii="Times New Roman" w:hAnsi="Times New Roman"/>
          <w:b/>
          <w:noProof/>
          <w:sz w:val="24"/>
        </w:rPr>
        <w:t>Испания</w:t>
      </w:r>
      <w:r>
        <w:rPr>
          <w:rFonts w:ascii="Times New Roman" w:hAnsi="Times New Roman"/>
          <w:noProof/>
          <w:sz w:val="24"/>
        </w:rPr>
        <w:t xml:space="preserve"> и </w:t>
      </w:r>
      <w:r>
        <w:rPr>
          <w:rFonts w:ascii="Times New Roman" w:hAnsi="Times New Roman"/>
          <w:b/>
          <w:noProof/>
          <w:sz w:val="24"/>
        </w:rPr>
        <w:t>Финландия</w:t>
      </w:r>
      <w:r>
        <w:rPr>
          <w:rFonts w:ascii="Times New Roman" w:hAnsi="Times New Roman"/>
          <w:noProof/>
          <w:sz w:val="24"/>
        </w:rPr>
        <w:t xml:space="preserve"> предлагат сравнително голяма продължителност на отпуска по бащинство</w:t>
      </w:r>
      <w:r>
        <w:rPr>
          <w:rStyle w:val="FootnoteReference"/>
          <w:rFonts w:ascii="Times New Roman" w:hAnsi="Times New Roman" w:cs="Times New Roman"/>
          <w:noProof/>
          <w:sz w:val="24"/>
          <w:lang w:val="en-IE"/>
        </w:rPr>
        <w:footnoteReference w:id="23"/>
      </w:r>
      <w:r>
        <w:rPr>
          <w:rFonts w:ascii="Times New Roman" w:hAnsi="Times New Roman"/>
          <w:noProof/>
          <w:sz w:val="24"/>
        </w:rPr>
        <w:t xml:space="preserve">. Като цяло обаче използването на родителски отпуск от бащите остава слабо. Отпускът за лица, полагащи грижи, в </w:t>
      </w:r>
      <w:r>
        <w:rPr>
          <w:rFonts w:ascii="Times New Roman" w:hAnsi="Times New Roman"/>
          <w:b/>
          <w:noProof/>
          <w:sz w:val="24"/>
        </w:rPr>
        <w:t>Нидерландия</w:t>
      </w:r>
      <w:r>
        <w:rPr>
          <w:rFonts w:ascii="Times New Roman" w:hAnsi="Times New Roman"/>
          <w:noProof/>
          <w:sz w:val="24"/>
        </w:rPr>
        <w:t xml:space="preserve"> например може да помогне на лицата, които имат отговорности за полагане на грижи за други зависими роднини, да останат на пазара на труда. Гъвкавите схеми на работа могат да бъдат от полза при приспособяването на работното време към семейните задължения, включително при работа на непълно работно време, която е добре разпределена между половете. При възможност и при наличието на подходящи условия, използването на работа от разстояние също може да допринесе за по-доброто съвместяване на семейния и професионалния живот. </w:t>
      </w:r>
    </w:p>
    <w:p w14:paraId="0DF52F50" w14:textId="757F09D5" w:rsidR="00275101" w:rsidRPr="00A56B91" w:rsidRDefault="00275101" w:rsidP="002E727D">
      <w:pPr>
        <w:rPr>
          <w:rFonts w:ascii="Times New Roman" w:hAnsi="Times New Roman" w:cs="Times New Roman"/>
          <w:noProof/>
          <w:sz w:val="24"/>
        </w:rPr>
      </w:pPr>
      <w:r>
        <w:rPr>
          <w:rFonts w:ascii="Times New Roman" w:hAnsi="Times New Roman"/>
          <w:b/>
          <w:noProof/>
          <w:sz w:val="24"/>
        </w:rPr>
        <w:t>Целенасочените реформи в областта на данъчното облагане и системата на обезщетения могат да гарантират, че трудът се отплаща.</w:t>
      </w:r>
      <w:r>
        <w:rPr>
          <w:rFonts w:ascii="Times New Roman" w:hAnsi="Times New Roman"/>
          <w:noProof/>
          <w:sz w:val="24"/>
        </w:rPr>
        <w:t xml:space="preserve"> Ниско платената самотна майка, която започва работа в ЕС, губи средно около две трети от брутното си трудово възнаграждение поради разходи за грижи за деца, прекратени обезщетения и данъци</w:t>
      </w:r>
      <w:r>
        <w:rPr>
          <w:rFonts w:ascii="Times New Roman" w:hAnsi="Times New Roman" w:cs="Times New Roman"/>
          <w:noProof/>
          <w:sz w:val="24"/>
          <w:vertAlign w:val="superscript"/>
          <w:lang w:val="en-GB"/>
        </w:rPr>
        <w:footnoteReference w:id="24"/>
      </w:r>
      <w:r>
        <w:rPr>
          <w:rFonts w:ascii="Times New Roman" w:hAnsi="Times New Roman"/>
          <w:noProof/>
          <w:sz w:val="24"/>
        </w:rPr>
        <w:t xml:space="preserve">. Добре проектираните данъчни и осигурителни системи гарантират, че както отделните лица, така и семействата са във финансово по-изгодно положение при започване на платена работа, като се премахват например възпиращите фактори от данъчно естество за втория работещ член на домакинството. Намаляването на данъчното облагане на доходите на физическите лица или въвеждането/разширяването на данъчните кредити върху доходите за лицата с ниски доходи може да допринесе за това хората да започнат платена работа, като същевременно се запази прогресивността на прякото данъчно облагане, за да се гарантира финансирането на социалната закрила и публичните инвестиции. Детските надбавки могат временно да подпомагат създаването на семейство. Важно е обаче да се гарантира, че замисълът им е целенасочен и не демотивира жените да започнат платена работа. Пример в това отношение е „гъвкавата надбавка за полагане на грижи“ във </w:t>
      </w:r>
      <w:r>
        <w:rPr>
          <w:rFonts w:ascii="Times New Roman" w:hAnsi="Times New Roman"/>
          <w:b/>
          <w:noProof/>
          <w:sz w:val="24"/>
        </w:rPr>
        <w:t>Финландия</w:t>
      </w:r>
      <w:r>
        <w:rPr>
          <w:rFonts w:ascii="Times New Roman" w:hAnsi="Times New Roman"/>
          <w:noProof/>
          <w:sz w:val="24"/>
        </w:rPr>
        <w:t>.</w:t>
      </w:r>
    </w:p>
    <w:tbl>
      <w:tblPr>
        <w:tblStyle w:val="TableGrid"/>
        <w:tblW w:w="93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1" w:themeFillTint="33"/>
        <w:tblCellMar>
          <w:top w:w="142" w:type="dxa"/>
          <w:left w:w="142" w:type="dxa"/>
          <w:bottom w:w="142" w:type="dxa"/>
          <w:right w:w="142" w:type="dxa"/>
        </w:tblCellMar>
        <w:tblLook w:val="04A0" w:firstRow="1" w:lastRow="0" w:firstColumn="1" w:lastColumn="0" w:noHBand="0" w:noVBand="1"/>
      </w:tblPr>
      <w:tblGrid>
        <w:gridCol w:w="9390"/>
      </w:tblGrid>
      <w:tr w:rsidR="00275101" w:rsidRPr="004934AD" w14:paraId="15699C83" w14:textId="77777777" w:rsidTr="0076202B">
        <w:tc>
          <w:tcPr>
            <w:tcW w:w="9390" w:type="dxa"/>
            <w:shd w:val="clear" w:color="auto" w:fill="FFF2CC" w:themeFill="accent1" w:themeFillTint="33"/>
          </w:tcPr>
          <w:p w14:paraId="1224BB73" w14:textId="77777777" w:rsidR="00275101" w:rsidRPr="004934AD" w:rsidRDefault="00275101" w:rsidP="00C67017">
            <w:pPr>
              <w:pStyle w:val="Boxtitle"/>
              <w:jc w:val="both"/>
              <w:rPr>
                <w:rFonts w:ascii="Times New Roman" w:hAnsi="Times New Roman"/>
                <w:noProof/>
              </w:rPr>
            </w:pPr>
            <w:r>
              <w:rPr>
                <w:rFonts w:ascii="Times New Roman" w:hAnsi="Times New Roman"/>
                <w:noProof/>
              </w:rPr>
              <w:t>Основни инструменти на равнище ЕС:</w:t>
            </w:r>
          </w:p>
          <w:p w14:paraId="2637E4C6" w14:textId="5F01F243" w:rsidR="00275101" w:rsidRPr="006260B2" w:rsidRDefault="00275101" w:rsidP="00C67017">
            <w:pPr>
              <w:pStyle w:val="Paragraphedelistebullets"/>
              <w:jc w:val="both"/>
              <w:rPr>
                <w:noProof/>
              </w:rPr>
            </w:pPr>
            <w:r>
              <w:rPr>
                <w:noProof/>
              </w:rPr>
              <w:t xml:space="preserve">С </w:t>
            </w:r>
            <w:r>
              <w:rPr>
                <w:b/>
                <w:noProof/>
              </w:rPr>
              <w:t>Директивата относно равновесието между професионалния и личния живот</w:t>
            </w:r>
            <w:r>
              <w:rPr>
                <w:rStyle w:val="FootnoteReference"/>
                <w:noProof/>
              </w:rPr>
              <w:footnoteReference w:id="25"/>
            </w:r>
            <w:r>
              <w:rPr>
                <w:noProof/>
              </w:rPr>
              <w:t xml:space="preserve"> беше въведено правото на платен отпуск по бащинство, компенсиран родителски отпуск, отпуск за лица, полагащи грижи, и правото да се поискат гъвкави схеми на работа за всички работещи родители (на деца до поне 8 години).</w:t>
            </w:r>
          </w:p>
          <w:p w14:paraId="49504A09" w14:textId="4A4B788D" w:rsidR="00275101" w:rsidRPr="006260B2" w:rsidRDefault="00275101" w:rsidP="00C67017">
            <w:pPr>
              <w:pStyle w:val="Paragraphedelistebullets"/>
              <w:ind w:left="312" w:right="0" w:hanging="238"/>
              <w:jc w:val="both"/>
              <w:rPr>
                <w:noProof/>
              </w:rPr>
            </w:pPr>
            <w:r>
              <w:rPr>
                <w:noProof/>
              </w:rPr>
              <w:t xml:space="preserve">Сред допълнителните правни защити са по-специално </w:t>
            </w:r>
            <w:r>
              <w:rPr>
                <w:b/>
                <w:noProof/>
              </w:rPr>
              <w:t>Директивата за бременните работнички</w:t>
            </w:r>
            <w:r>
              <w:rPr>
                <w:rStyle w:val="FootnoteReference"/>
                <w:noProof/>
              </w:rPr>
              <w:footnoteReference w:id="26"/>
            </w:r>
            <w:r>
              <w:rPr>
                <w:noProof/>
              </w:rPr>
              <w:t xml:space="preserve"> (право на минимален отпуск по майчинство и защита срещу уволнение по време на отпуск) и </w:t>
            </w:r>
            <w:r>
              <w:rPr>
                <w:b/>
                <w:noProof/>
              </w:rPr>
              <w:t>Директивата относно равните възможности и равното третиране на мъжете и жените в областта на заетостта и професиите</w:t>
            </w:r>
            <w:r>
              <w:rPr>
                <w:rStyle w:val="FootnoteReference"/>
                <w:noProof/>
              </w:rPr>
              <w:footnoteReference w:id="27"/>
            </w:r>
            <w:r>
              <w:rPr>
                <w:noProof/>
              </w:rPr>
              <w:t xml:space="preserve"> (защита срещу уволнение по време на отпуск по бащинство и отпуск при осиновяване).</w:t>
            </w:r>
          </w:p>
          <w:p w14:paraId="625A371A" w14:textId="245B4E32" w:rsidR="007C23EE" w:rsidRPr="006260B2" w:rsidRDefault="007C23EE" w:rsidP="00C67017">
            <w:pPr>
              <w:pStyle w:val="Paragraphedelistebullets"/>
              <w:jc w:val="both"/>
              <w:rPr>
                <w:noProof/>
              </w:rPr>
            </w:pPr>
            <w:r>
              <w:rPr>
                <w:noProof/>
              </w:rPr>
              <w:t xml:space="preserve">С </w:t>
            </w:r>
            <w:r>
              <w:rPr>
                <w:b/>
                <w:noProof/>
              </w:rPr>
              <w:t>препоръката на Съвета относно образованието и грижите в ранна детска възраст</w:t>
            </w:r>
            <w:r>
              <w:rPr>
                <w:rStyle w:val="FootnoteReference"/>
                <w:noProof/>
              </w:rPr>
              <w:footnoteReference w:id="28"/>
            </w:r>
            <w:r>
              <w:rPr>
                <w:noProof/>
              </w:rPr>
              <w:t xml:space="preserve"> се насърчават държавите членки да увеличат участието си в тези услуги чрез поставянето на амбициозни цели и се подкрепя предоставянето на качествени, финансово приемливи и достъпни услуги със специално внимание на приобщаването на децата в неравностойно положение.</w:t>
            </w:r>
          </w:p>
          <w:p w14:paraId="72376379" w14:textId="25A91E00" w:rsidR="007A608B" w:rsidRPr="006260B2" w:rsidRDefault="004D347D" w:rsidP="00C67017">
            <w:pPr>
              <w:pStyle w:val="Paragraphedelistebullets"/>
              <w:jc w:val="both"/>
              <w:rPr>
                <w:noProof/>
              </w:rPr>
            </w:pPr>
            <w:r>
              <w:rPr>
                <w:noProof/>
              </w:rPr>
              <w:t xml:space="preserve">Чрез </w:t>
            </w:r>
            <w:r>
              <w:rPr>
                <w:b/>
                <w:noProof/>
              </w:rPr>
              <w:t>Декларацията за жените в областта на цифровите технологии</w:t>
            </w:r>
            <w:r>
              <w:rPr>
                <w:noProof/>
              </w:rPr>
              <w:t xml:space="preserve"> държавите членки поемат ангажимент да насърчават участието на жените в цифровата среда, като работят с публичния и частния сектор и гражданското общество за постигане на равенство в технологичната сфера.</w:t>
            </w:r>
          </w:p>
          <w:p w14:paraId="780B2C61" w14:textId="2398C5E8" w:rsidR="00D3202F" w:rsidRPr="004934AD" w:rsidRDefault="00D3202F" w:rsidP="00C67017">
            <w:pPr>
              <w:pStyle w:val="Boxtitle"/>
              <w:jc w:val="both"/>
              <w:rPr>
                <w:rFonts w:ascii="Times New Roman" w:hAnsi="Times New Roman"/>
                <w:noProof/>
              </w:rPr>
            </w:pPr>
            <w:r>
              <w:rPr>
                <w:rFonts w:ascii="Times New Roman" w:hAnsi="Times New Roman"/>
                <w:noProof/>
              </w:rPr>
              <w:t>Ключови следващи стъпки:</w:t>
            </w:r>
          </w:p>
          <w:p w14:paraId="51195EB4" w14:textId="6DBB39F9" w:rsidR="00D3202F" w:rsidRPr="006260B2" w:rsidRDefault="00454184" w:rsidP="00C67017">
            <w:pPr>
              <w:pStyle w:val="Paragraphedelistebullets"/>
              <w:jc w:val="both"/>
              <w:rPr>
                <w:noProof/>
              </w:rPr>
            </w:pPr>
            <w:r>
              <w:rPr>
                <w:noProof/>
              </w:rPr>
              <w:t xml:space="preserve">Прегледът на </w:t>
            </w:r>
            <w:r>
              <w:rPr>
                <w:b/>
                <w:noProof/>
              </w:rPr>
              <w:t>Директивата относно равновесието между професионалния и личния живот</w:t>
            </w:r>
            <w:r>
              <w:rPr>
                <w:noProof/>
              </w:rPr>
              <w:t xml:space="preserve"> през 2027 г. ще даде възможност да се прецени дали правилата все още съответстват на променящите се работни практики.</w:t>
            </w:r>
          </w:p>
          <w:p w14:paraId="73FC9E03" w14:textId="5D0B8E96" w:rsidR="003606E7" w:rsidRPr="006260B2" w:rsidRDefault="00841D95" w:rsidP="00C67017">
            <w:pPr>
              <w:pStyle w:val="Paragraphedelistebullets"/>
              <w:jc w:val="both"/>
              <w:rPr>
                <w:noProof/>
              </w:rPr>
            </w:pPr>
            <w:r>
              <w:rPr>
                <w:noProof/>
              </w:rPr>
              <w:t xml:space="preserve">В контекста на европейската стратегия за равенство между половете Комисията ще организира </w:t>
            </w:r>
            <w:r>
              <w:rPr>
                <w:b/>
                <w:noProof/>
              </w:rPr>
              <w:t>кампания за правата относно равновесието между професионалния и личния живот</w:t>
            </w:r>
            <w:r>
              <w:rPr>
                <w:noProof/>
              </w:rPr>
              <w:t xml:space="preserve">, чиято цел е да се повиши осведомеността на работещите родители и лицата, полагащи грижи, относно техните права и да се отправи покана в рамките на </w:t>
            </w:r>
            <w:r>
              <w:rPr>
                <w:b/>
                <w:noProof/>
              </w:rPr>
              <w:t>програмата „Граждани, равенство, права и ценности“</w:t>
            </w:r>
            <w:r>
              <w:rPr>
                <w:noProof/>
              </w:rPr>
              <w:t xml:space="preserve"> за представяне на проекти, насочени към насърчаване на съобразеното със семейството работно време и признаване на стойността на грижите.</w:t>
            </w:r>
          </w:p>
          <w:p w14:paraId="28350766" w14:textId="7A9CC6D6" w:rsidR="00332F6F" w:rsidRPr="006260B2" w:rsidRDefault="00B6439C" w:rsidP="00C67017">
            <w:pPr>
              <w:pStyle w:val="Paragraphedelistebullets"/>
              <w:jc w:val="both"/>
              <w:rPr>
                <w:noProof/>
              </w:rPr>
            </w:pPr>
            <w:r>
              <w:rPr>
                <w:noProof/>
              </w:rPr>
              <w:t xml:space="preserve">Очаква се до юни 2024 г. държавите членки да информират Комисията за приложените или планираните мерки съгласно </w:t>
            </w:r>
            <w:r>
              <w:rPr>
                <w:b/>
                <w:noProof/>
              </w:rPr>
              <w:t>препоръката на Съвета относно образованието и грижите в ранна детска възраст</w:t>
            </w:r>
            <w:r>
              <w:rPr>
                <w:noProof/>
              </w:rPr>
              <w:t>, за да се постигнат договорените цели за 2030 г.</w:t>
            </w:r>
          </w:p>
        </w:tc>
      </w:tr>
    </w:tbl>
    <w:p w14:paraId="29B9366A" w14:textId="031FE9D9" w:rsidR="009C741F" w:rsidRPr="00C67017" w:rsidRDefault="00DF1397" w:rsidP="00B36950">
      <w:pPr>
        <w:pStyle w:val="Heading2"/>
        <w:rPr>
          <w:noProof/>
        </w:rPr>
      </w:pPr>
      <w:r>
        <w:rPr>
          <w:noProof/>
        </w:rPr>
        <w:t>Подкрепа и предоставяне на възможности за развитието на по-младите поколения</w:t>
      </w:r>
    </w:p>
    <w:p w14:paraId="48B42396" w14:textId="3D63AFA5" w:rsidR="005B2947" w:rsidRPr="00A56B91" w:rsidRDefault="0051300E" w:rsidP="002E727D">
      <w:pPr>
        <w:rPr>
          <w:rFonts w:ascii="Times New Roman" w:hAnsi="Times New Roman" w:cs="Times New Roman"/>
          <w:noProof/>
          <w:color w:val="000000" w:themeColor="text1"/>
          <w:sz w:val="24"/>
        </w:rPr>
      </w:pPr>
      <w:r>
        <w:rPr>
          <w:rFonts w:ascii="Times New Roman" w:hAnsi="Times New Roman"/>
          <w:b/>
          <w:noProof/>
          <w:sz w:val="24"/>
        </w:rPr>
        <w:t>Потенциалът на младите хора в Европа все още не е напълно реализиран.</w:t>
      </w:r>
      <w:r>
        <w:rPr>
          <w:rFonts w:ascii="Times New Roman" w:hAnsi="Times New Roman"/>
          <w:noProof/>
          <w:sz w:val="24"/>
        </w:rPr>
        <w:t xml:space="preserve"> През 2022 г. повече от 10 % от младите хора на възраст между 15 и 29 години в ЕС са били незаети с работа, учене или обучение (NEET)</w:t>
      </w:r>
      <w:r>
        <w:rPr>
          <w:rStyle w:val="FootnoteReference"/>
          <w:rFonts w:ascii="Times New Roman" w:hAnsi="Times New Roman" w:cs="Times New Roman"/>
          <w:noProof/>
          <w:sz w:val="24"/>
          <w:lang w:val="en-IE"/>
        </w:rPr>
        <w:footnoteReference w:id="29"/>
      </w:r>
      <w:r>
        <w:rPr>
          <w:rFonts w:ascii="Times New Roman" w:hAnsi="Times New Roman"/>
          <w:noProof/>
          <w:sz w:val="24"/>
        </w:rPr>
        <w:t xml:space="preserve">, включително 13,1 % от младите жени, 20 % от родените извън ЕС и 56 % от младите роми на възраст между 16 и 24 години. Този проблем се характеризира със значителни териториални различия в рамките на ЕС, като особено висок дял на незаетите с работа, учене или обучение се наблюдава в южните и източните региони на ЕС, както и в най-отдалечените региони на Франция. В някои от тези региони над една четвърт от всички млади хора са били незаети с работа, учене или обучение. Младите хора от семейства в неравностойно положение, като например с родители с ниско равнище на образование, обикновено показват по-лоши резултати в клас и са изложени на по-голям риск от преждевременно отпадане от училище. Отпадането от училище и липсата на работа пречи на младите хора да придобият опит и да се обучават в работна среда, което може да повлияе негативно на дългосрочните им перспективи за заетост. </w:t>
      </w:r>
      <w:r>
        <w:rPr>
          <w:rFonts w:ascii="Times New Roman" w:hAnsi="Times New Roman"/>
          <w:noProof/>
          <w:color w:val="000000" w:themeColor="text1"/>
          <w:sz w:val="24"/>
        </w:rPr>
        <w:t>Това влошава коефициентите на зависимост на активното работещо население спрямо тези, които не са част от работната сила.</w:t>
      </w:r>
    </w:p>
    <w:p w14:paraId="699B3A40" w14:textId="08F2A467" w:rsidR="00683F60" w:rsidRPr="00A56B91" w:rsidRDefault="00683F60" w:rsidP="00683F60">
      <w:pPr>
        <w:pStyle w:val="Subtitle"/>
        <w:rPr>
          <w:rFonts w:ascii="Times New Roman" w:hAnsi="Times New Roman"/>
          <w:noProof/>
          <w:sz w:val="24"/>
          <w:szCs w:val="24"/>
        </w:rPr>
      </w:pPr>
      <w:r>
        <w:rPr>
          <w:rFonts w:ascii="Times New Roman" w:hAnsi="Times New Roman"/>
          <w:noProof/>
          <w:sz w:val="24"/>
        </w:rPr>
        <w:t>Младежи (на възраст 15—29 години), незаети с работа, учене</w:t>
      </w:r>
      <w:r>
        <w:rPr>
          <w:noProof/>
        </w:rPr>
        <w:t xml:space="preserve"> </w:t>
      </w:r>
      <w:r>
        <w:rPr>
          <w:noProof/>
        </w:rPr>
        <w:br/>
      </w:r>
      <w:r>
        <w:rPr>
          <w:rFonts w:ascii="Times New Roman" w:hAnsi="Times New Roman"/>
          <w:noProof/>
          <w:sz w:val="24"/>
        </w:rPr>
        <w:t>или обучение (NEET), 2022 г.</w:t>
      </w:r>
    </w:p>
    <w:p w14:paraId="4A268893" w14:textId="65177993" w:rsidR="003445DF" w:rsidRPr="003445DF" w:rsidRDefault="003445DF" w:rsidP="002E727D">
      <w:pPr>
        <w:rPr>
          <w:rFonts w:ascii="Times New Roman" w:hAnsi="Times New Roman"/>
          <w:b/>
          <w:noProof/>
          <w:sz w:val="24"/>
          <w:lang w:val="fr-BE"/>
        </w:rPr>
      </w:pPr>
      <w:r>
        <w:rPr>
          <w:noProof/>
          <w:lang w:val="en-GB" w:eastAsia="en-GB"/>
        </w:rPr>
        <w:drawing>
          <wp:inline distT="0" distB="0" distL="0" distR="0" wp14:anchorId="2E8C4728" wp14:editId="51D4A053">
            <wp:extent cx="5943600" cy="2000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00885"/>
                    </a:xfrm>
                    <a:prstGeom prst="rect">
                      <a:avLst/>
                    </a:prstGeom>
                  </pic:spPr>
                </pic:pic>
              </a:graphicData>
            </a:graphic>
          </wp:inline>
        </w:drawing>
      </w:r>
    </w:p>
    <w:p w14:paraId="39DE916F" w14:textId="560648DF" w:rsidR="00AA6308" w:rsidRPr="00A56B91" w:rsidRDefault="661962E0" w:rsidP="002E727D">
      <w:pPr>
        <w:rPr>
          <w:rFonts w:ascii="Times New Roman" w:hAnsi="Times New Roman" w:cs="Times New Roman"/>
          <w:noProof/>
          <w:sz w:val="24"/>
        </w:rPr>
      </w:pPr>
      <w:r>
        <w:rPr>
          <w:rFonts w:ascii="Times New Roman" w:hAnsi="Times New Roman"/>
          <w:b/>
          <w:noProof/>
          <w:sz w:val="24"/>
        </w:rPr>
        <w:t xml:space="preserve">Предоставянето на възможности на младите хора започва с насърчаване на благоприятна среда за всички деца. </w:t>
      </w:r>
      <w:r>
        <w:rPr>
          <w:rFonts w:ascii="Times New Roman" w:hAnsi="Times New Roman"/>
          <w:noProof/>
          <w:sz w:val="24"/>
        </w:rPr>
        <w:t>Децата трябва да бъдат защитени и подкрепяни и да имат възможности за развитие. Това е особено важно в периода на изграждане на личността на детето.</w:t>
      </w:r>
      <w:r>
        <w:rPr>
          <w:rFonts w:ascii="Times New Roman" w:hAnsi="Times New Roman"/>
          <w:b/>
          <w:noProof/>
          <w:sz w:val="24"/>
        </w:rPr>
        <w:t xml:space="preserve"> </w:t>
      </w:r>
      <w:r>
        <w:rPr>
          <w:rFonts w:ascii="Times New Roman" w:hAnsi="Times New Roman"/>
          <w:noProof/>
          <w:sz w:val="24"/>
        </w:rPr>
        <w:t xml:space="preserve">Наред с подкрепата за доходите на родителите ключовите решения в областта на политиките включват гарантиране на достъп до приобщаващи и качествени услуги за децата, по-специално образование и грижи в ранна детска възраст, основно образование (включително училищни дейности), здравеопазване и хранене. Така например </w:t>
      </w:r>
      <w:r>
        <w:rPr>
          <w:rFonts w:ascii="Times New Roman" w:hAnsi="Times New Roman"/>
          <w:b/>
          <w:noProof/>
          <w:sz w:val="24"/>
        </w:rPr>
        <w:t>България</w:t>
      </w:r>
      <w:r>
        <w:rPr>
          <w:rFonts w:ascii="Times New Roman" w:hAnsi="Times New Roman"/>
          <w:noProof/>
          <w:sz w:val="24"/>
        </w:rPr>
        <w:t xml:space="preserve"> инвестира 245 милиона евро от Механизма за възстановяване и устойчивост (МВУ) за модернизиране на педагогическите инструменти и засилване на изучаването на НТИМ в училищата чрез създаването на национален и три регионални центъра в областта на НТИМ, както и на над 2 200 НТИМ лаборатории и високотехнологични класни стаи. Младите хора в уязвимо положение поради няколко или множество фактори, като например преждевременно напускащите училище или младежи с увреждания или здравословни проблеми, следва да получат съобразена с нуждите си подкрепа. </w:t>
      </w:r>
    </w:p>
    <w:p w14:paraId="1DD8F516" w14:textId="3A03A1A1" w:rsidR="005F609A" w:rsidRPr="00A56B91" w:rsidRDefault="00593288" w:rsidP="00C67017">
      <w:pPr>
        <w:spacing w:after="0" w:line="240" w:lineRule="auto"/>
        <w:rPr>
          <w:rFonts w:ascii="Times New Roman" w:hAnsi="Times New Roman" w:cs="Times New Roman"/>
          <w:noProof/>
          <w:sz w:val="24"/>
        </w:rPr>
      </w:pPr>
      <w:r>
        <w:rPr>
          <w:rFonts w:ascii="Times New Roman" w:hAnsi="Times New Roman"/>
          <w:b/>
          <w:noProof/>
          <w:sz w:val="24"/>
        </w:rPr>
        <w:t>Насърчаването на достъпа на младите хора до качествени работни места, достъпни жилища и достоен жизнен стандарт е от решаващо значение за дългосрочните им перспективи.</w:t>
      </w:r>
      <w:r>
        <w:rPr>
          <w:rFonts w:ascii="Times New Roman" w:hAnsi="Times New Roman"/>
          <w:noProof/>
          <w:sz w:val="24"/>
        </w:rPr>
        <w:t xml:space="preserve"> Инвестициите в образование и обучение са от съществено значение за мобилизирането на младите хора и за предоставянето на основни и ориентирани към бъдещето умения за тях, като например необходимите умения за двойния екологичен и цифров преход, както беше направено в </w:t>
      </w:r>
      <w:r>
        <w:rPr>
          <w:rFonts w:ascii="Times New Roman" w:hAnsi="Times New Roman"/>
          <w:b/>
          <w:noProof/>
          <w:sz w:val="24"/>
        </w:rPr>
        <w:t>Италия</w:t>
      </w:r>
      <w:r>
        <w:rPr>
          <w:rFonts w:ascii="Times New Roman" w:hAnsi="Times New Roman"/>
          <w:noProof/>
          <w:sz w:val="24"/>
        </w:rPr>
        <w:t xml:space="preserve"> с инициативата „Училище 4.0“ — превръщане на 100 000 класни стаи в иновативни учебни пространства. Както се подчертава в доклада за стратегическото прогнозиране от 2023 г., за да се справи с демографските промени, ЕС се нуждае от солидни инструменти за подробно прогнозиране на потребностите от умения и работна сила в ключови сектори. </w:t>
      </w:r>
      <w:r>
        <w:rPr>
          <w:rFonts w:ascii="Times New Roman" w:hAnsi="Times New Roman"/>
          <w:noProof/>
          <w:color w:val="000000" w:themeColor="text1"/>
          <w:sz w:val="24"/>
        </w:rPr>
        <w:t xml:space="preserve">Освен това, за да се улесни преходът от училище към работа, важна роля играе комуникацията с младите хора, както например беше направено в </w:t>
      </w:r>
      <w:r>
        <w:rPr>
          <w:rFonts w:ascii="Times New Roman" w:hAnsi="Times New Roman"/>
          <w:b/>
          <w:noProof/>
          <w:color w:val="000000" w:themeColor="text1"/>
          <w:sz w:val="24"/>
        </w:rPr>
        <w:t>Словения</w:t>
      </w:r>
      <w:r>
        <w:rPr>
          <w:rFonts w:ascii="Times New Roman" w:hAnsi="Times New Roman"/>
          <w:noProof/>
          <w:color w:val="000000" w:themeColor="text1"/>
          <w:sz w:val="24"/>
        </w:rPr>
        <w:t xml:space="preserve"> с местните младежки „посланици“, които информират свои връстници за възможностите в рамките на гаранцията за младежта, както и за качествени стажове и професионално образование и обучение, включително чиракуване.</w:t>
      </w:r>
      <w:r>
        <w:rPr>
          <w:rFonts w:ascii="Times New Roman" w:hAnsi="Times New Roman"/>
          <w:noProof/>
          <w:sz w:val="24"/>
        </w:rPr>
        <w:t xml:space="preserve"> Временната мобилност с учебна цел между регионите и държавите може да увеличи възможностите за младите хора. Освен по-добрата интеграция на пазара на труда, достъпът до основни услуги (в това число услуги, свързани с психичното здраве) и до финансово достъпни и енергийно ефективни жилища определя възможностите за младите хора да създадат семейство. В </w:t>
      </w:r>
      <w:r>
        <w:rPr>
          <w:rFonts w:ascii="Times New Roman" w:hAnsi="Times New Roman"/>
          <w:b/>
          <w:noProof/>
          <w:sz w:val="24"/>
        </w:rPr>
        <w:t>Унгария</w:t>
      </w:r>
      <w:r>
        <w:rPr>
          <w:rFonts w:ascii="Times New Roman" w:hAnsi="Times New Roman"/>
          <w:noProof/>
          <w:sz w:val="24"/>
        </w:rPr>
        <w:t xml:space="preserve"> субсидията за семейно жилище е безвъзмездна държавна субсидия за семейства, които отглеждат поне едно дете, включително двойки от същия пол, за закупуване или разширяване на апартамент или къща. Семействата, които живеят в по-малки населени места, могат да кандидатстват за субсидия за семейно жилище в селските райони, чиято цел е да се задържи населението там. Регионите, които се намират в „капан за развитието на таланти“ (или са изложени на риск да попаднат в такъв капан), се нуждаят от целенасочена, ориентирана към местните условия подкрепа за икономическо съживяване, от образователни възможности и от по-добър достъп до услуги и жилищно настаняване.</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1" w:themeFillTint="33"/>
        <w:tblCellMar>
          <w:top w:w="142" w:type="dxa"/>
          <w:left w:w="142" w:type="dxa"/>
          <w:bottom w:w="142" w:type="dxa"/>
          <w:right w:w="142" w:type="dxa"/>
        </w:tblCellMar>
        <w:tblLook w:val="04A0" w:firstRow="1" w:lastRow="0" w:firstColumn="1" w:lastColumn="0" w:noHBand="0" w:noVBand="1"/>
      </w:tblPr>
      <w:tblGrid>
        <w:gridCol w:w="9322"/>
      </w:tblGrid>
      <w:tr w:rsidR="00FA6748" w:rsidRPr="0018291D" w14:paraId="39F805C9" w14:textId="77777777" w:rsidTr="0076202B">
        <w:tc>
          <w:tcPr>
            <w:tcW w:w="9322" w:type="dxa"/>
            <w:shd w:val="clear" w:color="auto" w:fill="FFF2CC" w:themeFill="accent1" w:themeFillTint="33"/>
          </w:tcPr>
          <w:p w14:paraId="6EF4CB05" w14:textId="47244558" w:rsidR="0017277F" w:rsidRPr="0018291D" w:rsidRDefault="6EFA3BBA" w:rsidP="00C67017">
            <w:pPr>
              <w:pStyle w:val="Boxtitle"/>
              <w:jc w:val="both"/>
              <w:rPr>
                <w:rFonts w:ascii="Times New Roman" w:hAnsi="Times New Roman"/>
                <w:noProof/>
              </w:rPr>
            </w:pPr>
            <w:r>
              <w:rPr>
                <w:rFonts w:ascii="Times New Roman" w:hAnsi="Times New Roman"/>
                <w:noProof/>
              </w:rPr>
              <w:t>Основни инструменти на равнище ЕС:</w:t>
            </w:r>
          </w:p>
          <w:p w14:paraId="401D617F" w14:textId="08D6B46F" w:rsidR="0017277F" w:rsidRPr="006260B2" w:rsidRDefault="0050308B" w:rsidP="00C67017">
            <w:pPr>
              <w:pStyle w:val="Paragraphedelistebullets"/>
              <w:jc w:val="both"/>
              <w:rPr>
                <w:noProof/>
              </w:rPr>
            </w:pPr>
            <w:r>
              <w:rPr>
                <w:noProof/>
              </w:rPr>
              <w:t xml:space="preserve">В контекста на Стратегията на ЕС за правата на детето </w:t>
            </w:r>
            <w:r>
              <w:rPr>
                <w:b/>
                <w:noProof/>
              </w:rPr>
              <w:t>Европейската гаранция за децата</w:t>
            </w:r>
            <w:r>
              <w:rPr>
                <w:rStyle w:val="FootnoteReference"/>
                <w:noProof/>
              </w:rPr>
              <w:footnoteReference w:id="30"/>
            </w:r>
            <w:r>
              <w:rPr>
                <w:noProof/>
              </w:rPr>
              <w:t xml:space="preserve"> има за цел да се справи със социалното изключване, като гарантира на децата в нужда ефективен достъп до ключови услуги, включително безплатно образование и грижи в ранна детска възраст. </w:t>
            </w:r>
          </w:p>
          <w:p w14:paraId="42322785" w14:textId="0BA40038" w:rsidR="0017277F" w:rsidRPr="006260B2" w:rsidRDefault="0017277F" w:rsidP="00C67017">
            <w:pPr>
              <w:pStyle w:val="Paragraphedelistebullets"/>
              <w:jc w:val="both"/>
              <w:rPr>
                <w:noProof/>
              </w:rPr>
            </w:pPr>
            <w:r>
              <w:rPr>
                <w:b/>
                <w:noProof/>
              </w:rPr>
              <w:t>Европейското пространство за образование</w:t>
            </w:r>
            <w:r>
              <w:rPr>
                <w:noProof/>
              </w:rPr>
              <w:t xml:space="preserve"> определя седем цели за 2025 г. и 2030 г.</w:t>
            </w:r>
            <w:r>
              <w:rPr>
                <w:rStyle w:val="FootnoteReference"/>
                <w:noProof/>
              </w:rPr>
              <w:footnoteReference w:id="31"/>
            </w:r>
            <w:r>
              <w:rPr>
                <w:noProof/>
              </w:rPr>
              <w:t>, включително относно участието в ОГРДВ, преждевременното напускане на училище и незадоволителните резултати на учениците.</w:t>
            </w:r>
          </w:p>
          <w:p w14:paraId="395F0B5B" w14:textId="385C6425" w:rsidR="00571009" w:rsidRPr="006260B2" w:rsidRDefault="005D778C" w:rsidP="00C67017">
            <w:pPr>
              <w:pStyle w:val="Paragraphedelistebullets"/>
              <w:jc w:val="both"/>
              <w:rPr>
                <w:noProof/>
              </w:rPr>
            </w:pPr>
            <w:r>
              <w:rPr>
                <w:b/>
                <w:noProof/>
              </w:rPr>
              <w:t>Пакетът за подкрепа на младежката заетост</w:t>
            </w:r>
            <w:r>
              <w:rPr>
                <w:rStyle w:val="FootnoteReference"/>
                <w:noProof/>
              </w:rPr>
              <w:footnoteReference w:id="32"/>
            </w:r>
            <w:r>
              <w:rPr>
                <w:noProof/>
              </w:rPr>
              <w:t xml:space="preserve"> укрепва </w:t>
            </w:r>
            <w:r>
              <w:rPr>
                <w:b/>
                <w:noProof/>
              </w:rPr>
              <w:t>гаранцията за младежта</w:t>
            </w:r>
            <w:r>
              <w:rPr>
                <w:rStyle w:val="FootnoteReference"/>
                <w:noProof/>
              </w:rPr>
              <w:footnoteReference w:id="33"/>
            </w:r>
            <w:r>
              <w:rPr>
                <w:noProof/>
              </w:rPr>
              <w:t>, като подобрява интеграцията на младите хора на пазара на труда, включително чрез засилване на уменията им за двойния цифров и екологичен преход.</w:t>
            </w:r>
          </w:p>
          <w:p w14:paraId="3FC2184D" w14:textId="4634CD83" w:rsidR="00E96168" w:rsidRPr="006260B2" w:rsidRDefault="00571009" w:rsidP="00C67017">
            <w:pPr>
              <w:pStyle w:val="Paragraphedelistebullets"/>
              <w:jc w:val="both"/>
              <w:rPr>
                <w:noProof/>
              </w:rPr>
            </w:pPr>
            <w:r>
              <w:rPr>
                <w:b/>
                <w:noProof/>
              </w:rPr>
              <w:t>Препоръката на Съвета относно професионалното образование и обучение (ПОО)</w:t>
            </w:r>
            <w:r>
              <w:rPr>
                <w:noProof/>
              </w:rPr>
              <w:t xml:space="preserve"> има за цел да модернизира ПОО и да даде нов тласък на чиракуването и Европейската рамка за качествено и ефективно чиракуване.</w:t>
            </w:r>
          </w:p>
          <w:p w14:paraId="12DDA6F2" w14:textId="297B5234" w:rsidR="00F07E1C" w:rsidRPr="006260B2" w:rsidRDefault="00F52F90" w:rsidP="00C67017">
            <w:pPr>
              <w:pStyle w:val="Paragraphedelistebullets"/>
              <w:jc w:val="both"/>
              <w:rPr>
                <w:noProof/>
              </w:rPr>
            </w:pPr>
            <w:r>
              <w:rPr>
                <w:b/>
                <w:noProof/>
              </w:rPr>
              <w:t>Инициативата ALMA (стреми се, учи, овладей, постигай)</w:t>
            </w:r>
            <w:r>
              <w:rPr>
                <w:noProof/>
              </w:rPr>
              <w:t xml:space="preserve"> е трансгранична схема за младежка мобилност в подкрепа на младите хора и незаетите с работа, учене или обучение при интегрирането им на пазара на труда.</w:t>
            </w:r>
          </w:p>
          <w:p w14:paraId="7DBD0359" w14:textId="7B6D35B8" w:rsidR="00A202F7" w:rsidRPr="006260B2" w:rsidRDefault="00A202F7" w:rsidP="00C67017">
            <w:pPr>
              <w:pStyle w:val="Paragraphedelistebullets"/>
              <w:jc w:val="both"/>
              <w:rPr>
                <w:noProof/>
              </w:rPr>
            </w:pPr>
            <w:r>
              <w:rPr>
                <w:b/>
                <w:noProof/>
              </w:rPr>
              <w:t>Програмата „Цифрова Европа“</w:t>
            </w:r>
            <w:r>
              <w:rPr>
                <w:noProof/>
              </w:rPr>
              <w:t xml:space="preserve"> подкрепя специализирани образователни програми в областта на задълбочените цифрови умения, както и надграждането на цифрови умения за младите хора, особено за момичетата, например чрез </w:t>
            </w:r>
            <w:r>
              <w:rPr>
                <w:b/>
                <w:noProof/>
              </w:rPr>
              <w:t>Европейската седмица на програмирането</w:t>
            </w:r>
            <w:r>
              <w:rPr>
                <w:noProof/>
              </w:rPr>
              <w:t>.</w:t>
            </w:r>
          </w:p>
          <w:p w14:paraId="3B9F69DF" w14:textId="55AB2146" w:rsidR="00AB55C6" w:rsidRPr="008B675D" w:rsidRDefault="00AB55C6" w:rsidP="00045BA7">
            <w:pPr>
              <w:pStyle w:val="Paragraphedelistebullets"/>
              <w:jc w:val="both"/>
              <w:rPr>
                <w:noProof/>
                <w:szCs w:val="24"/>
              </w:rPr>
            </w:pPr>
            <w:r>
              <w:rPr>
                <w:b/>
                <w:noProof/>
              </w:rPr>
              <w:t>Стратегията за устойчива и интелигентна мобилност</w:t>
            </w:r>
            <w:r>
              <w:rPr>
                <w:noProof/>
              </w:rPr>
              <w:t xml:space="preserve"> подкрепя разработването на решения за интелигентна мобилност, които спомагат за предотвратяване на обезлюдяването и дават възможност на младите хора да имат достъп до основни услуги (здравеопазване, образование) и възможности за работа.</w:t>
            </w:r>
          </w:p>
          <w:p w14:paraId="34BA2394" w14:textId="3D94316A" w:rsidR="00813F6F" w:rsidRPr="006260B2" w:rsidRDefault="00813F6F" w:rsidP="00C67017">
            <w:pPr>
              <w:pStyle w:val="Paragraphedelistebullets"/>
              <w:jc w:val="both"/>
              <w:rPr>
                <w:noProof/>
              </w:rPr>
            </w:pPr>
            <w:r>
              <w:rPr>
                <w:b/>
                <w:noProof/>
              </w:rPr>
              <w:t>Стратегията „Вълна на саниране“</w:t>
            </w:r>
            <w:r>
              <w:rPr>
                <w:rStyle w:val="FootnoteReference"/>
                <w:noProof/>
              </w:rPr>
              <w:footnoteReference w:id="34"/>
            </w:r>
            <w:r>
              <w:rPr>
                <w:noProof/>
              </w:rPr>
              <w:t xml:space="preserve"> има за цел през следващите 10 години да удвои годишния процент на саниране. </w:t>
            </w:r>
            <w:r>
              <w:rPr>
                <w:b/>
                <w:noProof/>
              </w:rPr>
              <w:t>Инициативата за жилища на достъпни цени</w:t>
            </w:r>
            <w:r>
              <w:rPr>
                <w:noProof/>
              </w:rPr>
              <w:t xml:space="preserve"> за цел да подобри достъпа до жилища на достъпни цени чрез достъп на местни проекти до технически и иновационен капацитет.</w:t>
            </w:r>
          </w:p>
          <w:p w14:paraId="0707C671" w14:textId="6E94FDF7" w:rsidR="0098411B" w:rsidRPr="006260B2" w:rsidRDefault="00E7265B" w:rsidP="00C67017">
            <w:pPr>
              <w:pStyle w:val="Paragraphedelistebullets"/>
              <w:jc w:val="both"/>
              <w:rPr>
                <w:noProof/>
              </w:rPr>
            </w:pPr>
            <w:r>
              <w:rPr>
                <w:rStyle w:val="normaltextrun"/>
                <w:b/>
                <w:noProof/>
              </w:rPr>
              <w:t>Механизмът за насърчаване на талантите</w:t>
            </w:r>
            <w:r>
              <w:rPr>
                <w:rStyle w:val="normaltextrun"/>
                <w:noProof/>
              </w:rPr>
              <w:t xml:space="preserve"> подпомага регионите на ЕС да обучават, задържат и привличат хора и да се справят с въздействието на демографския преход.</w:t>
            </w:r>
            <w:r>
              <w:rPr>
                <w:noProof/>
              </w:rPr>
              <w:t xml:space="preserve"> </w:t>
            </w:r>
          </w:p>
          <w:p w14:paraId="7C65C830" w14:textId="27B2C7E9" w:rsidR="00B13C74" w:rsidRPr="006260B2" w:rsidRDefault="00D51DD5" w:rsidP="00C67017">
            <w:pPr>
              <w:pStyle w:val="Paragraphedelistebullets"/>
              <w:jc w:val="both"/>
              <w:rPr>
                <w:noProof/>
              </w:rPr>
            </w:pPr>
            <w:r>
              <w:rPr>
                <w:b/>
                <w:noProof/>
              </w:rPr>
              <w:t>Съвместната рамка на ЕС—ОИСР/ММФО (Международната мрежа по финансово образование) за финансова компетентност</w:t>
            </w:r>
            <w:r>
              <w:rPr>
                <w:noProof/>
              </w:rPr>
              <w:t xml:space="preserve"> </w:t>
            </w:r>
            <w:r>
              <w:rPr>
                <w:b/>
                <w:noProof/>
              </w:rPr>
              <w:t>за деца и младежи</w:t>
            </w:r>
            <w:r>
              <w:rPr>
                <w:noProof/>
              </w:rPr>
              <w:t xml:space="preserve"> </w:t>
            </w:r>
            <w:r>
              <w:rPr>
                <w:b/>
                <w:noProof/>
              </w:rPr>
              <w:t>в Европейския съюз</w:t>
            </w:r>
            <w:r>
              <w:rPr>
                <w:noProof/>
              </w:rPr>
              <w:t xml:space="preserve"> има за цел да спомогне за подобряване на тяхната финансова грамотност, за да могат да вземат решения относно парите, които са в техен висш интерес, включително на по-късен етап от живота. </w:t>
            </w:r>
          </w:p>
          <w:p w14:paraId="7603DE88" w14:textId="4C5A8E7E" w:rsidR="006A1DFF" w:rsidRPr="0018291D" w:rsidRDefault="006A1DFF" w:rsidP="00C67017">
            <w:pPr>
              <w:pStyle w:val="Boxtitle"/>
              <w:jc w:val="both"/>
              <w:rPr>
                <w:rFonts w:ascii="Times New Roman" w:hAnsi="Times New Roman"/>
                <w:noProof/>
              </w:rPr>
            </w:pPr>
            <w:r>
              <w:rPr>
                <w:rFonts w:ascii="Times New Roman" w:hAnsi="Times New Roman"/>
                <w:noProof/>
              </w:rPr>
              <w:t>Ключови следващи стъпки:</w:t>
            </w:r>
          </w:p>
          <w:p w14:paraId="4719C9F8" w14:textId="6ED4ED61" w:rsidR="00FA6748" w:rsidRPr="008B675D" w:rsidRDefault="00FA6748" w:rsidP="00045BA7">
            <w:pPr>
              <w:pStyle w:val="Paragraphedelistebullets"/>
              <w:jc w:val="both"/>
              <w:rPr>
                <w:noProof/>
                <w:szCs w:val="24"/>
              </w:rPr>
            </w:pPr>
            <w:r>
              <w:rPr>
                <w:noProof/>
              </w:rPr>
              <w:t xml:space="preserve">В началото на 2024 г. Комисията ще актуализира </w:t>
            </w:r>
            <w:r>
              <w:rPr>
                <w:b/>
                <w:noProof/>
              </w:rPr>
              <w:t>рамката за качество на стажовете</w:t>
            </w:r>
            <w:r>
              <w:rPr>
                <w:noProof/>
              </w:rPr>
              <w:t>, която подкрепя прехода на младите хора от образование и безработица към заетост чрез качествени стажове.</w:t>
            </w:r>
          </w:p>
          <w:p w14:paraId="2423620C" w14:textId="7517310C" w:rsidR="007975A1" w:rsidRPr="006260B2" w:rsidRDefault="00CF252E" w:rsidP="00C67017">
            <w:pPr>
              <w:pStyle w:val="Paragraphedelistebullets"/>
              <w:jc w:val="both"/>
              <w:rPr>
                <w:noProof/>
              </w:rPr>
            </w:pPr>
            <w:r>
              <w:rPr>
                <w:noProof/>
              </w:rPr>
              <w:t xml:space="preserve">В рамките на </w:t>
            </w:r>
            <w:r>
              <w:rPr>
                <w:b/>
                <w:noProof/>
              </w:rPr>
              <w:t>Европейската гаранция за децата</w:t>
            </w:r>
            <w:r>
              <w:rPr>
                <w:noProof/>
              </w:rPr>
              <w:t xml:space="preserve"> 24 държави членки представиха национални планове за действие. Държавите членки ще докладват за напредъка по изпълнението на плановете на всеки две години (считано от март 2024 г.), а Комисията ще направи преглед на цялостния напредък през 2026 г. </w:t>
            </w:r>
          </w:p>
          <w:p w14:paraId="2BDE8A12" w14:textId="50A481E2" w:rsidR="009602FF" w:rsidRPr="006260B2" w:rsidRDefault="000E4590" w:rsidP="00C67017">
            <w:pPr>
              <w:pStyle w:val="Paragraphedelistebullets"/>
              <w:jc w:val="both"/>
              <w:rPr>
                <w:noProof/>
              </w:rPr>
            </w:pPr>
            <w:r>
              <w:rPr>
                <w:noProof/>
              </w:rPr>
              <w:t xml:space="preserve">През 2023 г. се провежда междинен преглед на изпълнението на </w:t>
            </w:r>
            <w:r>
              <w:rPr>
                <w:b/>
                <w:noProof/>
              </w:rPr>
              <w:t>европейското пространство за образование</w:t>
            </w:r>
            <w:r>
              <w:rPr>
                <w:noProof/>
              </w:rPr>
              <w:t>. През 2025 г. Комисията ще публикува окончателен доклад относно европейското пространство за образование.</w:t>
            </w:r>
          </w:p>
          <w:p w14:paraId="2F9F9F4D" w14:textId="5456578B" w:rsidR="00C86873" w:rsidRPr="006260B2" w:rsidRDefault="00D15736" w:rsidP="00C67017">
            <w:pPr>
              <w:pStyle w:val="Paragraphedelistebullets"/>
              <w:jc w:val="both"/>
              <w:rPr>
                <w:noProof/>
              </w:rPr>
            </w:pPr>
            <w:r>
              <w:rPr>
                <w:noProof/>
              </w:rPr>
              <w:t xml:space="preserve">Комисията следи напредъка към постигането на целите за 2025 г., определени в </w:t>
            </w:r>
            <w:r>
              <w:rPr>
                <w:b/>
                <w:noProof/>
              </w:rPr>
              <w:t>Европейската програма за умения</w:t>
            </w:r>
            <w:r>
              <w:rPr>
                <w:noProof/>
              </w:rPr>
              <w:t>.</w:t>
            </w:r>
          </w:p>
          <w:p w14:paraId="159616DE" w14:textId="309CD173" w:rsidR="005831F1" w:rsidRPr="006260B2" w:rsidRDefault="00032F0D" w:rsidP="00C67017">
            <w:pPr>
              <w:pStyle w:val="Paragraphedelistebullets"/>
              <w:jc w:val="both"/>
              <w:rPr>
                <w:noProof/>
              </w:rPr>
            </w:pPr>
            <w:r>
              <w:rPr>
                <w:noProof/>
              </w:rPr>
              <w:t xml:space="preserve">Неотдавнашните предложения на Комисията за </w:t>
            </w:r>
            <w:r>
              <w:rPr>
                <w:b/>
                <w:noProof/>
              </w:rPr>
              <w:t>препоръки на Съвета</w:t>
            </w:r>
            <w:r>
              <w:rPr>
                <w:noProof/>
              </w:rPr>
              <w:t xml:space="preserve">, ако бъдат одобрени от държавите членки, ще подкрепят националните органи и сектора на образованието и обучението при осигуряването на висококачествено, приобщаващо и достъпно </w:t>
            </w:r>
            <w:r>
              <w:rPr>
                <w:b/>
                <w:noProof/>
              </w:rPr>
              <w:t>цифрово образование и обучение</w:t>
            </w:r>
            <w:r>
              <w:rPr>
                <w:noProof/>
              </w:rPr>
              <w:t xml:space="preserve"> с цел развиване на </w:t>
            </w:r>
            <w:r>
              <w:rPr>
                <w:b/>
                <w:noProof/>
              </w:rPr>
              <w:t>цифровите умения</w:t>
            </w:r>
            <w:r>
              <w:rPr>
                <w:noProof/>
              </w:rPr>
              <w:t xml:space="preserve"> на европейските граждани.</w:t>
            </w:r>
          </w:p>
        </w:tc>
      </w:tr>
    </w:tbl>
    <w:p w14:paraId="62C17725" w14:textId="6CC49EEA" w:rsidR="00FC5346" w:rsidRPr="00C67017" w:rsidRDefault="002414F2" w:rsidP="00B36950">
      <w:pPr>
        <w:pStyle w:val="Heading2"/>
        <w:rPr>
          <w:noProof/>
        </w:rPr>
      </w:pPr>
      <w:r>
        <w:rPr>
          <w:noProof/>
        </w:rPr>
        <w:t>Разкриване на възможности пред по-възрастните поколения и поддържане на тяхното благосъстояние</w:t>
      </w:r>
    </w:p>
    <w:p w14:paraId="1A8CFCF6" w14:textId="19907A4F" w:rsidR="006E0510" w:rsidRDefault="008B07E8" w:rsidP="002E727D">
      <w:pPr>
        <w:rPr>
          <w:rStyle w:val="normaltextrun"/>
          <w:rFonts w:ascii="Times New Roman" w:hAnsi="Times New Roman" w:cs="Times New Roman"/>
          <w:b/>
          <w:bCs/>
          <w:noProof/>
          <w:color w:val="000000"/>
          <w:sz w:val="24"/>
          <w:shd w:val="clear" w:color="auto" w:fill="FFFFFF"/>
        </w:rPr>
      </w:pPr>
      <w:r>
        <w:rPr>
          <w:rStyle w:val="normaltextrun"/>
          <w:rFonts w:ascii="Times New Roman" w:hAnsi="Times New Roman"/>
          <w:b/>
          <w:noProof/>
          <w:color w:val="000000"/>
          <w:sz w:val="24"/>
          <w:shd w:val="clear" w:color="auto" w:fill="FFFFFF"/>
        </w:rPr>
        <w:t xml:space="preserve">В едно застаряващо общество е от решаващо значение да се даде възможност на възрастните работници да останат активни по-дълго време. </w:t>
      </w:r>
      <w:r>
        <w:rPr>
          <w:rFonts w:ascii="Times New Roman" w:hAnsi="Times New Roman"/>
          <w:noProof/>
          <w:sz w:val="24"/>
        </w:rPr>
        <w:t>Средното равнище на заетост на работниците на възраст между 55 и 64 години се е увеличило от 45 % през 2011 г. на 60,5 % през 2021 г. Различията между държавите членки в тази област обаче остават значителни, което показва, че все още е нужно допълнително подобрение.</w:t>
      </w:r>
      <w:r>
        <w:rPr>
          <w:rStyle w:val="normaltextrun"/>
          <w:rFonts w:ascii="Times New Roman" w:hAnsi="Times New Roman"/>
          <w:b/>
          <w:noProof/>
          <w:color w:val="000000"/>
          <w:sz w:val="24"/>
          <w:shd w:val="clear" w:color="auto" w:fill="FFFFFF"/>
        </w:rPr>
        <w:t xml:space="preserve"> </w:t>
      </w:r>
      <w:r>
        <w:rPr>
          <w:rFonts w:ascii="Times New Roman" w:hAnsi="Times New Roman"/>
          <w:noProof/>
          <w:sz w:val="24"/>
        </w:rPr>
        <w:t xml:space="preserve">По-дългият трудов живот може да позволи на хората да актуализират уменията си на работното място и да останат активни, като помага на работодателите да задържат персонала си и същевременно насърчава трансфера на знания за работна сила, която обхваща няколко поколения. По-гъвкавите схеми на работа подкрепят задържането на работа на възрастните работници, например с гъвкаво или намалено работно време, и дават възможност на хората, ако решат, да останат по-дълго на работа. Правото на работниците да поискат гъвкава работа (предоставено например в </w:t>
      </w:r>
      <w:r>
        <w:rPr>
          <w:rFonts w:ascii="Times New Roman" w:hAnsi="Times New Roman"/>
          <w:b/>
          <w:noProof/>
          <w:sz w:val="24"/>
        </w:rPr>
        <w:t>Белгия, Франция, Германия, Нидерландия</w:t>
      </w:r>
      <w:r>
        <w:rPr>
          <w:rFonts w:ascii="Times New Roman" w:hAnsi="Times New Roman"/>
          <w:noProof/>
          <w:sz w:val="24"/>
        </w:rPr>
        <w:t>) може да допринесе за културна промяна, водеща до по-приобщаващи работни практики и работни места.</w:t>
      </w:r>
    </w:p>
    <w:p w14:paraId="7591CB69" w14:textId="77777777" w:rsidR="00400585" w:rsidRPr="00A56B91" w:rsidRDefault="00400585" w:rsidP="00C67017">
      <w:pPr>
        <w:pStyle w:val="Subtitle"/>
        <w:spacing w:before="240"/>
        <w:rPr>
          <w:rStyle w:val="SubtitleChar"/>
          <w:rFonts w:ascii="Times New Roman" w:hAnsi="Times New Roman"/>
          <w:b/>
          <w:bCs/>
          <w:caps/>
          <w:noProof/>
          <w:sz w:val="24"/>
          <w:szCs w:val="24"/>
        </w:rPr>
      </w:pPr>
      <w:r>
        <w:rPr>
          <w:rFonts w:ascii="Times New Roman" w:hAnsi="Times New Roman"/>
          <w:noProof/>
          <w:sz w:val="24"/>
        </w:rPr>
        <w:t xml:space="preserve">Равнища на заетост по </w:t>
      </w:r>
      <w:r>
        <w:rPr>
          <w:rStyle w:val="SubtitleChar"/>
          <w:rFonts w:ascii="Times New Roman" w:hAnsi="Times New Roman"/>
          <w:b/>
          <w:caps/>
          <w:noProof/>
          <w:sz w:val="24"/>
        </w:rPr>
        <w:t>възрастови групи (%)</w:t>
      </w:r>
    </w:p>
    <w:p w14:paraId="2B2478E8" w14:textId="782A5EC7" w:rsidR="00400585" w:rsidRDefault="00400585" w:rsidP="00400585">
      <w:pPr>
        <w:rPr>
          <w:rFonts w:ascii="Times New Roman" w:hAnsi="Times New Roman" w:cs="Times New Roman"/>
          <w:noProof/>
          <w:sz w:val="24"/>
        </w:rPr>
      </w:pPr>
    </w:p>
    <w:p w14:paraId="71DCE775" w14:textId="1217D77A" w:rsidR="00955186" w:rsidRPr="00A56B91" w:rsidRDefault="00955186" w:rsidP="00400585">
      <w:pPr>
        <w:rPr>
          <w:rFonts w:ascii="Times New Roman" w:hAnsi="Times New Roman" w:cs="Times New Roman"/>
          <w:noProof/>
          <w:sz w:val="24"/>
        </w:rPr>
      </w:pPr>
      <w:r>
        <w:rPr>
          <w:noProof/>
          <w:lang w:val="en-GB" w:eastAsia="en-GB"/>
        </w:rPr>
        <w:drawing>
          <wp:inline distT="0" distB="0" distL="0" distR="0" wp14:anchorId="37B22748" wp14:editId="03052A09">
            <wp:extent cx="5943600" cy="2565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65400"/>
                    </a:xfrm>
                    <a:prstGeom prst="rect">
                      <a:avLst/>
                    </a:prstGeom>
                  </pic:spPr>
                </pic:pic>
              </a:graphicData>
            </a:graphic>
          </wp:inline>
        </w:drawing>
      </w:r>
    </w:p>
    <w:p w14:paraId="71F11D2D" w14:textId="77777777" w:rsidR="00045BA7" w:rsidRDefault="00045BA7" w:rsidP="000A39C7">
      <w:pPr>
        <w:rPr>
          <w:rFonts w:ascii="Times New Roman" w:hAnsi="Times New Roman" w:cs="Times New Roman"/>
          <w:b/>
          <w:noProof/>
          <w:sz w:val="24"/>
          <w:lang w:val="en-IE"/>
        </w:rPr>
      </w:pPr>
    </w:p>
    <w:p w14:paraId="73EDD878" w14:textId="4F98C2CD" w:rsidR="00B97FE3" w:rsidRDefault="003E64A5" w:rsidP="000A39C7">
      <w:pPr>
        <w:rPr>
          <w:rFonts w:ascii="Times New Roman" w:hAnsi="Times New Roman" w:cs="Times New Roman"/>
          <w:noProof/>
          <w:sz w:val="24"/>
        </w:rPr>
      </w:pPr>
      <w:r>
        <w:rPr>
          <w:rFonts w:ascii="Times New Roman" w:hAnsi="Times New Roman"/>
          <w:b/>
          <w:noProof/>
          <w:sz w:val="24"/>
        </w:rPr>
        <w:t>Предприятията и работниците трябва да работят заедно, за да адаптират работните практики и да променят предубежденията и стереотипите за поколенията.</w:t>
      </w:r>
      <w:r>
        <w:rPr>
          <w:rFonts w:ascii="Times New Roman" w:hAnsi="Times New Roman"/>
          <w:noProof/>
          <w:sz w:val="24"/>
        </w:rPr>
        <w:t xml:space="preserve"> Уважението към по-възрастните граждани и тяхното благополучие стои в основата на процъфтяващо „общество на дълголетието“ като цяло. В приетите от Комисията през 2020 г. и 2021 г.</w:t>
      </w:r>
      <w:r>
        <w:rPr>
          <w:rStyle w:val="FootnoteReference"/>
          <w:rFonts w:ascii="Times New Roman" w:hAnsi="Times New Roman" w:cs="Times New Roman"/>
          <w:noProof/>
          <w:sz w:val="24"/>
          <w:lang w:val="en-GB"/>
        </w:rPr>
        <w:footnoteReference w:id="35"/>
      </w:r>
      <w:r>
        <w:rPr>
          <w:rFonts w:ascii="Times New Roman" w:hAnsi="Times New Roman"/>
          <w:noProof/>
          <w:sz w:val="24"/>
        </w:rPr>
        <w:t xml:space="preserve"> стратегии за Съюза на равенство в рамките на съответните им правомощия се подчертава необходимостта от борба със стереотипите, с дискриминацията, основана на възрастта, от насърчаване на многообразието и приобщаването на работното място и се предоставят равни шансове на всички да дадат своя принос и да се развиват. Потенциалът на технологията за създаване на работно пространство, адаптирано към променящите се нужди през целия жизнен цикъл, следва да се използва пълноценно (напр. повишена наличност на ергономични работни станции, използване на така наречените „коботи“, или хибридни монтажни системи човека—машина, за да се намали рискът от травми от прекомерно натоварване). </w:t>
      </w:r>
    </w:p>
    <w:p w14:paraId="72010755" w14:textId="13A55340" w:rsidR="00843807" w:rsidRPr="00A56B91" w:rsidRDefault="006D3D0F" w:rsidP="002E727D">
      <w:pPr>
        <w:rPr>
          <w:rFonts w:ascii="Times New Roman" w:hAnsi="Times New Roman" w:cs="Times New Roman"/>
          <w:noProof/>
          <w:sz w:val="24"/>
        </w:rPr>
      </w:pPr>
      <w:r>
        <w:rPr>
          <w:rFonts w:ascii="Times New Roman" w:hAnsi="Times New Roman"/>
          <w:b/>
          <w:noProof/>
          <w:sz w:val="24"/>
        </w:rPr>
        <w:t xml:space="preserve">Застаряването на населението ще увеличи търсенето на финансово планиране на жизнения цикъл. </w:t>
      </w:r>
      <w:r>
        <w:rPr>
          <w:rFonts w:ascii="Times New Roman" w:hAnsi="Times New Roman"/>
          <w:noProof/>
          <w:sz w:val="24"/>
        </w:rPr>
        <w:t>Засиленото участие в допълнителни схеми за професионално и лично пенсионно осигуряване може да допълни пенсионните доходи, включително чрез структури, насочени към увеличаване на участието в професионални пенсионни схеми или в общоевропейския частен пенсионен продукт</w:t>
      </w:r>
      <w:r>
        <w:rPr>
          <w:rStyle w:val="FootnoteReference"/>
          <w:rFonts w:ascii="Times New Roman" w:hAnsi="Times New Roman" w:cs="Times New Roman"/>
          <w:noProof/>
          <w:sz w:val="24"/>
          <w:lang w:val="en-GB"/>
        </w:rPr>
        <w:footnoteReference w:id="36"/>
      </w:r>
      <w:r>
        <w:rPr>
          <w:noProof/>
        </w:rPr>
        <w:t>.</w:t>
      </w:r>
      <w:r>
        <w:rPr>
          <w:rFonts w:ascii="Times New Roman" w:hAnsi="Times New Roman"/>
          <w:noProof/>
          <w:sz w:val="24"/>
        </w:rPr>
        <w:t xml:space="preserve"> Постигането на по-добри резултати за гражданите, които инвестират, за да подготвят бъдещи събития (като например пенсиониране, образование на децата или достъп до жилищно настаняване), е ключова цел на съюза на капиталовите пазари</w:t>
      </w:r>
      <w:r>
        <w:rPr>
          <w:rStyle w:val="FootnoteReference"/>
          <w:rFonts w:ascii="Times New Roman" w:hAnsi="Times New Roman"/>
          <w:noProof/>
          <w:sz w:val="24"/>
        </w:rPr>
        <w:footnoteReference w:id="37"/>
      </w:r>
      <w:r>
        <w:rPr>
          <w:noProof/>
        </w:rPr>
        <w:t>.</w:t>
      </w:r>
      <w:r>
        <w:rPr>
          <w:rFonts w:ascii="Times New Roman" w:hAnsi="Times New Roman"/>
          <w:noProof/>
          <w:sz w:val="24"/>
        </w:rPr>
        <w:t xml:space="preserve"> Трансграничната интеграция на финансовите услуги може също така да подобри предоставянето на съответните финансови инструменти, като например застраховане за дългосрочни грижи. По-доброто финансово образование може да даде повече възможности на гражданите за това. Успоредно с това усилията за насърчаване на приобщаващ достъп до плащанията и банковите услуги могат да гарантират, че никой няма да бъде изоставен, по-специално възрастните хора. </w:t>
      </w:r>
    </w:p>
    <w:p w14:paraId="0FDC99A7" w14:textId="487784E8" w:rsidR="009C6BC1" w:rsidRPr="00A56B91" w:rsidRDefault="009C6BC1" w:rsidP="00563020">
      <w:pPr>
        <w:rPr>
          <w:rFonts w:ascii="Times New Roman" w:hAnsi="Times New Roman" w:cs="Times New Roman"/>
          <w:noProof/>
          <w:sz w:val="24"/>
        </w:rPr>
      </w:pPr>
      <w:r>
        <w:rPr>
          <w:rFonts w:ascii="Times New Roman" w:hAnsi="Times New Roman"/>
          <w:b/>
          <w:noProof/>
          <w:sz w:val="24"/>
        </w:rPr>
        <w:t>Насърчаването на здравето и профилактиката на заболяванията са ключови фактори за дълголетие в добро здраве.</w:t>
      </w:r>
      <w:r>
        <w:rPr>
          <w:rFonts w:ascii="Times New Roman" w:hAnsi="Times New Roman"/>
          <w:noProof/>
          <w:sz w:val="24"/>
        </w:rPr>
        <w:t xml:space="preserve"> С увеличаването на продължителността на живота тежестта на незаразните болести нараства, включително на раковите заболявания, които засягат непропорционално възрастните хора. Това изисква подобряване на наличността и достъпа до услуги за профилактика на заболяванията, диагностициране и лечение на незаразните болести. Здравословният начин на живот изисква всеобхватен, ориентиран към хората подход към услугите за полагане на грижи и оказване на подкрепа, който насърчава преминаването от лечение към насърчаване на здравето и профилактика на заболяванията; интеграция и координация на услугите в непрекъснатостта на грижите, автономността и независимия живот; както и насърчаване за всички поколения на активен и здравословен начин на живот, съчетан с добро психично здраве и благосъстояние, което може да включва услуги в полза на обществото и доброволчески дейности. Например в </w:t>
      </w:r>
      <w:r>
        <w:rPr>
          <w:rFonts w:ascii="Times New Roman" w:hAnsi="Times New Roman"/>
          <w:b/>
          <w:noProof/>
          <w:sz w:val="24"/>
        </w:rPr>
        <w:t>Румъния</w:t>
      </w:r>
      <w:r>
        <w:rPr>
          <w:rFonts w:ascii="Times New Roman" w:hAnsi="Times New Roman"/>
          <w:noProof/>
          <w:sz w:val="24"/>
        </w:rPr>
        <w:t xml:space="preserve"> с помощта на Механизма за възстановяване и устойчивост развитието на системата за електронно здравеопазване и телемедицина спомага за подобряване на достъпа до широк спектър от здравни услуги, по-специално в селските райони и малките градове.</w:t>
      </w:r>
    </w:p>
    <w:p w14:paraId="0B841962" w14:textId="7CC54857" w:rsidR="000A2452" w:rsidRPr="00A56B91" w:rsidRDefault="003A7A7F" w:rsidP="00563020">
      <w:pPr>
        <w:rPr>
          <w:rFonts w:ascii="Times New Roman" w:hAnsi="Times New Roman" w:cs="Times New Roman"/>
          <w:noProof/>
          <w:sz w:val="24"/>
        </w:rPr>
      </w:pPr>
      <w:r>
        <w:rPr>
          <w:rFonts w:ascii="Times New Roman" w:hAnsi="Times New Roman"/>
          <w:b/>
          <w:noProof/>
          <w:sz w:val="24"/>
        </w:rPr>
        <w:t>Здравеопазването и дългосрочните грижи трябва да бъдат укрепени и да станат по-ефективни от гледна точка на разходите, като същевременно се намали бедността в напреднала възраст, която засяга особено жените.</w:t>
      </w:r>
      <w:r>
        <w:rPr>
          <w:rFonts w:ascii="Times New Roman" w:hAnsi="Times New Roman"/>
          <w:noProof/>
          <w:sz w:val="24"/>
        </w:rPr>
        <w:t xml:space="preserve"> По-специално достъпните и висококачествени услуги за полагане на грижи могат да намалят отговорностите за полагане на грижи за приблизително 53 милиона лица, полагащи неформални грижи в ЕС, от които само 65 % работят на пълно работно време. Инвестирането в грижи е важно за привличането и задържането на таланти в сектора. Лицата, полагащи професионални грижи, трябва да се възползват от по-добри заплати и условия на труд и подходящо обучение, а съответните професии трябва да станат по-привлекателни, както е отразено например в пътната карта на </w:t>
      </w:r>
      <w:r>
        <w:rPr>
          <w:rFonts w:ascii="Times New Roman" w:hAnsi="Times New Roman"/>
          <w:b/>
          <w:noProof/>
          <w:sz w:val="24"/>
        </w:rPr>
        <w:t>Франция</w:t>
      </w:r>
      <w:r>
        <w:rPr>
          <w:rFonts w:ascii="Times New Roman" w:hAnsi="Times New Roman"/>
          <w:noProof/>
          <w:sz w:val="24"/>
        </w:rPr>
        <w:t xml:space="preserve"> в подкрепа на остаряването на френските граждани у дома</w:t>
      </w:r>
      <w:r>
        <w:rPr>
          <w:rStyle w:val="FootnoteReference"/>
          <w:rFonts w:ascii="Times New Roman" w:hAnsi="Times New Roman" w:cs="Times New Roman"/>
          <w:noProof/>
          <w:sz w:val="24"/>
          <w:lang w:val="en-GB"/>
        </w:rPr>
        <w:footnoteReference w:id="38"/>
      </w:r>
      <w:r>
        <w:rPr>
          <w:rFonts w:ascii="Times New Roman" w:hAnsi="Times New Roman"/>
          <w:noProof/>
          <w:sz w:val="24"/>
        </w:rPr>
        <w:t xml:space="preserve">. Работещите в сектора на здравеопазването също са засегнати от дисбаланси, свързани със застаряването на работниците, липсата на нови кадри, излизащи от медицинските учебни заведения, и силната международна конкуренция за лекари и медицински сестри. Тези дисбаланси се изострят на териториално равнище предвид необходимостта от рационализиране на предоставянето на здравни услуги в регионите с намаляващо население. При условие че ползвателите, както и специалистите в областта на здравеопазването и грижите притежават съответните цифрови умения, цифровите технологии могат да спомогнат за предоставянето на икономически ефективни и по-качествени услуги чрез цифрови здравни инструменти и помощни технологии. Освен това те могат да улеснят социалните контакти с цел намаляване на самотата, която засяга и психичното здраве. </w:t>
      </w:r>
    </w:p>
    <w:p w14:paraId="6ABA575A" w14:textId="5EB9E297" w:rsidR="00B97FE3" w:rsidRDefault="00DD1B45" w:rsidP="002E727D">
      <w:pPr>
        <w:rPr>
          <w:rFonts w:ascii="Times New Roman" w:hAnsi="Times New Roman" w:cs="Times New Roman"/>
          <w:b/>
          <w:bCs/>
          <w:noProof/>
          <w:sz w:val="24"/>
        </w:rPr>
      </w:pPr>
      <w:r>
        <w:rPr>
          <w:rFonts w:ascii="Times New Roman" w:hAnsi="Times New Roman"/>
          <w:b/>
          <w:noProof/>
          <w:color w:val="000000"/>
          <w:sz w:val="24"/>
        </w:rPr>
        <w:pict w14:anchorId="6AE6DF11">
          <v:roundrect id="_x0000_s2086" style="position:absolute;left:0;text-align:left;margin-left:276.55pt;margin-top:6.7pt;width:189.55pt;height:202.8pt;z-index:251658243;visibility:visible;mso-wrap-distance-left:14.2pt;mso-wrap-distance-right:14.2pt;mso-wrap-distance-bottom:14.2pt;mso-position-horizontal-relative:margin;mso-width-relative:margin;mso-height-relative:margin;v-text-anchor:middle" arcsize="3477f" fillcolor="#def8f8 [664]" strokecolor="#5fdfdc [3208]" strokeweight="2.5pt">
            <v:stroke joinstyle="miter"/>
            <v:shadow color="#868686"/>
            <v:textbox style="mso-next-textbox:#_x0000_s2086">
              <w:txbxContent>
                <w:p w14:paraId="296FDFA1" w14:textId="77777777" w:rsidR="00045BA7" w:rsidRPr="00241384" w:rsidRDefault="00045BA7" w:rsidP="00045BA7">
                  <w:pPr>
                    <w:pStyle w:val="Framebody"/>
                    <w:rPr>
                      <w:sz w:val="24"/>
                      <w:szCs w:val="24"/>
                    </w:rPr>
                  </w:pPr>
                  <w:r>
                    <w:rPr>
                      <w:b/>
                      <w:sz w:val="24"/>
                    </w:rPr>
                    <w:t>Гаранцията за пригодност за заетост на Италия</w:t>
                  </w:r>
                  <w:r>
                    <w:rPr>
                      <w:sz w:val="24"/>
                    </w:rPr>
                    <w:t xml:space="preserve"> има за цел да помогне на хората да се интегрират на пазара на труда, като специално внимание се обръща на жените, дълготрайно безработните, работниците с увреждания, младите хора и възрастните работници. За инициативата е отпуснат бюджет в размер на 4,4 милиарда евро от NextGeneration EU. </w:t>
                  </w:r>
                </w:p>
              </w:txbxContent>
            </v:textbox>
            <w10:wrap type="square" anchorx="margin"/>
          </v:roundrect>
        </w:pict>
      </w:r>
      <w:r w:rsidR="00C67017">
        <w:rPr>
          <w:rStyle w:val="normaltextrun"/>
          <w:rFonts w:ascii="Times New Roman" w:hAnsi="Times New Roman"/>
          <w:b/>
          <w:noProof/>
          <w:color w:val="000000"/>
          <w:sz w:val="24"/>
          <w:shd w:val="clear" w:color="auto" w:fill="FFFFFF"/>
        </w:rPr>
        <w:t xml:space="preserve">За да се гарантират адекватни и устойчиви пенсии, пенсионните реформи трябва да бъдат придружени от подкрепа за политиките на пазара на труда. </w:t>
      </w:r>
      <w:r w:rsidR="00C67017">
        <w:rPr>
          <w:rFonts w:ascii="Times New Roman" w:hAnsi="Times New Roman"/>
          <w:noProof/>
          <w:sz w:val="24"/>
        </w:rPr>
        <w:t>Много държави членки проведоха пенсионни реформи през последните две десетилетия, като увеличиха законоустановената пенсионна възраст и адаптираха условията. Някои държави членки обаче все още изостават</w:t>
      </w:r>
      <w:r w:rsidR="00C67017">
        <w:rPr>
          <w:rStyle w:val="FootnoteReference"/>
          <w:rFonts w:ascii="Times New Roman" w:hAnsi="Times New Roman" w:cs="Times New Roman"/>
          <w:noProof/>
          <w:sz w:val="24"/>
          <w:lang w:val="en-GB"/>
        </w:rPr>
        <w:footnoteReference w:id="39"/>
      </w:r>
      <w:r w:rsidR="00C67017">
        <w:rPr>
          <w:rFonts w:ascii="Times New Roman" w:hAnsi="Times New Roman"/>
          <w:noProof/>
          <w:sz w:val="24"/>
        </w:rPr>
        <w:t xml:space="preserve">, а пенсионните реформи изискват съпътстващи мерки, за да дадат резултати. Те включват реформи на пазара на труда с цел предоставяне на съобразена с нуждите помощ и възможности за учене през целия живот, стимулиране на активното търсене на работа и предлагане на субсидии за заетост за възрастните работници като използваните в целевата „инициатива за заетост 50+“ на </w:t>
      </w:r>
      <w:r w:rsidR="00C67017">
        <w:rPr>
          <w:rFonts w:ascii="Times New Roman" w:hAnsi="Times New Roman"/>
          <w:b/>
          <w:noProof/>
          <w:sz w:val="24"/>
        </w:rPr>
        <w:t>Австрия</w:t>
      </w:r>
      <w:r w:rsidR="00C67017">
        <w:rPr>
          <w:rFonts w:ascii="Times New Roman" w:hAnsi="Times New Roman"/>
          <w:noProof/>
          <w:sz w:val="24"/>
        </w:rPr>
        <w:t>. Такива активни политики по заетостта са от съществено значение, за да се помогне на дълготрайно безработните да останат на пазара на труда, като същевременно се зачитат различните им потребности. Възрастните хора, които желаят да работят след пенсионна възраст, следва да получат подкрепа за това. Адаптирането на политиката следва да осигури привлекателни възможности за отлагане на пенсионирането и премахване на ограниченията за доходите и други пречки.</w:t>
      </w:r>
    </w:p>
    <w:p w14:paraId="5A5811F4" w14:textId="52899631" w:rsidR="00DE3922" w:rsidRPr="00A56B91" w:rsidRDefault="003A7A7F" w:rsidP="002E727D">
      <w:pPr>
        <w:rPr>
          <w:rFonts w:ascii="Times New Roman" w:hAnsi="Times New Roman" w:cs="Times New Roman"/>
          <w:noProof/>
          <w:sz w:val="24"/>
        </w:rPr>
      </w:pPr>
      <w:r>
        <w:rPr>
          <w:rFonts w:ascii="Times New Roman" w:hAnsi="Times New Roman"/>
          <w:b/>
          <w:noProof/>
          <w:sz w:val="24"/>
        </w:rPr>
        <w:t xml:space="preserve">Фискалната устойчивост и адекватност могат да бъдат засилени чрез подобряване на състава на публичните финанси и приходната база на системите за социална закрила. </w:t>
      </w:r>
      <w:r>
        <w:rPr>
          <w:rFonts w:ascii="Times New Roman" w:hAnsi="Times New Roman"/>
          <w:noProof/>
          <w:sz w:val="24"/>
        </w:rPr>
        <w:t>Въпреки че приходите, генерирани от трудовите доходи</w:t>
      </w:r>
      <w:r>
        <w:rPr>
          <w:rStyle w:val="FootnoteReference"/>
          <w:rFonts w:ascii="Times New Roman" w:hAnsi="Times New Roman" w:cs="Times New Roman"/>
          <w:noProof/>
          <w:sz w:val="24"/>
        </w:rPr>
        <w:footnoteReference w:id="40"/>
      </w:r>
      <w:r>
        <w:rPr>
          <w:rFonts w:ascii="Times New Roman" w:hAnsi="Times New Roman"/>
          <w:noProof/>
          <w:sz w:val="24"/>
        </w:rPr>
        <w:t>, ще продължат да играят роля за финансирането на социалната държава, е необходимо по-цялостно обмисляне на оптималния данъчен микс с оглед на демографските тенденции, включително чрез оценка на възможностите за засилено данъчно облагане на капитала, за да се компенсира намаляващият дял на данъците върху труда. Освен това съставът на публичните финанси може да стане по-благоприятен за растежа, заетостта и околната среда чрез изместване на данъчната тежест от труда</w:t>
      </w:r>
      <w:r>
        <w:rPr>
          <w:rStyle w:val="FootnoteReference"/>
          <w:rFonts w:ascii="Times New Roman" w:eastAsia="Calibri" w:hAnsi="Times New Roman" w:cs="Times New Roman"/>
          <w:noProof/>
          <w:sz w:val="24"/>
          <w:lang w:val="en-GB"/>
        </w:rPr>
        <w:footnoteReference w:id="41"/>
      </w:r>
      <w:r>
        <w:rPr>
          <w:rFonts w:ascii="Times New Roman" w:hAnsi="Times New Roman"/>
          <w:noProof/>
          <w:sz w:val="24"/>
        </w:rPr>
        <w:t xml:space="preserve"> към енергийно и екологично данъчно облагане. От 2022 г. насам Комисията организира годишен симпозиум по данъчни въпроси, на който се събират създатели на политики, представители на академичните среди, предприятията и гражданското общество, за да обмислят как да адаптираме нашия данъчен микс до 2050 г. И накрая, намаляването на нископриоритетните или неефективните разходи може да спомогне за приоритизирането и подобряването на ефективността на публичните бюджети.</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1" w:themeFillTint="33"/>
        <w:tblCellMar>
          <w:top w:w="142" w:type="dxa"/>
          <w:left w:w="142" w:type="dxa"/>
          <w:bottom w:w="142" w:type="dxa"/>
          <w:right w:w="142" w:type="dxa"/>
        </w:tblCellMar>
        <w:tblLook w:val="04A0" w:firstRow="1" w:lastRow="0" w:firstColumn="1" w:lastColumn="0" w:noHBand="0" w:noVBand="1"/>
      </w:tblPr>
      <w:tblGrid>
        <w:gridCol w:w="9356"/>
      </w:tblGrid>
      <w:tr w:rsidR="003A49A2" w:rsidRPr="00A56B91" w14:paraId="584AD105" w14:textId="77777777" w:rsidTr="00F82902">
        <w:tc>
          <w:tcPr>
            <w:tcW w:w="9356" w:type="dxa"/>
            <w:shd w:val="clear" w:color="auto" w:fill="FFF2CC" w:themeFill="accent1" w:themeFillTint="33"/>
          </w:tcPr>
          <w:p w14:paraId="35FB77A4" w14:textId="1D5012E9" w:rsidR="003A49A2" w:rsidRPr="00A56B91" w:rsidRDefault="003A49A2" w:rsidP="00C67017">
            <w:pPr>
              <w:pStyle w:val="Boxtitle"/>
              <w:jc w:val="both"/>
              <w:rPr>
                <w:rFonts w:ascii="Times New Roman" w:hAnsi="Times New Roman"/>
                <w:noProof/>
              </w:rPr>
            </w:pPr>
            <w:r>
              <w:rPr>
                <w:rFonts w:ascii="Times New Roman" w:hAnsi="Times New Roman"/>
                <w:noProof/>
              </w:rPr>
              <w:t>Основни инструменти на равнище ЕС:</w:t>
            </w:r>
          </w:p>
          <w:p w14:paraId="6E654B44" w14:textId="7E3CFF75" w:rsidR="009428F7" w:rsidRPr="006260B2" w:rsidRDefault="00C760C2" w:rsidP="00C67017">
            <w:pPr>
              <w:pStyle w:val="Paragraphedelistebullets"/>
              <w:jc w:val="both"/>
              <w:rPr>
                <w:noProof/>
              </w:rPr>
            </w:pPr>
            <w:r>
              <w:rPr>
                <w:b/>
                <w:noProof/>
              </w:rPr>
              <w:t>Рамковата директива на ЕС относно здравословните и безопасни условия на труд</w:t>
            </w:r>
            <w:r>
              <w:rPr>
                <w:rStyle w:val="FootnoteReference"/>
                <w:noProof/>
              </w:rPr>
              <w:footnoteReference w:id="42"/>
            </w:r>
            <w:r>
              <w:rPr>
                <w:noProof/>
              </w:rPr>
              <w:t xml:space="preserve"> има за цел да се гарантират безопасността и здравето на хората на работното място.</w:t>
            </w:r>
          </w:p>
          <w:p w14:paraId="11588B6E" w14:textId="2FA4F9A2" w:rsidR="00664E2E" w:rsidRPr="006260B2" w:rsidRDefault="004F6050" w:rsidP="00C67017">
            <w:pPr>
              <w:pStyle w:val="Paragraphedelistebullets"/>
              <w:jc w:val="both"/>
              <w:rPr>
                <w:noProof/>
              </w:rPr>
            </w:pPr>
            <w:r>
              <w:rPr>
                <w:b/>
                <w:noProof/>
              </w:rPr>
              <w:t>Директивата за равно третиране в областта на заетостта</w:t>
            </w:r>
            <w:r>
              <w:rPr>
                <w:rStyle w:val="FootnoteReference"/>
                <w:noProof/>
                <w:szCs w:val="24"/>
              </w:rPr>
              <w:footnoteReference w:id="43"/>
            </w:r>
            <w:r>
              <w:rPr>
                <w:noProof/>
              </w:rPr>
              <w:t xml:space="preserve"> осигурява защита срещу основаната на възрастта дискриминация на работното място. </w:t>
            </w:r>
          </w:p>
          <w:p w14:paraId="5DCEDCF1" w14:textId="7677287E" w:rsidR="0018760B" w:rsidRPr="006260B2" w:rsidRDefault="0018760B" w:rsidP="00C67017">
            <w:pPr>
              <w:pStyle w:val="Paragraphedelistebullets"/>
              <w:jc w:val="both"/>
              <w:rPr>
                <w:noProof/>
              </w:rPr>
            </w:pPr>
            <w:r>
              <w:rPr>
                <w:b/>
                <w:noProof/>
              </w:rPr>
              <w:t xml:space="preserve">Препоръката на Съвета относно интеграцията на дълготрайно безработните лица </w:t>
            </w:r>
            <w:r>
              <w:rPr>
                <w:noProof/>
              </w:rPr>
              <w:t>на пазара на труда</w:t>
            </w:r>
            <w:r>
              <w:rPr>
                <w:rStyle w:val="FootnoteReference"/>
                <w:noProof/>
              </w:rPr>
              <w:footnoteReference w:id="44"/>
            </w:r>
            <w:r>
              <w:rPr>
                <w:noProof/>
              </w:rPr>
              <w:t xml:space="preserve"> предлага насоки на политиката за мерки за активизиране на национално равнище.</w:t>
            </w:r>
          </w:p>
          <w:p w14:paraId="0B2994A4" w14:textId="53C59309" w:rsidR="003A49A2" w:rsidRPr="006260B2" w:rsidRDefault="00003C06" w:rsidP="00C67017">
            <w:pPr>
              <w:pStyle w:val="Paragraphedelistebullets"/>
              <w:jc w:val="both"/>
              <w:rPr>
                <w:noProof/>
              </w:rPr>
            </w:pPr>
            <w:r>
              <w:rPr>
                <w:noProof/>
              </w:rPr>
              <w:t xml:space="preserve">В рамките на европейската стратегия за полагане на грижи </w:t>
            </w:r>
            <w:r>
              <w:rPr>
                <w:b/>
                <w:noProof/>
              </w:rPr>
              <w:t>Препоръката на Съвета относно достъпа до финансово приемливи висококачествени дългосрочни грижи</w:t>
            </w:r>
            <w:r>
              <w:rPr>
                <w:rStyle w:val="FootnoteReference"/>
                <w:noProof/>
              </w:rPr>
              <w:footnoteReference w:id="45"/>
            </w:r>
            <w:r>
              <w:rPr>
                <w:noProof/>
              </w:rPr>
              <w:t xml:space="preserve"> предоставя насоки на държавите членки за укрепване на адекватността, наличието и качеството на дългосрочните грижи за всички, които се нуждаят от тях, и за подобряване на условията на труд на лицата, полагащи грижи.</w:t>
            </w:r>
          </w:p>
          <w:p w14:paraId="553804AF" w14:textId="05B6DACD" w:rsidR="003A49A2" w:rsidRPr="006260B2" w:rsidRDefault="00B34E64" w:rsidP="00C67017">
            <w:pPr>
              <w:pStyle w:val="Paragraphedelistebullets"/>
              <w:jc w:val="both"/>
              <w:rPr>
                <w:noProof/>
              </w:rPr>
            </w:pPr>
            <w:r>
              <w:rPr>
                <w:b/>
                <w:noProof/>
              </w:rPr>
              <w:t>Препоръката на Съвета относно адекватен минимален доход, гарантиращ активно приобщаване</w:t>
            </w:r>
            <w:r>
              <w:rPr>
                <w:rStyle w:val="FootnoteReference"/>
                <w:noProof/>
              </w:rPr>
              <w:footnoteReference w:id="46"/>
            </w:r>
            <w:r>
              <w:rPr>
                <w:noProof/>
              </w:rPr>
              <w:t>, помага на държавите членки да реформират своите предпазни мрежи за социална сигурност чрез насърчаване на подходящо подпомагане на доходите, обхват и усвояване, достъп до услуги и интеграция на пазара на труда.</w:t>
            </w:r>
          </w:p>
          <w:p w14:paraId="40BDE707" w14:textId="52F49EEC" w:rsidR="00BA48F2" w:rsidRPr="006260B2" w:rsidRDefault="00E375F9" w:rsidP="00C67017">
            <w:pPr>
              <w:pStyle w:val="Paragraphedelistebullets"/>
              <w:jc w:val="both"/>
              <w:rPr>
                <w:noProof/>
              </w:rPr>
            </w:pPr>
            <w:r>
              <w:rPr>
                <w:b/>
                <w:noProof/>
              </w:rPr>
              <w:t>Европейският акт за достъпността</w:t>
            </w:r>
            <w:r>
              <w:rPr>
                <w:rStyle w:val="FootnoteReference"/>
                <w:noProof/>
              </w:rPr>
              <w:footnoteReference w:id="47"/>
            </w:r>
            <w:r>
              <w:rPr>
                <w:noProof/>
              </w:rPr>
              <w:t xml:space="preserve"> прави основните продукти и услуги по-достъпни за възрастните хора и хората с увреждания, включително електронните услуги и някои елементи на транспортните услуги.</w:t>
            </w:r>
          </w:p>
          <w:p w14:paraId="1D4E7E07" w14:textId="71652B26" w:rsidR="00640576" w:rsidRDefault="00C64698" w:rsidP="00045BA7">
            <w:pPr>
              <w:pStyle w:val="Paragraphedelistebullets"/>
              <w:jc w:val="both"/>
              <w:rPr>
                <w:noProof/>
              </w:rPr>
            </w:pPr>
            <w:r>
              <w:rPr>
                <w:b/>
                <w:noProof/>
              </w:rPr>
              <w:t>Инициативата „По-здрави заедно“</w:t>
            </w:r>
            <w:r>
              <w:rPr>
                <w:noProof/>
              </w:rPr>
              <w:t xml:space="preserve"> помага на държавите от ЕС да намалят тежестта на по-значимите болести и да подобрят здравето и благосъстоянието на гражданите, като по този начин допринасят за остаряването в добро здраве. </w:t>
            </w:r>
          </w:p>
          <w:p w14:paraId="3F730A50" w14:textId="51354445" w:rsidR="00AB556B" w:rsidRPr="006260B2" w:rsidRDefault="00640576" w:rsidP="00C67017">
            <w:pPr>
              <w:pStyle w:val="Paragraphedelistebullets"/>
              <w:jc w:val="both"/>
              <w:rPr>
                <w:noProof/>
              </w:rPr>
            </w:pPr>
            <w:r>
              <w:rPr>
                <w:noProof/>
              </w:rPr>
              <w:t xml:space="preserve">С </w:t>
            </w:r>
            <w:r>
              <w:rPr>
                <w:b/>
                <w:noProof/>
              </w:rPr>
              <w:t>всеобхватния подход към психичното здраве</w:t>
            </w:r>
            <w:r>
              <w:rPr>
                <w:noProof/>
              </w:rPr>
              <w:t xml:space="preserve"> се предлагат 20 водещи инициативи и се определя подкрепа от ЕС в размер на 1,23 милиарда евро за дейности за насърчаване на доброто психично здраве сред поколенията, с фокус върху уязвимите групи.</w:t>
            </w:r>
          </w:p>
          <w:p w14:paraId="4559462D" w14:textId="5DCCFEC4" w:rsidR="00470295" w:rsidRPr="00C55E7D" w:rsidRDefault="00470295" w:rsidP="00045BA7">
            <w:pPr>
              <w:pStyle w:val="Paragraphedelistebullets"/>
              <w:jc w:val="both"/>
              <w:rPr>
                <w:noProof/>
              </w:rPr>
            </w:pPr>
            <w:r>
              <w:rPr>
                <w:b/>
                <w:noProof/>
              </w:rPr>
              <w:t>Европейският план за борба с рака</w:t>
            </w:r>
            <w:r>
              <w:rPr>
                <w:noProof/>
              </w:rPr>
              <w:t xml:space="preserve"> подкрепя, координира и допълва действията на държавите членки за намаляване на тежестта на раковите заболявания през целия цикъл на заболяването, включително с </w:t>
            </w:r>
            <w:r>
              <w:rPr>
                <w:b/>
                <w:noProof/>
              </w:rPr>
              <w:t>Препоръката на Съвета относно нов подход на ЕС към скрининга за рак</w:t>
            </w:r>
            <w:r>
              <w:rPr>
                <w:rStyle w:val="FootnoteReference"/>
                <w:noProof/>
                <w:szCs w:val="24"/>
              </w:rPr>
              <w:footnoteReference w:id="48"/>
            </w:r>
            <w:r>
              <w:rPr>
                <w:noProof/>
              </w:rPr>
              <w:t>.</w:t>
            </w:r>
          </w:p>
          <w:p w14:paraId="22461DAA" w14:textId="77777777" w:rsidR="00377A64" w:rsidRPr="006260B2" w:rsidRDefault="003A49A2" w:rsidP="00C67017">
            <w:pPr>
              <w:pStyle w:val="Paragraphedelistebullets"/>
              <w:jc w:val="both"/>
              <w:rPr>
                <w:noProof/>
              </w:rPr>
            </w:pPr>
            <w:r>
              <w:rPr>
                <w:b/>
                <w:noProof/>
              </w:rPr>
              <w:t>Паневропейският персонален пенсионен продукт</w:t>
            </w:r>
            <w:r>
              <w:rPr>
                <w:noProof/>
              </w:rPr>
              <w:t xml:space="preserve"> е доброволна схема за лично пенсионно осигуряване, чрез която финансовите институции ще предлагат на гражданите нова възможност за спестяване за пенсиониране. </w:t>
            </w:r>
          </w:p>
          <w:p w14:paraId="52737E3D" w14:textId="7A02B030" w:rsidR="001C4012" w:rsidRPr="006260B2" w:rsidRDefault="001C4012" w:rsidP="00C67017">
            <w:pPr>
              <w:pStyle w:val="Paragraphedelistebullets"/>
              <w:jc w:val="both"/>
              <w:rPr>
                <w:noProof/>
              </w:rPr>
            </w:pPr>
            <w:r>
              <w:rPr>
                <w:b/>
                <w:noProof/>
              </w:rPr>
              <w:t>Рамката на ЕС и ММФО (Международната мрежа за финансово образоване) към ОИСР за финансова компетентност</w:t>
            </w:r>
            <w:r>
              <w:rPr>
                <w:noProof/>
              </w:rPr>
              <w:t xml:space="preserve"> за възрастни в Европейския съюз насърчава финансовите умения на възрастните чрез подкрепа, наред с другото, на програми за финансова грамотност и обмен на добри практики.</w:t>
            </w:r>
          </w:p>
          <w:p w14:paraId="2E08131C" w14:textId="47530AE1" w:rsidR="00C55E7D" w:rsidRPr="007640CE" w:rsidRDefault="00C55E7D" w:rsidP="00045BA7">
            <w:pPr>
              <w:pStyle w:val="Paragraphedelistebullets"/>
              <w:jc w:val="both"/>
              <w:rPr>
                <w:noProof/>
              </w:rPr>
            </w:pPr>
            <w:r>
              <w:rPr>
                <w:b/>
                <w:noProof/>
              </w:rPr>
              <w:t>Калкулаторът на отпечатъка на потребителите</w:t>
            </w:r>
            <w:r>
              <w:rPr>
                <w:rStyle w:val="FootnoteReference"/>
                <w:noProof/>
                <w:szCs w:val="24"/>
              </w:rPr>
              <w:footnoteReference w:id="49"/>
            </w:r>
            <w:r>
              <w:rPr>
                <w:noProof/>
              </w:rPr>
              <w:t xml:space="preserve"> позволява на гражданите да преценяват своя отпечатък върху околната среда и предлага съвети за пренасочване на поведението към по-устойчиви модели.</w:t>
            </w:r>
          </w:p>
          <w:p w14:paraId="61D802AF" w14:textId="7FF18F90" w:rsidR="0043217B" w:rsidRPr="00A56B91" w:rsidRDefault="00590F38" w:rsidP="00C67017">
            <w:pPr>
              <w:pStyle w:val="Boxtitle"/>
              <w:jc w:val="both"/>
              <w:rPr>
                <w:rFonts w:ascii="Times New Roman" w:hAnsi="Times New Roman"/>
                <w:noProof/>
              </w:rPr>
            </w:pPr>
            <w:r>
              <w:rPr>
                <w:rFonts w:ascii="Times New Roman" w:hAnsi="Times New Roman"/>
                <w:noProof/>
              </w:rPr>
              <w:t xml:space="preserve">Ключови следващи стъпки: </w:t>
            </w:r>
          </w:p>
          <w:p w14:paraId="7E6608A5" w14:textId="4E308ACE" w:rsidR="00B66BED" w:rsidRPr="00C67017" w:rsidRDefault="008C5EE0" w:rsidP="00C67017">
            <w:pPr>
              <w:pStyle w:val="Paragraphedelistebullets"/>
              <w:jc w:val="both"/>
              <w:rPr>
                <w:noProof/>
              </w:rPr>
            </w:pPr>
            <w:r>
              <w:rPr>
                <w:noProof/>
              </w:rPr>
              <w:t>Комисията призовава съзаконодателите да работят за бързо постигане на споразумение по предложенията си за</w:t>
            </w:r>
            <w:r>
              <w:rPr>
                <w:b/>
                <w:noProof/>
              </w:rPr>
              <w:t xml:space="preserve"> стандарти за органите по въпросите на равенството</w:t>
            </w:r>
            <w:r>
              <w:rPr>
                <w:rStyle w:val="FootnoteReference"/>
                <w:noProof/>
              </w:rPr>
              <w:footnoteReference w:id="50"/>
            </w:r>
            <w:r>
              <w:rPr>
                <w:noProof/>
              </w:rPr>
              <w:t xml:space="preserve">. </w:t>
            </w:r>
          </w:p>
          <w:p w14:paraId="2867DF89" w14:textId="7188B3DF" w:rsidR="008C5EE0" w:rsidRPr="006260B2" w:rsidRDefault="00100C69" w:rsidP="00C67017">
            <w:pPr>
              <w:pStyle w:val="Paragraphedelistebullets"/>
              <w:jc w:val="both"/>
              <w:rPr>
                <w:b/>
                <w:noProof/>
              </w:rPr>
            </w:pPr>
            <w:r>
              <w:rPr>
                <w:b/>
                <w:noProof/>
              </w:rPr>
              <w:t>Групата на високо равнище по въпросите на недискриминацията, равенството и многообразието</w:t>
            </w:r>
            <w:r>
              <w:rPr>
                <w:noProof/>
              </w:rPr>
              <w:t xml:space="preserve"> насърчава обмена на практики в областта на равенството между възрастовите групи и борбата с възрастовата дискриминация и ще публикува документ за резултатите през пролетта на 2024 г.</w:t>
            </w:r>
          </w:p>
          <w:p w14:paraId="3F21C9AA" w14:textId="25FDEC5D" w:rsidR="000E4084" w:rsidRPr="006260B2" w:rsidRDefault="000E4084" w:rsidP="00C67017">
            <w:pPr>
              <w:pStyle w:val="Paragraphedelistebullets"/>
              <w:jc w:val="both"/>
              <w:rPr>
                <w:b/>
                <w:noProof/>
                <w:u w:val="single"/>
              </w:rPr>
            </w:pPr>
            <w:r>
              <w:rPr>
                <w:noProof/>
              </w:rPr>
              <w:t xml:space="preserve">До юни 2024 г. на държавите членки се препоръчва да информират Комисията за мерките, изпълнени или планирани съгласно </w:t>
            </w:r>
            <w:r>
              <w:rPr>
                <w:b/>
                <w:noProof/>
              </w:rPr>
              <w:t>Препоръката на Съвета относно достъпа до финансово приемливи висококачествени дългосрочни грижи</w:t>
            </w:r>
            <w:r>
              <w:rPr>
                <w:noProof/>
              </w:rPr>
              <w:t>, които допълват непрекъснатото наблюдение и подкрепа за националните реформи.</w:t>
            </w:r>
          </w:p>
          <w:p w14:paraId="52821954" w14:textId="31726BCE" w:rsidR="005831F1" w:rsidRPr="006260B2" w:rsidRDefault="00A26753" w:rsidP="00C67017">
            <w:pPr>
              <w:pStyle w:val="Paragraphedelistebullets"/>
              <w:jc w:val="both"/>
              <w:rPr>
                <w:noProof/>
              </w:rPr>
            </w:pPr>
            <w:r>
              <w:rPr>
                <w:noProof/>
              </w:rPr>
              <w:t xml:space="preserve">Носителите на </w:t>
            </w:r>
            <w:r>
              <w:rPr>
                <w:b/>
                <w:noProof/>
              </w:rPr>
              <w:t>наградата „Достъпен град“ за 2024 г.</w:t>
            </w:r>
            <w:r>
              <w:rPr>
                <w:noProof/>
              </w:rPr>
              <w:t xml:space="preserve"> ще бъдат обявени по време на конференцията за отбелязване на Международния ден на хората с увреждания през декември 2023 г. </w:t>
            </w:r>
          </w:p>
          <w:p w14:paraId="2E6B581C" w14:textId="13C6CC38" w:rsidR="00337893" w:rsidRDefault="00337893" w:rsidP="00045BA7">
            <w:pPr>
              <w:pStyle w:val="Paragraphedelistebullets"/>
              <w:jc w:val="both"/>
              <w:rPr>
                <w:noProof/>
              </w:rPr>
            </w:pPr>
            <w:r>
              <w:rPr>
                <w:noProof/>
              </w:rPr>
              <w:t xml:space="preserve">През 2024 г. Комисията ще публикува </w:t>
            </w:r>
            <w:r>
              <w:rPr>
                <w:b/>
                <w:noProof/>
              </w:rPr>
              <w:t>доклада за адекватността на пенсиите</w:t>
            </w:r>
            <w:r>
              <w:rPr>
                <w:noProof/>
              </w:rPr>
              <w:t xml:space="preserve"> (съвместно с Комитета за социална закрила) и </w:t>
            </w:r>
            <w:r>
              <w:rPr>
                <w:b/>
                <w:noProof/>
              </w:rPr>
              <w:t>доклада за застаряването на населението</w:t>
            </w:r>
            <w:r>
              <w:rPr>
                <w:noProof/>
              </w:rPr>
              <w:t xml:space="preserve"> (съвместно с групата по въпросите на застаряването).</w:t>
            </w:r>
          </w:p>
          <w:p w14:paraId="0FAF6F3B" w14:textId="02291B80" w:rsidR="00FD693E" w:rsidRPr="006260B2" w:rsidRDefault="00FD693E" w:rsidP="00C67017">
            <w:pPr>
              <w:pStyle w:val="Paragraphedelistebullets"/>
              <w:jc w:val="both"/>
              <w:rPr>
                <w:noProof/>
              </w:rPr>
            </w:pPr>
            <w:r>
              <w:rPr>
                <w:noProof/>
              </w:rPr>
              <w:t xml:space="preserve">До декември 2025 г. на държавите членки се препоръчва да докладват за изпълнението на </w:t>
            </w:r>
            <w:r>
              <w:rPr>
                <w:b/>
                <w:noProof/>
              </w:rPr>
              <w:t>Препоръката на Съвета относно нов подход на ЕС към скрининга за рак</w:t>
            </w:r>
            <w:r>
              <w:rPr>
                <w:noProof/>
              </w:rPr>
              <w:t>.</w:t>
            </w:r>
          </w:p>
        </w:tc>
      </w:tr>
    </w:tbl>
    <w:p w14:paraId="549B7D79" w14:textId="4454A1DD" w:rsidR="002414F2" w:rsidRPr="00C67017" w:rsidRDefault="002C7FBD" w:rsidP="00B36950">
      <w:pPr>
        <w:pStyle w:val="Heading2"/>
        <w:rPr>
          <w:noProof/>
        </w:rPr>
      </w:pPr>
      <w:r>
        <w:rPr>
          <w:noProof/>
        </w:rPr>
        <w:t>Недостиг на работна ръка и управлявана законна миграция</w:t>
      </w:r>
    </w:p>
    <w:p w14:paraId="52602154" w14:textId="13818A7F" w:rsidR="001101D5" w:rsidRPr="001101D5" w:rsidRDefault="00792460" w:rsidP="001101D5">
      <w:pPr>
        <w:rPr>
          <w:rFonts w:ascii="Times New Roman" w:hAnsi="Times New Roman" w:cs="Times New Roman"/>
          <w:noProof/>
          <w:sz w:val="24"/>
        </w:rPr>
      </w:pPr>
      <w:r>
        <w:rPr>
          <w:rFonts w:ascii="Times New Roman" w:hAnsi="Times New Roman"/>
          <w:b/>
          <w:noProof/>
          <w:sz w:val="24"/>
        </w:rPr>
        <w:t xml:space="preserve">През 2022 г. недостигът на работна ръка в ЕС беше на рекордно високо равнище. </w:t>
      </w:r>
      <w:r>
        <w:rPr>
          <w:rFonts w:ascii="Times New Roman" w:hAnsi="Times New Roman"/>
          <w:noProof/>
          <w:sz w:val="24"/>
        </w:rPr>
        <w:t>Въпреки че равнището на заетост в ЕС достигна ново рекордно високо равнище, около 30 % от всички предприятия съобщиха за недостиг на работна ръка</w:t>
      </w:r>
      <w:r>
        <w:rPr>
          <w:rStyle w:val="FootnoteReference"/>
          <w:rFonts w:ascii="Times New Roman" w:hAnsi="Times New Roman" w:cs="Times New Roman"/>
          <w:noProof/>
          <w:sz w:val="24"/>
        </w:rPr>
        <w:footnoteReference w:id="51"/>
      </w:r>
      <w:r>
        <w:rPr>
          <w:rFonts w:ascii="Times New Roman" w:hAnsi="Times New Roman"/>
          <w:noProof/>
          <w:sz w:val="24"/>
        </w:rPr>
        <w:t>, а 74 % от МСП информират, че са изправени пред недостиг на квалифицирани работници</w:t>
      </w:r>
      <w:r>
        <w:rPr>
          <w:rStyle w:val="FootnoteReference"/>
          <w:rFonts w:ascii="Times New Roman" w:hAnsi="Times New Roman" w:cs="Times New Roman"/>
          <w:noProof/>
          <w:sz w:val="24"/>
        </w:rPr>
        <w:footnoteReference w:id="52"/>
      </w:r>
      <w:r>
        <w:rPr>
          <w:rFonts w:ascii="Times New Roman" w:hAnsi="Times New Roman"/>
          <w:noProof/>
          <w:sz w:val="24"/>
        </w:rPr>
        <w:t>. Недостиг на работна ръка съществува в различни сектори и професии на всички равнища на умения и се очаква той да се увеличи. Активизирането на хората в трудоспособна възраст, по-специално жените, младите и възрастните хора, намаляването на недостига на умения, подобряването на условията на труд в някои сектори и мобилността в рамките на ЕС са от жизненоважно значение за смекчаване на недостига на работна ръка, но то няма да е достатъчно, за да се отговори на нуждите във всички професии, в които има недостиг на работна ръка</w:t>
      </w:r>
      <w:r>
        <w:rPr>
          <w:rStyle w:val="FootnoteReference"/>
          <w:rFonts w:ascii="Times New Roman" w:eastAsia="Times New Roman" w:hAnsi="Times New Roman" w:cs="Times New Roman"/>
          <w:noProof/>
          <w:color w:val="000000" w:themeColor="text1"/>
          <w:sz w:val="24"/>
          <w:lang w:val="en-IE"/>
        </w:rPr>
        <w:footnoteReference w:id="53"/>
      </w:r>
      <w:r>
        <w:rPr>
          <w:rFonts w:ascii="Times New Roman" w:hAnsi="Times New Roman"/>
          <w:noProof/>
          <w:sz w:val="24"/>
        </w:rPr>
        <w:t>.</w:t>
      </w:r>
      <w:r>
        <w:rPr>
          <w:rFonts w:ascii="Times New Roman" w:hAnsi="Times New Roman"/>
          <w:b/>
          <w:noProof/>
          <w:sz w:val="24"/>
        </w:rPr>
        <w:t xml:space="preserve"> </w:t>
      </w:r>
      <w:r>
        <w:rPr>
          <w:rFonts w:ascii="Times New Roman" w:hAnsi="Times New Roman"/>
          <w:noProof/>
          <w:sz w:val="24"/>
        </w:rPr>
        <w:t>Законната миграция от държави извън ЕС може също така да помогне на работодателите да запълнят свободните работни места на всички равнища на умения, например за професии с решаваща роля за икономиката на ЕС и нейния екологичен и цифров преход в контекста на промишления план на Зеления пакт. Като се има предвид размерът на пазара на труда на ЕС, трудовата миграция към Съюза остава ниска в сравнение с останалия свят</w:t>
      </w:r>
      <w:r>
        <w:rPr>
          <w:rStyle w:val="FootnoteReference"/>
          <w:rFonts w:ascii="Times New Roman" w:eastAsia="Times New Roman" w:hAnsi="Times New Roman" w:cs="Times New Roman"/>
          <w:noProof/>
          <w:color w:val="000000" w:themeColor="text1"/>
          <w:sz w:val="24"/>
          <w:lang w:val="en-IE"/>
        </w:rPr>
        <w:footnoteReference w:id="54"/>
      </w:r>
      <w:r>
        <w:rPr>
          <w:noProof/>
        </w:rPr>
        <w:t>.</w:t>
      </w:r>
      <w:r>
        <w:rPr>
          <w:rFonts w:ascii="Times New Roman" w:hAnsi="Times New Roman"/>
          <w:noProof/>
          <w:sz w:val="24"/>
        </w:rPr>
        <w:t xml:space="preserve"> </w:t>
      </w:r>
    </w:p>
    <w:p w14:paraId="33D6791F" w14:textId="77777777" w:rsidR="00AE11B5" w:rsidRPr="00C67017" w:rsidRDefault="00AE11B5" w:rsidP="00AE11B5">
      <w:pPr>
        <w:pStyle w:val="Subtitle"/>
        <w:rPr>
          <w:rStyle w:val="SubtitleChar"/>
          <w:rFonts w:ascii="Times New Roman" w:hAnsi="Times New Roman"/>
          <w:b/>
          <w:caps/>
          <w:noProof/>
          <w:sz w:val="24"/>
        </w:rPr>
      </w:pPr>
      <w:r>
        <w:rPr>
          <w:rFonts w:ascii="Times New Roman" w:hAnsi="Times New Roman"/>
          <w:noProof/>
          <w:sz w:val="24"/>
        </w:rPr>
        <w:t>МСП, изправени пред недостиг на умения в</w:t>
      </w:r>
      <w:r>
        <w:rPr>
          <w:rStyle w:val="SubtitleChar"/>
          <w:rFonts w:ascii="Times New Roman" w:hAnsi="Times New Roman"/>
          <w:b/>
          <w:caps/>
          <w:noProof/>
          <w:sz w:val="24"/>
        </w:rPr>
        <w:t xml:space="preserve"> (%)</w:t>
      </w:r>
    </w:p>
    <w:p w14:paraId="09F891B2" w14:textId="303D47D4" w:rsidR="003A7AC3" w:rsidRPr="006D289C" w:rsidRDefault="003A7AC3" w:rsidP="00241384">
      <w:pPr>
        <w:rPr>
          <w:noProof/>
        </w:rPr>
      </w:pPr>
      <w:r>
        <w:rPr>
          <w:noProof/>
          <w:lang w:val="en-GB" w:eastAsia="en-GB"/>
        </w:rPr>
        <w:drawing>
          <wp:inline distT="0" distB="0" distL="0" distR="0" wp14:anchorId="39F964D6" wp14:editId="70E7C74C">
            <wp:extent cx="5943600" cy="2048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48510"/>
                    </a:xfrm>
                    <a:prstGeom prst="rect">
                      <a:avLst/>
                    </a:prstGeom>
                  </pic:spPr>
                </pic:pic>
              </a:graphicData>
            </a:graphic>
          </wp:inline>
        </w:drawing>
      </w:r>
    </w:p>
    <w:p w14:paraId="4B1C075E" w14:textId="5680517A" w:rsidR="004E0484" w:rsidRPr="00C67017" w:rsidRDefault="00DD1B45" w:rsidP="00C67017">
      <w:pPr>
        <w:autoSpaceDE w:val="0"/>
        <w:autoSpaceDN w:val="0"/>
        <w:rPr>
          <w:rFonts w:ascii="Times New Roman" w:hAnsi="Times New Roman"/>
          <w:i/>
          <w:noProof/>
          <w:sz w:val="24"/>
          <w:u w:val="single"/>
        </w:rPr>
      </w:pPr>
      <w:r>
        <w:rPr>
          <w:rFonts w:ascii="Times New Roman" w:hAnsi="Times New Roman"/>
          <w:noProof/>
          <w:sz w:val="24"/>
        </w:rPr>
        <w:pict w14:anchorId="2838C9B7">
          <v:roundrect id="Rectangle: Rounded Corners 12" o:spid="_x0000_s2083" style="position:absolute;left:0;text-align:left;margin-left:297.4pt;margin-top:102.5pt;width:164.75pt;height:177.5pt;z-index:251658240;visibility:visible;mso-wrap-distance-left:14.2pt;mso-wrap-distance-right:14.2pt;mso-wrap-distance-bottom:11.35pt;mso-position-horizontal-relative:margin;mso-width-relative:margin;mso-height-relative:margin;v-text-anchor:middle" arcsize="5273f" fillcolor="#def8f8 [664]" strokecolor="#5fdfdc [3208]" strokeweight="2.5pt">
            <v:stroke joinstyle="miter"/>
            <v:shadow color="#868686"/>
            <v:textbox style="mso-next-textbox:#Rectangle: Rounded Corners 12">
              <w:txbxContent>
                <w:p w14:paraId="7EADE19D" w14:textId="5B34B675" w:rsidR="008F0C07" w:rsidRPr="00241384" w:rsidRDefault="00A769F4" w:rsidP="00637EF0">
                  <w:pPr>
                    <w:pStyle w:val="Framebody"/>
                    <w:rPr>
                      <w:sz w:val="24"/>
                      <w:szCs w:val="24"/>
                    </w:rPr>
                  </w:pPr>
                  <w:r>
                    <w:rPr>
                      <w:b/>
                      <w:sz w:val="24"/>
                    </w:rPr>
                    <w:t>Швеция</w:t>
                  </w:r>
                  <w:r>
                    <w:rPr>
                      <w:sz w:val="24"/>
                    </w:rPr>
                    <w:t xml:space="preserve"> привлича и задържа международни таланти чрез </w:t>
                  </w:r>
                  <w:r>
                    <w:rPr>
                      <w:b/>
                      <w:sz w:val="24"/>
                    </w:rPr>
                    <w:t>ново разрешение за пребиваване за висококвалифицирани граждани на трети държави</w:t>
                  </w:r>
                  <w:r>
                    <w:rPr>
                      <w:sz w:val="24"/>
                    </w:rPr>
                    <w:t xml:space="preserve"> и засилени мерки за контрол с цел справяне със злоупотребите с миграционните маршрути.</w:t>
                  </w:r>
                </w:p>
              </w:txbxContent>
            </v:textbox>
            <w10:wrap type="square" anchorx="margin"/>
          </v:roundrect>
        </w:pict>
      </w:r>
      <w:r w:rsidR="00C67017">
        <w:rPr>
          <w:rFonts w:ascii="Times New Roman" w:hAnsi="Times New Roman"/>
          <w:b/>
          <w:noProof/>
          <w:sz w:val="24"/>
        </w:rPr>
        <w:t>Подобрените пътища за законна миграция към ЕС могат да помогнат за запълване на свободните работни места, като същевременно са от полза за държавите на произход</w:t>
      </w:r>
      <w:r w:rsidR="00C67017">
        <w:rPr>
          <w:rFonts w:ascii="Times New Roman" w:hAnsi="Times New Roman"/>
          <w:noProof/>
          <w:sz w:val="24"/>
        </w:rPr>
        <w:t>. Предприятията в ЕС непрестанно подчертават необходимостта Европа да се превърне в по-привлекателна дестинация за таланти от трети държави. Това изисква проактивни стъпки, за да се подпомогне постигането на връзка между работодателите и работниците. Това се признава от няколко държави членки, както се вижда от нарастващия брой разрешения за работа, издавани на граждани на държави извън ЕС с цел трудова заетост</w:t>
      </w:r>
      <w:r w:rsidR="00C67017">
        <w:rPr>
          <w:rStyle w:val="FootnoteReference"/>
          <w:rFonts w:ascii="Times New Roman" w:eastAsia="Times New Roman" w:hAnsi="Times New Roman" w:cs="Times New Roman"/>
          <w:noProof/>
          <w:sz w:val="24"/>
          <w:lang w:val="en-IE"/>
        </w:rPr>
        <w:footnoteReference w:id="55"/>
      </w:r>
      <w:r w:rsidR="00C67017">
        <w:rPr>
          <w:noProof/>
        </w:rPr>
        <w:t>.</w:t>
      </w:r>
      <w:r w:rsidR="00C67017">
        <w:rPr>
          <w:rFonts w:ascii="Times New Roman" w:hAnsi="Times New Roman"/>
          <w:noProof/>
          <w:sz w:val="24"/>
        </w:rPr>
        <w:t xml:space="preserve"> </w:t>
      </w:r>
      <w:r w:rsidR="00C67017">
        <w:rPr>
          <w:rFonts w:ascii="Times New Roman" w:hAnsi="Times New Roman"/>
          <w:noProof/>
          <w:color w:val="000000" w:themeColor="text1"/>
          <w:sz w:val="24"/>
        </w:rPr>
        <w:t xml:space="preserve">ЕС се стреми да подкрепя държавите на произход чрез партньорства в подкрепа на талантите за укрепването на тяхната икономическа база и човешки капитал. </w:t>
      </w:r>
      <w:r w:rsidR="00C67017">
        <w:rPr>
          <w:rFonts w:ascii="Times New Roman" w:hAnsi="Times New Roman"/>
          <w:noProof/>
          <w:sz w:val="24"/>
        </w:rPr>
        <w:t>Привличането на таланти в световен мащаб изисква целенасочени инициативи за трудова миграция, за да се отговори на недостига, който не може да бъде преодолян чрез местната работна сила, като същевременно се вземат предвид стремежите на самите граждани на трети държави и приоритетите на държавите на произход. Партньорствата в подкрепа на талантите между ЕС и трети държави съчетават пряка подкрепа за схеми за мобилност за работа или обучение с изграждане на капацитет и инвестиции в човешки капитал</w:t>
      </w:r>
      <w:r w:rsidR="00C67017">
        <w:rPr>
          <w:rStyle w:val="FootnoteReference"/>
          <w:rFonts w:ascii="Times New Roman" w:hAnsi="Times New Roman" w:cs="Times New Roman"/>
          <w:noProof/>
          <w:sz w:val="24"/>
        </w:rPr>
        <w:footnoteReference w:id="56"/>
      </w:r>
      <w:r w:rsidR="00C67017">
        <w:rPr>
          <w:rFonts w:ascii="Times New Roman" w:hAnsi="Times New Roman"/>
          <w:noProof/>
          <w:sz w:val="24"/>
        </w:rPr>
        <w:t>, за да се гарантира равнопоставеност между държавите членки, партньорските държави, бизнес общностите от двете страни и ползващите се от това хора. Според ОИСР само четири държави — членки на ЕС</w:t>
      </w:r>
      <w:r w:rsidR="00C67017">
        <w:rPr>
          <w:rStyle w:val="FootnoteReference"/>
          <w:rFonts w:ascii="Times New Roman" w:eastAsia="Times New Roman" w:hAnsi="Times New Roman" w:cs="Times New Roman"/>
          <w:noProof/>
          <w:sz w:val="24"/>
          <w:lang w:val="en-IE"/>
        </w:rPr>
        <w:footnoteReference w:id="57"/>
      </w:r>
      <w:r w:rsidR="00C67017">
        <w:rPr>
          <w:rFonts w:ascii="Times New Roman" w:hAnsi="Times New Roman"/>
          <w:noProof/>
          <w:sz w:val="24"/>
        </w:rPr>
        <w:t>, са сред първите 10 държави, най-способни да привлекат високообразовани таланти и предприемачи от чужбина, включително Швеция с благоприятните си визови условия за предприемачи, както и с приобщаващата, благоприятна за семейството среда</w:t>
      </w:r>
      <w:r w:rsidR="00C67017">
        <w:rPr>
          <w:rStyle w:val="FootnoteReference"/>
          <w:rFonts w:ascii="Times New Roman" w:eastAsia="Times New Roman" w:hAnsi="Times New Roman" w:cs="Times New Roman"/>
          <w:noProof/>
          <w:sz w:val="24"/>
          <w:lang w:val="en-IE"/>
        </w:rPr>
        <w:footnoteReference w:id="58"/>
      </w:r>
      <w:r w:rsidR="00C67017">
        <w:rPr>
          <w:rFonts w:ascii="Times New Roman" w:hAnsi="Times New Roman"/>
          <w:noProof/>
          <w:sz w:val="24"/>
        </w:rPr>
        <w:t>.</w:t>
      </w:r>
      <w:r w:rsidR="00C67017">
        <w:rPr>
          <w:rStyle w:val="FootnoteReference"/>
          <w:rFonts w:ascii="Times New Roman" w:hAnsi="Times New Roman"/>
          <w:noProof/>
          <w:sz w:val="24"/>
        </w:rPr>
        <w:t xml:space="preserve"> </w:t>
      </w:r>
      <w:r w:rsidR="00C67017">
        <w:rPr>
          <w:rFonts w:ascii="Times New Roman" w:hAnsi="Times New Roman"/>
          <w:noProof/>
          <w:sz w:val="24"/>
        </w:rPr>
        <w:t>Политиките трябва също така да улесняват успешната интеграция на граждани на трети държави в европейските общества, като при това интеграцията и зачитането на основните ценности и принципи на ЕС са едновременно право и задължение.</w:t>
      </w:r>
    </w:p>
    <w:p w14:paraId="40A58670" w14:textId="6629E6AD" w:rsidR="00AD2D92" w:rsidRPr="002E65EE" w:rsidRDefault="000E3BFE" w:rsidP="002E727D">
      <w:pPr>
        <w:rPr>
          <w:rFonts w:ascii="Times New Roman" w:hAnsi="Times New Roman" w:cs="Times New Roman"/>
          <w:noProof/>
          <w:spacing w:val="-4"/>
          <w:sz w:val="24"/>
        </w:rPr>
      </w:pPr>
      <w:r w:rsidRPr="002E65EE">
        <w:rPr>
          <w:rFonts w:ascii="Times New Roman" w:hAnsi="Times New Roman"/>
          <w:b/>
          <w:noProof/>
          <w:spacing w:val="-4"/>
          <w:sz w:val="24"/>
        </w:rPr>
        <w:t xml:space="preserve">Намирането на съответствие между търсенето и предлагането на работа и управлението на законните пътища за миграция често са обременяващи и скъпоструващи както за мигрантите, така и за работодателите. </w:t>
      </w:r>
      <w:r w:rsidRPr="002E65EE">
        <w:rPr>
          <w:rFonts w:ascii="Times New Roman" w:hAnsi="Times New Roman"/>
          <w:noProof/>
          <w:spacing w:val="-4"/>
          <w:sz w:val="24"/>
        </w:rPr>
        <w:t xml:space="preserve">Достъпът до пазара на труда следва да бъде улеснен чрез гарантиране на справедливи условия на труд на законните мигранти, чрез бързо признаване на чуждестранните квалификации и подкрепа за преодоляване на административните и езиковите бариери. Например </w:t>
      </w:r>
      <w:r w:rsidRPr="002E65EE">
        <w:rPr>
          <w:rFonts w:ascii="Times New Roman" w:hAnsi="Times New Roman"/>
          <w:b/>
          <w:noProof/>
          <w:spacing w:val="-4"/>
          <w:sz w:val="24"/>
        </w:rPr>
        <w:t>Чехия</w:t>
      </w:r>
      <w:r w:rsidRPr="002E65EE">
        <w:rPr>
          <w:rFonts w:ascii="Times New Roman" w:hAnsi="Times New Roman"/>
          <w:noProof/>
          <w:spacing w:val="-4"/>
          <w:sz w:val="24"/>
        </w:rPr>
        <w:t xml:space="preserve"> създаде специален ИТ инструмент за оценка на нуждите от работна ръка, които биха могли да бъдат запълнени чрез миграция, а </w:t>
      </w:r>
      <w:r w:rsidRPr="002E65EE">
        <w:rPr>
          <w:rFonts w:ascii="Times New Roman" w:hAnsi="Times New Roman"/>
          <w:b/>
          <w:noProof/>
          <w:spacing w:val="-4"/>
          <w:sz w:val="24"/>
        </w:rPr>
        <w:t>Гърция</w:t>
      </w:r>
      <w:r w:rsidRPr="002E65EE">
        <w:rPr>
          <w:rFonts w:ascii="Times New Roman" w:hAnsi="Times New Roman"/>
          <w:noProof/>
          <w:spacing w:val="-4"/>
          <w:sz w:val="24"/>
        </w:rPr>
        <w:t xml:space="preserve"> разполага с лесна за ползване онлайн платформа за по-добро намиране на съответствие между търсенето и предлагането на умения. Следва да се насърчава по-координиран подход, за да се отговори на нуждите на работодателите, които търсят работници в ЕС, и на хората, търсещи работа. Мигрантите често заемат работни места, които не отговарят на уменията им, като почти 40 % от тях са свръхквалифицирани за работните места, на които работят (в сравнение с 20 % от гражданите на ЕС). Гражданите на държави извън ЕС и хората с мигрантски произход също често страдат от дискриминация, лоши условия на труд и могат да не притежават подходящи езикови умения. В резултат на това равнището на заетост на гражданите на държави извън ЕС е по-ниско от това на гражданите на съответната държава членка или на други граждани на ЕС в държавите членки, включително сред младите хора</w:t>
      </w:r>
      <w:r w:rsidRPr="002E65EE">
        <w:rPr>
          <w:rStyle w:val="FootnoteReference"/>
          <w:rFonts w:ascii="Times New Roman" w:eastAsia="Times New Roman" w:hAnsi="Times New Roman" w:cs="Times New Roman"/>
          <w:noProof/>
          <w:color w:val="000000" w:themeColor="text1"/>
          <w:spacing w:val="-4"/>
          <w:sz w:val="24"/>
          <w:lang w:val="en-IE"/>
        </w:rPr>
        <w:footnoteReference w:id="59"/>
      </w:r>
      <w:r w:rsidRPr="002E65EE">
        <w:rPr>
          <w:noProof/>
          <w:spacing w:val="-4"/>
        </w:rPr>
        <w:t>.</w:t>
      </w:r>
      <w:r w:rsidRPr="002E65EE">
        <w:rPr>
          <w:rFonts w:ascii="Times New Roman" w:hAnsi="Times New Roman"/>
          <w:noProof/>
          <w:spacing w:val="-4"/>
          <w:sz w:val="24"/>
        </w:rPr>
        <w:t xml:space="preserve"> Това допълнително обосновава необходимостта от добре организирани и управлявани канали за трудова миграция към ЕС.</w:t>
      </w: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1" w:themeFillTint="33"/>
        <w:tblCellMar>
          <w:top w:w="142" w:type="dxa"/>
          <w:left w:w="142" w:type="dxa"/>
          <w:bottom w:w="142" w:type="dxa"/>
          <w:right w:w="142" w:type="dxa"/>
        </w:tblCellMar>
        <w:tblLook w:val="04A0" w:firstRow="1" w:lastRow="0" w:firstColumn="1" w:lastColumn="0" w:noHBand="0" w:noVBand="1"/>
      </w:tblPr>
      <w:tblGrid>
        <w:gridCol w:w="9498"/>
      </w:tblGrid>
      <w:tr w:rsidR="00AB1E7F" w:rsidRPr="00A56B91" w14:paraId="2A218BE0" w14:textId="77777777" w:rsidTr="00637EF0">
        <w:trPr>
          <w:trHeight w:val="274"/>
        </w:trPr>
        <w:tc>
          <w:tcPr>
            <w:tcW w:w="9498" w:type="dxa"/>
            <w:shd w:val="clear" w:color="auto" w:fill="FFF2CC" w:themeFill="accent1" w:themeFillTint="33"/>
          </w:tcPr>
          <w:p w14:paraId="5D479D8E" w14:textId="43F70BCF" w:rsidR="00AB1E7F" w:rsidRPr="00A56B91" w:rsidRDefault="00AB1E7F" w:rsidP="00C67017">
            <w:pPr>
              <w:pStyle w:val="Boxtitle"/>
              <w:jc w:val="both"/>
              <w:rPr>
                <w:rFonts w:ascii="Times New Roman" w:hAnsi="Times New Roman"/>
                <w:noProof/>
              </w:rPr>
            </w:pPr>
            <w:r>
              <w:rPr>
                <w:rFonts w:ascii="Times New Roman" w:hAnsi="Times New Roman"/>
                <w:noProof/>
              </w:rPr>
              <w:t>Основни инструменти на равнище ЕС:</w:t>
            </w:r>
          </w:p>
          <w:p w14:paraId="1C0AF039" w14:textId="6FABB9FC" w:rsidR="008E2979" w:rsidRPr="00C67017" w:rsidRDefault="30FF6C4F" w:rsidP="00C67017">
            <w:pPr>
              <w:pStyle w:val="Paragraphedelistebullets"/>
              <w:jc w:val="both"/>
              <w:rPr>
                <w:rStyle w:val="eop"/>
                <w:rFonts w:ascii="EC Square Sans Pro" w:hAnsi="EC Square Sans Pro"/>
                <w:b/>
                <w:noProof/>
                <w:color w:val="5FDFDC" w:themeColor="accent5"/>
              </w:rPr>
            </w:pPr>
            <w:r>
              <w:rPr>
                <w:rStyle w:val="normaltextrun"/>
                <w:noProof/>
              </w:rPr>
              <w:t xml:space="preserve">Преразгледаната </w:t>
            </w:r>
            <w:r>
              <w:rPr>
                <w:rStyle w:val="normaltextrun"/>
                <w:b/>
                <w:noProof/>
              </w:rPr>
              <w:t>Директива за синята карта на ЕС</w:t>
            </w:r>
            <w:r>
              <w:rPr>
                <w:rStyle w:val="FootnoteReference"/>
                <w:noProof/>
              </w:rPr>
              <w:footnoteReference w:id="60"/>
            </w:r>
            <w:r>
              <w:rPr>
                <w:rStyle w:val="normaltextrun"/>
                <w:noProof/>
              </w:rPr>
              <w:t>, която ще се прилага от 19 ноември 2023 г., ще улесни наемането на висококвалифицирани работници в ЕС.</w:t>
            </w:r>
            <w:r>
              <w:rPr>
                <w:rStyle w:val="eop"/>
                <w:rFonts w:ascii="Calibri" w:hAnsi="Calibri"/>
                <w:noProof/>
                <w:color w:val="000000" w:themeColor="text1"/>
              </w:rPr>
              <w:t xml:space="preserve"> </w:t>
            </w:r>
          </w:p>
          <w:p w14:paraId="3AB90E6B" w14:textId="36C58FEB" w:rsidR="009C0EDF" w:rsidRPr="00C67017" w:rsidRDefault="009C0EDF" w:rsidP="00C67017">
            <w:pPr>
              <w:pStyle w:val="Paragraphedelistebullets"/>
              <w:jc w:val="both"/>
              <w:rPr>
                <w:rStyle w:val="normaltextrun"/>
                <w:rFonts w:ascii="EC Square Sans Pro" w:hAnsi="EC Square Sans Pro"/>
                <w:noProof/>
                <w:sz w:val="22"/>
              </w:rPr>
            </w:pPr>
            <w:r>
              <w:rPr>
                <w:noProof/>
              </w:rPr>
              <w:t xml:space="preserve">С </w:t>
            </w:r>
            <w:r>
              <w:rPr>
                <w:b/>
                <w:noProof/>
              </w:rPr>
              <w:t>Директивата за единното разрешение</w:t>
            </w:r>
            <w:r>
              <w:rPr>
                <w:rStyle w:val="FootnoteReference"/>
                <w:noProof/>
              </w:rPr>
              <w:footnoteReference w:id="61"/>
            </w:r>
            <w:r>
              <w:rPr>
                <w:noProof/>
              </w:rPr>
              <w:t xml:space="preserve"> се установява единно разрешение за правото на труд и се предвижда набор от права за работниците от трети държави, а в </w:t>
            </w:r>
            <w:r>
              <w:rPr>
                <w:b/>
                <w:noProof/>
              </w:rPr>
              <w:t>Директивата за дългосрочно пребиваващите лица</w:t>
            </w:r>
            <w:r>
              <w:rPr>
                <w:rStyle w:val="FootnoteReference"/>
                <w:noProof/>
              </w:rPr>
              <w:footnoteReference w:id="62"/>
            </w:r>
            <w:r>
              <w:rPr>
                <w:noProof/>
              </w:rPr>
              <w:t xml:space="preserve"> се определят правилата за получаване на статут на дългосрочно пребиваващ в ЕС.</w:t>
            </w:r>
            <w:r>
              <w:rPr>
                <w:rStyle w:val="normaltextrun"/>
                <w:noProof/>
              </w:rPr>
              <w:t xml:space="preserve"> </w:t>
            </w:r>
            <w:r>
              <w:rPr>
                <w:noProof/>
              </w:rPr>
              <w:t>Двете директиви са в процес на преразглеждане с цел рационализиране и улесняване на интеграцията на гражданите на трети държави и укрепване на техните права.</w:t>
            </w:r>
            <w:r>
              <w:rPr>
                <w:rStyle w:val="normaltextrun"/>
                <w:noProof/>
              </w:rPr>
              <w:t xml:space="preserve"> </w:t>
            </w:r>
          </w:p>
          <w:p w14:paraId="699C4D49" w14:textId="2CA4041D" w:rsidR="006734F8" w:rsidRPr="00C67017" w:rsidRDefault="009777DE" w:rsidP="00C67017">
            <w:pPr>
              <w:pStyle w:val="Paragraphedelistebullets"/>
              <w:jc w:val="both"/>
              <w:rPr>
                <w:rStyle w:val="eop"/>
                <w:rFonts w:ascii="EC Square Sans Pro" w:hAnsi="EC Square Sans Pro"/>
                <w:noProof/>
                <w:sz w:val="22"/>
              </w:rPr>
            </w:pPr>
            <w:r>
              <w:rPr>
                <w:rStyle w:val="normaltextrun"/>
                <w:b/>
                <w:noProof/>
              </w:rPr>
              <w:t>Партньорствата в подкрепа на талантите</w:t>
            </w:r>
            <w:r>
              <w:rPr>
                <w:rStyle w:val="normaltextrun"/>
                <w:noProof/>
              </w:rPr>
              <w:t xml:space="preserve"> с избрани трети държави (понастоящем Мароко, Тунис, Египет, Бангладеш, Пакистан</w:t>
            </w:r>
            <w:r>
              <w:rPr>
                <w:rStyle w:val="FootnoteReference"/>
                <w:noProof/>
              </w:rPr>
              <w:footnoteReference w:id="63"/>
            </w:r>
            <w:r>
              <w:rPr>
                <w:rStyle w:val="normaltextrun"/>
                <w:noProof/>
              </w:rPr>
              <w:t>) подобряват законните пътища за международна трудова мобилност и развиват талантите по взаимноизгоден начин, като се зачитат евентуалните опасения на държавите партньори.</w:t>
            </w:r>
          </w:p>
          <w:p w14:paraId="12A39F83" w14:textId="249C81F4" w:rsidR="00962B78" w:rsidRPr="006260B2" w:rsidRDefault="4EF77D6F" w:rsidP="00C67017">
            <w:pPr>
              <w:pStyle w:val="Paragraphedelistebullets"/>
              <w:jc w:val="both"/>
              <w:rPr>
                <w:noProof/>
              </w:rPr>
            </w:pPr>
            <w:r>
              <w:rPr>
                <w:noProof/>
              </w:rPr>
              <w:t xml:space="preserve">В </w:t>
            </w:r>
            <w:r>
              <w:rPr>
                <w:b/>
                <w:noProof/>
              </w:rPr>
              <w:t>Плана за действие за интеграция и приобщаване за периода 2021—2027 г.</w:t>
            </w:r>
            <w:r>
              <w:rPr>
                <w:rStyle w:val="FootnoteReference"/>
                <w:noProof/>
              </w:rPr>
              <w:footnoteReference w:id="64"/>
            </w:r>
            <w:r>
              <w:rPr>
                <w:noProof/>
              </w:rPr>
              <w:t xml:space="preserve"> се предлага подкрепа за държавите членки чрез действия, включително за подобряване на възможностите за заетост и признаване на квалификациите на мигрантите или за развиване на приобщаващо образование и обучение. </w:t>
            </w:r>
          </w:p>
          <w:p w14:paraId="5C67DEC8" w14:textId="3B96DA98" w:rsidR="00FB0D15" w:rsidRPr="006260B2" w:rsidRDefault="00EA71F6" w:rsidP="00C67017">
            <w:pPr>
              <w:pStyle w:val="Paragraphedelistebullets"/>
              <w:jc w:val="both"/>
              <w:rPr>
                <w:noProof/>
              </w:rPr>
            </w:pPr>
            <w:r>
              <w:rPr>
                <w:b/>
                <w:noProof/>
              </w:rPr>
              <w:t>Споразуменията за свободна търговия</w:t>
            </w:r>
            <w:r>
              <w:rPr>
                <w:noProof/>
              </w:rPr>
              <w:t xml:space="preserve"> с трети държави, включително тези в процес на договаряне с Австралия, Индонезия, Индия и Тайланд, следва да включват разпоредби в подкрепа на движението на квалифицирани специалисти.</w:t>
            </w:r>
          </w:p>
          <w:p w14:paraId="0477A295" w14:textId="5E2D0F32" w:rsidR="00962B78" w:rsidRPr="00A56B91" w:rsidRDefault="00590F38" w:rsidP="008D6DF0">
            <w:pPr>
              <w:pStyle w:val="Boxtitle"/>
              <w:jc w:val="both"/>
              <w:rPr>
                <w:rFonts w:ascii="Times New Roman" w:hAnsi="Times New Roman"/>
                <w:noProof/>
              </w:rPr>
            </w:pPr>
            <w:r>
              <w:rPr>
                <w:rFonts w:ascii="Times New Roman" w:hAnsi="Times New Roman"/>
                <w:noProof/>
              </w:rPr>
              <w:t>Ключови следващи стъпки:</w:t>
            </w:r>
          </w:p>
          <w:p w14:paraId="58B7C9F5" w14:textId="254CC1AD" w:rsidR="00A24BB1" w:rsidRPr="006260B2" w:rsidRDefault="002F7406" w:rsidP="00C67017">
            <w:pPr>
              <w:pStyle w:val="Paragraphedelistebullets"/>
              <w:jc w:val="both"/>
              <w:rPr>
                <w:noProof/>
              </w:rPr>
            </w:pPr>
            <w:r>
              <w:rPr>
                <w:noProof/>
              </w:rPr>
              <w:t xml:space="preserve">През ноември 2023 г. Комисията ще представи </w:t>
            </w:r>
            <w:r>
              <w:rPr>
                <w:b/>
                <w:noProof/>
              </w:rPr>
              <w:t>пакет относно мобилността на талантите</w:t>
            </w:r>
            <w:r>
              <w:rPr>
                <w:noProof/>
              </w:rPr>
              <w:t>, включително предложение за резерв на ЕС от таланти като ИТ платформа за улесняване на намирането на съответствия между търсенето и предлагането на пазара на труда между работодателите от ЕС и търсещите работа лица от трети държави, препоръка на Комисията относно признаването на квалификациите на граждани на трети държави и предложение за препоръка на Съвета относно рамка за мобилност с учебна цел.</w:t>
            </w:r>
          </w:p>
          <w:p w14:paraId="3CE4A1D7" w14:textId="64D33F8E" w:rsidR="00625A78" w:rsidRPr="006260B2" w:rsidRDefault="0089612F" w:rsidP="00C67017">
            <w:pPr>
              <w:pStyle w:val="Paragraphedelistebullets"/>
              <w:jc w:val="both"/>
              <w:rPr>
                <w:noProof/>
              </w:rPr>
            </w:pPr>
            <w:r>
              <w:rPr>
                <w:noProof/>
              </w:rPr>
              <w:t>Чрез</w:t>
            </w:r>
            <w:r>
              <w:rPr>
                <w:b/>
                <w:noProof/>
              </w:rPr>
              <w:t xml:space="preserve"> платформата за трудова миграция</w:t>
            </w:r>
            <w:r>
              <w:rPr>
                <w:noProof/>
              </w:rPr>
              <w:t xml:space="preserve"> държавите членки и Комисията ще засилят допълнително сътрудничеството за улесняване на миграцията, така че да може да бъде преодолян недостигът на работна ръка в отделни региони във всички държави членки. </w:t>
            </w:r>
          </w:p>
        </w:tc>
      </w:tr>
    </w:tbl>
    <w:p w14:paraId="5F6B7ACE" w14:textId="65E43617" w:rsidR="00831E11" w:rsidRPr="00C67017" w:rsidRDefault="00D76196" w:rsidP="00A06243">
      <w:pPr>
        <w:pStyle w:val="Heading1"/>
      </w:pPr>
      <w:r>
        <w:t xml:space="preserve">ПРИЛАГАНЕ НА ИНСТРУМЕНТАРИУМА ЗА ДЕМОГРАФИЯТА </w:t>
      </w:r>
    </w:p>
    <w:p w14:paraId="3DCD3E0B" w14:textId="3F6E4BFB" w:rsidR="00307E6B" w:rsidRPr="00A56B91" w:rsidRDefault="00923AFB" w:rsidP="002E727D">
      <w:pPr>
        <w:rPr>
          <w:rFonts w:ascii="Times New Roman" w:hAnsi="Times New Roman" w:cs="Times New Roman"/>
          <w:noProof/>
          <w:sz w:val="24"/>
        </w:rPr>
      </w:pPr>
      <w:r>
        <w:rPr>
          <w:rFonts w:ascii="Times New Roman" w:hAnsi="Times New Roman"/>
          <w:b/>
          <w:noProof/>
          <w:sz w:val="24"/>
        </w:rPr>
        <w:t xml:space="preserve">Инструментариумът за демографията може да спомогне за мобилизирането на политики на равнището на ЕС и на национално равнище. </w:t>
      </w:r>
      <w:r>
        <w:rPr>
          <w:rFonts w:ascii="Times New Roman" w:hAnsi="Times New Roman"/>
          <w:noProof/>
          <w:sz w:val="24"/>
        </w:rPr>
        <w:t>Комисията призовава държавите членки да въведат и прилагат интегрирани политики за справяне с демографските промени и да включат демографските проблеми във всички политики. Държавите членки се насърчават да използват наличните инструменти на равнище ЕС в съчетание с националните политики. В рамките на процеса на европейския семестър държавите членки получиха специфични за всяка държава препоръки в определени области, като пенсиите, здравеопазването и дългосрочните грижи (включително тяхната адекватност и устойчивост), грижите за децата, данъчното облагане, социалното жилищно настаняване, уменията, ученето за възрастни и политиките в областта на заетостта. Действията за справяне с демографските промени и с въздействието им също допринасят за по-широкия обществен напредък в съответствие с целите за устойчиво развитие.</w:t>
      </w:r>
    </w:p>
    <w:p w14:paraId="67FFD75E" w14:textId="2A596005" w:rsidR="005923B8" w:rsidRPr="00A56B91" w:rsidRDefault="00DD1B45" w:rsidP="005923B8">
      <w:pPr>
        <w:rPr>
          <w:rFonts w:ascii="Times New Roman" w:hAnsi="Times New Roman" w:cs="Times New Roman"/>
          <w:noProof/>
          <w:sz w:val="24"/>
        </w:rPr>
      </w:pPr>
      <w:r>
        <w:rPr>
          <w:rFonts w:ascii="Times New Roman" w:hAnsi="Times New Roman"/>
          <w:b/>
          <w:noProof/>
          <w:sz w:val="24"/>
        </w:rPr>
        <w:pict w14:anchorId="51AFFC2A">
          <v:roundrect id="_x0000_s2080" style="position:absolute;left:0;text-align:left;margin-left:272.05pt;margin-top:86.45pt;width:194.25pt;height:146.85pt;z-index:251658242;visibility:visible;mso-wrap-distance-left:14.2pt;mso-wrap-distance-right:14.2pt;mso-wrap-distance-bottom:11.35pt;mso-position-horizontal-relative:margin;mso-width-relative:margin;mso-height-relative:margin;v-text-anchor:middle" arcsize="5124f" fillcolor="#def8f8 [664]" strokecolor="#5fdfdc [3208]" strokeweight="2.5pt">
            <v:stroke joinstyle="miter"/>
            <v:shadow color="#868686"/>
            <v:textbox style="mso-next-textbox:#_x0000_s2080;mso-fit-shape-to-text:t" inset=",2.5mm,,2.5mm">
              <w:txbxContent>
                <w:p w14:paraId="64E3F042" w14:textId="463FA65A" w:rsidR="00EF7766" w:rsidRPr="00241384" w:rsidRDefault="00EF7766" w:rsidP="00241384">
                  <w:pPr>
                    <w:pStyle w:val="Framebody"/>
                    <w:rPr>
                      <w:sz w:val="24"/>
                      <w:szCs w:val="24"/>
                    </w:rPr>
                  </w:pPr>
                  <w:r>
                    <w:rPr>
                      <w:sz w:val="24"/>
                    </w:rPr>
                    <w:t xml:space="preserve">От 2006 г. насам Германия създаде над </w:t>
                  </w:r>
                  <w:r>
                    <w:rPr>
                      <w:b/>
                      <w:sz w:val="24"/>
                    </w:rPr>
                    <w:t>540 къщи за няколко поколения</w:t>
                  </w:r>
                  <w:r>
                    <w:rPr>
                      <w:sz w:val="24"/>
                    </w:rPr>
                    <w:t xml:space="preserve"> като „централни места за срещи“ с цел насърчаване на социалното сближаване между поколенията. Тези центрове подпомагат заобикалящите ги общности при справянето с предизвикателствата на демографските промени на местно равнище.</w:t>
                  </w:r>
                </w:p>
              </w:txbxContent>
            </v:textbox>
            <w10:wrap type="square" anchorx="margin"/>
          </v:roundrect>
        </w:pict>
      </w:r>
      <w:r w:rsidR="00C67017" w:rsidRPr="002E65EE">
        <w:rPr>
          <w:rFonts w:ascii="Times New Roman" w:hAnsi="Times New Roman"/>
          <w:b/>
          <w:noProof/>
          <w:sz w:val="24"/>
        </w:rPr>
        <w:t xml:space="preserve"> Равенството между половете, недискриминацията и справедливостта между поколенията трябва да бъдат в основата на избора на политиката.</w:t>
      </w:r>
      <w:r w:rsidR="00C67017">
        <w:rPr>
          <w:rFonts w:ascii="Times New Roman" w:hAnsi="Times New Roman"/>
          <w:b/>
          <w:noProof/>
          <w:sz w:val="24"/>
        </w:rPr>
        <w:t xml:space="preserve"> </w:t>
      </w:r>
      <w:r w:rsidR="00C67017" w:rsidRPr="002E65EE">
        <w:rPr>
          <w:rFonts w:ascii="Times New Roman" w:hAnsi="Times New Roman"/>
          <w:bCs/>
          <w:noProof/>
          <w:sz w:val="24"/>
        </w:rPr>
        <w:t xml:space="preserve">Наложително </w:t>
      </w:r>
      <w:r w:rsidR="00C67017">
        <w:rPr>
          <w:rFonts w:ascii="Times New Roman" w:hAnsi="Times New Roman"/>
          <w:noProof/>
          <w:sz w:val="24"/>
        </w:rPr>
        <w:t>е избраните съчетания от политики по всяко време да защитават и допринасят за равенството между половете и равните възможности, по-специално чрез подобряване на ефективния достъп на жените до пазара на труда и предоставяне на възможност на хората в Европа да превърнат в реалност личните си стремежи и избор. В това отношение широкото формално предоставяне на достъпни и висококачествени грижи за деца и дългосрочни грижи е ключово решение на политиката. В същото време се прилагат решения на политиката, които са от взаимна полза за няколко или всички поколения и те следва да бъдат подкрепяни в различни области на политиката, като например образованието и обучението (напр. учене между поколенията, насърчаващо знанията и съвместно изградените умения), жилищното настаняване и грижите (напр. съжителство на поколенията и грижи в общността, включително дневни услуги за възрастни) и на работното място (напр. работна сила, обхващаща няколко поколения, която отговаря на различни нужди и инвестира в двупосочен трансфер на знания и умения между поколенията).</w:t>
      </w:r>
    </w:p>
    <w:p w14:paraId="275C2D4F" w14:textId="41C563DA" w:rsidR="005923B8" w:rsidRPr="00A56B91" w:rsidRDefault="005923B8" w:rsidP="002E727D">
      <w:pPr>
        <w:rPr>
          <w:rFonts w:ascii="Times New Roman" w:hAnsi="Times New Roman" w:cs="Times New Roman"/>
          <w:bCs/>
          <w:noProof/>
          <w:sz w:val="24"/>
        </w:rPr>
      </w:pPr>
      <w:r>
        <w:rPr>
          <w:rFonts w:ascii="Times New Roman" w:hAnsi="Times New Roman"/>
          <w:b/>
          <w:noProof/>
          <w:sz w:val="24"/>
        </w:rPr>
        <w:t xml:space="preserve">Политиките на държавите членки за справяне с демографските промени следва да се основават на местните реалности. </w:t>
      </w:r>
      <w:r>
        <w:rPr>
          <w:rFonts w:ascii="Times New Roman" w:hAnsi="Times New Roman"/>
          <w:noProof/>
          <w:sz w:val="24"/>
        </w:rPr>
        <w:t xml:space="preserve">Тъй като предизвикателствата се различават в отделните държави членки и региони, политическите отговори следва да бъдат разработени и прилагани като съгласувани усилия с активното участие на регионалните и местните органи. Публичните служби по заетостта, социалните партньори и организациите на гражданското общество също играят роля. Комисията е готова да подкрепи държавите членки в това начинание, включително чрез улесняване на взаимното обучение и обмена на най-добри практики на всички равнища, например в рамките на механизма за насърчаване на талантите, който подпомага регионите на ЕС за справяне с въздействието на демографския преход. </w:t>
      </w:r>
      <w:bookmarkStart w:id="5" w:name="_Hlk147483407"/>
      <w:r>
        <w:rPr>
          <w:rFonts w:ascii="Times New Roman" w:hAnsi="Times New Roman"/>
          <w:noProof/>
          <w:sz w:val="24"/>
        </w:rPr>
        <w:t>Комисията също така ще обърне специално внимание на специфичните предизвикателства, свързани с демографията на селските райони, в предстоящия си доклад относно прилагането на дългосрочната визия за селските райони, който е предвиден за публикуване в началото на 2024 г.</w:t>
      </w:r>
    </w:p>
    <w:bookmarkEnd w:id="5"/>
    <w:p w14:paraId="34A926FD" w14:textId="77777777" w:rsidR="003831DC" w:rsidRDefault="00C911F6" w:rsidP="00241384">
      <w:pPr>
        <w:pStyle w:val="Subtitle"/>
        <w:spacing w:after="0"/>
        <w:rPr>
          <w:rFonts w:ascii="Times New Roman" w:hAnsi="Times New Roman"/>
          <w:noProof/>
          <w:sz w:val="24"/>
          <w:szCs w:val="24"/>
        </w:rPr>
      </w:pPr>
      <w:r>
        <w:rPr>
          <w:rFonts w:ascii="Times New Roman" w:hAnsi="Times New Roman"/>
          <w:noProof/>
          <w:sz w:val="24"/>
        </w:rPr>
        <w:t xml:space="preserve">Инструментариум за демографията: </w:t>
      </w:r>
    </w:p>
    <w:p w14:paraId="355E7103" w14:textId="4E68E444" w:rsidR="005E18EB" w:rsidRPr="00AE6DE0" w:rsidRDefault="00C911F6" w:rsidP="003831DC">
      <w:pPr>
        <w:pStyle w:val="Subtitle"/>
        <w:rPr>
          <w:rFonts w:ascii="Times New Roman" w:hAnsi="Times New Roman"/>
          <w:noProof/>
          <w:sz w:val="24"/>
          <w:lang w:val="fr-BE"/>
        </w:rPr>
      </w:pPr>
      <w:r>
        <w:rPr>
          <w:rFonts w:ascii="Times New Roman" w:hAnsi="Times New Roman"/>
          <w:noProof/>
          <w:sz w:val="24"/>
        </w:rPr>
        <w:t>основни инструменти на равнище ЕС, с които разполагат държавите членки</w:t>
      </w:r>
    </w:p>
    <w:p w14:paraId="572F06B4" w14:textId="40D05C41" w:rsidR="00AE6DE0" w:rsidRPr="00AE6DE0" w:rsidRDefault="00AE6DE0" w:rsidP="00AE6DE0">
      <w:pPr>
        <w:rPr>
          <w:noProof/>
        </w:rPr>
      </w:pPr>
      <w:r>
        <w:rPr>
          <w:noProof/>
          <w:lang w:val="en-GB" w:eastAsia="en-GB"/>
        </w:rPr>
        <w:drawing>
          <wp:inline distT="0" distB="0" distL="0" distR="0" wp14:anchorId="147010F1" wp14:editId="4F822240">
            <wp:extent cx="5943600" cy="4191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191635"/>
                    </a:xfrm>
                    <a:prstGeom prst="rect">
                      <a:avLst/>
                    </a:prstGeom>
                  </pic:spPr>
                </pic:pic>
              </a:graphicData>
            </a:graphic>
          </wp:inline>
        </w:drawing>
      </w:r>
    </w:p>
    <w:p w14:paraId="6AAD9B82" w14:textId="5265C027" w:rsidR="00501D74" w:rsidRPr="002E65EE" w:rsidRDefault="00886C22" w:rsidP="00DE4A7D">
      <w:pPr>
        <w:rPr>
          <w:rFonts w:ascii="Times New Roman" w:hAnsi="Times New Roman" w:cs="Times New Roman"/>
          <w:noProof/>
          <w:spacing w:val="-6"/>
          <w:sz w:val="24"/>
        </w:rPr>
      </w:pPr>
      <w:r w:rsidRPr="002E65EE">
        <w:rPr>
          <w:rFonts w:ascii="Times New Roman" w:hAnsi="Times New Roman"/>
          <w:b/>
          <w:noProof/>
          <w:spacing w:val="-6"/>
          <w:sz w:val="24"/>
        </w:rPr>
        <w:t>Цифровите технологии могат да повишат конкурентното предимство на Европа и да спомогнат за компенсиране на последиците от демографските промени.</w:t>
      </w:r>
      <w:r w:rsidRPr="002E65EE">
        <w:rPr>
          <w:rFonts w:ascii="Times New Roman" w:hAnsi="Times New Roman"/>
          <w:noProof/>
          <w:spacing w:val="-6"/>
          <w:sz w:val="24"/>
        </w:rPr>
        <w:t xml:space="preserve"> Изкуственият интелект и автоматизацията вече променят икономиката и пазарите на труда в Европа. Ако бъдат добре разработени и изпълнени, действията на политиката за насърчаване на иновациите и по-широкото прилагане на технологиите могат да допринесат за компенсиране на въздействието на демографските промени върху производителността и фискалната устойчивост. Технологиите могат също така да направят здравеопазването и дългосрочните грижи по-ефективни от гледна точка на разходите и да подобрят достъпа и качеството в тази област, включително в селските и отдалечените райони, за възрастните хора и за хората с увреждания или намалена подвижност. Освен това цифровите инструменти могат да допринесат за благосъстоянието на застаряващото население, като насърчават по-здравословен и по-активен живот. Те могат също така да улеснят социалната ангажираност, като смекчат социалната изолация сред възрастните хора, особено когато цифровите инструменти се използват като средство за улесняване на реалните междуличностни взаимодействия.</w:t>
      </w:r>
    </w:p>
    <w:p w14:paraId="30C020D6" w14:textId="7EF63EC6" w:rsidR="008051C2" w:rsidRPr="002E65EE" w:rsidRDefault="00EC49A3" w:rsidP="00DE4A7D">
      <w:pPr>
        <w:rPr>
          <w:rStyle w:val="normaltextrun"/>
          <w:rFonts w:ascii="Times New Roman" w:hAnsi="Times New Roman" w:cs="Times New Roman"/>
          <w:noProof/>
          <w:spacing w:val="-4"/>
          <w:sz w:val="24"/>
          <w:highlight w:val="green"/>
        </w:rPr>
      </w:pPr>
      <w:r w:rsidRPr="002E65EE">
        <w:rPr>
          <w:rFonts w:ascii="Times New Roman" w:hAnsi="Times New Roman"/>
          <w:b/>
          <w:noProof/>
          <w:spacing w:val="-4"/>
          <w:sz w:val="24"/>
        </w:rPr>
        <w:t>В допълнение към изброените по-горе регулаторни инструменти и политически рамки на равнището на ЕС са налице редица инструменти за финансиране в подкрепа на държавите членки.</w:t>
      </w:r>
      <w:r w:rsidRPr="002E65EE">
        <w:rPr>
          <w:rFonts w:ascii="Times New Roman" w:hAnsi="Times New Roman"/>
          <w:noProof/>
          <w:spacing w:val="-4"/>
          <w:sz w:val="24"/>
        </w:rPr>
        <w:t xml:space="preserve"> Механизмът за възстановяване и устойчивост стимулира реформи и инвестиции в четирите стълба на инструментариума, по-специално с около 8 милиарда евро, насочени за образование и грижи в ранна детска възраст</w:t>
      </w:r>
      <w:r w:rsidRPr="002E65EE">
        <w:rPr>
          <w:rStyle w:val="FootnoteReference"/>
          <w:rFonts w:ascii="Times New Roman" w:hAnsi="Times New Roman" w:cs="Times New Roman"/>
          <w:noProof/>
          <w:spacing w:val="-4"/>
          <w:sz w:val="24"/>
        </w:rPr>
        <w:footnoteReference w:id="65"/>
      </w:r>
      <w:r w:rsidRPr="002E65EE">
        <w:rPr>
          <w:rFonts w:ascii="Times New Roman" w:hAnsi="Times New Roman"/>
          <w:noProof/>
          <w:spacing w:val="-4"/>
          <w:sz w:val="24"/>
        </w:rPr>
        <w:t>, около 43,2 милиарда евро за образование</w:t>
      </w:r>
      <w:r w:rsidRPr="002E65EE">
        <w:rPr>
          <w:rStyle w:val="FootnoteReference"/>
          <w:rFonts w:ascii="Times New Roman" w:hAnsi="Times New Roman" w:cs="Times New Roman"/>
          <w:noProof/>
          <w:spacing w:val="-4"/>
          <w:sz w:val="24"/>
        </w:rPr>
        <w:footnoteReference w:id="66"/>
      </w:r>
      <w:r w:rsidRPr="002E65EE">
        <w:rPr>
          <w:rFonts w:ascii="Times New Roman" w:hAnsi="Times New Roman"/>
          <w:noProof/>
          <w:spacing w:val="-4"/>
          <w:sz w:val="24"/>
        </w:rPr>
        <w:t>, около 41,7 милиарда евро за повишаване на квалификацията и преквалификация</w:t>
      </w:r>
      <w:r w:rsidRPr="002E65EE">
        <w:rPr>
          <w:rStyle w:val="FootnoteReference"/>
          <w:rFonts w:ascii="Times New Roman" w:hAnsi="Times New Roman" w:cs="Times New Roman"/>
          <w:noProof/>
          <w:spacing w:val="-4"/>
          <w:sz w:val="24"/>
        </w:rPr>
        <w:footnoteReference w:id="67"/>
      </w:r>
      <w:r w:rsidRPr="002E65EE">
        <w:rPr>
          <w:rFonts w:ascii="Times New Roman" w:hAnsi="Times New Roman"/>
          <w:noProof/>
          <w:spacing w:val="-4"/>
          <w:sz w:val="24"/>
        </w:rPr>
        <w:t>, около 48,2 милиарда евро за подкрепа на здравеопазването и дългосрочните грижи</w:t>
      </w:r>
      <w:r w:rsidRPr="002E65EE">
        <w:rPr>
          <w:rStyle w:val="FootnoteReference"/>
          <w:rFonts w:ascii="Times New Roman" w:hAnsi="Times New Roman" w:cs="Times New Roman"/>
          <w:noProof/>
          <w:spacing w:val="-4"/>
          <w:sz w:val="24"/>
        </w:rPr>
        <w:footnoteReference w:id="68"/>
      </w:r>
      <w:r w:rsidRPr="002E65EE">
        <w:rPr>
          <w:rFonts w:ascii="Times New Roman" w:hAnsi="Times New Roman"/>
          <w:noProof/>
          <w:spacing w:val="-4"/>
          <w:sz w:val="24"/>
        </w:rPr>
        <w:t xml:space="preserve"> и около 15,1 милиарда евро за социално жилищно настаняване и социална инфраструктура</w:t>
      </w:r>
      <w:r w:rsidRPr="002E65EE">
        <w:rPr>
          <w:rStyle w:val="FootnoteReference"/>
          <w:rFonts w:ascii="Times New Roman" w:hAnsi="Times New Roman" w:cs="Times New Roman"/>
          <w:noProof/>
          <w:spacing w:val="-4"/>
          <w:sz w:val="24"/>
        </w:rPr>
        <w:footnoteReference w:id="69"/>
      </w:r>
      <w:r w:rsidRPr="002E65EE">
        <w:rPr>
          <w:rFonts w:ascii="Times New Roman" w:hAnsi="Times New Roman"/>
          <w:noProof/>
          <w:spacing w:val="-4"/>
          <w:sz w:val="24"/>
        </w:rPr>
        <w:t xml:space="preserve">. В споразуменията за партньорство за периода 2021—2027 г. 26 държави членки са определили демографията като основно предизвикателство за своите територии, което да бъде преодоляно с подкрепата на фондовете на политиката на сближаване. Европейският социален фонд плюс (ЕСФ+), основният инструмент на ЕС за инвестиции в хората, насочва заедно с държавите членки почти 7 милиарда евро за насърчаване на балансиран по отношение на половете свят на труда, равни условия на труд и по-добро равновесие между професионалния и личния живот, както и 427 милиона евро в подкрепа на активния живот на възрастните хора и остаряването в добро здраве на работниците. </w:t>
      </w:r>
      <w:r w:rsidRPr="002E65EE">
        <w:rPr>
          <w:rStyle w:val="normaltextrun"/>
          <w:rFonts w:ascii="Times New Roman" w:hAnsi="Times New Roman"/>
          <w:noProof/>
          <w:spacing w:val="-4"/>
          <w:sz w:val="24"/>
        </w:rPr>
        <w:t>Предстоящият междинен преглед на програмите по политиката на сближаване</w:t>
      </w:r>
      <w:r w:rsidRPr="002E65EE">
        <w:rPr>
          <w:rStyle w:val="FootnoteReference"/>
          <w:rFonts w:ascii="Times New Roman" w:hAnsi="Times New Roman" w:cs="Times New Roman"/>
          <w:noProof/>
          <w:spacing w:val="-4"/>
          <w:sz w:val="24"/>
        </w:rPr>
        <w:footnoteReference w:id="70"/>
      </w:r>
      <w:r w:rsidRPr="002E65EE">
        <w:rPr>
          <w:rStyle w:val="normaltextrun"/>
          <w:rFonts w:ascii="Times New Roman" w:hAnsi="Times New Roman"/>
          <w:noProof/>
          <w:spacing w:val="-4"/>
          <w:sz w:val="24"/>
        </w:rPr>
        <w:t xml:space="preserve">, който ще бъде приключен до средата на 2025 г. и ръководен от специфичните за всяка държава препоръки, приети през 2024 г., ще даде възможност да се оцени положението на тези региони и когато е целесъобразно, да се съгласува програмирането на фондовете по линия на политиката на сближаване. </w:t>
      </w:r>
      <w:r w:rsidRPr="002E65EE">
        <w:rPr>
          <w:rFonts w:ascii="Times New Roman" w:hAnsi="Times New Roman"/>
          <w:noProof/>
          <w:spacing w:val="-4"/>
          <w:sz w:val="24"/>
        </w:rPr>
        <w:t>Освен това „Хоризонт Европа“ финансира научни изследвания за намаляване на недостига на умения и несъответствията между търсените и предлаганите умения с 43 милиона евро, както и за справяне със социално-икономическите последици от демографските промени с 27 милиона евро.</w:t>
      </w:r>
    </w:p>
    <w:p w14:paraId="0FC35678" w14:textId="47D326F8" w:rsidR="003B70B8" w:rsidRPr="002E65EE" w:rsidRDefault="00B259C0" w:rsidP="00F82902">
      <w:pPr>
        <w:rPr>
          <w:rFonts w:ascii="Times New Roman" w:hAnsi="Times New Roman" w:cs="Times New Roman"/>
          <w:noProof/>
          <w:spacing w:val="-4"/>
          <w:sz w:val="24"/>
        </w:rPr>
      </w:pPr>
      <w:r w:rsidRPr="002E65EE">
        <w:rPr>
          <w:rFonts w:ascii="Times New Roman" w:hAnsi="Times New Roman"/>
          <w:b/>
          <w:noProof/>
          <w:spacing w:val="-4"/>
          <w:sz w:val="24"/>
        </w:rPr>
        <w:t>Ефективното управление на демографските промени изисква изчерпателни, висококачествени и подробни данни и капацитет на равнището на ЕС и на национално равнище за събиране и оценка на данни и експертен опит, за да се предоставят анализ и насоки за подходящите решения.</w:t>
      </w:r>
      <w:r w:rsidRPr="002E65EE">
        <w:rPr>
          <w:rFonts w:ascii="Times New Roman" w:hAnsi="Times New Roman"/>
          <w:noProof/>
          <w:spacing w:val="-4"/>
          <w:sz w:val="24"/>
        </w:rPr>
        <w:t xml:space="preserve"> Координирането на усилията също е от ключово значение. На национално равнище държавите членки извършиха или започват оценки на демографските промени и тяхното въздействие, например в </w:t>
      </w:r>
      <w:r w:rsidRPr="002E65EE">
        <w:rPr>
          <w:rFonts w:ascii="Times New Roman" w:hAnsi="Times New Roman"/>
          <w:b/>
          <w:noProof/>
          <w:spacing w:val="-4"/>
          <w:sz w:val="24"/>
        </w:rPr>
        <w:t>Нидерландия</w:t>
      </w:r>
      <w:r w:rsidRPr="002E65EE">
        <w:rPr>
          <w:rFonts w:ascii="Times New Roman" w:hAnsi="Times New Roman"/>
          <w:noProof/>
          <w:spacing w:val="-4"/>
          <w:sz w:val="24"/>
        </w:rPr>
        <w:t xml:space="preserve"> чрез новия „Държавен комитет по демографското развитие 2050 г.“ В допълнение към тези дейности европейската статистика за населението и миграцията и демографският атлас на равнището на ЕС вече предоставят безпрецедентен набор от данни, интерактивни карти и диаграми в тази област, в допълнение към други инструменти, като например Обсерваторията за селските райони. Ще трябва да се обърне обаче по-голямо внимание на изграждането на доказателствена база и на капацитета за събиране на данни за оценка и допълнително предвиждане на демографските тенденции и техните последици, включително как политиките могат да бъдат по-добре разработени, за да се отговори на нуждите на променящата се група от възрастни хора в нашите общества. Важна стъпка в тази посока е предложението за регламент относно европейската статистика за населението и жилищния фонд</w:t>
      </w:r>
      <w:r w:rsidRPr="002E65EE">
        <w:rPr>
          <w:rStyle w:val="FootnoteReference"/>
          <w:rFonts w:ascii="Times New Roman" w:hAnsi="Times New Roman" w:cs="Times New Roman"/>
          <w:noProof/>
          <w:spacing w:val="-4"/>
          <w:sz w:val="24"/>
        </w:rPr>
        <w:footnoteReference w:id="71"/>
      </w:r>
      <w:r w:rsidRPr="002E65EE">
        <w:rPr>
          <w:rFonts w:ascii="Times New Roman" w:hAnsi="Times New Roman"/>
          <w:noProof/>
          <w:spacing w:val="-4"/>
          <w:sz w:val="24"/>
        </w:rPr>
        <w:t>, който има за цел модернизиране и интегриране на демографията, международната миграция и статистиката за преброяването на населението и жилищния фонд.</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1" w:themeFillTint="33"/>
        <w:tblCellMar>
          <w:top w:w="142" w:type="dxa"/>
          <w:left w:w="142" w:type="dxa"/>
          <w:bottom w:w="142" w:type="dxa"/>
          <w:right w:w="142" w:type="dxa"/>
        </w:tblCellMar>
        <w:tblLook w:val="04A0" w:firstRow="1" w:lastRow="0" w:firstColumn="1" w:lastColumn="0" w:noHBand="0" w:noVBand="1"/>
      </w:tblPr>
      <w:tblGrid>
        <w:gridCol w:w="9434"/>
      </w:tblGrid>
      <w:tr w:rsidR="005771E8" w:rsidRPr="00A56B91" w14:paraId="12855BF3" w14:textId="77777777" w:rsidTr="00555773">
        <w:tc>
          <w:tcPr>
            <w:tcW w:w="9434" w:type="dxa"/>
            <w:shd w:val="clear" w:color="auto" w:fill="FFF2CC" w:themeFill="accent1" w:themeFillTint="33"/>
          </w:tcPr>
          <w:p w14:paraId="51594D00" w14:textId="12DB7E02" w:rsidR="00E02B27" w:rsidRPr="00A56B91" w:rsidRDefault="00EE1B0E" w:rsidP="00406AA2">
            <w:pPr>
              <w:pStyle w:val="Boxtitle"/>
              <w:rPr>
                <w:rFonts w:ascii="Times New Roman" w:hAnsi="Times New Roman"/>
                <w:noProof/>
              </w:rPr>
            </w:pPr>
            <w:r>
              <w:rPr>
                <w:rFonts w:ascii="Times New Roman" w:hAnsi="Times New Roman"/>
                <w:noProof/>
              </w:rPr>
              <w:t xml:space="preserve">С оглед подобряване на наличните инструменти Комисията: </w:t>
            </w:r>
          </w:p>
          <w:p w14:paraId="5A706720" w14:textId="2DC01977" w:rsidR="005F4B8D" w:rsidRPr="00A56B91" w:rsidRDefault="005F4B8D" w:rsidP="00406AA2">
            <w:pPr>
              <w:pStyle w:val="Framesubtitle"/>
              <w:rPr>
                <w:rFonts w:ascii="Times New Roman" w:hAnsi="Times New Roman"/>
                <w:noProof/>
                <w:sz w:val="24"/>
                <w:szCs w:val="24"/>
              </w:rPr>
            </w:pPr>
            <w:r>
              <w:rPr>
                <w:rFonts w:ascii="Times New Roman" w:hAnsi="Times New Roman"/>
                <w:noProof/>
                <w:sz w:val="24"/>
              </w:rPr>
              <w:t>Ще укрепи базата от данни и доказателствената база</w:t>
            </w:r>
          </w:p>
          <w:p w14:paraId="22475FC9" w14:textId="74D447DB" w:rsidR="00A469B7" w:rsidRPr="006260B2" w:rsidRDefault="00B067D3" w:rsidP="00C67017">
            <w:pPr>
              <w:pStyle w:val="Paragraphedelistebullets"/>
              <w:jc w:val="both"/>
              <w:rPr>
                <w:noProof/>
              </w:rPr>
            </w:pPr>
            <w:r>
              <w:rPr>
                <w:noProof/>
              </w:rPr>
              <w:t xml:space="preserve">Ще превърне </w:t>
            </w:r>
            <w:r>
              <w:rPr>
                <w:b/>
                <w:noProof/>
              </w:rPr>
              <w:t>демографския атлас</w:t>
            </w:r>
            <w:r>
              <w:rPr>
                <w:noProof/>
              </w:rPr>
              <w:t xml:space="preserve"> в динамична платформа за създаване и разпространение на демографски знания на равнище ЕС, като улеснява обмена между държавите членки. </w:t>
            </w:r>
          </w:p>
          <w:p w14:paraId="69F58C5D" w14:textId="7437B5F8" w:rsidR="00173985" w:rsidRPr="006260B2" w:rsidRDefault="009B4FD4" w:rsidP="00C67017">
            <w:pPr>
              <w:pStyle w:val="Paragraphedelistebullets"/>
              <w:jc w:val="both"/>
              <w:rPr>
                <w:noProof/>
              </w:rPr>
            </w:pPr>
            <w:r>
              <w:rPr>
                <w:noProof/>
              </w:rPr>
              <w:t xml:space="preserve">Ще подкрепя, в рамките на Европейската статистическа система, държавите членки за подобряване на </w:t>
            </w:r>
            <w:r>
              <w:rPr>
                <w:b/>
                <w:noProof/>
              </w:rPr>
              <w:t>статистиката им за населението и жилищния фонд</w:t>
            </w:r>
            <w:r>
              <w:rPr>
                <w:noProof/>
              </w:rPr>
              <w:t xml:space="preserve"> и за прилагане на иновативни действия въз основа на бъдещата регулаторна рамка за европейските статистически данни за населението и жилищния фонд (ESOP).</w:t>
            </w:r>
          </w:p>
          <w:p w14:paraId="47E27B95" w14:textId="3421FFA0" w:rsidR="00F34DF3" w:rsidRPr="006260B2" w:rsidRDefault="009B4FD4" w:rsidP="00C67017">
            <w:pPr>
              <w:pStyle w:val="Paragraphedelistebullets"/>
              <w:jc w:val="both"/>
              <w:rPr>
                <w:noProof/>
              </w:rPr>
            </w:pPr>
            <w:r>
              <w:rPr>
                <w:noProof/>
              </w:rPr>
              <w:t xml:space="preserve">Ще подкрепя аналитичните дейности по </w:t>
            </w:r>
            <w:r>
              <w:rPr>
                <w:b/>
                <w:noProof/>
              </w:rPr>
              <w:t>направлението „Заетост и социални иновации“ (EaSI) на ЕСФ+</w:t>
            </w:r>
            <w:r>
              <w:rPr>
                <w:noProof/>
              </w:rPr>
              <w:t xml:space="preserve"> през 2024 г., насочени към ключови аспекти на демографското развитие, по-специално във връзка с дълголетието, застаряването и дългосрочните грижи.</w:t>
            </w:r>
          </w:p>
          <w:p w14:paraId="34F0765B" w14:textId="179FEBD6" w:rsidR="008A053D" w:rsidRPr="006260B2" w:rsidRDefault="00DB5969" w:rsidP="00C67017">
            <w:pPr>
              <w:pStyle w:val="Paragraphedelistebullets"/>
              <w:jc w:val="both"/>
              <w:rPr>
                <w:noProof/>
              </w:rPr>
            </w:pPr>
            <w:r>
              <w:rPr>
                <w:noProof/>
              </w:rPr>
              <w:t xml:space="preserve">Ще подкрепя </w:t>
            </w:r>
            <w:r>
              <w:rPr>
                <w:b/>
                <w:noProof/>
              </w:rPr>
              <w:t>научните изследвания чрез „Хоризонт Европа“</w:t>
            </w:r>
            <w:r>
              <w:rPr>
                <w:noProof/>
              </w:rPr>
              <w:t xml:space="preserve"> относно отговорите на политиката на демографските предизвикателства, включително проучване на последиците от нарастващата нужда от дългосрочни грижи („вълна от грижи“), което ще бъде публикувано до 2025 г.</w:t>
            </w:r>
          </w:p>
          <w:p w14:paraId="54BAF589" w14:textId="5E5DD503" w:rsidR="005F4B8D" w:rsidRPr="00A56B91" w:rsidRDefault="00173985" w:rsidP="00406AA2">
            <w:pPr>
              <w:pStyle w:val="Framesubtitle"/>
              <w:rPr>
                <w:rFonts w:ascii="Times New Roman" w:hAnsi="Times New Roman"/>
                <w:noProof/>
                <w:sz w:val="24"/>
                <w:szCs w:val="24"/>
              </w:rPr>
            </w:pPr>
            <w:r>
              <w:rPr>
                <w:rFonts w:ascii="Times New Roman" w:hAnsi="Times New Roman"/>
                <w:noProof/>
                <w:sz w:val="24"/>
              </w:rPr>
              <w:t>Ще подкрепя прегледа и усъвършенстването на свързаните с демографията политики на всички равнища</w:t>
            </w:r>
          </w:p>
          <w:p w14:paraId="738805B3" w14:textId="4C12D8E9" w:rsidR="002D693A" w:rsidRPr="006260B2" w:rsidRDefault="009B4FD4" w:rsidP="00C67017">
            <w:pPr>
              <w:pStyle w:val="Paragraphedelistebullets"/>
              <w:jc w:val="both"/>
              <w:rPr>
                <w:noProof/>
              </w:rPr>
            </w:pPr>
            <w:r>
              <w:rPr>
                <w:noProof/>
              </w:rPr>
              <w:t xml:space="preserve">Ще насърчава, в сътрудничество с председателството, </w:t>
            </w:r>
            <w:r>
              <w:rPr>
                <w:b/>
                <w:noProof/>
              </w:rPr>
              <w:t>редовни диалози и обмен</w:t>
            </w:r>
            <w:r>
              <w:rPr>
                <w:noProof/>
              </w:rPr>
              <w:t xml:space="preserve"> с държавите членки по всички измерения на демографията чрез специални структури и ресурси.</w:t>
            </w:r>
          </w:p>
          <w:p w14:paraId="7A839844" w14:textId="2256E96F" w:rsidR="00472F73" w:rsidRPr="006260B2" w:rsidRDefault="007B3C27" w:rsidP="00C67017">
            <w:pPr>
              <w:pStyle w:val="Paragraphedelistebullets"/>
              <w:jc w:val="both"/>
              <w:rPr>
                <w:noProof/>
              </w:rPr>
            </w:pPr>
            <w:r>
              <w:rPr>
                <w:noProof/>
              </w:rPr>
              <w:t xml:space="preserve">Ще използва </w:t>
            </w:r>
            <w:r>
              <w:rPr>
                <w:b/>
                <w:noProof/>
              </w:rPr>
              <w:t>инструмента за техническа подкрепа</w:t>
            </w:r>
            <w:r>
              <w:rPr>
                <w:noProof/>
              </w:rPr>
              <w:t>, за да предоставя помощ на националните органи, по тяхно искане, за разработване или актуализиране на национални стратегии, насочени към справяне с демографските промени, по-специално в контекста на водещите инициативи „Youth First“ (Младите хора на първо място!), „Умения“, „Преодоляване на пречките пред регионалното развитие“ и „Интеграция на мигрантите и привличане на таланти“.</w:t>
            </w:r>
          </w:p>
          <w:p w14:paraId="18AB16D8" w14:textId="472936D8" w:rsidR="00B25D05" w:rsidRPr="006260B2" w:rsidRDefault="009B4FD4" w:rsidP="00C67017">
            <w:pPr>
              <w:pStyle w:val="Paragraphedelistebullets"/>
              <w:jc w:val="both"/>
              <w:rPr>
                <w:b/>
                <w:noProof/>
              </w:rPr>
            </w:pPr>
            <w:r>
              <w:rPr>
                <w:noProof/>
              </w:rPr>
              <w:t xml:space="preserve">Ще публикува в началото на 2024 г. </w:t>
            </w:r>
            <w:r>
              <w:rPr>
                <w:b/>
                <w:noProof/>
              </w:rPr>
              <w:t>9-ия доклад за сближаването</w:t>
            </w:r>
            <w:r>
              <w:rPr>
                <w:noProof/>
              </w:rPr>
              <w:t>, който ще даде възможност да се обмисли как политиката на сближаване помага на държавите членки да се справят с демографските предизвикателства.</w:t>
            </w:r>
          </w:p>
          <w:p w14:paraId="4C91A7A5" w14:textId="6A4CDA12" w:rsidR="00173985" w:rsidRPr="002E65EE" w:rsidRDefault="003F4663" w:rsidP="00C67017">
            <w:pPr>
              <w:pStyle w:val="Paragraphedelistebullets"/>
              <w:jc w:val="both"/>
              <w:rPr>
                <w:noProof/>
                <w:spacing w:val="-4"/>
              </w:rPr>
            </w:pPr>
            <w:r w:rsidRPr="002E65EE">
              <w:rPr>
                <w:b/>
                <w:noProof/>
                <w:spacing w:val="-4"/>
              </w:rPr>
              <w:t>Ще</w:t>
            </w:r>
            <w:r w:rsidRPr="002E65EE">
              <w:rPr>
                <w:noProof/>
                <w:spacing w:val="-4"/>
              </w:rPr>
              <w:t xml:space="preserve"> </w:t>
            </w:r>
            <w:r w:rsidRPr="002E65EE">
              <w:rPr>
                <w:b/>
                <w:noProof/>
                <w:spacing w:val="-4"/>
              </w:rPr>
              <w:t>интегрира демографските проблеми</w:t>
            </w:r>
            <w:r w:rsidRPr="002E65EE">
              <w:rPr>
                <w:noProof/>
                <w:spacing w:val="-4"/>
              </w:rPr>
              <w:t xml:space="preserve"> в съответните предложения за политики </w:t>
            </w:r>
            <w:r w:rsidRPr="002E65EE">
              <w:rPr>
                <w:b/>
                <w:noProof/>
                <w:spacing w:val="-4"/>
              </w:rPr>
              <w:t>на равнище ЕС</w:t>
            </w:r>
            <w:r w:rsidRPr="002E65EE">
              <w:rPr>
                <w:noProof/>
                <w:spacing w:val="-4"/>
              </w:rPr>
              <w:t xml:space="preserve"> и придружаващите ги оценки на въздействието, когато е целесъобразно.</w:t>
            </w:r>
          </w:p>
          <w:p w14:paraId="2E00BB35" w14:textId="187BF7FB" w:rsidR="003F4663" w:rsidRPr="006260B2" w:rsidRDefault="003F4663" w:rsidP="00C67017">
            <w:pPr>
              <w:pStyle w:val="Paragraphedelistebullets"/>
              <w:jc w:val="both"/>
              <w:rPr>
                <w:noProof/>
              </w:rPr>
            </w:pPr>
            <w:r>
              <w:rPr>
                <w:b/>
                <w:noProof/>
              </w:rPr>
              <w:t>Ще организира тематична конференция през първата половина на 2024 г.</w:t>
            </w:r>
            <w:r>
              <w:rPr>
                <w:noProof/>
              </w:rPr>
              <w:t>, за да се обмисли как системите и политиките могат да поддържат дълголетието в Европа въз основа на основните констатации в докладите за адекватността на пенсиите и застаряването на населението.</w:t>
            </w:r>
          </w:p>
          <w:p w14:paraId="4E492884" w14:textId="30A1BDFA" w:rsidR="00173985" w:rsidRPr="00A56B91" w:rsidRDefault="005611E3" w:rsidP="00406AA2">
            <w:pPr>
              <w:pStyle w:val="Framesubtitle"/>
              <w:rPr>
                <w:rFonts w:ascii="Times New Roman" w:hAnsi="Times New Roman"/>
                <w:noProof/>
                <w:sz w:val="24"/>
                <w:szCs w:val="24"/>
              </w:rPr>
            </w:pPr>
            <w:r>
              <w:rPr>
                <w:rFonts w:ascii="Times New Roman" w:hAnsi="Times New Roman"/>
                <w:noProof/>
                <w:sz w:val="24"/>
              </w:rPr>
              <w:t>Ще гарантира, че нито един регион в ЕС не е изоставен</w:t>
            </w:r>
          </w:p>
          <w:p w14:paraId="63253DD4" w14:textId="324AA56F" w:rsidR="0016116F" w:rsidRPr="006260B2" w:rsidRDefault="001245DC" w:rsidP="00C67017">
            <w:pPr>
              <w:pStyle w:val="Paragraphedelistebullets"/>
              <w:jc w:val="both"/>
              <w:rPr>
                <w:b/>
                <w:i/>
                <w:noProof/>
              </w:rPr>
            </w:pPr>
            <w:r>
              <w:rPr>
                <w:noProof/>
              </w:rPr>
              <w:t xml:space="preserve">Ще стартира официално </w:t>
            </w:r>
            <w:r>
              <w:rPr>
                <w:b/>
                <w:noProof/>
              </w:rPr>
              <w:t>платформата за оптимално използване на талантите</w:t>
            </w:r>
            <w:r>
              <w:rPr>
                <w:noProof/>
              </w:rPr>
              <w:t xml:space="preserve"> на 23—24 ноември 2023 г. и ще публикува допълнителни покани за представяне на предложения в рамките на механизма за насърчаване на талантите. </w:t>
            </w:r>
          </w:p>
          <w:p w14:paraId="527E2A82" w14:textId="3252CBC4" w:rsidR="00D841A8" w:rsidRPr="006260B2" w:rsidRDefault="00D841A8" w:rsidP="00C67017">
            <w:pPr>
              <w:pStyle w:val="Paragraphedelistebullets"/>
              <w:jc w:val="both"/>
              <w:rPr>
                <w:noProof/>
              </w:rPr>
            </w:pPr>
            <w:bookmarkStart w:id="6" w:name="_Hlk147483384"/>
            <w:r>
              <w:rPr>
                <w:noProof/>
              </w:rPr>
              <w:t xml:space="preserve">Ще обърне специално внимание на специфичните предизвикателства, свързани с демографията на селските райони, в </w:t>
            </w:r>
            <w:r>
              <w:rPr>
                <w:b/>
                <w:noProof/>
              </w:rPr>
              <w:t>предстоящия си доклад относно прилагането на дългосрочната визия за селските райони</w:t>
            </w:r>
            <w:r>
              <w:rPr>
                <w:noProof/>
              </w:rPr>
              <w:t>.</w:t>
            </w:r>
          </w:p>
          <w:bookmarkEnd w:id="6"/>
          <w:p w14:paraId="5D0F8579" w14:textId="0145DB1A" w:rsidR="00472632" w:rsidRPr="006260B2" w:rsidRDefault="001030EA" w:rsidP="00C67017">
            <w:pPr>
              <w:pStyle w:val="Paragraphedelistebullets"/>
              <w:jc w:val="both"/>
              <w:rPr>
                <w:b/>
                <w:i/>
                <w:noProof/>
              </w:rPr>
            </w:pPr>
            <w:r>
              <w:rPr>
                <w:noProof/>
              </w:rPr>
              <w:t xml:space="preserve">Ще подкрепи създаването на </w:t>
            </w:r>
            <w:r>
              <w:rPr>
                <w:b/>
                <w:noProof/>
              </w:rPr>
              <w:t>100 регионални иновационни долини</w:t>
            </w:r>
            <w:r>
              <w:rPr>
                <w:noProof/>
              </w:rPr>
              <w:t>, в които участват региони на ЕС с по-ниски резултати в областта на иновациите, с финансиране в размер на 100 милиона евро от „Хоризонт Европа“ и 70 милиона евро от инструмента за междурегионални инвестиции в иновации (I3) по линия на ЕФРР.</w:t>
            </w:r>
          </w:p>
          <w:p w14:paraId="5FB6B43B" w14:textId="339A0798" w:rsidR="00A25974" w:rsidRPr="006260B2" w:rsidRDefault="1C370CBB" w:rsidP="00C67017">
            <w:pPr>
              <w:pStyle w:val="Paragraphedelistebullets"/>
              <w:jc w:val="both"/>
              <w:rPr>
                <w:noProof/>
              </w:rPr>
            </w:pPr>
            <w:r>
              <w:rPr>
                <w:noProof/>
              </w:rPr>
              <w:t xml:space="preserve">Ще провежда редовен диалог в рамките на съответната </w:t>
            </w:r>
            <w:r>
              <w:rPr>
                <w:b/>
                <w:noProof/>
              </w:rPr>
              <w:t>експертна група на Комисията</w:t>
            </w:r>
            <w:r>
              <w:rPr>
                <w:noProof/>
              </w:rPr>
              <w:t>, която се занимава с фондовете на политиката на сближаване</w:t>
            </w:r>
            <w:r>
              <w:rPr>
                <w:rStyle w:val="FootnoteReference"/>
                <w:noProof/>
                <w:szCs w:val="24"/>
              </w:rPr>
              <w:footnoteReference w:id="72"/>
            </w:r>
            <w:r>
              <w:rPr>
                <w:noProof/>
              </w:rPr>
              <w:t>, относно демографските предизвикателства и подкрепата от съответните фондове, за да се гарантира, че демографските предизвикателства се преодоляват по подходящ начин през цялото време на тяхното програмиране и изпълнение.</w:t>
            </w:r>
          </w:p>
          <w:p w14:paraId="0323E142" w14:textId="37222A1C" w:rsidR="005771E8" w:rsidRPr="006260B2" w:rsidRDefault="1C370CBB" w:rsidP="00C67017">
            <w:pPr>
              <w:pStyle w:val="Paragraphedelistebullets"/>
              <w:jc w:val="both"/>
              <w:rPr>
                <w:noProof/>
              </w:rPr>
            </w:pPr>
            <w:r>
              <w:rPr>
                <w:noProof/>
              </w:rPr>
              <w:t xml:space="preserve">Ще прикани държавите членки да се възползват от предстоящия </w:t>
            </w:r>
            <w:r>
              <w:rPr>
                <w:b/>
                <w:noProof/>
              </w:rPr>
              <w:t>междинен преглед на програмите в областта на политиката на сближаване</w:t>
            </w:r>
            <w:r>
              <w:rPr>
                <w:noProof/>
              </w:rPr>
              <w:t>, за да адаптират, когато е необходимо, програмите към нуждите, породени от демографските предизвикателства.</w:t>
            </w:r>
            <w:r>
              <w:rPr>
                <w:b/>
                <w:i/>
                <w:noProof/>
              </w:rPr>
              <w:t xml:space="preserve"> </w:t>
            </w:r>
          </w:p>
        </w:tc>
      </w:tr>
    </w:tbl>
    <w:p w14:paraId="55769AED" w14:textId="5F65BBEE" w:rsidR="007B492A" w:rsidRPr="00C67017" w:rsidRDefault="007B492A" w:rsidP="00A06243">
      <w:pPr>
        <w:pStyle w:val="Heading1"/>
      </w:pPr>
      <w:r>
        <w:t>ЗАКЛЮЧЕНИЕ</w:t>
      </w:r>
    </w:p>
    <w:p w14:paraId="66D3318E" w14:textId="27FE705A" w:rsidR="00BE6548" w:rsidRPr="00A56B91" w:rsidRDefault="00F96C14" w:rsidP="00DE4A7D">
      <w:pPr>
        <w:rPr>
          <w:rFonts w:ascii="Times New Roman" w:hAnsi="Times New Roman" w:cs="Times New Roman"/>
          <w:noProof/>
          <w:sz w:val="24"/>
        </w:rPr>
      </w:pPr>
      <w:r>
        <w:rPr>
          <w:rFonts w:ascii="Times New Roman" w:hAnsi="Times New Roman"/>
          <w:b/>
          <w:noProof/>
          <w:sz w:val="24"/>
        </w:rPr>
        <w:t xml:space="preserve">Демографските промени оказват дълбоко въздействие върху живота ни и конкурентоспособността на нашата икономика. </w:t>
      </w:r>
      <w:r>
        <w:rPr>
          <w:rFonts w:ascii="Times New Roman" w:hAnsi="Times New Roman"/>
          <w:noProof/>
          <w:sz w:val="24"/>
        </w:rPr>
        <w:t>„Обществото на дълголетието“ може да ни помогне да се адаптираме и да се възползваме от нови възможности, но застаряването на населението и намаляващото население в трудоспособна възраст могат да изострят съществуващите предизвикателства, свързани с недостига на работна ръка, производителността и публичните бюджети, като окажат неблагоприятно въздействие върху икономиката и обществото като цяло. Демографските тенденции могат също така да допринесат за задълбочаване на различията между регионите и държавите, като може да подкопаят социалното сближаване и доверието в демократичните ни институции за осигуряването на просперитет и благоденствие на широка основа.</w:t>
      </w:r>
    </w:p>
    <w:p w14:paraId="5B8C0B20" w14:textId="3A3EDBA3" w:rsidR="005B2A1B" w:rsidRPr="00A56B91" w:rsidRDefault="007C030D" w:rsidP="00DE4A7D">
      <w:pPr>
        <w:rPr>
          <w:rFonts w:ascii="Times New Roman" w:hAnsi="Times New Roman" w:cs="Times New Roman"/>
          <w:noProof/>
          <w:sz w:val="24"/>
        </w:rPr>
      </w:pPr>
      <w:r>
        <w:rPr>
          <w:rFonts w:ascii="Times New Roman" w:hAnsi="Times New Roman"/>
          <w:b/>
          <w:noProof/>
          <w:sz w:val="24"/>
        </w:rPr>
        <w:t xml:space="preserve">Европа трябва да следва всеобхватен подход, който дава възможност на всички поколения да реализират своите таланти и стремежи. </w:t>
      </w:r>
      <w:r>
        <w:rPr>
          <w:rFonts w:ascii="Times New Roman" w:hAnsi="Times New Roman"/>
          <w:noProof/>
          <w:sz w:val="24"/>
        </w:rPr>
        <w:t>В Гранада лидерите от ЕС изразиха решимостта си да инвестират в уменията на бъдещето и да отговорят на демографските предизвикателства.</w:t>
      </w:r>
      <w:r>
        <w:rPr>
          <w:rFonts w:ascii="Times New Roman" w:hAnsi="Times New Roman"/>
          <w:b/>
          <w:noProof/>
          <w:sz w:val="24"/>
        </w:rPr>
        <w:t xml:space="preserve"> </w:t>
      </w:r>
      <w:r>
        <w:rPr>
          <w:rFonts w:ascii="Times New Roman" w:hAnsi="Times New Roman"/>
          <w:noProof/>
          <w:sz w:val="24"/>
        </w:rPr>
        <w:t>За да се изгради издръжлива, устойчива икономика, която работи за хората и общество, където хората могат да реализират своя потенциал, е от решаващо значение внимателно да се балансират различните цели на политиката. Политиките на ЕС и националните политики следва да дадат възможност на хората в цяла Европа да съвместяват семейните планове и платения труд. Равенството между половете, недискриминацията, зачитането на основните права и справедливостта между поколенията трябва да направляват нашите усилия по всяко време. Предвид острия недостиг на работна ръка, който оказва натиск върху предприятията в целия ЕС, законната миграция и ефективната интеграция на гражданите на трети държави също са от жизненоважно значение, в допълнение към оползотворяването на талантите от Съюза. Планираната среща на върха на социалните партньори във Вал Дюшес през първата половина на 2024 г. ще бъде възможност да продължим да решаваме належащия проблем с недостига на работна ръка и умения. За да се разгледа въпросът за конкурентоспособността като цяло, председателят на Комисията възложи на Марио Драги, бивш председател на ЕЦБ и бивш министър-председател на Италия, да изготви доклад за бъдещето на конкурентоспособността на ЕС до лятото на 2024 г.</w:t>
      </w:r>
    </w:p>
    <w:p w14:paraId="2EFFC39A" w14:textId="77523F9F" w:rsidR="00810036" w:rsidRPr="00A56B91" w:rsidRDefault="00825C51" w:rsidP="008D6DF0">
      <w:pPr>
        <w:rPr>
          <w:rFonts w:ascii="Times New Roman" w:hAnsi="Times New Roman" w:cs="Times New Roman"/>
          <w:noProof/>
          <w:sz w:val="24"/>
        </w:rPr>
      </w:pPr>
      <w:r>
        <w:rPr>
          <w:rFonts w:ascii="Times New Roman" w:hAnsi="Times New Roman"/>
          <w:b/>
          <w:noProof/>
          <w:sz w:val="24"/>
        </w:rPr>
        <w:t xml:space="preserve">Като работим заедно, можем да постигнем напредък за силна, динамична, конкурентоспособна и сплотена Европа. </w:t>
      </w:r>
      <w:r>
        <w:rPr>
          <w:rFonts w:ascii="Times New Roman" w:hAnsi="Times New Roman"/>
          <w:noProof/>
          <w:sz w:val="24"/>
        </w:rPr>
        <w:t>В това съобщение се посочват ключовите реформи и инвестиции, необходими за справяне и управление на демографските промени в Европа. Както е посочено по-горе, създателите на политики в държавите членки следва да ги прилагат в своя национален и регионален контекст при подход, обхващащ всички равнища на управление. Комисията се ангажира да подкрепя държавите членки при ефективното използване на наличните инструменти и да продължи да ги развива за тази цел. В усилията си създателите на политики следва също така да насърчават активното участие на гражданите и да включват всички участници — социалните партньори, организациите на гражданското общество и други, като основават политиките си на местните реалности. По този начин можем да помогнем на хората и общностите да процъфтяват, като насърчаваме благосъстоянието и благополучието на сегашните и на бъдещите поколения.</w:t>
      </w:r>
    </w:p>
    <w:sectPr w:rsidR="00810036" w:rsidRPr="00A56B91" w:rsidSect="00637EF0">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851" w:left="1440" w:header="708" w:footer="5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76B7B" w14:textId="77777777" w:rsidR="006260B2" w:rsidRDefault="006260B2" w:rsidP="00B54742">
      <w:pPr>
        <w:spacing w:after="0" w:line="240" w:lineRule="auto"/>
      </w:pPr>
      <w:r>
        <w:separator/>
      </w:r>
    </w:p>
    <w:p w14:paraId="2BE30428" w14:textId="77777777" w:rsidR="006260B2" w:rsidRDefault="006260B2"/>
  </w:endnote>
  <w:endnote w:type="continuationSeparator" w:id="0">
    <w:p w14:paraId="488346B1" w14:textId="77777777" w:rsidR="006260B2" w:rsidRDefault="006260B2" w:rsidP="00B54742">
      <w:pPr>
        <w:spacing w:after="0" w:line="240" w:lineRule="auto"/>
      </w:pPr>
      <w:r>
        <w:continuationSeparator/>
      </w:r>
    </w:p>
    <w:p w14:paraId="6F3BD182" w14:textId="77777777" w:rsidR="006260B2" w:rsidRDefault="006260B2"/>
  </w:endnote>
  <w:endnote w:type="continuationNotice" w:id="1">
    <w:p w14:paraId="3636984C" w14:textId="77777777" w:rsidR="006260B2" w:rsidRDefault="006260B2">
      <w:pPr>
        <w:spacing w:after="0" w:line="240" w:lineRule="auto"/>
      </w:pPr>
    </w:p>
    <w:p w14:paraId="677D5B4C" w14:textId="77777777" w:rsidR="006260B2" w:rsidRDefault="00626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EC Square Sans Pro">
    <w:altName w:val="Calibri"/>
    <w:charset w:val="00"/>
    <w:family w:val="swiss"/>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C Square Sans Cond Pro Medium">
    <w:charset w:val="00"/>
    <w:family w:val="swiss"/>
    <w:pitch w:val="variable"/>
    <w:sig w:usb0="20000287" w:usb1="00000001" w:usb2="00000000" w:usb3="00000000" w:csb0="0000019F" w:csb1="00000000"/>
  </w:font>
  <w:font w:name="EC Square Sans Pro Medium">
    <w:altName w:val="Corbel"/>
    <w:charset w:val="00"/>
    <w:family w:val="swiss"/>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021A1" w14:textId="223BCF8F" w:rsidR="00E21CE4" w:rsidRPr="00DD1B45" w:rsidRDefault="00E21CE4" w:rsidP="00DD1B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02016" w14:textId="4124C8B1" w:rsidR="00E21CE4" w:rsidRPr="00DD1B45" w:rsidRDefault="00DD1B45" w:rsidP="00DD1B45">
    <w:pPr>
      <w:pStyle w:val="FooterCoverPage"/>
      <w:rPr>
        <w:rFonts w:ascii="Arial" w:hAnsi="Arial" w:cs="Arial"/>
        <w:b/>
        <w:sz w:val="48"/>
      </w:rPr>
    </w:pPr>
    <w:r w:rsidRPr="00DD1B45">
      <w:rPr>
        <w:rFonts w:ascii="Arial" w:hAnsi="Arial" w:cs="Arial"/>
        <w:b/>
        <w:sz w:val="48"/>
      </w:rPr>
      <w:t>BG</w:t>
    </w:r>
    <w:r w:rsidRPr="00DD1B45">
      <w:rPr>
        <w:rFonts w:ascii="Arial" w:hAnsi="Arial" w:cs="Arial"/>
        <w:b/>
        <w:sz w:val="48"/>
      </w:rPr>
      <w:tab/>
    </w:r>
    <w:r w:rsidRPr="00DD1B45">
      <w:rPr>
        <w:rFonts w:ascii="Arial" w:hAnsi="Arial" w:cs="Arial"/>
        <w:b/>
        <w:sz w:val="48"/>
      </w:rPr>
      <w:tab/>
    </w:r>
    <w:r w:rsidRPr="00DD1B45">
      <w:tab/>
    </w:r>
    <w:r w:rsidRPr="00DD1B45">
      <w:rPr>
        <w:rFonts w:ascii="Arial" w:hAnsi="Arial" w:cs="Arial"/>
        <w:b/>
        <w:sz w:val="48"/>
      </w:rPr>
      <w:t>BG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3307" w14:textId="77777777" w:rsidR="00DD1B45" w:rsidRPr="00DD1B45" w:rsidRDefault="00DD1B45" w:rsidP="00DD1B45">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40930" w14:textId="77777777" w:rsidR="00B54742" w:rsidRDefault="00B54742">
    <w:pPr>
      <w:pStyle w:val="Footer"/>
    </w:pPr>
  </w:p>
  <w:p w14:paraId="0CF0CFAF" w14:textId="77777777" w:rsidR="001723BE" w:rsidRDefault="001723BE"/>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441347337"/>
      <w:docPartObj>
        <w:docPartGallery w:val="Page Numbers (Bottom of Page)"/>
        <w:docPartUnique/>
      </w:docPartObj>
    </w:sdtPr>
    <w:sdtEndPr>
      <w:rPr>
        <w:noProof/>
      </w:rPr>
    </w:sdtEndPr>
    <w:sdtContent>
      <w:p w14:paraId="0A4ECC06" w14:textId="3A16E36D" w:rsidR="005363DA" w:rsidRPr="005363DA" w:rsidRDefault="005363DA">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DD1B45" w:rsidRPr="00DD1B45">
          <w:rPr>
            <w:rFonts w:ascii="Times New Roman" w:hAnsi="Times New Roman" w:cs="Times New Roman"/>
            <w:noProof/>
          </w:rPr>
          <w:t>1</w:t>
        </w:r>
        <w:r>
          <w:rPr>
            <w:rFonts w:ascii="Times New Roman" w:hAnsi="Times New Roman" w:cs="Times New Roman"/>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EAC84" w14:textId="77777777" w:rsidR="00B54742" w:rsidRDefault="00B54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26454" w14:textId="77777777" w:rsidR="006260B2" w:rsidRPr="00E963CF" w:rsidRDefault="006260B2" w:rsidP="00E963CF">
      <w:pPr>
        <w:spacing w:after="0" w:line="240" w:lineRule="auto"/>
        <w:rPr>
          <w:b/>
          <w:color w:val="FFC000" w:themeColor="accent1"/>
          <w:sz w:val="28"/>
          <w:szCs w:val="28"/>
        </w:rPr>
      </w:pPr>
      <w:r>
        <w:rPr>
          <w:b/>
          <w:color w:val="FFC000" w:themeColor="accent1"/>
          <w:sz w:val="28"/>
          <w:szCs w:val="28"/>
        </w:rPr>
        <w:separator/>
      </w:r>
    </w:p>
  </w:footnote>
  <w:footnote w:type="continuationSeparator" w:id="0">
    <w:p w14:paraId="50CD148E" w14:textId="77777777" w:rsidR="006260B2" w:rsidRDefault="006260B2" w:rsidP="00B54742">
      <w:pPr>
        <w:spacing w:after="0" w:line="240" w:lineRule="auto"/>
      </w:pPr>
      <w:r>
        <w:continuationSeparator/>
      </w:r>
    </w:p>
    <w:p w14:paraId="669A6E44" w14:textId="77777777" w:rsidR="006260B2" w:rsidRDefault="006260B2"/>
  </w:footnote>
  <w:footnote w:type="continuationNotice" w:id="1">
    <w:p w14:paraId="0729EFDB" w14:textId="77777777" w:rsidR="006260B2" w:rsidRPr="00637EF0" w:rsidRDefault="006260B2" w:rsidP="00637EF0">
      <w:pPr>
        <w:pStyle w:val="Footer"/>
      </w:pPr>
    </w:p>
  </w:footnote>
  <w:footnote w:id="2">
    <w:p w14:paraId="049490F5" w14:textId="4E0E3210" w:rsidR="009646C4" w:rsidRPr="00241384" w:rsidRDefault="009646C4">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rPr>
        <w:t xml:space="preserve"> </w:t>
      </w:r>
      <w:r>
        <w:rPr>
          <w:rFonts w:ascii="Times New Roman" w:hAnsi="Times New Roman"/>
          <w:sz w:val="16"/>
        </w:rPr>
        <w:t>Справедливостта между поколенията е идеята за справедливост или справедливо отношение между различните поколения. Понятието може да се прилага по отношение на справедливостта между децата, младежите, зрелите и възрастните хора, както и справедливостта между поколенията, които живеят сега, и бъдещите поколения. То се отнася до няколко области и включва теми като икономическа или социална справедливост, жизнен стандарт или изменение на климата.</w:t>
      </w:r>
    </w:p>
  </w:footnote>
  <w:footnote w:id="3">
    <w:p w14:paraId="5D21928A" w14:textId="1A619E22" w:rsidR="00362125" w:rsidRPr="00C67017" w:rsidRDefault="00362125" w:rsidP="00362125">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Конференция за бъдещето на Европа – Доклад за окончателните резултати, май 2022 г. (15-то предложение: Демографски преход).</w:t>
      </w:r>
    </w:p>
  </w:footnote>
  <w:footnote w:id="4">
    <w:p w14:paraId="497F3A54" w14:textId="2DFC2E4F" w:rsidR="009A4D5A" w:rsidRPr="00C67017" w:rsidRDefault="009A4D5A" w:rsidP="00DA3ACC">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Организация на обединените нации, Департамент по икономически и социални въпроси, Отдел за населението, „Перспективи за световното население“, 2022 г.</w:t>
      </w:r>
    </w:p>
  </w:footnote>
  <w:footnote w:id="5">
    <w:p w14:paraId="2124DAF8" w14:textId="29C11B36" w:rsidR="00364987" w:rsidRPr="00045BA7" w:rsidRDefault="00364987" w:rsidP="00DA3ACC">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sidR="00A06243">
        <w:rPr>
          <w:rFonts w:ascii="Times New Roman" w:hAnsi="Times New Roman"/>
          <w:sz w:val="16"/>
          <w:lang w:val="en-US"/>
        </w:rPr>
        <w:t xml:space="preserve"> </w:t>
      </w:r>
      <w:r>
        <w:rPr>
          <w:rFonts w:ascii="Times New Roman" w:hAnsi="Times New Roman"/>
          <w:sz w:val="16"/>
        </w:rPr>
        <w:t>„Заетост и социално развитие в Европа“, годишен преглед, SWD(2023) 248 final.</w:t>
      </w:r>
    </w:p>
  </w:footnote>
  <w:footnote w:id="6">
    <w:p w14:paraId="57A45B59" w14:textId="703DBE6E" w:rsidR="0065384B" w:rsidRPr="00C67017" w:rsidRDefault="0065384B" w:rsidP="00DA3ACC">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Вж. Доклад за въздействието на демографските промени, COM (2020) 241 final. Въздействието на демографските промени — в променящата се среда, SWD (2023) 21 final.</w:t>
      </w:r>
    </w:p>
  </w:footnote>
  <w:footnote w:id="7">
    <w:p w14:paraId="4FC5C0B3" w14:textId="2A1A9F2A" w:rsidR="002302E6" w:rsidRPr="00241384" w:rsidRDefault="002302E6" w:rsidP="002302E6">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sidR="00A06243">
        <w:rPr>
          <w:rFonts w:ascii="Times New Roman" w:hAnsi="Times New Roman"/>
          <w:sz w:val="16"/>
          <w:lang w:val="en-US"/>
        </w:rPr>
        <w:t xml:space="preserve"> </w:t>
      </w:r>
      <w:r>
        <w:rPr>
          <w:rFonts w:ascii="Times New Roman" w:hAnsi="Times New Roman"/>
          <w:sz w:val="16"/>
        </w:rPr>
        <w:t>„Заетост и социално развитие в Европа“, годишен преглед, SWD(2023) 248 final.</w:t>
      </w:r>
    </w:p>
  </w:footnote>
  <w:footnote w:id="8">
    <w:p w14:paraId="49D3BD40" w14:textId="5A58E074" w:rsidR="002C49C0" w:rsidRPr="00C67017" w:rsidRDefault="002C49C0" w:rsidP="002C49C0">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При „сребърната икономика“ икономическата дейност обслужва нуждите на хората на възраст над 50 години, например чрез закупени продукти и услуги и допълнителната икономическа дейност, генерирана от техните разходи. Европейска комисия (2018 г.), The Silver Economy – Final report (Сребърната икономика— окончателен доклад), Служба за публикации на Европейския съюз, Люксембург.</w:t>
      </w:r>
    </w:p>
  </w:footnote>
  <w:footnote w:id="9">
    <w:p w14:paraId="39B35DB1" w14:textId="1EA7A5F3" w:rsidR="00E5614D" w:rsidRPr="00C67017" w:rsidRDefault="00E5614D" w:rsidP="00E5614D">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Експресно проучване „Евробарометър“ № 534, Демографските промени в Европа (Събиране на данни: 1— 14.9.2023 г.).</w:t>
      </w:r>
    </w:p>
  </w:footnote>
  <w:footnote w:id="10">
    <w:p w14:paraId="185E2831" w14:textId="20960CA8" w:rsidR="00C24091" w:rsidRPr="00C67017" w:rsidRDefault="00C24091">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Европейска комисия (2021 г.) The 2021 Ageing Report — Economic and budgetary projections for the EU Member States (Доклад от 2021 г. относно застаряването на населението — икономически и бюджетни прогнози за държавите — членки на ЕС).</w:t>
      </w:r>
    </w:p>
  </w:footnote>
  <w:footnote w:id="11">
    <w:p w14:paraId="337207B0" w14:textId="37705768" w:rsidR="00B479BF" w:rsidRPr="00241384" w:rsidRDefault="00B479BF" w:rsidP="00B479BF">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sidR="00A06243">
        <w:rPr>
          <w:rFonts w:ascii="Times New Roman" w:hAnsi="Times New Roman"/>
          <w:sz w:val="16"/>
          <w:lang w:val="en-US"/>
        </w:rPr>
        <w:t xml:space="preserve"> </w:t>
      </w:r>
      <w:r>
        <w:rPr>
          <w:rFonts w:ascii="Times New Roman" w:hAnsi="Times New Roman"/>
          <w:sz w:val="16"/>
        </w:rPr>
        <w:t>Вж. окончателния доклад на групата на високо равнище относно бъдещето на социалната закрила и социалната държава в ЕС (2023 г.).</w:t>
      </w:r>
    </w:p>
  </w:footnote>
  <w:footnote w:id="12">
    <w:p w14:paraId="2EB11C43" w14:textId="6BD60A78" w:rsidR="00F5387A" w:rsidRPr="00C67017" w:rsidRDefault="00F5387A" w:rsidP="00F5387A">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 xml:space="preserve">Съобщение на Комисията до Европейския парламент, Съвета, Европейския икономически и социален комитет и Комитета на регионите „Оптимално използване на талантите в регионите на Европа“ (COM(2023)32 final). </w:t>
      </w:r>
    </w:p>
  </w:footnote>
  <w:footnote w:id="13">
    <w:p w14:paraId="4417A6BE" w14:textId="0D5C87B2" w:rsidR="006D32D4" w:rsidRPr="00C67017" w:rsidRDefault="006D32D4">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Сближаване в Европа до 2050 г., 8-ми доклад относно икономическото, социалното и териториалното сближаване, SWD(2022) 24 final.</w:t>
      </w:r>
    </w:p>
  </w:footnote>
  <w:footnote w:id="14">
    <w:p w14:paraId="48FAF4A4" w14:textId="31CE72EF" w:rsidR="00DF43AC" w:rsidRPr="00C67017" w:rsidRDefault="00DF43AC">
      <w:pPr>
        <w:pStyle w:val="FootnoteText"/>
        <w:rPr>
          <w:rFonts w:ascii="Times New Roman" w:hAnsi="Times New Roman"/>
          <w:sz w:val="16"/>
        </w:rPr>
      </w:pPr>
      <w:r>
        <w:rPr>
          <w:rStyle w:val="FootnoteReference"/>
          <w:rFonts w:ascii="Times New Roman" w:hAnsi="Times New Roman"/>
          <w:sz w:val="16"/>
        </w:rPr>
        <w:footnoteRef/>
      </w:r>
      <w:r w:rsidR="00A06243">
        <w:rPr>
          <w:rFonts w:ascii="Times New Roman" w:hAnsi="Times New Roman"/>
          <w:sz w:val="16"/>
          <w:lang w:val="en-US"/>
        </w:rPr>
        <w:t xml:space="preserve"> </w:t>
      </w:r>
      <w:r>
        <w:rPr>
          <w:rFonts w:ascii="Times New Roman" w:hAnsi="Times New Roman"/>
          <w:sz w:val="16"/>
        </w:rPr>
        <w:t>Европейска комисия (2021 г.), The Demographic Landscape of EU Territories (Демографският пейзаж на териториите на ЕС), Служба за публикации на Европейския съюз, Люксембург.</w:t>
      </w:r>
    </w:p>
  </w:footnote>
  <w:footnote w:id="15">
    <w:p w14:paraId="7C5F17D2" w14:textId="43299060" w:rsidR="004246DD" w:rsidRPr="00C67017" w:rsidRDefault="004246DD" w:rsidP="00DE4A7D">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На социалната среща на върха в Порто през 2021 г. държавните и правителствените ръководители на ЕС подкрепиха водещата цел в областта на заетостта за 2030 г. от Плана за действие на Европейския стълб на социалните права, а именно да се осигури до 2030 г. трудова заетост на поне 78 % от населението на възраст между 20 и 64 години.</w:t>
      </w:r>
    </w:p>
  </w:footnote>
  <w:footnote w:id="16">
    <w:p w14:paraId="0556C02F" w14:textId="2C949615" w:rsidR="008928B0" w:rsidRPr="00C67017" w:rsidRDefault="008928B0" w:rsidP="008928B0">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Европейска комисия (2019 г.) Демографски сценарии за ЕС: миграция, население и образование. Служба за публикации на Европейския съюз, Люксембург.</w:t>
      </w:r>
    </w:p>
  </w:footnote>
  <w:footnote w:id="17">
    <w:p w14:paraId="0E764F74" w14:textId="5B4E69FC" w:rsidR="009311E9" w:rsidRPr="00C67017" w:rsidRDefault="009311E9" w:rsidP="009311E9">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Вж. набор от социални показатели за Европейския стълб на социалните права.</w:t>
      </w:r>
    </w:p>
  </w:footnote>
  <w:footnote w:id="18">
    <w:p w14:paraId="6845F3E9" w14:textId="6A44D7E3" w:rsidR="00900178" w:rsidRPr="00241384" w:rsidRDefault="00900178" w:rsidP="00900178">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sidR="004B2ACD">
        <w:rPr>
          <w:rFonts w:ascii="Times New Roman" w:hAnsi="Times New Roman"/>
          <w:sz w:val="16"/>
          <w:lang w:val="en-US"/>
        </w:rPr>
        <w:t xml:space="preserve"> </w:t>
      </w:r>
      <w:r>
        <w:rPr>
          <w:rFonts w:ascii="Times New Roman" w:hAnsi="Times New Roman"/>
          <w:sz w:val="16"/>
        </w:rPr>
        <w:t>През 2021 г. брутното почасово възнаграждение на жените беше средно с 12,7 % по-ниско от това на мъжете в ЕС; най-голямата разлика в заплащането на жените и мъжете в ЕС беше отчетена в Естония (20,5 %), а най-ниска — в Люксембург (-0,2 %).</w:t>
      </w:r>
    </w:p>
  </w:footnote>
  <w:footnote w:id="19">
    <w:p w14:paraId="445DE732" w14:textId="6E1B1C85" w:rsidR="00275101" w:rsidRPr="00C67017" w:rsidRDefault="00275101" w:rsidP="00275101">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Европейски институт за равенство между половете (2020 г.), Gender inequalities in care and consequences for the labour market (Неравенствата между половете в сектора на грижите и последиците за пазара на труда).</w:t>
      </w:r>
    </w:p>
  </w:footnote>
  <w:footnote w:id="20">
    <w:p w14:paraId="617B5356" w14:textId="2121FA3A" w:rsidR="00275101" w:rsidRPr="00C67017" w:rsidRDefault="00275101" w:rsidP="00275101">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„Заетост и социално развитие в Европа“, годишен преглед, SWD(2023) 248 final.</w:t>
      </w:r>
    </w:p>
  </w:footnote>
  <w:footnote w:id="21">
    <w:p w14:paraId="7EF819C4" w14:textId="22C570D8" w:rsidR="00624346" w:rsidRPr="00C67017" w:rsidRDefault="00624346">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Van der Ende, M. et al., 2021 г., Study on exploring the incidence and costs of informal long-term care in the EU (Проучване на честотата и разходите за неформални дългосрочни грижи в EС), Служба за публикации на Европейския съюз, Люксембург.</w:t>
      </w:r>
    </w:p>
  </w:footnote>
  <w:footnote w:id="22">
    <w:p w14:paraId="4BB2BE0D" w14:textId="2F8949BB" w:rsidR="00D22929" w:rsidRPr="00C67017" w:rsidRDefault="00D22929">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Съобщение на Комисията до Европейския парламент, Съвета, Европейския икономически и социален комитет и Комитета на регионите „Стратегия на ЕС за правата на детето“ (COM(2021) 142 final).</w:t>
      </w:r>
    </w:p>
  </w:footnote>
  <w:footnote w:id="23">
    <w:p w14:paraId="5338F2D7" w14:textId="40DE496D" w:rsidR="00275101" w:rsidRPr="00C67017" w:rsidRDefault="00275101" w:rsidP="00275101">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Европейска комисия (2022г.), The transposition of the Work-Life Balance Directive in EU Member States: A long way ahead (Транспониране на Директивата относно равновесието между професионалния и личния живот в държавите—членки на ЕС: пътят напред), Служба за публикации на Европейския съюз, Люксембург.</w:t>
      </w:r>
    </w:p>
  </w:footnote>
  <w:footnote w:id="24">
    <w:p w14:paraId="20EE349E" w14:textId="2AB3A0CF" w:rsidR="00340132" w:rsidRPr="00C67017" w:rsidRDefault="00340132" w:rsidP="00340132">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ОИСР, 2022 г., Net childcare costs in EU countries (Нетни разходи за грижи за деца в държавите от ЕС), 2021 г.</w:t>
      </w:r>
    </w:p>
  </w:footnote>
  <w:footnote w:id="25">
    <w:p w14:paraId="68B7CC27" w14:textId="482CE03E" w:rsidR="009B1293" w:rsidRPr="00C67017" w:rsidRDefault="009B1293">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Директива (ЕС) 2019/1158 на Европейския парламент и на Съвета от 20 юни 2019 г. относно равновесието между професионалния и личния живот на родителите и лицата, полагащи грижи, и за отмяна на Директива 2010/18/ЕС на Съвета.</w:t>
      </w:r>
    </w:p>
  </w:footnote>
  <w:footnote w:id="26">
    <w:p w14:paraId="4387933E" w14:textId="7CA38974" w:rsidR="001D3893" w:rsidRPr="00C67017" w:rsidRDefault="001D3893">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Директива 92/85/ЕИО на Съвета от 19 октомври 1992 г. за въвеждане на мерки за насърчаване подобряването на безопасността и здравето по време на работа на бременни работнички и на работнички родилки или кърмачки.</w:t>
      </w:r>
    </w:p>
  </w:footnote>
  <w:footnote w:id="27">
    <w:p w14:paraId="2D9BD13C" w14:textId="28DD2CAA" w:rsidR="00B31B45" w:rsidRPr="00C67017" w:rsidRDefault="00B31B45">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Директива 2006/54/ЕО на Европейския парламент и на Съвета от 5 юли 2006 г. за прилагането на принципа на равните възможности и равното третиране на мъжете и жените в областта на заетостта и професиите (преработена).</w:t>
      </w:r>
    </w:p>
  </w:footnote>
  <w:footnote w:id="28">
    <w:p w14:paraId="3A00CC7E" w14:textId="4807439C" w:rsidR="007C23EE" w:rsidRPr="00C67017" w:rsidRDefault="007C23EE" w:rsidP="008E0015">
      <w:pPr>
        <w:pStyle w:val="FootnoteText"/>
        <w:tabs>
          <w:tab w:val="left" w:pos="1020"/>
        </w:tabs>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Препоръка на Съвета от 8 декември 2022 г. относно образованието и грижите в ранна детска възраст: целите от Барселона за 2030 година (2022/C 484/01).</w:t>
      </w:r>
    </w:p>
  </w:footnote>
  <w:footnote w:id="29">
    <w:p w14:paraId="2783A017" w14:textId="59B986F2" w:rsidR="000405C0" w:rsidRPr="00C67017" w:rsidRDefault="000405C0">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Вж. Набор от социални показатели за Европейския стълб на социалните права.</w:t>
      </w:r>
    </w:p>
  </w:footnote>
  <w:footnote w:id="30">
    <w:p w14:paraId="1CC50F7A" w14:textId="3D7AD27F" w:rsidR="00595860" w:rsidRPr="00C67017" w:rsidRDefault="00595860"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Препоръка (ЕС) 2021/1004 на Съвета от 14 юни 2021 г. за създаване на Европейска гаранция за децата.</w:t>
      </w:r>
    </w:p>
  </w:footnote>
  <w:footnote w:id="31">
    <w:p w14:paraId="14BFEDAD" w14:textId="2BEA3126" w:rsidR="00BA63FD" w:rsidRPr="00C67017" w:rsidRDefault="00BA63FD"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За повече информация вж. Резолюция на Съвета относно стратегическа рамка за европейско сътрудничество в областта на образованието и обучението с оглед на европейското пространство за образование и отвъд него (2021—2030 г.) (2021/C 66/01).</w:t>
      </w:r>
    </w:p>
  </w:footnote>
  <w:footnote w:id="32">
    <w:p w14:paraId="2FB11880" w14:textId="526C3E91" w:rsidR="00547719" w:rsidRPr="00C67017" w:rsidRDefault="00547719"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Съобщение на Комисията до Европейския парламент, Съвета, Европейския икономически и социален комитет и Комитета на регионите „Подкрепа за младежката заетост: мост към работните места за следващото поколение“ (COM(2020) 276 final).</w:t>
      </w:r>
    </w:p>
  </w:footnote>
  <w:footnote w:id="33">
    <w:p w14:paraId="4BE0AA10" w14:textId="1DA9309F" w:rsidR="00547719" w:rsidRPr="00C67017" w:rsidRDefault="00547719"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Препоръка на Съвета от 30 октомври 2020 г. относно „Мост към работни места — укрепване на гаранцията за младежта“, и за замяна на Препоръката на Съвета от 22 април 2013 г. за създаване на гаранция за младежта (2020/C 372/01).</w:t>
      </w:r>
    </w:p>
  </w:footnote>
  <w:footnote w:id="34">
    <w:p w14:paraId="1FF08BEA" w14:textId="7EBB0578" w:rsidR="0062798C" w:rsidRPr="00E3602F" w:rsidRDefault="0062798C" w:rsidP="00C67017">
      <w:pPr>
        <w:pStyle w:val="title-bold"/>
        <w:shd w:val="clear" w:color="auto" w:fill="FFFFFF"/>
        <w:spacing w:before="0" w:beforeAutospacing="0" w:after="75" w:afterAutospacing="0"/>
        <w:jc w:val="both"/>
      </w:pPr>
      <w:r>
        <w:rPr>
          <w:rStyle w:val="FootnoteReference"/>
          <w:rFonts w:eastAsiaTheme="minorEastAsia"/>
          <w:sz w:val="16"/>
          <w:lang w:val="en-US"/>
        </w:rPr>
        <w:footnoteRef/>
      </w:r>
      <w:r w:rsidR="004B2ACD">
        <w:rPr>
          <w:sz w:val="16"/>
          <w:lang w:val="en-US"/>
        </w:rPr>
        <w:t xml:space="preserve"> </w:t>
      </w:r>
      <w:r>
        <w:rPr>
          <w:sz w:val="16"/>
        </w:rPr>
        <w:t>Съобщение на Комисията до Европейския парламент, Съвета, Европейския икономически и социален комитет и Комитета на регионите „Вълна на саниране за Европа — екологизиране на нашите сгради, създаване на работни места, подобряване на качеството на живот“ (COM/2020/662 final).</w:t>
      </w:r>
    </w:p>
  </w:footnote>
  <w:footnote w:id="35">
    <w:p w14:paraId="7E996F65" w14:textId="5EEE4BFE" w:rsidR="00FB2DC5" w:rsidRPr="00C67017" w:rsidRDefault="00FB2DC5" w:rsidP="00DA3ACC">
      <w:pPr>
        <w:pStyle w:val="FootnoteText"/>
        <w:rPr>
          <w:rFonts w:ascii="Times New Roman" w:hAnsi="Times New Roman"/>
          <w:sz w:val="16"/>
        </w:rPr>
      </w:pPr>
      <w:r>
        <w:rPr>
          <w:rStyle w:val="FootnoteReference"/>
          <w:rFonts w:ascii="Times New Roman" w:hAnsi="Times New Roman"/>
          <w:sz w:val="16"/>
        </w:rPr>
        <w:footnoteRef/>
      </w:r>
      <w:r w:rsidR="004B2ACD">
        <w:rPr>
          <w:lang w:val="en-US"/>
        </w:rPr>
        <w:t xml:space="preserve"> </w:t>
      </w:r>
      <w:r>
        <w:rPr>
          <w:rFonts w:ascii="Times New Roman" w:hAnsi="Times New Roman"/>
          <w:sz w:val="16"/>
        </w:rPr>
        <w:t>Стратегия за равенство между половете (2020—2025 г.); Стратегия за равнопоставеност на ЛГБТИК за 2020—2025 г.; Стратегическа рамка на ЕС за ромите (2020—2030); План за действие на ЕС за борба с расизма 2020—2025 г.; Стратегия за правата на хората с увреждания за периода 2021—2030 г.</w:t>
      </w:r>
    </w:p>
  </w:footnote>
  <w:footnote w:id="36">
    <w:p w14:paraId="397B0CAA" w14:textId="79F18A9B" w:rsidR="00F82BED" w:rsidRPr="00241384" w:rsidRDefault="00F82BED" w:rsidP="00DA3ACC">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sidR="004B2ACD">
        <w:rPr>
          <w:lang w:val="en-US"/>
        </w:rPr>
        <w:t xml:space="preserve"> </w:t>
      </w:r>
      <w:r>
        <w:rPr>
          <w:rFonts w:ascii="Times New Roman" w:hAnsi="Times New Roman"/>
          <w:sz w:val="16"/>
        </w:rPr>
        <w:t>Вж. също Окончателния доклад на групата на високо равнище от експерти по въпросите на пенсиите (2019 г.).</w:t>
      </w:r>
    </w:p>
  </w:footnote>
  <w:footnote w:id="37">
    <w:p w14:paraId="44257A56" w14:textId="5D113A7E" w:rsidR="00513BC7" w:rsidRPr="00C67017" w:rsidRDefault="00513BC7" w:rsidP="00DA3ACC">
      <w:pPr>
        <w:pStyle w:val="FootnoteText"/>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Предложение за директива на Европейския парламент и на Съвета за изменение на директиви (ЕС) 2009/65/ЕО, 2009/138/ЕО, 2011/61/ЕС, 2014/65/ЕС и (ЕС) 2016/97 по отношение на правилата за защита на инвеститорите на дребно в Съюза и предложение за регламент на Европейския парламент и на Съвета за изменение на Регламент (ЕС) № 1286/2014 по отношение на модернизирането на основния информационен документ (COM(2023) 279 final).</w:t>
      </w:r>
    </w:p>
  </w:footnote>
  <w:footnote w:id="38">
    <w:p w14:paraId="13D6442E" w14:textId="3FF60178" w:rsidR="0006241D" w:rsidRPr="00C67017" w:rsidRDefault="0006241D" w:rsidP="0006241D">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Съобщение на Комисията до Европейския парламент, Съвета, Европейския икономически и социален комитет и Комитета на регионите относно европейската стратегия за полагане на грижи (COM(2022) 440 final).</w:t>
      </w:r>
    </w:p>
  </w:footnote>
  <w:footnote w:id="39">
    <w:p w14:paraId="1C36A9D4" w14:textId="5BA32F6F" w:rsidR="00FB46AB" w:rsidRPr="00C67017" w:rsidRDefault="00FB46AB">
      <w:pPr>
        <w:pStyle w:val="FootnoteText"/>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През 2023 г. 5 държави членки получиха специфични за държавата препоръки относно дългосрочната устойчивост на техните пенсионни системи и активния живот на възрастните хора (Чехия, Германия, Ирландия, Люксембург, Полша).</w:t>
      </w:r>
    </w:p>
  </w:footnote>
  <w:footnote w:id="40">
    <w:p w14:paraId="0693EDB6" w14:textId="56038D66" w:rsidR="00DF6E62" w:rsidRPr="00C67017" w:rsidRDefault="00DF6E62">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През 2021 г. данъците върху труда представляваха 51,4 % от общите данъчни приходи в ЕС.</w:t>
      </w:r>
    </w:p>
  </w:footnote>
  <w:footnote w:id="41">
    <w:p w14:paraId="75256419" w14:textId="7E197D8E" w:rsidR="00ED6C02" w:rsidRPr="00C67017" w:rsidRDefault="00ED6C02">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По-специално чрез намаляване на данъчната тежест за лицата с ниски и средни доходи, за да се стимулира платената работа.</w:t>
      </w:r>
    </w:p>
  </w:footnote>
  <w:footnote w:id="42">
    <w:p w14:paraId="052116CE" w14:textId="242A1F0F" w:rsidR="00521A2A" w:rsidRPr="00C67017" w:rsidRDefault="00521A2A"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Директива 89/391/ЕИО на Съвета от 12 юни 1989 г. за въвеждане на мерки за насърчаване подобряването на безопасността и здравето на работниците на работното място</w:t>
      </w:r>
    </w:p>
  </w:footnote>
  <w:footnote w:id="43">
    <w:p w14:paraId="7273EB26" w14:textId="49DB101A" w:rsidR="00EE2D58" w:rsidRPr="00241384" w:rsidRDefault="00EE2D58" w:rsidP="00DA3ACC">
      <w:pPr>
        <w:pStyle w:val="FootnoteText"/>
        <w:rPr>
          <w:rFonts w:ascii="Times New Roman" w:hAnsi="Times New Roman" w:cs="Times New Roman"/>
        </w:rPr>
      </w:pPr>
      <w:r>
        <w:rPr>
          <w:rStyle w:val="FootnoteReference"/>
          <w:rFonts w:ascii="Times New Roman" w:hAnsi="Times New Roman" w:cs="Times New Roman"/>
          <w:sz w:val="16"/>
          <w:szCs w:val="16"/>
        </w:rPr>
        <w:footnoteRef/>
      </w:r>
      <w:r w:rsidR="004B2ACD">
        <w:rPr>
          <w:lang w:val="en-US"/>
        </w:rPr>
        <w:t xml:space="preserve"> </w:t>
      </w:r>
      <w:r>
        <w:rPr>
          <w:rFonts w:ascii="Times New Roman" w:hAnsi="Times New Roman"/>
          <w:sz w:val="16"/>
        </w:rPr>
        <w:t>Директива 2000/78/ЕО от 27 ноември 2000 г. за създаване на основна рамка за равно третиране в областта на заетостта и професиите.</w:t>
      </w:r>
    </w:p>
  </w:footnote>
  <w:footnote w:id="44">
    <w:p w14:paraId="5459652E" w14:textId="1398FDBB" w:rsidR="008F25B6" w:rsidRPr="00C67017" w:rsidRDefault="008F25B6"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Препоръка на Съвета от 15 февруари 2016 г. относно интеграцията на дълготрайно безработните лица на пазара на труда (2016/C 67/01).</w:t>
      </w:r>
    </w:p>
  </w:footnote>
  <w:footnote w:id="45">
    <w:p w14:paraId="71F1EA3C" w14:textId="1DB862A5" w:rsidR="005312F6" w:rsidRPr="00C67017" w:rsidRDefault="005312F6" w:rsidP="00DA3ACC">
      <w:pPr>
        <w:pStyle w:val="FootnoteText"/>
        <w:rPr>
          <w:rFonts w:ascii="Times New Roman" w:hAnsi="Times New Roman"/>
          <w:sz w:val="16"/>
        </w:rPr>
      </w:pPr>
      <w:r>
        <w:rPr>
          <w:rStyle w:val="FootnoteReference"/>
          <w:rFonts w:ascii="Times New Roman" w:hAnsi="Times New Roman"/>
          <w:sz w:val="16"/>
        </w:rPr>
        <w:footnoteRef/>
      </w:r>
      <w:r w:rsidR="004B2ACD">
        <w:rPr>
          <w:lang w:val="en-US"/>
        </w:rPr>
        <w:t xml:space="preserve"> </w:t>
      </w:r>
      <w:r>
        <w:rPr>
          <w:rFonts w:ascii="Times New Roman" w:hAnsi="Times New Roman"/>
          <w:sz w:val="16"/>
        </w:rPr>
        <w:t>Препоръка на Съвета от 8 декември 2022 г. относно достъпа до финансово приемливи висококачествени дългосрочни грижи (2022/C 476/01)</w:t>
      </w:r>
    </w:p>
  </w:footnote>
  <w:footnote w:id="46">
    <w:p w14:paraId="02D7BB68" w14:textId="1E01B781" w:rsidR="00EA62F8" w:rsidRPr="00C67017" w:rsidRDefault="00EA62F8" w:rsidP="00DA3ACC">
      <w:pPr>
        <w:pStyle w:val="FootnoteText"/>
        <w:rPr>
          <w:rFonts w:ascii="Times New Roman" w:hAnsi="Times New Roman"/>
          <w:sz w:val="16"/>
        </w:rPr>
      </w:pPr>
      <w:r>
        <w:rPr>
          <w:rStyle w:val="FootnoteReference"/>
          <w:rFonts w:ascii="Times New Roman" w:hAnsi="Times New Roman"/>
          <w:sz w:val="16"/>
        </w:rPr>
        <w:footnoteRef/>
      </w:r>
      <w:r w:rsidR="004B2ACD">
        <w:rPr>
          <w:lang w:val="en-US"/>
        </w:rPr>
        <w:t xml:space="preserve"> </w:t>
      </w:r>
      <w:r>
        <w:rPr>
          <w:rFonts w:ascii="Times New Roman" w:hAnsi="Times New Roman"/>
          <w:sz w:val="16"/>
        </w:rPr>
        <w:t>Препоръка на Съвета от 30 януари 2023 г. относно адекватен минимален доход, гарантиращ активно приобщаване (2023/C 41/01).</w:t>
      </w:r>
    </w:p>
  </w:footnote>
  <w:footnote w:id="47">
    <w:p w14:paraId="42DEE274" w14:textId="17AA80E1" w:rsidR="008F747A" w:rsidRPr="00C67017" w:rsidRDefault="008F747A" w:rsidP="00DA3ACC">
      <w:pPr>
        <w:pStyle w:val="FootnoteText"/>
        <w:rPr>
          <w:rFonts w:ascii="Times New Roman" w:hAnsi="Times New Roman"/>
          <w:sz w:val="16"/>
        </w:rPr>
      </w:pPr>
      <w:r>
        <w:rPr>
          <w:rStyle w:val="FootnoteReference"/>
          <w:rFonts w:ascii="Times New Roman" w:hAnsi="Times New Roman"/>
          <w:sz w:val="16"/>
        </w:rPr>
        <w:footnoteRef/>
      </w:r>
      <w:r w:rsidR="004B2ACD">
        <w:rPr>
          <w:rFonts w:ascii="Times New Roman" w:hAnsi="Times New Roman"/>
          <w:sz w:val="16"/>
          <w:lang w:val="en-US"/>
        </w:rPr>
        <w:t xml:space="preserve"> </w:t>
      </w:r>
      <w:r>
        <w:rPr>
          <w:rFonts w:ascii="Times New Roman" w:hAnsi="Times New Roman"/>
          <w:sz w:val="16"/>
        </w:rPr>
        <w:t>Директива (ЕС) 2019/882 от 17 април 2019 г. за изискванията за достъпност на продукти и услуги.</w:t>
      </w:r>
    </w:p>
  </w:footnote>
  <w:footnote w:id="48">
    <w:p w14:paraId="478C94F7" w14:textId="0EC19C92" w:rsidR="007702EF" w:rsidRPr="00241384" w:rsidRDefault="007702EF" w:rsidP="00DA3ACC">
      <w:pPr>
        <w:pStyle w:val="FootnoteText"/>
        <w:rPr>
          <w:rFonts w:ascii="Times New Roman" w:hAnsi="Times New Roman" w:cs="Times New Roman"/>
        </w:rPr>
      </w:pPr>
      <w:r>
        <w:rPr>
          <w:rFonts w:ascii="Times New Roman" w:hAnsi="Times New Roman" w:cs="Times New Roman"/>
          <w:sz w:val="16"/>
          <w:szCs w:val="16"/>
          <w:vertAlign w:val="superscript"/>
        </w:rPr>
        <w:footnoteRef/>
      </w:r>
      <w:r w:rsidR="002E65EE">
        <w:rPr>
          <w:lang w:val="en-US"/>
        </w:rPr>
        <w:t xml:space="preserve"> </w:t>
      </w:r>
      <w:r>
        <w:rPr>
          <w:rFonts w:ascii="Times New Roman" w:hAnsi="Times New Roman"/>
          <w:sz w:val="16"/>
        </w:rPr>
        <w:t>Препоръка на Съвета от 9 декември 2022 г. за засилване на превенцията чрез ранно откриване: нов подход на ЕС към скрининга за рак и за замяна на Препоръка 2003/878/ЕО на Съвета (2022/C 473/01).</w:t>
      </w:r>
    </w:p>
  </w:footnote>
  <w:footnote w:id="49">
    <w:p w14:paraId="337DE8C4" w14:textId="77777777" w:rsidR="00C55E7D" w:rsidRPr="00241384" w:rsidRDefault="00C55E7D" w:rsidP="00C55E7D">
      <w:pPr>
        <w:pStyle w:val="FootnoteText"/>
        <w:rPr>
          <w:rFonts w:ascii="Times New Roman" w:hAnsi="Times New Roman" w:cs="Times New Roman"/>
        </w:rPr>
      </w:pPr>
      <w:r>
        <w:rPr>
          <w:rStyle w:val="FootnoteReference"/>
          <w:rFonts w:ascii="Times New Roman" w:hAnsi="Times New Roman" w:cs="Times New Roman"/>
          <w:sz w:val="16"/>
          <w:szCs w:val="16"/>
        </w:rPr>
        <w:footnoteRef/>
      </w:r>
      <w:r>
        <w:rPr>
          <w:rFonts w:ascii="Times New Roman" w:hAnsi="Times New Roman"/>
          <w:sz w:val="16"/>
        </w:rPr>
        <w:t xml:space="preserve"> </w:t>
      </w:r>
      <w:hyperlink r:id="rId1" w:history="1">
        <w:r>
          <w:rPr>
            <w:rStyle w:val="Hyperlink"/>
            <w:rFonts w:ascii="Times New Roman" w:hAnsi="Times New Roman"/>
            <w:sz w:val="16"/>
          </w:rPr>
          <w:t>https://knowsdgs.jrc.ec.europa.eu/cfc</w:t>
        </w:r>
      </w:hyperlink>
      <w:r>
        <w:rPr>
          <w:rFonts w:ascii="Times New Roman" w:hAnsi="Times New Roman"/>
          <w:sz w:val="16"/>
        </w:rPr>
        <w:t xml:space="preserve"> </w:t>
      </w:r>
    </w:p>
  </w:footnote>
  <w:footnote w:id="50">
    <w:p w14:paraId="60F84943" w14:textId="740CC9F9" w:rsidR="00E5596A" w:rsidRPr="00C67017" w:rsidRDefault="00E5596A" w:rsidP="00E5596A">
      <w:pPr>
        <w:pStyle w:val="FootnoteText"/>
        <w:rPr>
          <w:rFonts w:ascii="Times New Roman" w:hAnsi="Times New Roman"/>
          <w:sz w:val="16"/>
        </w:rPr>
      </w:pPr>
      <w:r>
        <w:rPr>
          <w:rStyle w:val="FootnoteReference"/>
          <w:rFonts w:ascii="Times New Roman" w:hAnsi="Times New Roman"/>
          <w:sz w:val="16"/>
        </w:rPr>
        <w:footnoteRef/>
      </w:r>
      <w:r>
        <w:t xml:space="preserve"> </w:t>
      </w:r>
      <w:r>
        <w:rPr>
          <w:rFonts w:ascii="Times New Roman" w:hAnsi="Times New Roman"/>
          <w:sz w:val="16"/>
        </w:rPr>
        <w:t>Предложение за директива на Съвета относно стандартите за органите по въпросите на равенството в областта на равното третиране на лицата, независимо от тяхната раса или етнически произход, равното третиране на лицата в областта на заетостта и професиите, независимо от тяхната религия или убеждения, увреждане, възраст или сексуална ориентация, равното третиране на жените и мъжете по въпросите на социалното осигуряване и достъпа и предоставянето на стоки и услуги, и за заличаване на член 13 от Директива 2000/43/ЕО и член 12 от Директива 2004/113/ЕО (COM(2022) 689 final); и Предложение за директива на Европейския парламент и на Съвета относно стандартите за органите по въпросите на равенството в областта на равното третиране и равните възможности на жените и мъжете в областта на заетостта и професиите и за заличаване на член 20 от Директива 2006/54/ЕО и член 11 от Директива 2010/41/ЕС (COM(2022) 688 final).</w:t>
      </w:r>
    </w:p>
  </w:footnote>
  <w:footnote w:id="51">
    <w:p w14:paraId="4334C06B" w14:textId="031436EA" w:rsidR="003263AA" w:rsidRPr="00C67017" w:rsidRDefault="003263AA">
      <w:pPr>
        <w:pStyle w:val="FootnoteText"/>
        <w:rPr>
          <w:rFonts w:ascii="Times New Roman" w:hAnsi="Times New Roman"/>
          <w:sz w:val="16"/>
        </w:rPr>
      </w:pPr>
      <w:r>
        <w:rPr>
          <w:rStyle w:val="FootnoteReference"/>
          <w:rFonts w:ascii="Times New Roman" w:hAnsi="Times New Roman"/>
          <w:sz w:val="16"/>
        </w:rPr>
        <w:footnoteRef/>
      </w:r>
      <w:r w:rsidR="002E65EE">
        <w:rPr>
          <w:rFonts w:ascii="Times New Roman" w:hAnsi="Times New Roman"/>
          <w:sz w:val="16"/>
          <w:lang w:val="en-US"/>
        </w:rPr>
        <w:t xml:space="preserve"> </w:t>
      </w:r>
      <w:r>
        <w:rPr>
          <w:rFonts w:ascii="Times New Roman" w:hAnsi="Times New Roman"/>
          <w:sz w:val="16"/>
        </w:rPr>
        <w:t>Проучване сред предприятията и потребителите (BCS), Европейска комисия.</w:t>
      </w:r>
    </w:p>
  </w:footnote>
  <w:footnote w:id="52">
    <w:p w14:paraId="52BB55FC" w14:textId="31C43271" w:rsidR="00B70FEF" w:rsidRPr="00C67017" w:rsidRDefault="00B70FEF">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Експресно проучване „Евробарометър“ № 529 (2023 г.).</w:t>
      </w:r>
    </w:p>
  </w:footnote>
  <w:footnote w:id="53">
    <w:p w14:paraId="00C83EC3" w14:textId="16A6948B" w:rsidR="008F687B" w:rsidRPr="00C67017" w:rsidRDefault="008F687B">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Европейска комисия (2023 г.), Annual Report on Intra-EU Labour Mobility 2022 (Годишен доклад относно трудовата мобилност в рамките на ЕС за 2022 г.), Служба за публикации на Европейския съюз, Люксембург.</w:t>
      </w:r>
    </w:p>
  </w:footnote>
  <w:footnote w:id="54">
    <w:p w14:paraId="607033FE" w14:textId="21CB91DF" w:rsidR="00B23573" w:rsidRPr="00C67017" w:rsidRDefault="00B23573">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Например по отношение на Австралия, Канада и Съединените щати. ОИСР (2019 г.), Building an EU Talent Pool: A New Approach to Migration Management‎ for Europe (Създаване на резерв на ЕС от таланти — нов подход към управлението на миграцията), OECD Publishing, Париж.</w:t>
      </w:r>
    </w:p>
  </w:footnote>
  <w:footnote w:id="55">
    <w:p w14:paraId="157A855B" w14:textId="718836C4" w:rsidR="002E0BB1" w:rsidRPr="00C67017" w:rsidRDefault="002E0BB1" w:rsidP="002E0BB1">
      <w:pPr>
        <w:pStyle w:val="FootnoteText"/>
        <w:rPr>
          <w:rFonts w:ascii="Times New Roman" w:hAnsi="Times New Roman"/>
          <w:sz w:val="16"/>
        </w:rPr>
      </w:pPr>
      <w:r>
        <w:rPr>
          <w:rStyle w:val="FootnoteReference"/>
          <w:rFonts w:ascii="Times New Roman" w:hAnsi="Times New Roman"/>
          <w:sz w:val="16"/>
        </w:rPr>
        <w:footnoteRef/>
      </w:r>
      <w:r>
        <w:t xml:space="preserve"> </w:t>
      </w:r>
      <w:r>
        <w:rPr>
          <w:rFonts w:ascii="Times New Roman" w:hAnsi="Times New Roman"/>
          <w:sz w:val="16"/>
        </w:rPr>
        <w:t>През 2022 г. приблизително 1,6 милиона разрешения за пребиваване са били издадени по причини, свързани със заетостта.</w:t>
      </w:r>
    </w:p>
  </w:footnote>
  <w:footnote w:id="56">
    <w:p w14:paraId="188ABAC4" w14:textId="57023764" w:rsidR="00F23189" w:rsidRPr="00241384" w:rsidRDefault="00F23189">
      <w:pPr>
        <w:pStyle w:val="FootnoteText"/>
        <w:rPr>
          <w:rFonts w:ascii="Times New Roman" w:hAnsi="Times New Roman" w:cs="Times New Roman"/>
          <w:sz w:val="16"/>
          <w:szCs w:val="16"/>
        </w:rPr>
      </w:pPr>
      <w:r>
        <w:rPr>
          <w:rStyle w:val="FootnoteReference"/>
          <w:rFonts w:ascii="Times New Roman" w:hAnsi="Times New Roman" w:cs="Times New Roman"/>
          <w:sz w:val="16"/>
          <w:szCs w:val="16"/>
        </w:rPr>
        <w:footnoteRef/>
      </w:r>
      <w:r w:rsidR="002E65EE">
        <w:rPr>
          <w:lang w:val="en-US"/>
        </w:rPr>
        <w:t xml:space="preserve"> </w:t>
      </w:r>
      <w:r>
        <w:rPr>
          <w:rFonts w:ascii="Times New Roman" w:hAnsi="Times New Roman"/>
          <w:sz w:val="16"/>
        </w:rPr>
        <w:t>Включително развитие на уменията, професионално образование и обучение и привеждане в действие на схеми за обмен, основан на работата.</w:t>
      </w:r>
    </w:p>
  </w:footnote>
  <w:footnote w:id="57">
    <w:p w14:paraId="33B85AFF" w14:textId="2302F4C3" w:rsidR="00A152D6" w:rsidRPr="00C67017" w:rsidRDefault="00A152D6">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Нидерландия, Швеция, Люксембург, Дания.</w:t>
      </w:r>
    </w:p>
  </w:footnote>
  <w:footnote w:id="58">
    <w:p w14:paraId="101E742C" w14:textId="1126FD7D" w:rsidR="000374B6" w:rsidRPr="00C67017" w:rsidRDefault="000374B6">
      <w:pPr>
        <w:pStyle w:val="FootnoteText"/>
        <w:rPr>
          <w:rFonts w:ascii="Times New Roman" w:hAnsi="Times New Roman"/>
          <w:sz w:val="16"/>
        </w:rPr>
      </w:pPr>
      <w:r>
        <w:rPr>
          <w:rStyle w:val="FootnoteReference"/>
          <w:rFonts w:ascii="Times New Roman" w:hAnsi="Times New Roman"/>
          <w:sz w:val="16"/>
        </w:rPr>
        <w:footnoteRef/>
      </w:r>
      <w:r w:rsidR="002E65EE">
        <w:rPr>
          <w:rFonts w:ascii="Times New Roman" w:hAnsi="Times New Roman"/>
          <w:sz w:val="16"/>
          <w:lang w:val="en-US"/>
        </w:rPr>
        <w:t xml:space="preserve"> </w:t>
      </w:r>
      <w:r>
        <w:rPr>
          <w:rFonts w:ascii="Times New Roman" w:hAnsi="Times New Roman"/>
          <w:sz w:val="16"/>
        </w:rPr>
        <w:t>Показатели на ОИСР за привличане на таланти.</w:t>
      </w:r>
    </w:p>
  </w:footnote>
  <w:footnote w:id="59">
    <w:p w14:paraId="6A022067" w14:textId="69CB855B" w:rsidR="006A54DA" w:rsidRPr="00C67017" w:rsidRDefault="006A54DA">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Европейска мрежа за миграцията (2019 г.), Доклад относно интеграцията на граждани на трети държави на пазара на труда в държавите — членки на ЕС.</w:t>
      </w:r>
    </w:p>
  </w:footnote>
  <w:footnote w:id="60">
    <w:p w14:paraId="3F23C8A8" w14:textId="705DB4C6" w:rsidR="00B92FE8" w:rsidRPr="00C67017" w:rsidRDefault="00B92FE8">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Директива (ЕС) 2021/1883 на Европейския парламент и на Съвета от 20 октомври 2021 г. относно условията за влизане и пребиваване на граждани на трети държави за целите на висококвалифицирана трудова заетост и за отмяна на Директива 2009/50/ЕО на Съвета.</w:t>
      </w:r>
    </w:p>
  </w:footnote>
  <w:footnote w:id="61">
    <w:p w14:paraId="0A71623E" w14:textId="01828642" w:rsidR="00D4648A" w:rsidRPr="00C67017" w:rsidRDefault="00D4648A">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Директива 2011/98/ЕС на Европейския парламент и на Съвета от 13 декември 2011 г. относно единна процедура за кандидатстване на граждани на трети държави за единно разрешение за пребиваване и работа на територията на държава членка и относно общ набор от права за работници от трети държави, законно пребиваващи в държава членка.</w:t>
      </w:r>
    </w:p>
  </w:footnote>
  <w:footnote w:id="62">
    <w:p w14:paraId="3D7F4F85" w14:textId="54B01318" w:rsidR="003B6145" w:rsidRPr="00C67017" w:rsidRDefault="003B6145">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Директива 2003/109/ЕО на Съвета от 25 ноември 2003 г. относно статута на дългосрочно пребиваващи граждани от трети страни.</w:t>
      </w:r>
    </w:p>
  </w:footnote>
  <w:footnote w:id="63">
    <w:p w14:paraId="6C860CD9" w14:textId="0D965EC2" w:rsidR="00813E1E" w:rsidRPr="00C67017" w:rsidRDefault="00813E1E">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 xml:space="preserve">Партньорства в подкрепа на талантите също се обсъждат с Нигерия и Сенегал. </w:t>
      </w:r>
    </w:p>
  </w:footnote>
  <w:footnote w:id="64">
    <w:p w14:paraId="479E4150" w14:textId="7FCF38C2" w:rsidR="00323C36" w:rsidRPr="00C67017" w:rsidRDefault="002B2146" w:rsidP="00323C36">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Съобщение на Комисията до Европейския парламент, Съвета, Европейския икономически и социален комитет и Комитета на регионите, „План за действие относно интеграцията и приобщаването за периода 2021 — 2027 г.“ (COM(2020) 758 final).</w:t>
      </w:r>
    </w:p>
    <w:p w14:paraId="0BA2EEC1" w14:textId="1D3C7840" w:rsidR="002B2146" w:rsidRPr="00E21CE4" w:rsidRDefault="002B2146">
      <w:pPr>
        <w:pStyle w:val="FootnoteText"/>
        <w:rPr>
          <w:rFonts w:ascii="Times New Roman" w:hAnsi="Times New Roman"/>
          <w:sz w:val="16"/>
          <w:lang w:val="ru-RU"/>
        </w:rPr>
      </w:pPr>
    </w:p>
  </w:footnote>
  <w:footnote w:id="65">
    <w:p w14:paraId="6184C41B" w14:textId="4BA0A202" w:rsidR="001707C8" w:rsidRPr="002E65EE" w:rsidRDefault="001707C8" w:rsidP="001707C8">
      <w:pPr>
        <w:pStyle w:val="FootnoteText"/>
        <w:rPr>
          <w:rFonts w:ascii="Times New Roman" w:hAnsi="Times New Roman"/>
          <w:spacing w:val="-4"/>
          <w:sz w:val="16"/>
        </w:rPr>
      </w:pPr>
      <w:r w:rsidRPr="002E65EE">
        <w:rPr>
          <w:rStyle w:val="FootnoteReference"/>
          <w:rFonts w:ascii="Times New Roman" w:hAnsi="Times New Roman"/>
          <w:spacing w:val="-4"/>
          <w:sz w:val="16"/>
        </w:rPr>
        <w:footnoteRef/>
      </w:r>
      <w:r w:rsidR="002E65EE" w:rsidRPr="002E65EE">
        <w:rPr>
          <w:spacing w:val="-4"/>
          <w:lang w:val="en-US"/>
        </w:rPr>
        <w:t xml:space="preserve"> </w:t>
      </w:r>
      <w:r w:rsidRPr="002E65EE">
        <w:rPr>
          <w:rFonts w:ascii="Times New Roman" w:hAnsi="Times New Roman"/>
          <w:spacing w:val="-4"/>
          <w:sz w:val="16"/>
        </w:rPr>
        <w:t>Данните са към 28 септември 2023 г. Данните се основават на методиката за маркиране по стълбове за набора от показатели за възстановяване и устойчивост и съответстват на мерките, разпределени за областта на политиката „образование и грижи в ранна детска възраст“ като основна или вторична област на политиката. За по-актуална информация и данни за МВУ вж. също доклада на Комисията до Европейския парламент и Съвета относно прилагането на Механизма за възстановяване и устойчивост: пътят напред, COM (2023) 545 final/2.</w:t>
      </w:r>
    </w:p>
  </w:footnote>
  <w:footnote w:id="66">
    <w:p w14:paraId="3D64293C" w14:textId="0E1C91AA" w:rsidR="001707C8" w:rsidRPr="00C67017" w:rsidRDefault="001707C8" w:rsidP="001707C8">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Ibid. Данните съответстват на мерките, разпределени за област на политиката „Общо, професионално и висше образование“ като основна или вторична област на политиката.</w:t>
      </w:r>
    </w:p>
  </w:footnote>
  <w:footnote w:id="67">
    <w:p w14:paraId="468EAC14" w14:textId="7BC410FC" w:rsidR="001707C8" w:rsidRPr="00C67017" w:rsidRDefault="001707C8" w:rsidP="001707C8">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Ibid. Данните съответстват на мерките, разпределени за областите на политиката „Обучение за възрастни“, „Зелени умения и работни места“ и/или „Човешки капитал в цифровизацията“ като основни или вторични области на политиката.</w:t>
      </w:r>
    </w:p>
  </w:footnote>
  <w:footnote w:id="68">
    <w:p w14:paraId="6A6C4777" w14:textId="61A08641" w:rsidR="001707C8" w:rsidRPr="00C67017" w:rsidRDefault="001707C8" w:rsidP="001707C8">
      <w:pPr>
        <w:pStyle w:val="FootnoteText"/>
        <w:rPr>
          <w:rFonts w:ascii="Times New Roman" w:hAnsi="Times New Roman"/>
          <w:sz w:val="16"/>
        </w:rPr>
      </w:pPr>
      <w:r>
        <w:rPr>
          <w:rStyle w:val="FootnoteReference"/>
          <w:rFonts w:ascii="Times New Roman" w:hAnsi="Times New Roman"/>
          <w:sz w:val="16"/>
        </w:rPr>
        <w:footnoteRef/>
      </w:r>
      <w:r>
        <w:rPr>
          <w:rFonts w:ascii="Times New Roman" w:hAnsi="Times New Roman"/>
          <w:sz w:val="16"/>
        </w:rPr>
        <w:t xml:space="preserve"> Ibid.</w:t>
      </w:r>
      <w:r>
        <w:t xml:space="preserve"> </w:t>
      </w:r>
      <w:r>
        <w:rPr>
          <w:rFonts w:ascii="Times New Roman" w:hAnsi="Times New Roman"/>
          <w:sz w:val="16"/>
        </w:rPr>
        <w:t>Данните съответстват на мерките, разпределени за област на политиката „Здравеопазване“ и/или „Дългосрочни грижи“ като първични или вторични области на политиката.</w:t>
      </w:r>
    </w:p>
  </w:footnote>
  <w:footnote w:id="69">
    <w:p w14:paraId="7BB6C9D0" w14:textId="378340A7" w:rsidR="00207795" w:rsidRPr="00241384" w:rsidRDefault="00207795">
      <w:pPr>
        <w:pStyle w:val="FootnoteText"/>
        <w:rPr>
          <w:rFonts w:ascii="Times New Roman" w:hAnsi="Times New Roman" w:cs="Times New Roman"/>
        </w:rPr>
      </w:pPr>
      <w:r>
        <w:rPr>
          <w:rFonts w:ascii="Times New Roman" w:hAnsi="Times New Roman" w:cs="Times New Roman"/>
          <w:sz w:val="16"/>
          <w:szCs w:val="16"/>
          <w:vertAlign w:val="superscript"/>
        </w:rPr>
        <w:footnoteRef/>
      </w:r>
      <w:r w:rsidR="002E65EE">
        <w:rPr>
          <w:lang w:val="en-US"/>
        </w:rPr>
        <w:t xml:space="preserve"> </w:t>
      </w:r>
      <w:r>
        <w:rPr>
          <w:rFonts w:ascii="Times New Roman" w:hAnsi="Times New Roman"/>
          <w:sz w:val="16"/>
        </w:rPr>
        <w:t>Данните са към 5 октомври 2023 г. Данните съответстват на мерките, разпределени за област на политиката „Социално жилищно настаняване и друга социална инфраструктура“ като основна или вторична област на политиката.</w:t>
      </w:r>
    </w:p>
  </w:footnote>
  <w:footnote w:id="70">
    <w:p w14:paraId="6259C526" w14:textId="529B3678" w:rsidR="70516C34" w:rsidRPr="00C67017" w:rsidRDefault="70516C34" w:rsidP="002104D3">
      <w:pPr>
        <w:pStyle w:val="FootnoteText"/>
        <w:rPr>
          <w:rFonts w:ascii="Times New Roman" w:hAnsi="Times New Roman"/>
          <w:sz w:val="16"/>
        </w:rPr>
      </w:pPr>
      <w:r>
        <w:rPr>
          <w:rStyle w:val="FootnoteReference"/>
          <w:rFonts w:ascii="Times New Roman" w:hAnsi="Times New Roman"/>
          <w:sz w:val="16"/>
        </w:rPr>
        <w:footnoteRef/>
      </w:r>
      <w:r w:rsidR="002E65EE">
        <w:rPr>
          <w:lang w:val="en-US"/>
        </w:rPr>
        <w:t xml:space="preserve"> </w:t>
      </w:r>
      <w:r>
        <w:rPr>
          <w:rFonts w:ascii="Times New Roman" w:hAnsi="Times New Roman"/>
          <w:sz w:val="16"/>
        </w:rPr>
        <w:t>Европейски фонд за регионално развитие, Европейски социален фонд плюс, Кохезионен фонд и Фонд за справедлив преход.</w:t>
      </w:r>
    </w:p>
  </w:footnote>
  <w:footnote w:id="71">
    <w:p w14:paraId="2F9287E3" w14:textId="454E3F22" w:rsidR="00B46F2E" w:rsidRPr="002E65EE" w:rsidRDefault="00B46F2E" w:rsidP="00B46F2E">
      <w:pPr>
        <w:pStyle w:val="FootnoteText"/>
        <w:rPr>
          <w:rFonts w:ascii="Times New Roman" w:hAnsi="Times New Roman"/>
          <w:spacing w:val="-4"/>
          <w:sz w:val="16"/>
        </w:rPr>
      </w:pPr>
      <w:r w:rsidRPr="002E65EE">
        <w:rPr>
          <w:rStyle w:val="FootnoteReference"/>
          <w:rFonts w:ascii="Times New Roman" w:hAnsi="Times New Roman"/>
          <w:spacing w:val="-4"/>
          <w:sz w:val="16"/>
        </w:rPr>
        <w:footnoteRef/>
      </w:r>
      <w:r w:rsidR="002E65EE" w:rsidRPr="002E65EE">
        <w:rPr>
          <w:rFonts w:ascii="Times New Roman" w:hAnsi="Times New Roman"/>
          <w:spacing w:val="-4"/>
          <w:sz w:val="16"/>
          <w:lang w:val="en-US"/>
        </w:rPr>
        <w:t xml:space="preserve"> </w:t>
      </w:r>
      <w:r w:rsidRPr="002E65EE">
        <w:rPr>
          <w:rFonts w:ascii="Times New Roman" w:hAnsi="Times New Roman"/>
          <w:spacing w:val="-4"/>
          <w:sz w:val="16"/>
        </w:rPr>
        <w:t>Предложение за Регламент на Европейския парламент и на Съвета относно европейската статистика за населението и жилищния фонд, за изменение на Регламент (ЕО) № 862/2007 и за отмяна на регламенти (ЕО) № 763/2008 и (ЕС) № 1260/2013 (COM(2023) 31 final).</w:t>
      </w:r>
    </w:p>
  </w:footnote>
  <w:footnote w:id="72">
    <w:p w14:paraId="56B3D9EB" w14:textId="22C642A7" w:rsidR="00ED6A49" w:rsidRPr="004277C0" w:rsidRDefault="00ED6A49" w:rsidP="00A62515">
      <w:pPr>
        <w:pStyle w:val="FootnoteText"/>
        <w:rPr>
          <w:rFonts w:ascii="Times New Roman" w:hAnsi="Times New Roman" w:cs="Times New Roman"/>
        </w:rPr>
      </w:pPr>
      <w:r w:rsidRPr="004277C0">
        <w:rPr>
          <w:rStyle w:val="FootnoteReference"/>
          <w:rFonts w:ascii="Times New Roman" w:hAnsi="Times New Roman" w:cs="Times New Roman"/>
          <w:sz w:val="16"/>
        </w:rPr>
        <w:footnoteRef/>
      </w:r>
      <w:r w:rsidRPr="004277C0">
        <w:rPr>
          <w:rFonts w:ascii="Times New Roman" w:hAnsi="Times New Roman" w:cs="Times New Roman"/>
        </w:rPr>
        <w:t xml:space="preserve"> </w:t>
      </w:r>
      <w:r w:rsidRPr="004277C0">
        <w:rPr>
          <w:rFonts w:ascii="Times New Roman" w:hAnsi="Times New Roman" w:cs="Times New Roman"/>
          <w:sz w:val="16"/>
        </w:rPr>
        <w:t>Експертна група за фондовете по Регламента за общоприложимите разпоредби (експертна група по РОР), вж. C (2021) 7888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CAA5" w14:textId="77777777" w:rsidR="00DD1B45" w:rsidRPr="00DD1B45" w:rsidRDefault="00DD1B45" w:rsidP="00DD1B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E014" w14:textId="77777777" w:rsidR="00DD1B45" w:rsidRPr="00DD1B45" w:rsidRDefault="00DD1B45" w:rsidP="00DD1B45">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78A26" w14:textId="77777777" w:rsidR="00DD1B45" w:rsidRPr="00DD1B45" w:rsidRDefault="00DD1B45" w:rsidP="00DD1B45">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1D40" w14:textId="77777777" w:rsidR="00B54742" w:rsidRDefault="00B54742">
    <w:pPr>
      <w:pStyle w:val="Header"/>
    </w:pPr>
  </w:p>
  <w:p w14:paraId="5CEDCF22" w14:textId="77777777" w:rsidR="001723BE" w:rsidRDefault="001723B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8039" w14:textId="77777777" w:rsidR="00B54742" w:rsidRDefault="00B54742">
    <w:pPr>
      <w:pStyle w:val="Header"/>
    </w:pPr>
  </w:p>
  <w:p w14:paraId="77492D1E" w14:textId="77777777" w:rsidR="001723BE" w:rsidRDefault="001723BE"/>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03060" w14:textId="77777777" w:rsidR="00B54742" w:rsidRDefault="00B547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2D5F"/>
    <w:multiLevelType w:val="hybridMultilevel"/>
    <w:tmpl w:val="C826E3B4"/>
    <w:lvl w:ilvl="0" w:tplc="0BF29EC4">
      <w:start w:val="1"/>
      <w:numFmt w:val="bullet"/>
      <w:lvlText w:val=""/>
      <w:lvlJc w:val="left"/>
      <w:pPr>
        <w:ind w:left="720" w:hanging="360"/>
      </w:pPr>
      <w:rPr>
        <w:rFonts w:ascii="Symbol" w:hAnsi="Symbol"/>
      </w:rPr>
    </w:lvl>
    <w:lvl w:ilvl="1" w:tplc="771E5520">
      <w:start w:val="1"/>
      <w:numFmt w:val="bullet"/>
      <w:lvlText w:val=""/>
      <w:lvlJc w:val="left"/>
      <w:pPr>
        <w:ind w:left="720" w:hanging="360"/>
      </w:pPr>
      <w:rPr>
        <w:rFonts w:ascii="Symbol" w:hAnsi="Symbol"/>
      </w:rPr>
    </w:lvl>
    <w:lvl w:ilvl="2" w:tplc="26F04B74">
      <w:start w:val="1"/>
      <w:numFmt w:val="bullet"/>
      <w:lvlText w:val=""/>
      <w:lvlJc w:val="left"/>
      <w:pPr>
        <w:ind w:left="720" w:hanging="360"/>
      </w:pPr>
      <w:rPr>
        <w:rFonts w:ascii="Symbol" w:hAnsi="Symbol"/>
      </w:rPr>
    </w:lvl>
    <w:lvl w:ilvl="3" w:tplc="2572DC66">
      <w:start w:val="1"/>
      <w:numFmt w:val="bullet"/>
      <w:lvlText w:val=""/>
      <w:lvlJc w:val="left"/>
      <w:pPr>
        <w:ind w:left="720" w:hanging="360"/>
      </w:pPr>
      <w:rPr>
        <w:rFonts w:ascii="Symbol" w:hAnsi="Symbol"/>
      </w:rPr>
    </w:lvl>
    <w:lvl w:ilvl="4" w:tplc="CF74307C">
      <w:start w:val="1"/>
      <w:numFmt w:val="bullet"/>
      <w:lvlText w:val=""/>
      <w:lvlJc w:val="left"/>
      <w:pPr>
        <w:ind w:left="720" w:hanging="360"/>
      </w:pPr>
      <w:rPr>
        <w:rFonts w:ascii="Symbol" w:hAnsi="Symbol"/>
      </w:rPr>
    </w:lvl>
    <w:lvl w:ilvl="5" w:tplc="587C2550">
      <w:start w:val="1"/>
      <w:numFmt w:val="bullet"/>
      <w:lvlText w:val=""/>
      <w:lvlJc w:val="left"/>
      <w:pPr>
        <w:ind w:left="720" w:hanging="360"/>
      </w:pPr>
      <w:rPr>
        <w:rFonts w:ascii="Symbol" w:hAnsi="Symbol"/>
      </w:rPr>
    </w:lvl>
    <w:lvl w:ilvl="6" w:tplc="C42A02FC">
      <w:start w:val="1"/>
      <w:numFmt w:val="bullet"/>
      <w:lvlText w:val=""/>
      <w:lvlJc w:val="left"/>
      <w:pPr>
        <w:ind w:left="720" w:hanging="360"/>
      </w:pPr>
      <w:rPr>
        <w:rFonts w:ascii="Symbol" w:hAnsi="Symbol"/>
      </w:rPr>
    </w:lvl>
    <w:lvl w:ilvl="7" w:tplc="B89E091A">
      <w:start w:val="1"/>
      <w:numFmt w:val="bullet"/>
      <w:lvlText w:val=""/>
      <w:lvlJc w:val="left"/>
      <w:pPr>
        <w:ind w:left="720" w:hanging="360"/>
      </w:pPr>
      <w:rPr>
        <w:rFonts w:ascii="Symbol" w:hAnsi="Symbol"/>
      </w:rPr>
    </w:lvl>
    <w:lvl w:ilvl="8" w:tplc="9AC85D10">
      <w:start w:val="1"/>
      <w:numFmt w:val="bullet"/>
      <w:lvlText w:val=""/>
      <w:lvlJc w:val="left"/>
      <w:pPr>
        <w:ind w:left="720" w:hanging="360"/>
      </w:pPr>
      <w:rPr>
        <w:rFonts w:ascii="Symbol" w:hAnsi="Symbol"/>
      </w:rPr>
    </w:lvl>
  </w:abstractNum>
  <w:abstractNum w:abstractNumId="1" w15:restartNumberingAfterBreak="0">
    <w:nsid w:val="012E6E03"/>
    <w:multiLevelType w:val="hybridMultilevel"/>
    <w:tmpl w:val="9E20DCC4"/>
    <w:lvl w:ilvl="0" w:tplc="9280A05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7D75F9"/>
    <w:multiLevelType w:val="multilevel"/>
    <w:tmpl w:val="53D6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B12C4"/>
    <w:multiLevelType w:val="hybridMultilevel"/>
    <w:tmpl w:val="28F6EE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553A48"/>
    <w:multiLevelType w:val="hybridMultilevel"/>
    <w:tmpl w:val="161C70B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C8E4DCD"/>
    <w:multiLevelType w:val="hybridMultilevel"/>
    <w:tmpl w:val="02140740"/>
    <w:lvl w:ilvl="0" w:tplc="6EF2B222">
      <w:start w:val="1"/>
      <w:numFmt w:val="bullet"/>
      <w:lvlText w:val=""/>
      <w:lvlJc w:val="left"/>
      <w:pPr>
        <w:ind w:left="720" w:hanging="360"/>
      </w:pPr>
      <w:rPr>
        <w:rFonts w:ascii="Symbol" w:hAnsi="Symbol"/>
      </w:rPr>
    </w:lvl>
    <w:lvl w:ilvl="1" w:tplc="390ABCC6">
      <w:start w:val="1"/>
      <w:numFmt w:val="bullet"/>
      <w:lvlText w:val=""/>
      <w:lvlJc w:val="left"/>
      <w:pPr>
        <w:ind w:left="720" w:hanging="360"/>
      </w:pPr>
      <w:rPr>
        <w:rFonts w:ascii="Symbol" w:hAnsi="Symbol"/>
      </w:rPr>
    </w:lvl>
    <w:lvl w:ilvl="2" w:tplc="8B2A3748">
      <w:start w:val="1"/>
      <w:numFmt w:val="bullet"/>
      <w:lvlText w:val=""/>
      <w:lvlJc w:val="left"/>
      <w:pPr>
        <w:ind w:left="720" w:hanging="360"/>
      </w:pPr>
      <w:rPr>
        <w:rFonts w:ascii="Symbol" w:hAnsi="Symbol"/>
      </w:rPr>
    </w:lvl>
    <w:lvl w:ilvl="3" w:tplc="37A41B8E">
      <w:start w:val="1"/>
      <w:numFmt w:val="bullet"/>
      <w:lvlText w:val=""/>
      <w:lvlJc w:val="left"/>
      <w:pPr>
        <w:ind w:left="720" w:hanging="360"/>
      </w:pPr>
      <w:rPr>
        <w:rFonts w:ascii="Symbol" w:hAnsi="Symbol"/>
      </w:rPr>
    </w:lvl>
    <w:lvl w:ilvl="4" w:tplc="5B52BC34">
      <w:start w:val="1"/>
      <w:numFmt w:val="bullet"/>
      <w:lvlText w:val=""/>
      <w:lvlJc w:val="left"/>
      <w:pPr>
        <w:ind w:left="720" w:hanging="360"/>
      </w:pPr>
      <w:rPr>
        <w:rFonts w:ascii="Symbol" w:hAnsi="Symbol"/>
      </w:rPr>
    </w:lvl>
    <w:lvl w:ilvl="5" w:tplc="B10C8640">
      <w:start w:val="1"/>
      <w:numFmt w:val="bullet"/>
      <w:lvlText w:val=""/>
      <w:lvlJc w:val="left"/>
      <w:pPr>
        <w:ind w:left="720" w:hanging="360"/>
      </w:pPr>
      <w:rPr>
        <w:rFonts w:ascii="Symbol" w:hAnsi="Symbol"/>
      </w:rPr>
    </w:lvl>
    <w:lvl w:ilvl="6" w:tplc="B95A6948">
      <w:start w:val="1"/>
      <w:numFmt w:val="bullet"/>
      <w:lvlText w:val=""/>
      <w:lvlJc w:val="left"/>
      <w:pPr>
        <w:ind w:left="720" w:hanging="360"/>
      </w:pPr>
      <w:rPr>
        <w:rFonts w:ascii="Symbol" w:hAnsi="Symbol"/>
      </w:rPr>
    </w:lvl>
    <w:lvl w:ilvl="7" w:tplc="8168D0A8">
      <w:start w:val="1"/>
      <w:numFmt w:val="bullet"/>
      <w:lvlText w:val=""/>
      <w:lvlJc w:val="left"/>
      <w:pPr>
        <w:ind w:left="720" w:hanging="360"/>
      </w:pPr>
      <w:rPr>
        <w:rFonts w:ascii="Symbol" w:hAnsi="Symbol"/>
      </w:rPr>
    </w:lvl>
    <w:lvl w:ilvl="8" w:tplc="5AF4A78C">
      <w:start w:val="1"/>
      <w:numFmt w:val="bullet"/>
      <w:lvlText w:val=""/>
      <w:lvlJc w:val="left"/>
      <w:pPr>
        <w:ind w:left="720" w:hanging="360"/>
      </w:pPr>
      <w:rPr>
        <w:rFonts w:ascii="Symbol" w:hAnsi="Symbol"/>
      </w:rPr>
    </w:lvl>
  </w:abstractNum>
  <w:abstractNum w:abstractNumId="6" w15:restartNumberingAfterBreak="0">
    <w:nsid w:val="100968B0"/>
    <w:multiLevelType w:val="hybridMultilevel"/>
    <w:tmpl w:val="FD36B6A4"/>
    <w:lvl w:ilvl="0" w:tplc="A5727230">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88661D"/>
    <w:multiLevelType w:val="multilevel"/>
    <w:tmpl w:val="A05EA8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1FD4C00"/>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120756C5"/>
    <w:multiLevelType w:val="hybridMultilevel"/>
    <w:tmpl w:val="001C9C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2E80DA0"/>
    <w:multiLevelType w:val="hybridMultilevel"/>
    <w:tmpl w:val="95CAFB98"/>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82775B"/>
    <w:multiLevelType w:val="multilevel"/>
    <w:tmpl w:val="BB3456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701493B"/>
    <w:multiLevelType w:val="hybridMultilevel"/>
    <w:tmpl w:val="484602A0"/>
    <w:lvl w:ilvl="0" w:tplc="2438CF40">
      <w:start w:val="1"/>
      <w:numFmt w:val="bullet"/>
      <w:lvlText w:val=""/>
      <w:lvlJc w:val="left"/>
      <w:pPr>
        <w:ind w:left="720" w:hanging="360"/>
      </w:pPr>
      <w:rPr>
        <w:rFonts w:ascii="Symbol" w:hAnsi="Symbol"/>
      </w:rPr>
    </w:lvl>
    <w:lvl w:ilvl="1" w:tplc="6E90E4C8">
      <w:start w:val="1"/>
      <w:numFmt w:val="bullet"/>
      <w:lvlText w:val=""/>
      <w:lvlJc w:val="left"/>
      <w:pPr>
        <w:ind w:left="720" w:hanging="360"/>
      </w:pPr>
      <w:rPr>
        <w:rFonts w:ascii="Symbol" w:hAnsi="Symbol"/>
      </w:rPr>
    </w:lvl>
    <w:lvl w:ilvl="2" w:tplc="91EA4188">
      <w:start w:val="1"/>
      <w:numFmt w:val="bullet"/>
      <w:lvlText w:val=""/>
      <w:lvlJc w:val="left"/>
      <w:pPr>
        <w:ind w:left="720" w:hanging="360"/>
      </w:pPr>
      <w:rPr>
        <w:rFonts w:ascii="Symbol" w:hAnsi="Symbol"/>
      </w:rPr>
    </w:lvl>
    <w:lvl w:ilvl="3" w:tplc="7FF0A106">
      <w:start w:val="1"/>
      <w:numFmt w:val="bullet"/>
      <w:lvlText w:val=""/>
      <w:lvlJc w:val="left"/>
      <w:pPr>
        <w:ind w:left="720" w:hanging="360"/>
      </w:pPr>
      <w:rPr>
        <w:rFonts w:ascii="Symbol" w:hAnsi="Symbol"/>
      </w:rPr>
    </w:lvl>
    <w:lvl w:ilvl="4" w:tplc="CDF84BA6">
      <w:start w:val="1"/>
      <w:numFmt w:val="bullet"/>
      <w:lvlText w:val=""/>
      <w:lvlJc w:val="left"/>
      <w:pPr>
        <w:ind w:left="720" w:hanging="360"/>
      </w:pPr>
      <w:rPr>
        <w:rFonts w:ascii="Symbol" w:hAnsi="Symbol"/>
      </w:rPr>
    </w:lvl>
    <w:lvl w:ilvl="5" w:tplc="A6022E4A">
      <w:start w:val="1"/>
      <w:numFmt w:val="bullet"/>
      <w:lvlText w:val=""/>
      <w:lvlJc w:val="left"/>
      <w:pPr>
        <w:ind w:left="720" w:hanging="360"/>
      </w:pPr>
      <w:rPr>
        <w:rFonts w:ascii="Symbol" w:hAnsi="Symbol"/>
      </w:rPr>
    </w:lvl>
    <w:lvl w:ilvl="6" w:tplc="195C6358">
      <w:start w:val="1"/>
      <w:numFmt w:val="bullet"/>
      <w:lvlText w:val=""/>
      <w:lvlJc w:val="left"/>
      <w:pPr>
        <w:ind w:left="720" w:hanging="360"/>
      </w:pPr>
      <w:rPr>
        <w:rFonts w:ascii="Symbol" w:hAnsi="Symbol"/>
      </w:rPr>
    </w:lvl>
    <w:lvl w:ilvl="7" w:tplc="BA34157C">
      <w:start w:val="1"/>
      <w:numFmt w:val="bullet"/>
      <w:lvlText w:val=""/>
      <w:lvlJc w:val="left"/>
      <w:pPr>
        <w:ind w:left="720" w:hanging="360"/>
      </w:pPr>
      <w:rPr>
        <w:rFonts w:ascii="Symbol" w:hAnsi="Symbol"/>
      </w:rPr>
    </w:lvl>
    <w:lvl w:ilvl="8" w:tplc="8F9A8AF2">
      <w:start w:val="1"/>
      <w:numFmt w:val="bullet"/>
      <w:lvlText w:val=""/>
      <w:lvlJc w:val="left"/>
      <w:pPr>
        <w:ind w:left="720" w:hanging="360"/>
      </w:pPr>
      <w:rPr>
        <w:rFonts w:ascii="Symbol" w:hAnsi="Symbol"/>
      </w:rPr>
    </w:lvl>
  </w:abstractNum>
  <w:abstractNum w:abstractNumId="13" w15:restartNumberingAfterBreak="0">
    <w:nsid w:val="1CF63109"/>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F095E91"/>
    <w:multiLevelType w:val="hybridMultilevel"/>
    <w:tmpl w:val="591C10FA"/>
    <w:lvl w:ilvl="0" w:tplc="8974D19E">
      <w:start w:val="1"/>
      <w:numFmt w:val="bullet"/>
      <w:lvlText w:val=""/>
      <w:lvlJc w:val="left"/>
      <w:pPr>
        <w:ind w:left="1440" w:hanging="360"/>
      </w:pPr>
      <w:rPr>
        <w:rFonts w:ascii="Symbol" w:hAnsi="Symbol"/>
      </w:rPr>
    </w:lvl>
    <w:lvl w:ilvl="1" w:tplc="4D0ADF72">
      <w:start w:val="1"/>
      <w:numFmt w:val="bullet"/>
      <w:lvlText w:val=""/>
      <w:lvlJc w:val="left"/>
      <w:pPr>
        <w:ind w:left="1440" w:hanging="360"/>
      </w:pPr>
      <w:rPr>
        <w:rFonts w:ascii="Symbol" w:hAnsi="Symbol"/>
      </w:rPr>
    </w:lvl>
    <w:lvl w:ilvl="2" w:tplc="B24C801C">
      <w:start w:val="1"/>
      <w:numFmt w:val="bullet"/>
      <w:lvlText w:val=""/>
      <w:lvlJc w:val="left"/>
      <w:pPr>
        <w:ind w:left="1440" w:hanging="360"/>
      </w:pPr>
      <w:rPr>
        <w:rFonts w:ascii="Symbol" w:hAnsi="Symbol"/>
      </w:rPr>
    </w:lvl>
    <w:lvl w:ilvl="3" w:tplc="58DA1F26">
      <w:start w:val="1"/>
      <w:numFmt w:val="bullet"/>
      <w:lvlText w:val=""/>
      <w:lvlJc w:val="left"/>
      <w:pPr>
        <w:ind w:left="1440" w:hanging="360"/>
      </w:pPr>
      <w:rPr>
        <w:rFonts w:ascii="Symbol" w:hAnsi="Symbol"/>
      </w:rPr>
    </w:lvl>
    <w:lvl w:ilvl="4" w:tplc="56F0A4AE">
      <w:start w:val="1"/>
      <w:numFmt w:val="bullet"/>
      <w:lvlText w:val=""/>
      <w:lvlJc w:val="left"/>
      <w:pPr>
        <w:ind w:left="1440" w:hanging="360"/>
      </w:pPr>
      <w:rPr>
        <w:rFonts w:ascii="Symbol" w:hAnsi="Symbol"/>
      </w:rPr>
    </w:lvl>
    <w:lvl w:ilvl="5" w:tplc="4F667608">
      <w:start w:val="1"/>
      <w:numFmt w:val="bullet"/>
      <w:lvlText w:val=""/>
      <w:lvlJc w:val="left"/>
      <w:pPr>
        <w:ind w:left="1440" w:hanging="360"/>
      </w:pPr>
      <w:rPr>
        <w:rFonts w:ascii="Symbol" w:hAnsi="Symbol"/>
      </w:rPr>
    </w:lvl>
    <w:lvl w:ilvl="6" w:tplc="93D2707E">
      <w:start w:val="1"/>
      <w:numFmt w:val="bullet"/>
      <w:lvlText w:val=""/>
      <w:lvlJc w:val="left"/>
      <w:pPr>
        <w:ind w:left="1440" w:hanging="360"/>
      </w:pPr>
      <w:rPr>
        <w:rFonts w:ascii="Symbol" w:hAnsi="Symbol"/>
      </w:rPr>
    </w:lvl>
    <w:lvl w:ilvl="7" w:tplc="10F27AEE">
      <w:start w:val="1"/>
      <w:numFmt w:val="bullet"/>
      <w:lvlText w:val=""/>
      <w:lvlJc w:val="left"/>
      <w:pPr>
        <w:ind w:left="1440" w:hanging="360"/>
      </w:pPr>
      <w:rPr>
        <w:rFonts w:ascii="Symbol" w:hAnsi="Symbol"/>
      </w:rPr>
    </w:lvl>
    <w:lvl w:ilvl="8" w:tplc="9E36FF3E">
      <w:start w:val="1"/>
      <w:numFmt w:val="bullet"/>
      <w:lvlText w:val=""/>
      <w:lvlJc w:val="left"/>
      <w:pPr>
        <w:ind w:left="1440" w:hanging="360"/>
      </w:pPr>
      <w:rPr>
        <w:rFonts w:ascii="Symbol" w:hAnsi="Symbol"/>
      </w:rPr>
    </w:lvl>
  </w:abstractNum>
  <w:abstractNum w:abstractNumId="15" w15:restartNumberingAfterBreak="0">
    <w:nsid w:val="1FC32976"/>
    <w:multiLevelType w:val="hybridMultilevel"/>
    <w:tmpl w:val="9106FF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1FF9451F"/>
    <w:multiLevelType w:val="multilevel"/>
    <w:tmpl w:val="E7CA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E44A20"/>
    <w:multiLevelType w:val="multilevel"/>
    <w:tmpl w:val="062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8E4182"/>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C6E3EDE"/>
    <w:multiLevelType w:val="hybridMultilevel"/>
    <w:tmpl w:val="14DEC5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24C4568"/>
    <w:multiLevelType w:val="hybridMultilevel"/>
    <w:tmpl w:val="9A202668"/>
    <w:lvl w:ilvl="0" w:tplc="775C5EE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A02130A"/>
    <w:multiLevelType w:val="hybridMultilevel"/>
    <w:tmpl w:val="290883CE"/>
    <w:lvl w:ilvl="0" w:tplc="0ED428DC">
      <w:start w:val="1"/>
      <w:numFmt w:val="bullet"/>
      <w:pStyle w:val="Paragraphedelistebullets"/>
      <w:lvlText w:val=""/>
      <w:lvlJc w:val="left"/>
      <w:pPr>
        <w:ind w:left="558" w:hanging="360"/>
      </w:pPr>
      <w:rPr>
        <w:rFonts w:ascii="Wingdings" w:hAnsi="Wingdings" w:hint="default"/>
        <w:color w:val="1A8482" w:themeColor="accent5" w:themeShade="80"/>
        <w:position w:val="-4"/>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A75D63"/>
    <w:multiLevelType w:val="hybridMultilevel"/>
    <w:tmpl w:val="D5F8146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42F20962"/>
    <w:multiLevelType w:val="hybridMultilevel"/>
    <w:tmpl w:val="50D221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43C0B858"/>
    <w:multiLevelType w:val="hybridMultilevel"/>
    <w:tmpl w:val="FFFFFFFF"/>
    <w:lvl w:ilvl="0" w:tplc="AA8C5022">
      <w:start w:val="1"/>
      <w:numFmt w:val="bullet"/>
      <w:lvlText w:val="-"/>
      <w:lvlJc w:val="left"/>
      <w:pPr>
        <w:ind w:left="720" w:hanging="360"/>
      </w:pPr>
      <w:rPr>
        <w:rFonts w:ascii="Calibri" w:hAnsi="Calibri" w:hint="default"/>
      </w:rPr>
    </w:lvl>
    <w:lvl w:ilvl="1" w:tplc="8F3EC3CC">
      <w:start w:val="1"/>
      <w:numFmt w:val="bullet"/>
      <w:lvlText w:val="o"/>
      <w:lvlJc w:val="left"/>
      <w:pPr>
        <w:ind w:left="1440" w:hanging="360"/>
      </w:pPr>
      <w:rPr>
        <w:rFonts w:ascii="Courier New" w:hAnsi="Courier New" w:hint="default"/>
      </w:rPr>
    </w:lvl>
    <w:lvl w:ilvl="2" w:tplc="06485E9C">
      <w:start w:val="1"/>
      <w:numFmt w:val="bullet"/>
      <w:lvlText w:val=""/>
      <w:lvlJc w:val="left"/>
      <w:pPr>
        <w:ind w:left="2160" w:hanging="360"/>
      </w:pPr>
      <w:rPr>
        <w:rFonts w:ascii="Wingdings" w:hAnsi="Wingdings" w:hint="default"/>
      </w:rPr>
    </w:lvl>
    <w:lvl w:ilvl="3" w:tplc="EA544D6E">
      <w:start w:val="1"/>
      <w:numFmt w:val="bullet"/>
      <w:lvlText w:val=""/>
      <w:lvlJc w:val="left"/>
      <w:pPr>
        <w:ind w:left="2880" w:hanging="360"/>
      </w:pPr>
      <w:rPr>
        <w:rFonts w:ascii="Symbol" w:hAnsi="Symbol" w:hint="default"/>
      </w:rPr>
    </w:lvl>
    <w:lvl w:ilvl="4" w:tplc="CD4C680A">
      <w:start w:val="1"/>
      <w:numFmt w:val="bullet"/>
      <w:lvlText w:val="o"/>
      <w:lvlJc w:val="left"/>
      <w:pPr>
        <w:ind w:left="3600" w:hanging="360"/>
      </w:pPr>
      <w:rPr>
        <w:rFonts w:ascii="Courier New" w:hAnsi="Courier New" w:hint="default"/>
      </w:rPr>
    </w:lvl>
    <w:lvl w:ilvl="5" w:tplc="C1624760">
      <w:start w:val="1"/>
      <w:numFmt w:val="bullet"/>
      <w:lvlText w:val=""/>
      <w:lvlJc w:val="left"/>
      <w:pPr>
        <w:ind w:left="4320" w:hanging="360"/>
      </w:pPr>
      <w:rPr>
        <w:rFonts w:ascii="Wingdings" w:hAnsi="Wingdings" w:hint="default"/>
      </w:rPr>
    </w:lvl>
    <w:lvl w:ilvl="6" w:tplc="AAE6DA8E">
      <w:start w:val="1"/>
      <w:numFmt w:val="bullet"/>
      <w:lvlText w:val=""/>
      <w:lvlJc w:val="left"/>
      <w:pPr>
        <w:ind w:left="5040" w:hanging="360"/>
      </w:pPr>
      <w:rPr>
        <w:rFonts w:ascii="Symbol" w:hAnsi="Symbol" w:hint="default"/>
      </w:rPr>
    </w:lvl>
    <w:lvl w:ilvl="7" w:tplc="2C2AAEBE">
      <w:start w:val="1"/>
      <w:numFmt w:val="bullet"/>
      <w:lvlText w:val="o"/>
      <w:lvlJc w:val="left"/>
      <w:pPr>
        <w:ind w:left="5760" w:hanging="360"/>
      </w:pPr>
      <w:rPr>
        <w:rFonts w:ascii="Courier New" w:hAnsi="Courier New" w:hint="default"/>
      </w:rPr>
    </w:lvl>
    <w:lvl w:ilvl="8" w:tplc="2F72B89E">
      <w:start w:val="1"/>
      <w:numFmt w:val="bullet"/>
      <w:lvlText w:val=""/>
      <w:lvlJc w:val="left"/>
      <w:pPr>
        <w:ind w:left="6480" w:hanging="360"/>
      </w:pPr>
      <w:rPr>
        <w:rFonts w:ascii="Wingdings" w:hAnsi="Wingdings" w:hint="default"/>
      </w:rPr>
    </w:lvl>
  </w:abstractNum>
  <w:abstractNum w:abstractNumId="25" w15:restartNumberingAfterBreak="0">
    <w:nsid w:val="49465920"/>
    <w:multiLevelType w:val="multilevel"/>
    <w:tmpl w:val="E5D4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6A5D4C"/>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4D284556"/>
    <w:multiLevelType w:val="multilevel"/>
    <w:tmpl w:val="4930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EF60484"/>
    <w:multiLevelType w:val="hybridMultilevel"/>
    <w:tmpl w:val="81C010BC"/>
    <w:lvl w:ilvl="0" w:tplc="286ADFF6">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9" w15:restartNumberingAfterBreak="0">
    <w:nsid w:val="50300BB2"/>
    <w:multiLevelType w:val="hybridMultilevel"/>
    <w:tmpl w:val="ACEA2C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53220555"/>
    <w:multiLevelType w:val="hybridMultilevel"/>
    <w:tmpl w:val="28824A88"/>
    <w:lvl w:ilvl="0" w:tplc="C172B388">
      <w:start w:val="1"/>
      <w:numFmt w:val="lowerRoman"/>
      <w:pStyle w:val="ListParagraph"/>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53485EDE"/>
    <w:multiLevelType w:val="hybridMultilevel"/>
    <w:tmpl w:val="FFFFFFFF"/>
    <w:lvl w:ilvl="0" w:tplc="E206B59E">
      <w:start w:val="1"/>
      <w:numFmt w:val="bullet"/>
      <w:lvlText w:val="-"/>
      <w:lvlJc w:val="left"/>
      <w:pPr>
        <w:ind w:left="720" w:hanging="360"/>
      </w:pPr>
      <w:rPr>
        <w:rFonts w:ascii="Calibri" w:hAnsi="Calibri" w:hint="default"/>
      </w:rPr>
    </w:lvl>
    <w:lvl w:ilvl="1" w:tplc="E99A66CC">
      <w:start w:val="1"/>
      <w:numFmt w:val="bullet"/>
      <w:lvlText w:val="o"/>
      <w:lvlJc w:val="left"/>
      <w:pPr>
        <w:ind w:left="1440" w:hanging="360"/>
      </w:pPr>
      <w:rPr>
        <w:rFonts w:ascii="Courier New" w:hAnsi="Courier New" w:hint="default"/>
      </w:rPr>
    </w:lvl>
    <w:lvl w:ilvl="2" w:tplc="FBD4909A">
      <w:start w:val="1"/>
      <w:numFmt w:val="bullet"/>
      <w:lvlText w:val=""/>
      <w:lvlJc w:val="left"/>
      <w:pPr>
        <w:ind w:left="2160" w:hanging="360"/>
      </w:pPr>
      <w:rPr>
        <w:rFonts w:ascii="Wingdings" w:hAnsi="Wingdings" w:hint="default"/>
      </w:rPr>
    </w:lvl>
    <w:lvl w:ilvl="3" w:tplc="F17EFE38">
      <w:start w:val="1"/>
      <w:numFmt w:val="bullet"/>
      <w:lvlText w:val=""/>
      <w:lvlJc w:val="left"/>
      <w:pPr>
        <w:ind w:left="2880" w:hanging="360"/>
      </w:pPr>
      <w:rPr>
        <w:rFonts w:ascii="Symbol" w:hAnsi="Symbol" w:hint="default"/>
      </w:rPr>
    </w:lvl>
    <w:lvl w:ilvl="4" w:tplc="56627850">
      <w:start w:val="1"/>
      <w:numFmt w:val="bullet"/>
      <w:lvlText w:val="o"/>
      <w:lvlJc w:val="left"/>
      <w:pPr>
        <w:ind w:left="3600" w:hanging="360"/>
      </w:pPr>
      <w:rPr>
        <w:rFonts w:ascii="Courier New" w:hAnsi="Courier New" w:hint="default"/>
      </w:rPr>
    </w:lvl>
    <w:lvl w:ilvl="5" w:tplc="F800A090">
      <w:start w:val="1"/>
      <w:numFmt w:val="bullet"/>
      <w:lvlText w:val=""/>
      <w:lvlJc w:val="left"/>
      <w:pPr>
        <w:ind w:left="4320" w:hanging="360"/>
      </w:pPr>
      <w:rPr>
        <w:rFonts w:ascii="Wingdings" w:hAnsi="Wingdings" w:hint="default"/>
      </w:rPr>
    </w:lvl>
    <w:lvl w:ilvl="6" w:tplc="2F205C98">
      <w:start w:val="1"/>
      <w:numFmt w:val="bullet"/>
      <w:lvlText w:val=""/>
      <w:lvlJc w:val="left"/>
      <w:pPr>
        <w:ind w:left="5040" w:hanging="360"/>
      </w:pPr>
      <w:rPr>
        <w:rFonts w:ascii="Symbol" w:hAnsi="Symbol" w:hint="default"/>
      </w:rPr>
    </w:lvl>
    <w:lvl w:ilvl="7" w:tplc="BF08229A">
      <w:start w:val="1"/>
      <w:numFmt w:val="bullet"/>
      <w:lvlText w:val="o"/>
      <w:lvlJc w:val="left"/>
      <w:pPr>
        <w:ind w:left="5760" w:hanging="360"/>
      </w:pPr>
      <w:rPr>
        <w:rFonts w:ascii="Courier New" w:hAnsi="Courier New" w:hint="default"/>
      </w:rPr>
    </w:lvl>
    <w:lvl w:ilvl="8" w:tplc="DF229C5E">
      <w:start w:val="1"/>
      <w:numFmt w:val="bullet"/>
      <w:lvlText w:val=""/>
      <w:lvlJc w:val="left"/>
      <w:pPr>
        <w:ind w:left="6480" w:hanging="360"/>
      </w:pPr>
      <w:rPr>
        <w:rFonts w:ascii="Wingdings" w:hAnsi="Wingdings" w:hint="default"/>
      </w:rPr>
    </w:lvl>
  </w:abstractNum>
  <w:abstractNum w:abstractNumId="32" w15:restartNumberingAfterBreak="0">
    <w:nsid w:val="573731C8"/>
    <w:multiLevelType w:val="multilevel"/>
    <w:tmpl w:val="004A83F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872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8DF1F7D"/>
    <w:multiLevelType w:val="hybridMultilevel"/>
    <w:tmpl w:val="68760860"/>
    <w:lvl w:ilvl="0" w:tplc="ABFC8224">
      <w:start w:val="1"/>
      <w:numFmt w:val="bullet"/>
      <w:lvlText w:val=""/>
      <w:lvlJc w:val="left"/>
      <w:pPr>
        <w:ind w:left="1440" w:hanging="360"/>
      </w:pPr>
      <w:rPr>
        <w:rFonts w:ascii="Symbol" w:hAnsi="Symbol"/>
      </w:rPr>
    </w:lvl>
    <w:lvl w:ilvl="1" w:tplc="05F0004E">
      <w:start w:val="1"/>
      <w:numFmt w:val="bullet"/>
      <w:lvlText w:val=""/>
      <w:lvlJc w:val="left"/>
      <w:pPr>
        <w:ind w:left="1440" w:hanging="360"/>
      </w:pPr>
      <w:rPr>
        <w:rFonts w:ascii="Symbol" w:hAnsi="Symbol"/>
      </w:rPr>
    </w:lvl>
    <w:lvl w:ilvl="2" w:tplc="03A62F3E">
      <w:start w:val="1"/>
      <w:numFmt w:val="bullet"/>
      <w:lvlText w:val=""/>
      <w:lvlJc w:val="left"/>
      <w:pPr>
        <w:ind w:left="1440" w:hanging="360"/>
      </w:pPr>
      <w:rPr>
        <w:rFonts w:ascii="Symbol" w:hAnsi="Symbol"/>
      </w:rPr>
    </w:lvl>
    <w:lvl w:ilvl="3" w:tplc="C6A0891C">
      <w:start w:val="1"/>
      <w:numFmt w:val="bullet"/>
      <w:lvlText w:val=""/>
      <w:lvlJc w:val="left"/>
      <w:pPr>
        <w:ind w:left="1440" w:hanging="360"/>
      </w:pPr>
      <w:rPr>
        <w:rFonts w:ascii="Symbol" w:hAnsi="Symbol"/>
      </w:rPr>
    </w:lvl>
    <w:lvl w:ilvl="4" w:tplc="685E6ADA">
      <w:start w:val="1"/>
      <w:numFmt w:val="bullet"/>
      <w:lvlText w:val=""/>
      <w:lvlJc w:val="left"/>
      <w:pPr>
        <w:ind w:left="1440" w:hanging="360"/>
      </w:pPr>
      <w:rPr>
        <w:rFonts w:ascii="Symbol" w:hAnsi="Symbol"/>
      </w:rPr>
    </w:lvl>
    <w:lvl w:ilvl="5" w:tplc="A55A014C">
      <w:start w:val="1"/>
      <w:numFmt w:val="bullet"/>
      <w:lvlText w:val=""/>
      <w:lvlJc w:val="left"/>
      <w:pPr>
        <w:ind w:left="1440" w:hanging="360"/>
      </w:pPr>
      <w:rPr>
        <w:rFonts w:ascii="Symbol" w:hAnsi="Symbol"/>
      </w:rPr>
    </w:lvl>
    <w:lvl w:ilvl="6" w:tplc="244A7DCC">
      <w:start w:val="1"/>
      <w:numFmt w:val="bullet"/>
      <w:lvlText w:val=""/>
      <w:lvlJc w:val="left"/>
      <w:pPr>
        <w:ind w:left="1440" w:hanging="360"/>
      </w:pPr>
      <w:rPr>
        <w:rFonts w:ascii="Symbol" w:hAnsi="Symbol"/>
      </w:rPr>
    </w:lvl>
    <w:lvl w:ilvl="7" w:tplc="61C43978">
      <w:start w:val="1"/>
      <w:numFmt w:val="bullet"/>
      <w:lvlText w:val=""/>
      <w:lvlJc w:val="left"/>
      <w:pPr>
        <w:ind w:left="1440" w:hanging="360"/>
      </w:pPr>
      <w:rPr>
        <w:rFonts w:ascii="Symbol" w:hAnsi="Symbol"/>
      </w:rPr>
    </w:lvl>
    <w:lvl w:ilvl="8" w:tplc="06CE7C44">
      <w:start w:val="1"/>
      <w:numFmt w:val="bullet"/>
      <w:lvlText w:val=""/>
      <w:lvlJc w:val="left"/>
      <w:pPr>
        <w:ind w:left="1440" w:hanging="360"/>
      </w:pPr>
      <w:rPr>
        <w:rFonts w:ascii="Symbol" w:hAnsi="Symbol"/>
      </w:rPr>
    </w:lvl>
  </w:abstractNum>
  <w:abstractNum w:abstractNumId="34" w15:restartNumberingAfterBreak="0">
    <w:nsid w:val="5D61132C"/>
    <w:multiLevelType w:val="hybridMultilevel"/>
    <w:tmpl w:val="7DF6A2AC"/>
    <w:lvl w:ilvl="0" w:tplc="2FF0658C">
      <w:start w:val="1"/>
      <w:numFmt w:val="bullet"/>
      <w:lvlText w:val=""/>
      <w:lvlJc w:val="left"/>
      <w:pPr>
        <w:ind w:left="720" w:hanging="360"/>
      </w:pPr>
      <w:rPr>
        <w:rFonts w:ascii="Symbol" w:hAnsi="Symbol"/>
      </w:rPr>
    </w:lvl>
    <w:lvl w:ilvl="1" w:tplc="3D58DE80">
      <w:start w:val="1"/>
      <w:numFmt w:val="bullet"/>
      <w:lvlText w:val=""/>
      <w:lvlJc w:val="left"/>
      <w:pPr>
        <w:ind w:left="720" w:hanging="360"/>
      </w:pPr>
      <w:rPr>
        <w:rFonts w:ascii="Symbol" w:hAnsi="Symbol"/>
      </w:rPr>
    </w:lvl>
    <w:lvl w:ilvl="2" w:tplc="69402EE6">
      <w:start w:val="1"/>
      <w:numFmt w:val="bullet"/>
      <w:lvlText w:val=""/>
      <w:lvlJc w:val="left"/>
      <w:pPr>
        <w:ind w:left="720" w:hanging="360"/>
      </w:pPr>
      <w:rPr>
        <w:rFonts w:ascii="Symbol" w:hAnsi="Symbol"/>
      </w:rPr>
    </w:lvl>
    <w:lvl w:ilvl="3" w:tplc="AC0026D6">
      <w:start w:val="1"/>
      <w:numFmt w:val="bullet"/>
      <w:lvlText w:val=""/>
      <w:lvlJc w:val="left"/>
      <w:pPr>
        <w:ind w:left="720" w:hanging="360"/>
      </w:pPr>
      <w:rPr>
        <w:rFonts w:ascii="Symbol" w:hAnsi="Symbol"/>
      </w:rPr>
    </w:lvl>
    <w:lvl w:ilvl="4" w:tplc="5A84FC74">
      <w:start w:val="1"/>
      <w:numFmt w:val="bullet"/>
      <w:lvlText w:val=""/>
      <w:lvlJc w:val="left"/>
      <w:pPr>
        <w:ind w:left="720" w:hanging="360"/>
      </w:pPr>
      <w:rPr>
        <w:rFonts w:ascii="Symbol" w:hAnsi="Symbol"/>
      </w:rPr>
    </w:lvl>
    <w:lvl w:ilvl="5" w:tplc="AC0CF556">
      <w:start w:val="1"/>
      <w:numFmt w:val="bullet"/>
      <w:lvlText w:val=""/>
      <w:lvlJc w:val="left"/>
      <w:pPr>
        <w:ind w:left="720" w:hanging="360"/>
      </w:pPr>
      <w:rPr>
        <w:rFonts w:ascii="Symbol" w:hAnsi="Symbol"/>
      </w:rPr>
    </w:lvl>
    <w:lvl w:ilvl="6" w:tplc="6DC813CA">
      <w:start w:val="1"/>
      <w:numFmt w:val="bullet"/>
      <w:lvlText w:val=""/>
      <w:lvlJc w:val="left"/>
      <w:pPr>
        <w:ind w:left="720" w:hanging="360"/>
      </w:pPr>
      <w:rPr>
        <w:rFonts w:ascii="Symbol" w:hAnsi="Symbol"/>
      </w:rPr>
    </w:lvl>
    <w:lvl w:ilvl="7" w:tplc="A7609E3E">
      <w:start w:val="1"/>
      <w:numFmt w:val="bullet"/>
      <w:lvlText w:val=""/>
      <w:lvlJc w:val="left"/>
      <w:pPr>
        <w:ind w:left="720" w:hanging="360"/>
      </w:pPr>
      <w:rPr>
        <w:rFonts w:ascii="Symbol" w:hAnsi="Symbol"/>
      </w:rPr>
    </w:lvl>
    <w:lvl w:ilvl="8" w:tplc="2A2E6BA4">
      <w:start w:val="1"/>
      <w:numFmt w:val="bullet"/>
      <w:lvlText w:val=""/>
      <w:lvlJc w:val="left"/>
      <w:pPr>
        <w:ind w:left="720" w:hanging="360"/>
      </w:pPr>
      <w:rPr>
        <w:rFonts w:ascii="Symbol" w:hAnsi="Symbol"/>
      </w:rPr>
    </w:lvl>
  </w:abstractNum>
  <w:abstractNum w:abstractNumId="35" w15:restartNumberingAfterBreak="0">
    <w:nsid w:val="5DF36C39"/>
    <w:multiLevelType w:val="hybridMultilevel"/>
    <w:tmpl w:val="B0FA19A0"/>
    <w:lvl w:ilvl="0" w:tplc="6CF2177E">
      <w:start w:val="31"/>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1D61ECF"/>
    <w:multiLevelType w:val="hybridMultilevel"/>
    <w:tmpl w:val="AC8E6D34"/>
    <w:lvl w:ilvl="0" w:tplc="4294B99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33C50E5"/>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65AE1930"/>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5C16138"/>
    <w:multiLevelType w:val="hybridMultilevel"/>
    <w:tmpl w:val="DC0A0508"/>
    <w:lvl w:ilvl="0" w:tplc="18090005">
      <w:start w:val="1"/>
      <w:numFmt w:val="bullet"/>
      <w:lvlText w:val=""/>
      <w:lvlJc w:val="left"/>
      <w:pPr>
        <w:ind w:left="1037" w:hanging="360"/>
      </w:pPr>
      <w:rPr>
        <w:rFonts w:ascii="Wingdings" w:hAnsi="Wingdings" w:hint="default"/>
      </w:rPr>
    </w:lvl>
    <w:lvl w:ilvl="1" w:tplc="18090003" w:tentative="1">
      <w:start w:val="1"/>
      <w:numFmt w:val="bullet"/>
      <w:lvlText w:val="o"/>
      <w:lvlJc w:val="left"/>
      <w:pPr>
        <w:ind w:left="1757" w:hanging="360"/>
      </w:pPr>
      <w:rPr>
        <w:rFonts w:ascii="Courier New" w:hAnsi="Courier New" w:cs="Courier New" w:hint="default"/>
      </w:rPr>
    </w:lvl>
    <w:lvl w:ilvl="2" w:tplc="18090005" w:tentative="1">
      <w:start w:val="1"/>
      <w:numFmt w:val="bullet"/>
      <w:lvlText w:val=""/>
      <w:lvlJc w:val="left"/>
      <w:pPr>
        <w:ind w:left="2477" w:hanging="360"/>
      </w:pPr>
      <w:rPr>
        <w:rFonts w:ascii="Wingdings" w:hAnsi="Wingdings" w:hint="default"/>
      </w:rPr>
    </w:lvl>
    <w:lvl w:ilvl="3" w:tplc="18090001" w:tentative="1">
      <w:start w:val="1"/>
      <w:numFmt w:val="bullet"/>
      <w:lvlText w:val=""/>
      <w:lvlJc w:val="left"/>
      <w:pPr>
        <w:ind w:left="3197" w:hanging="360"/>
      </w:pPr>
      <w:rPr>
        <w:rFonts w:ascii="Symbol" w:hAnsi="Symbol" w:hint="default"/>
      </w:rPr>
    </w:lvl>
    <w:lvl w:ilvl="4" w:tplc="18090003" w:tentative="1">
      <w:start w:val="1"/>
      <w:numFmt w:val="bullet"/>
      <w:lvlText w:val="o"/>
      <w:lvlJc w:val="left"/>
      <w:pPr>
        <w:ind w:left="3917" w:hanging="360"/>
      </w:pPr>
      <w:rPr>
        <w:rFonts w:ascii="Courier New" w:hAnsi="Courier New" w:cs="Courier New" w:hint="default"/>
      </w:rPr>
    </w:lvl>
    <w:lvl w:ilvl="5" w:tplc="18090005" w:tentative="1">
      <w:start w:val="1"/>
      <w:numFmt w:val="bullet"/>
      <w:lvlText w:val=""/>
      <w:lvlJc w:val="left"/>
      <w:pPr>
        <w:ind w:left="4637" w:hanging="360"/>
      </w:pPr>
      <w:rPr>
        <w:rFonts w:ascii="Wingdings" w:hAnsi="Wingdings" w:hint="default"/>
      </w:rPr>
    </w:lvl>
    <w:lvl w:ilvl="6" w:tplc="18090001" w:tentative="1">
      <w:start w:val="1"/>
      <w:numFmt w:val="bullet"/>
      <w:lvlText w:val=""/>
      <w:lvlJc w:val="left"/>
      <w:pPr>
        <w:ind w:left="5357" w:hanging="360"/>
      </w:pPr>
      <w:rPr>
        <w:rFonts w:ascii="Symbol" w:hAnsi="Symbol" w:hint="default"/>
      </w:rPr>
    </w:lvl>
    <w:lvl w:ilvl="7" w:tplc="18090003" w:tentative="1">
      <w:start w:val="1"/>
      <w:numFmt w:val="bullet"/>
      <w:lvlText w:val="o"/>
      <w:lvlJc w:val="left"/>
      <w:pPr>
        <w:ind w:left="6077" w:hanging="360"/>
      </w:pPr>
      <w:rPr>
        <w:rFonts w:ascii="Courier New" w:hAnsi="Courier New" w:cs="Courier New" w:hint="default"/>
      </w:rPr>
    </w:lvl>
    <w:lvl w:ilvl="8" w:tplc="18090005" w:tentative="1">
      <w:start w:val="1"/>
      <w:numFmt w:val="bullet"/>
      <w:lvlText w:val=""/>
      <w:lvlJc w:val="left"/>
      <w:pPr>
        <w:ind w:left="6797" w:hanging="360"/>
      </w:pPr>
      <w:rPr>
        <w:rFonts w:ascii="Wingdings" w:hAnsi="Wingdings" w:hint="default"/>
      </w:rPr>
    </w:lvl>
  </w:abstractNum>
  <w:abstractNum w:abstractNumId="40" w15:restartNumberingAfterBreak="0">
    <w:nsid w:val="767F16C3"/>
    <w:multiLevelType w:val="hybridMultilevel"/>
    <w:tmpl w:val="FFFFFFFF"/>
    <w:lvl w:ilvl="0" w:tplc="FFFFFFFF">
      <w:start w:val="1"/>
      <w:numFmt w:val="bullet"/>
      <w:lvlText w:val=""/>
      <w:lvlJc w:val="left"/>
      <w:pPr>
        <w:ind w:left="720" w:hanging="360"/>
      </w:pPr>
      <w:rPr>
        <w:rFonts w:ascii="Symbol" w:hAnsi="Symbol" w:hint="default"/>
      </w:rPr>
    </w:lvl>
    <w:lvl w:ilvl="1" w:tplc="D5D60D5E">
      <w:start w:val="1"/>
      <w:numFmt w:val="bullet"/>
      <w:lvlText w:val="o"/>
      <w:lvlJc w:val="left"/>
      <w:pPr>
        <w:ind w:left="1440" w:hanging="360"/>
      </w:pPr>
      <w:rPr>
        <w:rFonts w:ascii="Courier New" w:hAnsi="Courier New" w:hint="default"/>
      </w:rPr>
    </w:lvl>
    <w:lvl w:ilvl="2" w:tplc="362EE67E">
      <w:start w:val="1"/>
      <w:numFmt w:val="bullet"/>
      <w:lvlText w:val=""/>
      <w:lvlJc w:val="left"/>
      <w:pPr>
        <w:ind w:left="2160" w:hanging="360"/>
      </w:pPr>
      <w:rPr>
        <w:rFonts w:ascii="Wingdings" w:hAnsi="Wingdings" w:hint="default"/>
      </w:rPr>
    </w:lvl>
    <w:lvl w:ilvl="3" w:tplc="267E0864">
      <w:start w:val="1"/>
      <w:numFmt w:val="bullet"/>
      <w:lvlText w:val=""/>
      <w:lvlJc w:val="left"/>
      <w:pPr>
        <w:ind w:left="2880" w:hanging="360"/>
      </w:pPr>
      <w:rPr>
        <w:rFonts w:ascii="Symbol" w:hAnsi="Symbol" w:hint="default"/>
      </w:rPr>
    </w:lvl>
    <w:lvl w:ilvl="4" w:tplc="42C4B648">
      <w:start w:val="1"/>
      <w:numFmt w:val="bullet"/>
      <w:lvlText w:val="o"/>
      <w:lvlJc w:val="left"/>
      <w:pPr>
        <w:ind w:left="3600" w:hanging="360"/>
      </w:pPr>
      <w:rPr>
        <w:rFonts w:ascii="Courier New" w:hAnsi="Courier New" w:hint="default"/>
      </w:rPr>
    </w:lvl>
    <w:lvl w:ilvl="5" w:tplc="81C4DC72">
      <w:start w:val="1"/>
      <w:numFmt w:val="bullet"/>
      <w:lvlText w:val=""/>
      <w:lvlJc w:val="left"/>
      <w:pPr>
        <w:ind w:left="4320" w:hanging="360"/>
      </w:pPr>
      <w:rPr>
        <w:rFonts w:ascii="Wingdings" w:hAnsi="Wingdings" w:hint="default"/>
      </w:rPr>
    </w:lvl>
    <w:lvl w:ilvl="6" w:tplc="C544354E">
      <w:start w:val="1"/>
      <w:numFmt w:val="bullet"/>
      <w:lvlText w:val=""/>
      <w:lvlJc w:val="left"/>
      <w:pPr>
        <w:ind w:left="5040" w:hanging="360"/>
      </w:pPr>
      <w:rPr>
        <w:rFonts w:ascii="Symbol" w:hAnsi="Symbol" w:hint="default"/>
      </w:rPr>
    </w:lvl>
    <w:lvl w:ilvl="7" w:tplc="7F4C1132">
      <w:start w:val="1"/>
      <w:numFmt w:val="bullet"/>
      <w:lvlText w:val="o"/>
      <w:lvlJc w:val="left"/>
      <w:pPr>
        <w:ind w:left="5760" w:hanging="360"/>
      </w:pPr>
      <w:rPr>
        <w:rFonts w:ascii="Courier New" w:hAnsi="Courier New" w:hint="default"/>
      </w:rPr>
    </w:lvl>
    <w:lvl w:ilvl="8" w:tplc="F7D08B4E">
      <w:start w:val="1"/>
      <w:numFmt w:val="bullet"/>
      <w:lvlText w:val=""/>
      <w:lvlJc w:val="left"/>
      <w:pPr>
        <w:ind w:left="6480" w:hanging="360"/>
      </w:pPr>
      <w:rPr>
        <w:rFonts w:ascii="Wingdings" w:hAnsi="Wingdings" w:hint="default"/>
      </w:rPr>
    </w:lvl>
  </w:abstractNum>
  <w:abstractNum w:abstractNumId="41" w15:restartNumberingAfterBreak="0">
    <w:nsid w:val="795A3677"/>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B9E38E8"/>
    <w:multiLevelType w:val="hybridMultilevel"/>
    <w:tmpl w:val="B96E3C1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E597B24"/>
    <w:multiLevelType w:val="multilevel"/>
    <w:tmpl w:val="E7CABE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7E666D54"/>
    <w:multiLevelType w:val="hybridMultilevel"/>
    <w:tmpl w:val="94CAA9C8"/>
    <w:lvl w:ilvl="0" w:tplc="1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E8759A9"/>
    <w:multiLevelType w:val="hybridMultilevel"/>
    <w:tmpl w:val="E2B270C2"/>
    <w:lvl w:ilvl="0" w:tplc="85B611C4">
      <w:start w:val="1"/>
      <w:numFmt w:val="bullet"/>
      <w:pStyle w:val="Tickbullets"/>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7"/>
  </w:num>
  <w:num w:numId="2">
    <w:abstractNumId w:val="32"/>
  </w:num>
  <w:num w:numId="3">
    <w:abstractNumId w:val="29"/>
  </w:num>
  <w:num w:numId="4">
    <w:abstractNumId w:val="9"/>
  </w:num>
  <w:num w:numId="5">
    <w:abstractNumId w:val="35"/>
  </w:num>
  <w:num w:numId="6">
    <w:abstractNumId w:val="28"/>
  </w:num>
  <w:num w:numId="7">
    <w:abstractNumId w:val="25"/>
  </w:num>
  <w:num w:numId="8">
    <w:abstractNumId w:val="40"/>
  </w:num>
  <w:num w:numId="9">
    <w:abstractNumId w:val="3"/>
  </w:num>
  <w:num w:numId="10">
    <w:abstractNumId w:val="19"/>
  </w:num>
  <w:num w:numId="11">
    <w:abstractNumId w:val="6"/>
  </w:num>
  <w:num w:numId="12">
    <w:abstractNumId w:val="1"/>
  </w:num>
  <w:num w:numId="13">
    <w:abstractNumId w:val="23"/>
  </w:num>
  <w:num w:numId="14">
    <w:abstractNumId w:val="10"/>
  </w:num>
  <w:num w:numId="15">
    <w:abstractNumId w:val="30"/>
  </w:num>
  <w:num w:numId="16">
    <w:abstractNumId w:val="36"/>
  </w:num>
  <w:num w:numId="17">
    <w:abstractNumId w:val="27"/>
  </w:num>
  <w:num w:numId="18">
    <w:abstractNumId w:val="16"/>
  </w:num>
  <w:num w:numId="19">
    <w:abstractNumId w:val="2"/>
  </w:num>
  <w:num w:numId="20">
    <w:abstractNumId w:val="17"/>
  </w:num>
  <w:num w:numId="21">
    <w:abstractNumId w:val="41"/>
  </w:num>
  <w:num w:numId="22">
    <w:abstractNumId w:val="18"/>
  </w:num>
  <w:num w:numId="23">
    <w:abstractNumId w:val="37"/>
  </w:num>
  <w:num w:numId="24">
    <w:abstractNumId w:val="13"/>
  </w:num>
  <w:num w:numId="25">
    <w:abstractNumId w:val="43"/>
  </w:num>
  <w:num w:numId="26">
    <w:abstractNumId w:val="26"/>
  </w:num>
  <w:num w:numId="27">
    <w:abstractNumId w:val="8"/>
  </w:num>
  <w:num w:numId="28">
    <w:abstractNumId w:val="38"/>
  </w:num>
  <w:num w:numId="29">
    <w:abstractNumId w:val="4"/>
  </w:num>
  <w:num w:numId="30">
    <w:abstractNumId w:val="15"/>
  </w:num>
  <w:num w:numId="31">
    <w:abstractNumId w:val="42"/>
  </w:num>
  <w:num w:numId="32">
    <w:abstractNumId w:val="22"/>
  </w:num>
  <w:num w:numId="33">
    <w:abstractNumId w:val="44"/>
  </w:num>
  <w:num w:numId="34">
    <w:abstractNumId w:val="24"/>
  </w:num>
  <w:num w:numId="35">
    <w:abstractNumId w:val="31"/>
  </w:num>
  <w:num w:numId="36">
    <w:abstractNumId w:val="21"/>
  </w:num>
  <w:num w:numId="37">
    <w:abstractNumId w:val="45"/>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20"/>
  </w:num>
  <w:num w:numId="48">
    <w:abstractNumId w:val="11"/>
  </w:num>
  <w:num w:numId="49">
    <w:abstractNumId w:val="21"/>
  </w:num>
  <w:num w:numId="50">
    <w:abstractNumId w:val="45"/>
  </w:num>
  <w:num w:numId="51">
    <w:abstractNumId w:val="5"/>
  </w:num>
  <w:num w:numId="52">
    <w:abstractNumId w:val="12"/>
  </w:num>
  <w:num w:numId="53">
    <w:abstractNumId w:val="34"/>
  </w:num>
  <w:num w:numId="54">
    <w:abstractNumId w:val="14"/>
  </w:num>
  <w:num w:numId="55">
    <w:abstractNumId w:val="33"/>
  </w:num>
  <w:num w:numId="56">
    <w:abstractNumId w:val="0"/>
  </w:num>
  <w:num w:numId="57">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2089" style="mso-position-horizontal-relative:margin;mso-width-relative:margin;mso-height-relative:margin;v-text-anchor:middle" fillcolor="none [664]" stroke="f">
      <v:fill color="none [664]"/>
      <v:stroke weight="1pt" on="f"/>
    </o:shapedefaults>
  </w:hdrShapeDefaults>
  <w:footnotePr>
    <w:footnote w:id="-1"/>
    <w:footnote w:id="0"/>
    <w:footnote w:id="1"/>
  </w:footnotePr>
  <w:endnotePr>
    <w:endnote w:id="-1"/>
    <w:endnote w:id="0"/>
    <w:endnote w:id="1"/>
  </w:endnotePr>
  <w:compat>
    <w:useFELayout/>
    <w:compatSetting w:name="compatibilityMode" w:uri="http://schemas.microsoft.com/office/word" w:val="12"/>
  </w:compat>
  <w:docVars>
    <w:docVar w:name="DocStatus" w:val="Green"/>
    <w:docVar w:name="LW_CORRIGENDUM" w:val="&lt;UNUSED&gt;"/>
    <w:docVar w:name="LW_COVERPAGE_EXISTS" w:val="True"/>
    <w:docVar w:name="LW_COVERPAGE_GUID" w:val="E1BB9F09-13E4-4B0F-A1E5-E282E01CD46E"/>
    <w:docVar w:name="LW_COVERPAGE_TYPE" w:val="1"/>
    <w:docVar w:name="LW_CROSSREFERENCE" w:val="&lt;UNUSED&gt;"/>
    <w:docVar w:name="LW_DocType" w:val="NORMAL"/>
    <w:docVar w:name="LW_EMISSION" w:val="11.10.2023"/>
    <w:docVar w:name="LW_EMISSION_ISODATE" w:val="2023-10-11"/>
    <w:docVar w:name="LW_EMISSION_LOCATION" w:val="BRX"/>
    <w:docVar w:name="LW_EMISSION_PREFIX" w:val="\u1041?\u1088?\u1102?\u1082?\u1089?\u1077?\u1083?, "/>
    <w:docVar w:name="LW_EMISSION_SUFFIX" w:val=" \u1075?."/>
    <w:docVar w:name="LW_ID_DOCTYPE_NONLW" w:val="CP-014"/>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3) 577"/>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Демографските промени в Европа: инструментариум за действие"/>
    <w:docVar w:name="LW_TYPE.DOC.CP" w:val="СЪОБЩЕНИЕ НА КОМИСИЯТА ДО ЕВРОПЕЙСКИЯ ПАРЛАМЕНТ, СЪВЕТА, ЕВРОПЕЙСКИЯ ИКОНОМИЧЕСКИ И СОЦИАЛЕН КОМИТЕТ И КОМИТЕТА НА РЕГИОНИТЕ"/>
    <w:docVar w:name="LW_TYPE.DOC.CP.USERTEXT" w:val="&lt;EMPTY&gt;"/>
    <w:docVar w:name="LwApiVersions" w:val="LW4CoDe 1.23.2.0; LW 8.0, Build 20211117"/>
  </w:docVars>
  <w:rsids>
    <w:rsidRoot w:val="00B54742"/>
    <w:rsid w:val="0000011F"/>
    <w:rsid w:val="000003EF"/>
    <w:rsid w:val="00000454"/>
    <w:rsid w:val="00000646"/>
    <w:rsid w:val="00000783"/>
    <w:rsid w:val="000009D2"/>
    <w:rsid w:val="00000B14"/>
    <w:rsid w:val="00000CC2"/>
    <w:rsid w:val="00000EDE"/>
    <w:rsid w:val="00000F63"/>
    <w:rsid w:val="00000FBB"/>
    <w:rsid w:val="000010E4"/>
    <w:rsid w:val="000011B3"/>
    <w:rsid w:val="00001387"/>
    <w:rsid w:val="00001790"/>
    <w:rsid w:val="000017EB"/>
    <w:rsid w:val="000018FC"/>
    <w:rsid w:val="00001B34"/>
    <w:rsid w:val="00001BDF"/>
    <w:rsid w:val="00001D7E"/>
    <w:rsid w:val="00002017"/>
    <w:rsid w:val="0000208D"/>
    <w:rsid w:val="000020D8"/>
    <w:rsid w:val="000020F3"/>
    <w:rsid w:val="00002242"/>
    <w:rsid w:val="0000233F"/>
    <w:rsid w:val="0000248D"/>
    <w:rsid w:val="00002881"/>
    <w:rsid w:val="00003252"/>
    <w:rsid w:val="00003322"/>
    <w:rsid w:val="000034B6"/>
    <w:rsid w:val="000034C5"/>
    <w:rsid w:val="00003547"/>
    <w:rsid w:val="000039C2"/>
    <w:rsid w:val="00003AA9"/>
    <w:rsid w:val="00003BAD"/>
    <w:rsid w:val="00003C06"/>
    <w:rsid w:val="00003DD9"/>
    <w:rsid w:val="00003E4C"/>
    <w:rsid w:val="00003E89"/>
    <w:rsid w:val="000042A8"/>
    <w:rsid w:val="00004498"/>
    <w:rsid w:val="000046DF"/>
    <w:rsid w:val="00004780"/>
    <w:rsid w:val="000047C8"/>
    <w:rsid w:val="000048D4"/>
    <w:rsid w:val="00004A7B"/>
    <w:rsid w:val="00004C50"/>
    <w:rsid w:val="00004C6D"/>
    <w:rsid w:val="00004DA1"/>
    <w:rsid w:val="00004DC1"/>
    <w:rsid w:val="000050F6"/>
    <w:rsid w:val="00005143"/>
    <w:rsid w:val="00005147"/>
    <w:rsid w:val="00005209"/>
    <w:rsid w:val="000052C2"/>
    <w:rsid w:val="000052FD"/>
    <w:rsid w:val="00005356"/>
    <w:rsid w:val="000055F5"/>
    <w:rsid w:val="00005798"/>
    <w:rsid w:val="000057AE"/>
    <w:rsid w:val="0000594F"/>
    <w:rsid w:val="00005A68"/>
    <w:rsid w:val="00005EDF"/>
    <w:rsid w:val="00005F72"/>
    <w:rsid w:val="000060D7"/>
    <w:rsid w:val="00006112"/>
    <w:rsid w:val="0000632D"/>
    <w:rsid w:val="0000661E"/>
    <w:rsid w:val="000069F2"/>
    <w:rsid w:val="00006B42"/>
    <w:rsid w:val="00006C50"/>
    <w:rsid w:val="00006EEC"/>
    <w:rsid w:val="000071C8"/>
    <w:rsid w:val="0000721B"/>
    <w:rsid w:val="00007625"/>
    <w:rsid w:val="000076A4"/>
    <w:rsid w:val="00007734"/>
    <w:rsid w:val="0000777C"/>
    <w:rsid w:val="000077CD"/>
    <w:rsid w:val="00007C72"/>
    <w:rsid w:val="00007CB5"/>
    <w:rsid w:val="00007D76"/>
    <w:rsid w:val="00007E1E"/>
    <w:rsid w:val="00007E3D"/>
    <w:rsid w:val="00010115"/>
    <w:rsid w:val="000101C2"/>
    <w:rsid w:val="00010303"/>
    <w:rsid w:val="0001032B"/>
    <w:rsid w:val="000103E2"/>
    <w:rsid w:val="0001061D"/>
    <w:rsid w:val="0001079D"/>
    <w:rsid w:val="000108D4"/>
    <w:rsid w:val="000109E2"/>
    <w:rsid w:val="00010AA4"/>
    <w:rsid w:val="00010BB3"/>
    <w:rsid w:val="00010C39"/>
    <w:rsid w:val="00010E39"/>
    <w:rsid w:val="00010EFC"/>
    <w:rsid w:val="00011064"/>
    <w:rsid w:val="0001106E"/>
    <w:rsid w:val="0001163F"/>
    <w:rsid w:val="00011670"/>
    <w:rsid w:val="00011882"/>
    <w:rsid w:val="00011A40"/>
    <w:rsid w:val="00011C6A"/>
    <w:rsid w:val="00011C86"/>
    <w:rsid w:val="00011D27"/>
    <w:rsid w:val="00011E57"/>
    <w:rsid w:val="00011EA3"/>
    <w:rsid w:val="0001205D"/>
    <w:rsid w:val="0001257A"/>
    <w:rsid w:val="000126FA"/>
    <w:rsid w:val="000127CF"/>
    <w:rsid w:val="0001297A"/>
    <w:rsid w:val="00012A4B"/>
    <w:rsid w:val="00012A92"/>
    <w:rsid w:val="00012B66"/>
    <w:rsid w:val="00012B70"/>
    <w:rsid w:val="00012D3D"/>
    <w:rsid w:val="000134D9"/>
    <w:rsid w:val="00013C83"/>
    <w:rsid w:val="00013CFD"/>
    <w:rsid w:val="00013D87"/>
    <w:rsid w:val="00013DB6"/>
    <w:rsid w:val="00013EC9"/>
    <w:rsid w:val="00013EE7"/>
    <w:rsid w:val="00014166"/>
    <w:rsid w:val="0001447F"/>
    <w:rsid w:val="000146F7"/>
    <w:rsid w:val="000147C5"/>
    <w:rsid w:val="000148AD"/>
    <w:rsid w:val="00014A28"/>
    <w:rsid w:val="00014CD9"/>
    <w:rsid w:val="00014D7F"/>
    <w:rsid w:val="00014DCD"/>
    <w:rsid w:val="00014E2C"/>
    <w:rsid w:val="00015166"/>
    <w:rsid w:val="000154C2"/>
    <w:rsid w:val="00015728"/>
    <w:rsid w:val="00015A3A"/>
    <w:rsid w:val="00015E63"/>
    <w:rsid w:val="00015F12"/>
    <w:rsid w:val="00016004"/>
    <w:rsid w:val="000163A2"/>
    <w:rsid w:val="0001652B"/>
    <w:rsid w:val="0001659A"/>
    <w:rsid w:val="00016641"/>
    <w:rsid w:val="0001670A"/>
    <w:rsid w:val="0001672E"/>
    <w:rsid w:val="00016731"/>
    <w:rsid w:val="0001686F"/>
    <w:rsid w:val="0001687A"/>
    <w:rsid w:val="00016894"/>
    <w:rsid w:val="0001697F"/>
    <w:rsid w:val="00016B9F"/>
    <w:rsid w:val="00016CE8"/>
    <w:rsid w:val="00016D68"/>
    <w:rsid w:val="00016E04"/>
    <w:rsid w:val="00016E8D"/>
    <w:rsid w:val="0001710E"/>
    <w:rsid w:val="00017193"/>
    <w:rsid w:val="000173BA"/>
    <w:rsid w:val="000175E3"/>
    <w:rsid w:val="000178E4"/>
    <w:rsid w:val="00017C48"/>
    <w:rsid w:val="00020093"/>
    <w:rsid w:val="0002019B"/>
    <w:rsid w:val="000203D8"/>
    <w:rsid w:val="000205D9"/>
    <w:rsid w:val="00020702"/>
    <w:rsid w:val="0002076E"/>
    <w:rsid w:val="00020881"/>
    <w:rsid w:val="00020A8D"/>
    <w:rsid w:val="00020E35"/>
    <w:rsid w:val="00020FA8"/>
    <w:rsid w:val="00020FC7"/>
    <w:rsid w:val="00020FD4"/>
    <w:rsid w:val="00020FEA"/>
    <w:rsid w:val="0002100C"/>
    <w:rsid w:val="00021161"/>
    <w:rsid w:val="00021307"/>
    <w:rsid w:val="00021333"/>
    <w:rsid w:val="0002138C"/>
    <w:rsid w:val="00021737"/>
    <w:rsid w:val="00021779"/>
    <w:rsid w:val="00021818"/>
    <w:rsid w:val="0002193D"/>
    <w:rsid w:val="00021CF4"/>
    <w:rsid w:val="00021F16"/>
    <w:rsid w:val="00021F91"/>
    <w:rsid w:val="00022050"/>
    <w:rsid w:val="00022135"/>
    <w:rsid w:val="0002283D"/>
    <w:rsid w:val="00022965"/>
    <w:rsid w:val="000229BB"/>
    <w:rsid w:val="00022C96"/>
    <w:rsid w:val="00022D1F"/>
    <w:rsid w:val="00022D53"/>
    <w:rsid w:val="00023053"/>
    <w:rsid w:val="000230D9"/>
    <w:rsid w:val="00023100"/>
    <w:rsid w:val="000231BB"/>
    <w:rsid w:val="00023263"/>
    <w:rsid w:val="0002326F"/>
    <w:rsid w:val="000233AA"/>
    <w:rsid w:val="0002340A"/>
    <w:rsid w:val="0002357A"/>
    <w:rsid w:val="0002369E"/>
    <w:rsid w:val="0002372C"/>
    <w:rsid w:val="000239A2"/>
    <w:rsid w:val="00023AB8"/>
    <w:rsid w:val="00023C85"/>
    <w:rsid w:val="00023CB2"/>
    <w:rsid w:val="00023CF2"/>
    <w:rsid w:val="00023DDF"/>
    <w:rsid w:val="00023FBF"/>
    <w:rsid w:val="00024061"/>
    <w:rsid w:val="00024139"/>
    <w:rsid w:val="00024344"/>
    <w:rsid w:val="0002444A"/>
    <w:rsid w:val="0002449F"/>
    <w:rsid w:val="000245F0"/>
    <w:rsid w:val="00024673"/>
    <w:rsid w:val="0002468D"/>
    <w:rsid w:val="00024946"/>
    <w:rsid w:val="00024A1C"/>
    <w:rsid w:val="00024C3C"/>
    <w:rsid w:val="00024CC2"/>
    <w:rsid w:val="00024E29"/>
    <w:rsid w:val="0002500E"/>
    <w:rsid w:val="0002508C"/>
    <w:rsid w:val="000250D5"/>
    <w:rsid w:val="000251D6"/>
    <w:rsid w:val="0002546C"/>
    <w:rsid w:val="0002560A"/>
    <w:rsid w:val="00025BB3"/>
    <w:rsid w:val="00025CCC"/>
    <w:rsid w:val="00025EAC"/>
    <w:rsid w:val="00025F78"/>
    <w:rsid w:val="000261EE"/>
    <w:rsid w:val="000263A9"/>
    <w:rsid w:val="000265D9"/>
    <w:rsid w:val="00026745"/>
    <w:rsid w:val="00026763"/>
    <w:rsid w:val="00026833"/>
    <w:rsid w:val="00026951"/>
    <w:rsid w:val="00026ABC"/>
    <w:rsid w:val="0002710D"/>
    <w:rsid w:val="0002725C"/>
    <w:rsid w:val="000272ED"/>
    <w:rsid w:val="00027714"/>
    <w:rsid w:val="000279EC"/>
    <w:rsid w:val="00027C8F"/>
    <w:rsid w:val="00027CA1"/>
    <w:rsid w:val="00027E17"/>
    <w:rsid w:val="00027E46"/>
    <w:rsid w:val="00030121"/>
    <w:rsid w:val="00030245"/>
    <w:rsid w:val="000302B0"/>
    <w:rsid w:val="000302DF"/>
    <w:rsid w:val="000302FE"/>
    <w:rsid w:val="0003037B"/>
    <w:rsid w:val="000303B3"/>
    <w:rsid w:val="00030699"/>
    <w:rsid w:val="0003073C"/>
    <w:rsid w:val="000307BC"/>
    <w:rsid w:val="00030911"/>
    <w:rsid w:val="00030A3F"/>
    <w:rsid w:val="00030CCB"/>
    <w:rsid w:val="00030CD8"/>
    <w:rsid w:val="00030E46"/>
    <w:rsid w:val="0003107E"/>
    <w:rsid w:val="0003124C"/>
    <w:rsid w:val="00031592"/>
    <w:rsid w:val="00031593"/>
    <w:rsid w:val="00031882"/>
    <w:rsid w:val="000318A1"/>
    <w:rsid w:val="00031A4E"/>
    <w:rsid w:val="00031A8C"/>
    <w:rsid w:val="00031A98"/>
    <w:rsid w:val="00031B82"/>
    <w:rsid w:val="00031BE6"/>
    <w:rsid w:val="00031DE3"/>
    <w:rsid w:val="00031F0D"/>
    <w:rsid w:val="00031F26"/>
    <w:rsid w:val="0003213D"/>
    <w:rsid w:val="00032187"/>
    <w:rsid w:val="00032378"/>
    <w:rsid w:val="0003254B"/>
    <w:rsid w:val="00032713"/>
    <w:rsid w:val="000329A1"/>
    <w:rsid w:val="00032A51"/>
    <w:rsid w:val="00032B33"/>
    <w:rsid w:val="00032BF6"/>
    <w:rsid w:val="00032C87"/>
    <w:rsid w:val="00032F0D"/>
    <w:rsid w:val="00032FFD"/>
    <w:rsid w:val="000336C7"/>
    <w:rsid w:val="0003379F"/>
    <w:rsid w:val="000339B4"/>
    <w:rsid w:val="00033CB5"/>
    <w:rsid w:val="00033E1A"/>
    <w:rsid w:val="00033E68"/>
    <w:rsid w:val="000340C2"/>
    <w:rsid w:val="00034121"/>
    <w:rsid w:val="000342B3"/>
    <w:rsid w:val="00034356"/>
    <w:rsid w:val="00034392"/>
    <w:rsid w:val="000343BC"/>
    <w:rsid w:val="00034582"/>
    <w:rsid w:val="000345C3"/>
    <w:rsid w:val="00034953"/>
    <w:rsid w:val="00034B87"/>
    <w:rsid w:val="00034C73"/>
    <w:rsid w:val="00034C7C"/>
    <w:rsid w:val="000352D9"/>
    <w:rsid w:val="00035308"/>
    <w:rsid w:val="00035566"/>
    <w:rsid w:val="000357E7"/>
    <w:rsid w:val="0003589A"/>
    <w:rsid w:val="00035B7D"/>
    <w:rsid w:val="00035C4E"/>
    <w:rsid w:val="00035C95"/>
    <w:rsid w:val="00035E8D"/>
    <w:rsid w:val="00036047"/>
    <w:rsid w:val="0003607B"/>
    <w:rsid w:val="00036225"/>
    <w:rsid w:val="00036592"/>
    <w:rsid w:val="00036642"/>
    <w:rsid w:val="0003678A"/>
    <w:rsid w:val="0003696C"/>
    <w:rsid w:val="00036FB6"/>
    <w:rsid w:val="000370EE"/>
    <w:rsid w:val="00037304"/>
    <w:rsid w:val="000373AA"/>
    <w:rsid w:val="000373AE"/>
    <w:rsid w:val="000374B6"/>
    <w:rsid w:val="000375EE"/>
    <w:rsid w:val="00037710"/>
    <w:rsid w:val="0003779D"/>
    <w:rsid w:val="00037A81"/>
    <w:rsid w:val="00037AB0"/>
    <w:rsid w:val="00037BC7"/>
    <w:rsid w:val="00037BD9"/>
    <w:rsid w:val="00037E57"/>
    <w:rsid w:val="00037F41"/>
    <w:rsid w:val="00037F43"/>
    <w:rsid w:val="00037F4C"/>
    <w:rsid w:val="00040045"/>
    <w:rsid w:val="0004008C"/>
    <w:rsid w:val="0004012A"/>
    <w:rsid w:val="0004036F"/>
    <w:rsid w:val="0004048F"/>
    <w:rsid w:val="000405C0"/>
    <w:rsid w:val="00040A69"/>
    <w:rsid w:val="00040A99"/>
    <w:rsid w:val="00040C39"/>
    <w:rsid w:val="00040D85"/>
    <w:rsid w:val="00040E9D"/>
    <w:rsid w:val="00041189"/>
    <w:rsid w:val="000411D1"/>
    <w:rsid w:val="0004125B"/>
    <w:rsid w:val="000415DD"/>
    <w:rsid w:val="00041943"/>
    <w:rsid w:val="00041AFB"/>
    <w:rsid w:val="00041ED7"/>
    <w:rsid w:val="00041F7E"/>
    <w:rsid w:val="000420E4"/>
    <w:rsid w:val="000421AA"/>
    <w:rsid w:val="000421CA"/>
    <w:rsid w:val="00042283"/>
    <w:rsid w:val="000423F7"/>
    <w:rsid w:val="0004284E"/>
    <w:rsid w:val="00042924"/>
    <w:rsid w:val="0004299A"/>
    <w:rsid w:val="000429B8"/>
    <w:rsid w:val="00042F8E"/>
    <w:rsid w:val="00043003"/>
    <w:rsid w:val="000430CE"/>
    <w:rsid w:val="0004336D"/>
    <w:rsid w:val="0004348A"/>
    <w:rsid w:val="00043614"/>
    <w:rsid w:val="00043701"/>
    <w:rsid w:val="00043952"/>
    <w:rsid w:val="000439D2"/>
    <w:rsid w:val="00043C32"/>
    <w:rsid w:val="00043EB4"/>
    <w:rsid w:val="00043F86"/>
    <w:rsid w:val="00044002"/>
    <w:rsid w:val="000441F8"/>
    <w:rsid w:val="0004429F"/>
    <w:rsid w:val="00044442"/>
    <w:rsid w:val="000445AA"/>
    <w:rsid w:val="00044803"/>
    <w:rsid w:val="00044937"/>
    <w:rsid w:val="00044939"/>
    <w:rsid w:val="00044A24"/>
    <w:rsid w:val="00044DE9"/>
    <w:rsid w:val="00045000"/>
    <w:rsid w:val="0004501C"/>
    <w:rsid w:val="00045084"/>
    <w:rsid w:val="000450BB"/>
    <w:rsid w:val="00045255"/>
    <w:rsid w:val="00045569"/>
    <w:rsid w:val="000455E6"/>
    <w:rsid w:val="00045602"/>
    <w:rsid w:val="000456EC"/>
    <w:rsid w:val="00045B3E"/>
    <w:rsid w:val="00045BA7"/>
    <w:rsid w:val="00045F12"/>
    <w:rsid w:val="0004608D"/>
    <w:rsid w:val="0004619D"/>
    <w:rsid w:val="000461AF"/>
    <w:rsid w:val="00046256"/>
    <w:rsid w:val="0004629B"/>
    <w:rsid w:val="000462B4"/>
    <w:rsid w:val="0004638E"/>
    <w:rsid w:val="0004641D"/>
    <w:rsid w:val="000464A0"/>
    <w:rsid w:val="000465BB"/>
    <w:rsid w:val="000465E4"/>
    <w:rsid w:val="00046654"/>
    <w:rsid w:val="00046C35"/>
    <w:rsid w:val="00046DBD"/>
    <w:rsid w:val="00046F82"/>
    <w:rsid w:val="000470CC"/>
    <w:rsid w:val="000473C1"/>
    <w:rsid w:val="0004748F"/>
    <w:rsid w:val="00047660"/>
    <w:rsid w:val="000476A5"/>
    <w:rsid w:val="000477A6"/>
    <w:rsid w:val="00047A40"/>
    <w:rsid w:val="00047CD6"/>
    <w:rsid w:val="00047E84"/>
    <w:rsid w:val="00050372"/>
    <w:rsid w:val="00050667"/>
    <w:rsid w:val="00050946"/>
    <w:rsid w:val="00050E9C"/>
    <w:rsid w:val="000511B7"/>
    <w:rsid w:val="000517E3"/>
    <w:rsid w:val="00051CC4"/>
    <w:rsid w:val="00051F49"/>
    <w:rsid w:val="00051F54"/>
    <w:rsid w:val="00051F77"/>
    <w:rsid w:val="00051FD6"/>
    <w:rsid w:val="0005208E"/>
    <w:rsid w:val="0005219F"/>
    <w:rsid w:val="000525D1"/>
    <w:rsid w:val="00052680"/>
    <w:rsid w:val="000526D6"/>
    <w:rsid w:val="00052803"/>
    <w:rsid w:val="0005282E"/>
    <w:rsid w:val="00052850"/>
    <w:rsid w:val="00052866"/>
    <w:rsid w:val="00052AC2"/>
    <w:rsid w:val="00052B50"/>
    <w:rsid w:val="00052DC2"/>
    <w:rsid w:val="00052E41"/>
    <w:rsid w:val="000530C9"/>
    <w:rsid w:val="0005318E"/>
    <w:rsid w:val="000531E4"/>
    <w:rsid w:val="00053353"/>
    <w:rsid w:val="00053368"/>
    <w:rsid w:val="000533FB"/>
    <w:rsid w:val="00053419"/>
    <w:rsid w:val="00053682"/>
    <w:rsid w:val="0005394C"/>
    <w:rsid w:val="00053B18"/>
    <w:rsid w:val="00054087"/>
    <w:rsid w:val="000540AD"/>
    <w:rsid w:val="00054139"/>
    <w:rsid w:val="00054A87"/>
    <w:rsid w:val="00054A98"/>
    <w:rsid w:val="00054B55"/>
    <w:rsid w:val="00054BAC"/>
    <w:rsid w:val="00054E51"/>
    <w:rsid w:val="00054ED0"/>
    <w:rsid w:val="00055134"/>
    <w:rsid w:val="0005513F"/>
    <w:rsid w:val="0005515B"/>
    <w:rsid w:val="000553C8"/>
    <w:rsid w:val="000556D5"/>
    <w:rsid w:val="0005577E"/>
    <w:rsid w:val="000557E7"/>
    <w:rsid w:val="0005583B"/>
    <w:rsid w:val="00055928"/>
    <w:rsid w:val="00055A5F"/>
    <w:rsid w:val="00055AA6"/>
    <w:rsid w:val="00055EB3"/>
    <w:rsid w:val="00055EDC"/>
    <w:rsid w:val="00055F88"/>
    <w:rsid w:val="00055FEC"/>
    <w:rsid w:val="000561E1"/>
    <w:rsid w:val="00056362"/>
    <w:rsid w:val="000563DD"/>
    <w:rsid w:val="000564A3"/>
    <w:rsid w:val="00056518"/>
    <w:rsid w:val="000567F0"/>
    <w:rsid w:val="000569DD"/>
    <w:rsid w:val="00056E2B"/>
    <w:rsid w:val="00056ED5"/>
    <w:rsid w:val="00056ED7"/>
    <w:rsid w:val="00056EDC"/>
    <w:rsid w:val="00056F09"/>
    <w:rsid w:val="0005705F"/>
    <w:rsid w:val="000571C8"/>
    <w:rsid w:val="0005721A"/>
    <w:rsid w:val="0005726D"/>
    <w:rsid w:val="00057419"/>
    <w:rsid w:val="0005742B"/>
    <w:rsid w:val="000575A6"/>
    <w:rsid w:val="00057856"/>
    <w:rsid w:val="0005786B"/>
    <w:rsid w:val="00057907"/>
    <w:rsid w:val="000579D0"/>
    <w:rsid w:val="00057AB6"/>
    <w:rsid w:val="00057C68"/>
    <w:rsid w:val="00057C8E"/>
    <w:rsid w:val="00060451"/>
    <w:rsid w:val="00060467"/>
    <w:rsid w:val="0006048D"/>
    <w:rsid w:val="0006068E"/>
    <w:rsid w:val="000606DF"/>
    <w:rsid w:val="000606FA"/>
    <w:rsid w:val="00060719"/>
    <w:rsid w:val="00060836"/>
    <w:rsid w:val="00060A6E"/>
    <w:rsid w:val="00060CD9"/>
    <w:rsid w:val="00061018"/>
    <w:rsid w:val="0006109F"/>
    <w:rsid w:val="0006118D"/>
    <w:rsid w:val="0006149E"/>
    <w:rsid w:val="000614C3"/>
    <w:rsid w:val="0006154E"/>
    <w:rsid w:val="000615E6"/>
    <w:rsid w:val="00061713"/>
    <w:rsid w:val="00061969"/>
    <w:rsid w:val="000619E2"/>
    <w:rsid w:val="00061C23"/>
    <w:rsid w:val="00062017"/>
    <w:rsid w:val="0006241D"/>
    <w:rsid w:val="0006297D"/>
    <w:rsid w:val="000629D1"/>
    <w:rsid w:val="00062C0C"/>
    <w:rsid w:val="00062C3F"/>
    <w:rsid w:val="00062CB5"/>
    <w:rsid w:val="00062D7C"/>
    <w:rsid w:val="00062EE3"/>
    <w:rsid w:val="00063058"/>
    <w:rsid w:val="000631F2"/>
    <w:rsid w:val="000634AA"/>
    <w:rsid w:val="000634BA"/>
    <w:rsid w:val="00063524"/>
    <w:rsid w:val="000637DC"/>
    <w:rsid w:val="000638AA"/>
    <w:rsid w:val="00063951"/>
    <w:rsid w:val="00063A08"/>
    <w:rsid w:val="00063B14"/>
    <w:rsid w:val="00064183"/>
    <w:rsid w:val="00064235"/>
    <w:rsid w:val="00064296"/>
    <w:rsid w:val="0006444B"/>
    <w:rsid w:val="0006497C"/>
    <w:rsid w:val="00064A98"/>
    <w:rsid w:val="00064B01"/>
    <w:rsid w:val="00064CB1"/>
    <w:rsid w:val="00064CED"/>
    <w:rsid w:val="00064D21"/>
    <w:rsid w:val="00064F1E"/>
    <w:rsid w:val="000654B5"/>
    <w:rsid w:val="00065903"/>
    <w:rsid w:val="00065BB1"/>
    <w:rsid w:val="00065EEA"/>
    <w:rsid w:val="00065EF6"/>
    <w:rsid w:val="00066001"/>
    <w:rsid w:val="00066133"/>
    <w:rsid w:val="000661AA"/>
    <w:rsid w:val="0006642F"/>
    <w:rsid w:val="000664E2"/>
    <w:rsid w:val="000666C0"/>
    <w:rsid w:val="000668A8"/>
    <w:rsid w:val="000668D7"/>
    <w:rsid w:val="000668E2"/>
    <w:rsid w:val="00066A4E"/>
    <w:rsid w:val="00066B74"/>
    <w:rsid w:val="00066BAC"/>
    <w:rsid w:val="00066BF8"/>
    <w:rsid w:val="00066C80"/>
    <w:rsid w:val="00066CC9"/>
    <w:rsid w:val="00066E3C"/>
    <w:rsid w:val="00066E6A"/>
    <w:rsid w:val="00066EDE"/>
    <w:rsid w:val="000670BD"/>
    <w:rsid w:val="00067268"/>
    <w:rsid w:val="00067618"/>
    <w:rsid w:val="00067868"/>
    <w:rsid w:val="00067948"/>
    <w:rsid w:val="00067FA1"/>
    <w:rsid w:val="00070080"/>
    <w:rsid w:val="00070095"/>
    <w:rsid w:val="0007009F"/>
    <w:rsid w:val="000700EE"/>
    <w:rsid w:val="0007015B"/>
    <w:rsid w:val="00070291"/>
    <w:rsid w:val="000702E9"/>
    <w:rsid w:val="0007031C"/>
    <w:rsid w:val="000703D2"/>
    <w:rsid w:val="00070423"/>
    <w:rsid w:val="00070483"/>
    <w:rsid w:val="00070568"/>
    <w:rsid w:val="000706B7"/>
    <w:rsid w:val="00070824"/>
    <w:rsid w:val="00070A3D"/>
    <w:rsid w:val="00070AED"/>
    <w:rsid w:val="00070DAE"/>
    <w:rsid w:val="00070DB2"/>
    <w:rsid w:val="00070DD5"/>
    <w:rsid w:val="00070E9D"/>
    <w:rsid w:val="00070FC5"/>
    <w:rsid w:val="000710EF"/>
    <w:rsid w:val="00071349"/>
    <w:rsid w:val="0007135B"/>
    <w:rsid w:val="000717C3"/>
    <w:rsid w:val="00071866"/>
    <w:rsid w:val="000719A8"/>
    <w:rsid w:val="00071AF6"/>
    <w:rsid w:val="00071B13"/>
    <w:rsid w:val="00071D1E"/>
    <w:rsid w:val="00071D27"/>
    <w:rsid w:val="00071D89"/>
    <w:rsid w:val="00071E7A"/>
    <w:rsid w:val="00071EBC"/>
    <w:rsid w:val="00071F35"/>
    <w:rsid w:val="0007221A"/>
    <w:rsid w:val="000722C6"/>
    <w:rsid w:val="000722C8"/>
    <w:rsid w:val="00072423"/>
    <w:rsid w:val="00072569"/>
    <w:rsid w:val="000725DD"/>
    <w:rsid w:val="0007276C"/>
    <w:rsid w:val="00072788"/>
    <w:rsid w:val="00072CC2"/>
    <w:rsid w:val="00072E58"/>
    <w:rsid w:val="00072E5B"/>
    <w:rsid w:val="00072F3E"/>
    <w:rsid w:val="000732CD"/>
    <w:rsid w:val="00073429"/>
    <w:rsid w:val="000734F3"/>
    <w:rsid w:val="0007388A"/>
    <w:rsid w:val="000739AA"/>
    <w:rsid w:val="00073A9A"/>
    <w:rsid w:val="00073D2F"/>
    <w:rsid w:val="00073DAC"/>
    <w:rsid w:val="00073E00"/>
    <w:rsid w:val="00073F16"/>
    <w:rsid w:val="00074139"/>
    <w:rsid w:val="00074334"/>
    <w:rsid w:val="00074561"/>
    <w:rsid w:val="000745C8"/>
    <w:rsid w:val="00074701"/>
    <w:rsid w:val="0007474D"/>
    <w:rsid w:val="00074ADE"/>
    <w:rsid w:val="00074C78"/>
    <w:rsid w:val="00075201"/>
    <w:rsid w:val="00075253"/>
    <w:rsid w:val="000752BE"/>
    <w:rsid w:val="00075444"/>
    <w:rsid w:val="00075809"/>
    <w:rsid w:val="0007582B"/>
    <w:rsid w:val="00075A86"/>
    <w:rsid w:val="00075ABA"/>
    <w:rsid w:val="00075AC3"/>
    <w:rsid w:val="00075ACE"/>
    <w:rsid w:val="00075B0C"/>
    <w:rsid w:val="00075CA5"/>
    <w:rsid w:val="00075F9F"/>
    <w:rsid w:val="00076303"/>
    <w:rsid w:val="000763BA"/>
    <w:rsid w:val="0007671D"/>
    <w:rsid w:val="0007679E"/>
    <w:rsid w:val="0007699A"/>
    <w:rsid w:val="000769B6"/>
    <w:rsid w:val="00076AFB"/>
    <w:rsid w:val="00076CE8"/>
    <w:rsid w:val="00076EDA"/>
    <w:rsid w:val="00077555"/>
    <w:rsid w:val="00077573"/>
    <w:rsid w:val="00077691"/>
    <w:rsid w:val="00077789"/>
    <w:rsid w:val="00077976"/>
    <w:rsid w:val="000779CB"/>
    <w:rsid w:val="00077B8C"/>
    <w:rsid w:val="00077D3A"/>
    <w:rsid w:val="00077D79"/>
    <w:rsid w:val="00077E97"/>
    <w:rsid w:val="00077F04"/>
    <w:rsid w:val="00080132"/>
    <w:rsid w:val="00080227"/>
    <w:rsid w:val="000803BC"/>
    <w:rsid w:val="00080409"/>
    <w:rsid w:val="0008053E"/>
    <w:rsid w:val="00080592"/>
    <w:rsid w:val="000805B2"/>
    <w:rsid w:val="000808AC"/>
    <w:rsid w:val="000808DA"/>
    <w:rsid w:val="00080A2B"/>
    <w:rsid w:val="00080BF4"/>
    <w:rsid w:val="00080C42"/>
    <w:rsid w:val="00080CD5"/>
    <w:rsid w:val="00080DB3"/>
    <w:rsid w:val="00080ED6"/>
    <w:rsid w:val="00080FB6"/>
    <w:rsid w:val="00081075"/>
    <w:rsid w:val="000811CA"/>
    <w:rsid w:val="000816D1"/>
    <w:rsid w:val="000816EC"/>
    <w:rsid w:val="000817B2"/>
    <w:rsid w:val="0008186D"/>
    <w:rsid w:val="00081D9F"/>
    <w:rsid w:val="00081DDD"/>
    <w:rsid w:val="00081EC1"/>
    <w:rsid w:val="00081FFA"/>
    <w:rsid w:val="0008214F"/>
    <w:rsid w:val="0008237C"/>
    <w:rsid w:val="000823B9"/>
    <w:rsid w:val="0008240B"/>
    <w:rsid w:val="00082547"/>
    <w:rsid w:val="00082992"/>
    <w:rsid w:val="00082AE9"/>
    <w:rsid w:val="00082B0D"/>
    <w:rsid w:val="00082BF6"/>
    <w:rsid w:val="00082C07"/>
    <w:rsid w:val="00082DF4"/>
    <w:rsid w:val="00082F47"/>
    <w:rsid w:val="0008306A"/>
    <w:rsid w:val="0008309B"/>
    <w:rsid w:val="0008322F"/>
    <w:rsid w:val="0008324A"/>
    <w:rsid w:val="000835B7"/>
    <w:rsid w:val="00083768"/>
    <w:rsid w:val="0008383E"/>
    <w:rsid w:val="000838C7"/>
    <w:rsid w:val="000838CB"/>
    <w:rsid w:val="00083942"/>
    <w:rsid w:val="00083958"/>
    <w:rsid w:val="00083AB5"/>
    <w:rsid w:val="00083C5E"/>
    <w:rsid w:val="00083FA0"/>
    <w:rsid w:val="00083FEF"/>
    <w:rsid w:val="000840A9"/>
    <w:rsid w:val="00084134"/>
    <w:rsid w:val="0008426B"/>
    <w:rsid w:val="000842BE"/>
    <w:rsid w:val="000842D0"/>
    <w:rsid w:val="000845D6"/>
    <w:rsid w:val="00084685"/>
    <w:rsid w:val="00084877"/>
    <w:rsid w:val="0008494F"/>
    <w:rsid w:val="00084B79"/>
    <w:rsid w:val="00084BBC"/>
    <w:rsid w:val="00084C90"/>
    <w:rsid w:val="00084D3C"/>
    <w:rsid w:val="00084EA0"/>
    <w:rsid w:val="00084FB3"/>
    <w:rsid w:val="00084FCF"/>
    <w:rsid w:val="0008514D"/>
    <w:rsid w:val="000851F1"/>
    <w:rsid w:val="00085460"/>
    <w:rsid w:val="00085655"/>
    <w:rsid w:val="000856AC"/>
    <w:rsid w:val="000856AF"/>
    <w:rsid w:val="000857D0"/>
    <w:rsid w:val="000857DE"/>
    <w:rsid w:val="00085840"/>
    <w:rsid w:val="000858ED"/>
    <w:rsid w:val="00085A24"/>
    <w:rsid w:val="00085A8A"/>
    <w:rsid w:val="00085AA7"/>
    <w:rsid w:val="00085C52"/>
    <w:rsid w:val="00085CDD"/>
    <w:rsid w:val="00085E1C"/>
    <w:rsid w:val="00085FF0"/>
    <w:rsid w:val="00086072"/>
    <w:rsid w:val="0008609B"/>
    <w:rsid w:val="000861B2"/>
    <w:rsid w:val="000863AF"/>
    <w:rsid w:val="000864D8"/>
    <w:rsid w:val="00086502"/>
    <w:rsid w:val="000866C3"/>
    <w:rsid w:val="00086912"/>
    <w:rsid w:val="00086B0B"/>
    <w:rsid w:val="00086B82"/>
    <w:rsid w:val="00086BF3"/>
    <w:rsid w:val="0008715E"/>
    <w:rsid w:val="0008731B"/>
    <w:rsid w:val="0008744C"/>
    <w:rsid w:val="00087518"/>
    <w:rsid w:val="0008759B"/>
    <w:rsid w:val="000877AF"/>
    <w:rsid w:val="000878B1"/>
    <w:rsid w:val="000879C0"/>
    <w:rsid w:val="00087B8F"/>
    <w:rsid w:val="00087DBF"/>
    <w:rsid w:val="00087DF3"/>
    <w:rsid w:val="00087DFD"/>
    <w:rsid w:val="00087E0C"/>
    <w:rsid w:val="00087E1C"/>
    <w:rsid w:val="00087EDF"/>
    <w:rsid w:val="00090081"/>
    <w:rsid w:val="000904D9"/>
    <w:rsid w:val="000905CE"/>
    <w:rsid w:val="000905FE"/>
    <w:rsid w:val="00090611"/>
    <w:rsid w:val="000906F9"/>
    <w:rsid w:val="00090703"/>
    <w:rsid w:val="0009092A"/>
    <w:rsid w:val="00090C06"/>
    <w:rsid w:val="00090CF7"/>
    <w:rsid w:val="00090E46"/>
    <w:rsid w:val="00090FDD"/>
    <w:rsid w:val="00090FFF"/>
    <w:rsid w:val="00091067"/>
    <w:rsid w:val="00091130"/>
    <w:rsid w:val="000911F5"/>
    <w:rsid w:val="0009128A"/>
    <w:rsid w:val="00091343"/>
    <w:rsid w:val="00091345"/>
    <w:rsid w:val="00091347"/>
    <w:rsid w:val="00091460"/>
    <w:rsid w:val="0009156B"/>
    <w:rsid w:val="00091719"/>
    <w:rsid w:val="0009172A"/>
    <w:rsid w:val="0009177D"/>
    <w:rsid w:val="00091A3C"/>
    <w:rsid w:val="00091BFA"/>
    <w:rsid w:val="00091CE9"/>
    <w:rsid w:val="00091DF9"/>
    <w:rsid w:val="00091F56"/>
    <w:rsid w:val="000920AA"/>
    <w:rsid w:val="00092115"/>
    <w:rsid w:val="00092128"/>
    <w:rsid w:val="0009218B"/>
    <w:rsid w:val="00092302"/>
    <w:rsid w:val="00092580"/>
    <w:rsid w:val="00092671"/>
    <w:rsid w:val="00092680"/>
    <w:rsid w:val="00092867"/>
    <w:rsid w:val="00092A2D"/>
    <w:rsid w:val="00092B85"/>
    <w:rsid w:val="00092BB5"/>
    <w:rsid w:val="00092E58"/>
    <w:rsid w:val="00092F61"/>
    <w:rsid w:val="0009302D"/>
    <w:rsid w:val="00093319"/>
    <w:rsid w:val="00093709"/>
    <w:rsid w:val="000937BA"/>
    <w:rsid w:val="00093C28"/>
    <w:rsid w:val="00093E9F"/>
    <w:rsid w:val="0009418C"/>
    <w:rsid w:val="0009424F"/>
    <w:rsid w:val="00094301"/>
    <w:rsid w:val="0009430B"/>
    <w:rsid w:val="0009433D"/>
    <w:rsid w:val="0009439B"/>
    <w:rsid w:val="0009444A"/>
    <w:rsid w:val="00094478"/>
    <w:rsid w:val="000944BA"/>
    <w:rsid w:val="00094561"/>
    <w:rsid w:val="00094750"/>
    <w:rsid w:val="000947C2"/>
    <w:rsid w:val="00094A6A"/>
    <w:rsid w:val="00094A6E"/>
    <w:rsid w:val="00094B29"/>
    <w:rsid w:val="00094BE3"/>
    <w:rsid w:val="00094D62"/>
    <w:rsid w:val="00094E37"/>
    <w:rsid w:val="00094E98"/>
    <w:rsid w:val="00095138"/>
    <w:rsid w:val="0009519E"/>
    <w:rsid w:val="000951D7"/>
    <w:rsid w:val="00095616"/>
    <w:rsid w:val="000956AA"/>
    <w:rsid w:val="000957C9"/>
    <w:rsid w:val="0009585A"/>
    <w:rsid w:val="00095A88"/>
    <w:rsid w:val="00095C44"/>
    <w:rsid w:val="00095C89"/>
    <w:rsid w:val="00095E68"/>
    <w:rsid w:val="00095EC1"/>
    <w:rsid w:val="00095F88"/>
    <w:rsid w:val="0009608C"/>
    <w:rsid w:val="00096209"/>
    <w:rsid w:val="0009620B"/>
    <w:rsid w:val="00096224"/>
    <w:rsid w:val="000965D2"/>
    <w:rsid w:val="000968B5"/>
    <w:rsid w:val="000968E6"/>
    <w:rsid w:val="00096C8D"/>
    <w:rsid w:val="00096E51"/>
    <w:rsid w:val="00096E5C"/>
    <w:rsid w:val="00096EFD"/>
    <w:rsid w:val="000971DE"/>
    <w:rsid w:val="0009758E"/>
    <w:rsid w:val="000975E7"/>
    <w:rsid w:val="0009765F"/>
    <w:rsid w:val="0009769C"/>
    <w:rsid w:val="00097798"/>
    <w:rsid w:val="00097838"/>
    <w:rsid w:val="00097B28"/>
    <w:rsid w:val="00097BAE"/>
    <w:rsid w:val="00097C57"/>
    <w:rsid w:val="00097C86"/>
    <w:rsid w:val="00097CFF"/>
    <w:rsid w:val="00097D83"/>
    <w:rsid w:val="00097E32"/>
    <w:rsid w:val="00097E5A"/>
    <w:rsid w:val="0009F8AD"/>
    <w:rsid w:val="000A0093"/>
    <w:rsid w:val="000A0112"/>
    <w:rsid w:val="000A0127"/>
    <w:rsid w:val="000A01C5"/>
    <w:rsid w:val="000A0489"/>
    <w:rsid w:val="000A07F1"/>
    <w:rsid w:val="000A08F4"/>
    <w:rsid w:val="000A09DA"/>
    <w:rsid w:val="000A0B95"/>
    <w:rsid w:val="000A0C64"/>
    <w:rsid w:val="000A0CD0"/>
    <w:rsid w:val="000A0EF2"/>
    <w:rsid w:val="000A0FEF"/>
    <w:rsid w:val="000A10A8"/>
    <w:rsid w:val="000A111D"/>
    <w:rsid w:val="000A115C"/>
    <w:rsid w:val="000A1288"/>
    <w:rsid w:val="000A1460"/>
    <w:rsid w:val="000A1618"/>
    <w:rsid w:val="000A1B98"/>
    <w:rsid w:val="000A1DF0"/>
    <w:rsid w:val="000A1E9C"/>
    <w:rsid w:val="000A212B"/>
    <w:rsid w:val="000A21B3"/>
    <w:rsid w:val="000A2226"/>
    <w:rsid w:val="000A2452"/>
    <w:rsid w:val="000A2483"/>
    <w:rsid w:val="000A272D"/>
    <w:rsid w:val="000A28F5"/>
    <w:rsid w:val="000A2966"/>
    <w:rsid w:val="000A29AD"/>
    <w:rsid w:val="000A2A5C"/>
    <w:rsid w:val="000A2A8A"/>
    <w:rsid w:val="000A2B90"/>
    <w:rsid w:val="000A2CD5"/>
    <w:rsid w:val="000A2CEE"/>
    <w:rsid w:val="000A2D02"/>
    <w:rsid w:val="000A2E4C"/>
    <w:rsid w:val="000A2F5C"/>
    <w:rsid w:val="000A30A5"/>
    <w:rsid w:val="000A357A"/>
    <w:rsid w:val="000A371A"/>
    <w:rsid w:val="000A380A"/>
    <w:rsid w:val="000A39C7"/>
    <w:rsid w:val="000A3BF4"/>
    <w:rsid w:val="000A3E3E"/>
    <w:rsid w:val="000A404A"/>
    <w:rsid w:val="000A40A6"/>
    <w:rsid w:val="000A4542"/>
    <w:rsid w:val="000A458D"/>
    <w:rsid w:val="000A4730"/>
    <w:rsid w:val="000A48E9"/>
    <w:rsid w:val="000A4A86"/>
    <w:rsid w:val="000A4AB3"/>
    <w:rsid w:val="000A4AF8"/>
    <w:rsid w:val="000A4C0F"/>
    <w:rsid w:val="000A4F86"/>
    <w:rsid w:val="000A50E1"/>
    <w:rsid w:val="000A51C4"/>
    <w:rsid w:val="000A5521"/>
    <w:rsid w:val="000A55E8"/>
    <w:rsid w:val="000A57F4"/>
    <w:rsid w:val="000A5959"/>
    <w:rsid w:val="000A5A79"/>
    <w:rsid w:val="000A5AB0"/>
    <w:rsid w:val="000A5C43"/>
    <w:rsid w:val="000A5DE0"/>
    <w:rsid w:val="000A5ECF"/>
    <w:rsid w:val="000A605E"/>
    <w:rsid w:val="000A60B7"/>
    <w:rsid w:val="000A6156"/>
    <w:rsid w:val="000A6174"/>
    <w:rsid w:val="000A6307"/>
    <w:rsid w:val="000A6739"/>
    <w:rsid w:val="000A67DB"/>
    <w:rsid w:val="000A693F"/>
    <w:rsid w:val="000A6CF0"/>
    <w:rsid w:val="000A7110"/>
    <w:rsid w:val="000A7213"/>
    <w:rsid w:val="000A7353"/>
    <w:rsid w:val="000A73C7"/>
    <w:rsid w:val="000A75F0"/>
    <w:rsid w:val="000A764B"/>
    <w:rsid w:val="000A7658"/>
    <w:rsid w:val="000A768A"/>
    <w:rsid w:val="000A7832"/>
    <w:rsid w:val="000A7AC5"/>
    <w:rsid w:val="000A7BD7"/>
    <w:rsid w:val="000A7C01"/>
    <w:rsid w:val="000A7CF7"/>
    <w:rsid w:val="000A7D4A"/>
    <w:rsid w:val="000A7D5F"/>
    <w:rsid w:val="000A7D9B"/>
    <w:rsid w:val="000A7E16"/>
    <w:rsid w:val="000A7ED5"/>
    <w:rsid w:val="000A7FC7"/>
    <w:rsid w:val="000B02E2"/>
    <w:rsid w:val="000B02F4"/>
    <w:rsid w:val="000B0329"/>
    <w:rsid w:val="000B03B4"/>
    <w:rsid w:val="000B04D1"/>
    <w:rsid w:val="000B0647"/>
    <w:rsid w:val="000B09BE"/>
    <w:rsid w:val="000B0C27"/>
    <w:rsid w:val="000B0C70"/>
    <w:rsid w:val="000B0E84"/>
    <w:rsid w:val="000B0FC9"/>
    <w:rsid w:val="000B10C4"/>
    <w:rsid w:val="000B1192"/>
    <w:rsid w:val="000B13D9"/>
    <w:rsid w:val="000B1765"/>
    <w:rsid w:val="000B176A"/>
    <w:rsid w:val="000B17B8"/>
    <w:rsid w:val="000B185F"/>
    <w:rsid w:val="000B1D27"/>
    <w:rsid w:val="000B1DEB"/>
    <w:rsid w:val="000B1E9F"/>
    <w:rsid w:val="000B1EAC"/>
    <w:rsid w:val="000B1EC2"/>
    <w:rsid w:val="000B1F28"/>
    <w:rsid w:val="000B1F35"/>
    <w:rsid w:val="000B209F"/>
    <w:rsid w:val="000B2124"/>
    <w:rsid w:val="000B21A5"/>
    <w:rsid w:val="000B21F0"/>
    <w:rsid w:val="000B23DE"/>
    <w:rsid w:val="000B23FC"/>
    <w:rsid w:val="000B241F"/>
    <w:rsid w:val="000B25C3"/>
    <w:rsid w:val="000B28E0"/>
    <w:rsid w:val="000B2C18"/>
    <w:rsid w:val="000B2C26"/>
    <w:rsid w:val="000B2C96"/>
    <w:rsid w:val="000B2D35"/>
    <w:rsid w:val="000B2E6F"/>
    <w:rsid w:val="000B2EA2"/>
    <w:rsid w:val="000B2F75"/>
    <w:rsid w:val="000B34A3"/>
    <w:rsid w:val="000B36A4"/>
    <w:rsid w:val="000B3729"/>
    <w:rsid w:val="000B379D"/>
    <w:rsid w:val="000B37A1"/>
    <w:rsid w:val="000B39E4"/>
    <w:rsid w:val="000B3AAB"/>
    <w:rsid w:val="000B3B53"/>
    <w:rsid w:val="000B3CBB"/>
    <w:rsid w:val="000B3F69"/>
    <w:rsid w:val="000B4088"/>
    <w:rsid w:val="000B4119"/>
    <w:rsid w:val="000B4129"/>
    <w:rsid w:val="000B43DE"/>
    <w:rsid w:val="000B4690"/>
    <w:rsid w:val="000B46C2"/>
    <w:rsid w:val="000B46C6"/>
    <w:rsid w:val="000B49DD"/>
    <w:rsid w:val="000B4A20"/>
    <w:rsid w:val="000B4A21"/>
    <w:rsid w:val="000B4C0B"/>
    <w:rsid w:val="000B5100"/>
    <w:rsid w:val="000B51CA"/>
    <w:rsid w:val="000B5256"/>
    <w:rsid w:val="000B53F6"/>
    <w:rsid w:val="000B590F"/>
    <w:rsid w:val="000B59EE"/>
    <w:rsid w:val="000B5C3F"/>
    <w:rsid w:val="000B5C6F"/>
    <w:rsid w:val="000B5CE0"/>
    <w:rsid w:val="000B5CF1"/>
    <w:rsid w:val="000B5ECB"/>
    <w:rsid w:val="000B6119"/>
    <w:rsid w:val="000B61C9"/>
    <w:rsid w:val="000B6249"/>
    <w:rsid w:val="000B6518"/>
    <w:rsid w:val="000B66B3"/>
    <w:rsid w:val="000B66C2"/>
    <w:rsid w:val="000B6807"/>
    <w:rsid w:val="000B689A"/>
    <w:rsid w:val="000B68FF"/>
    <w:rsid w:val="000B698F"/>
    <w:rsid w:val="000B6AC2"/>
    <w:rsid w:val="000B6C4D"/>
    <w:rsid w:val="000B727A"/>
    <w:rsid w:val="000B742D"/>
    <w:rsid w:val="000B759D"/>
    <w:rsid w:val="000B773D"/>
    <w:rsid w:val="000B78D8"/>
    <w:rsid w:val="000B7995"/>
    <w:rsid w:val="000B7A19"/>
    <w:rsid w:val="000B7A26"/>
    <w:rsid w:val="000B7ACD"/>
    <w:rsid w:val="000B7C1A"/>
    <w:rsid w:val="000B7D40"/>
    <w:rsid w:val="000B7D4C"/>
    <w:rsid w:val="000B7D81"/>
    <w:rsid w:val="000C001B"/>
    <w:rsid w:val="000C002F"/>
    <w:rsid w:val="000C03D7"/>
    <w:rsid w:val="000C0660"/>
    <w:rsid w:val="000C074B"/>
    <w:rsid w:val="000C0A16"/>
    <w:rsid w:val="000C0A57"/>
    <w:rsid w:val="000C0CDA"/>
    <w:rsid w:val="000C0D0F"/>
    <w:rsid w:val="000C1262"/>
    <w:rsid w:val="000C1396"/>
    <w:rsid w:val="000C15D2"/>
    <w:rsid w:val="000C16DB"/>
    <w:rsid w:val="000C1B5F"/>
    <w:rsid w:val="000C1B79"/>
    <w:rsid w:val="000C1BDF"/>
    <w:rsid w:val="000C1C48"/>
    <w:rsid w:val="000C1D02"/>
    <w:rsid w:val="000C1DE0"/>
    <w:rsid w:val="000C1E5E"/>
    <w:rsid w:val="000C1FE5"/>
    <w:rsid w:val="000C22C9"/>
    <w:rsid w:val="000C2316"/>
    <w:rsid w:val="000C2402"/>
    <w:rsid w:val="000C2575"/>
    <w:rsid w:val="000C2693"/>
    <w:rsid w:val="000C2839"/>
    <w:rsid w:val="000C2907"/>
    <w:rsid w:val="000C2A2E"/>
    <w:rsid w:val="000C2BB1"/>
    <w:rsid w:val="000C2BD1"/>
    <w:rsid w:val="000C2C13"/>
    <w:rsid w:val="000C2DC6"/>
    <w:rsid w:val="000C327A"/>
    <w:rsid w:val="000C328F"/>
    <w:rsid w:val="000C336F"/>
    <w:rsid w:val="000C35A9"/>
    <w:rsid w:val="000C376B"/>
    <w:rsid w:val="000C385B"/>
    <w:rsid w:val="000C391D"/>
    <w:rsid w:val="000C3A1A"/>
    <w:rsid w:val="000C3A92"/>
    <w:rsid w:val="000C4157"/>
    <w:rsid w:val="000C4160"/>
    <w:rsid w:val="000C42A6"/>
    <w:rsid w:val="000C44CB"/>
    <w:rsid w:val="000C4612"/>
    <w:rsid w:val="000C4801"/>
    <w:rsid w:val="000C4893"/>
    <w:rsid w:val="000C4BE1"/>
    <w:rsid w:val="000C4CBF"/>
    <w:rsid w:val="000C4CD7"/>
    <w:rsid w:val="000C4D49"/>
    <w:rsid w:val="000C4DDB"/>
    <w:rsid w:val="000C4E74"/>
    <w:rsid w:val="000C4FA9"/>
    <w:rsid w:val="000C5254"/>
    <w:rsid w:val="000C5272"/>
    <w:rsid w:val="000C52AC"/>
    <w:rsid w:val="000C5490"/>
    <w:rsid w:val="000C549F"/>
    <w:rsid w:val="000C5CF8"/>
    <w:rsid w:val="000C5E2D"/>
    <w:rsid w:val="000C5FD1"/>
    <w:rsid w:val="000C62C3"/>
    <w:rsid w:val="000C63A4"/>
    <w:rsid w:val="000C63C3"/>
    <w:rsid w:val="000C65CF"/>
    <w:rsid w:val="000C6777"/>
    <w:rsid w:val="000C6834"/>
    <w:rsid w:val="000C68B4"/>
    <w:rsid w:val="000C6A48"/>
    <w:rsid w:val="000C6ABA"/>
    <w:rsid w:val="000C6C8D"/>
    <w:rsid w:val="000C6CC1"/>
    <w:rsid w:val="000C6D63"/>
    <w:rsid w:val="000C6F42"/>
    <w:rsid w:val="000C7136"/>
    <w:rsid w:val="000C7142"/>
    <w:rsid w:val="000C74E0"/>
    <w:rsid w:val="000C74F5"/>
    <w:rsid w:val="000C759F"/>
    <w:rsid w:val="000C75A3"/>
    <w:rsid w:val="000C75EA"/>
    <w:rsid w:val="000C776A"/>
    <w:rsid w:val="000C7937"/>
    <w:rsid w:val="000C7AEE"/>
    <w:rsid w:val="000C7B4E"/>
    <w:rsid w:val="000C7B4F"/>
    <w:rsid w:val="000C7BB4"/>
    <w:rsid w:val="000C7F9F"/>
    <w:rsid w:val="000C7FDD"/>
    <w:rsid w:val="000D026D"/>
    <w:rsid w:val="000D040D"/>
    <w:rsid w:val="000D08D6"/>
    <w:rsid w:val="000D0967"/>
    <w:rsid w:val="000D0A86"/>
    <w:rsid w:val="000D0AA1"/>
    <w:rsid w:val="000D0B1F"/>
    <w:rsid w:val="000D0C53"/>
    <w:rsid w:val="000D0C57"/>
    <w:rsid w:val="000D0D2E"/>
    <w:rsid w:val="000D0D47"/>
    <w:rsid w:val="000D0DDD"/>
    <w:rsid w:val="000D100C"/>
    <w:rsid w:val="000D1092"/>
    <w:rsid w:val="000D1106"/>
    <w:rsid w:val="000D1190"/>
    <w:rsid w:val="000D11DF"/>
    <w:rsid w:val="000D127F"/>
    <w:rsid w:val="000D1493"/>
    <w:rsid w:val="000D14E7"/>
    <w:rsid w:val="000D1514"/>
    <w:rsid w:val="000D17BC"/>
    <w:rsid w:val="000D1803"/>
    <w:rsid w:val="000D18DC"/>
    <w:rsid w:val="000D18E3"/>
    <w:rsid w:val="000D1988"/>
    <w:rsid w:val="000D1F28"/>
    <w:rsid w:val="000D2012"/>
    <w:rsid w:val="000D20C2"/>
    <w:rsid w:val="000D22CB"/>
    <w:rsid w:val="000D232C"/>
    <w:rsid w:val="000D23F6"/>
    <w:rsid w:val="000D25AE"/>
    <w:rsid w:val="000D2836"/>
    <w:rsid w:val="000D288B"/>
    <w:rsid w:val="000D29FF"/>
    <w:rsid w:val="000D2ABE"/>
    <w:rsid w:val="000D2BF1"/>
    <w:rsid w:val="000D2D7A"/>
    <w:rsid w:val="000D2D8E"/>
    <w:rsid w:val="000D2E74"/>
    <w:rsid w:val="000D2E84"/>
    <w:rsid w:val="000D2EA7"/>
    <w:rsid w:val="000D2F3C"/>
    <w:rsid w:val="000D3285"/>
    <w:rsid w:val="000D3787"/>
    <w:rsid w:val="000D37C6"/>
    <w:rsid w:val="000D3A59"/>
    <w:rsid w:val="000D3B30"/>
    <w:rsid w:val="000D40AB"/>
    <w:rsid w:val="000D4110"/>
    <w:rsid w:val="000D415D"/>
    <w:rsid w:val="000D4355"/>
    <w:rsid w:val="000D43DA"/>
    <w:rsid w:val="000D4420"/>
    <w:rsid w:val="000D442C"/>
    <w:rsid w:val="000D460C"/>
    <w:rsid w:val="000D492A"/>
    <w:rsid w:val="000D494F"/>
    <w:rsid w:val="000D49D8"/>
    <w:rsid w:val="000D4A1B"/>
    <w:rsid w:val="000D4B66"/>
    <w:rsid w:val="000D4B6B"/>
    <w:rsid w:val="000D4BAD"/>
    <w:rsid w:val="000D4C16"/>
    <w:rsid w:val="000D4DB5"/>
    <w:rsid w:val="000D4E2C"/>
    <w:rsid w:val="000D4EB0"/>
    <w:rsid w:val="000D5358"/>
    <w:rsid w:val="000D53D9"/>
    <w:rsid w:val="000D5585"/>
    <w:rsid w:val="000D56B2"/>
    <w:rsid w:val="000D5775"/>
    <w:rsid w:val="000D5811"/>
    <w:rsid w:val="000D5CAD"/>
    <w:rsid w:val="000D5D0E"/>
    <w:rsid w:val="000D5D5C"/>
    <w:rsid w:val="000D5DDA"/>
    <w:rsid w:val="000D5EBD"/>
    <w:rsid w:val="000D5F79"/>
    <w:rsid w:val="000D600E"/>
    <w:rsid w:val="000D6052"/>
    <w:rsid w:val="000D618C"/>
    <w:rsid w:val="000D6197"/>
    <w:rsid w:val="000D61C8"/>
    <w:rsid w:val="000D64BE"/>
    <w:rsid w:val="000D6662"/>
    <w:rsid w:val="000D67DA"/>
    <w:rsid w:val="000D6A21"/>
    <w:rsid w:val="000D7007"/>
    <w:rsid w:val="000D7046"/>
    <w:rsid w:val="000D712D"/>
    <w:rsid w:val="000D727B"/>
    <w:rsid w:val="000D72DE"/>
    <w:rsid w:val="000D741E"/>
    <w:rsid w:val="000D776B"/>
    <w:rsid w:val="000D78A2"/>
    <w:rsid w:val="000D7913"/>
    <w:rsid w:val="000D7B70"/>
    <w:rsid w:val="000D7BBC"/>
    <w:rsid w:val="000D7CAF"/>
    <w:rsid w:val="000D7CBF"/>
    <w:rsid w:val="000D7D5B"/>
    <w:rsid w:val="000D7FB6"/>
    <w:rsid w:val="000D7FFA"/>
    <w:rsid w:val="000E00ED"/>
    <w:rsid w:val="000E0109"/>
    <w:rsid w:val="000E0183"/>
    <w:rsid w:val="000E0184"/>
    <w:rsid w:val="000E0652"/>
    <w:rsid w:val="000E07AA"/>
    <w:rsid w:val="000E0891"/>
    <w:rsid w:val="000E0B52"/>
    <w:rsid w:val="000E0C90"/>
    <w:rsid w:val="000E0D15"/>
    <w:rsid w:val="000E0D23"/>
    <w:rsid w:val="000E114A"/>
    <w:rsid w:val="000E114B"/>
    <w:rsid w:val="000E12DF"/>
    <w:rsid w:val="000E1328"/>
    <w:rsid w:val="000E16E9"/>
    <w:rsid w:val="000E1758"/>
    <w:rsid w:val="000E175E"/>
    <w:rsid w:val="000E17B9"/>
    <w:rsid w:val="000E1881"/>
    <w:rsid w:val="000E18E1"/>
    <w:rsid w:val="000E1976"/>
    <w:rsid w:val="000E19BD"/>
    <w:rsid w:val="000E1BF3"/>
    <w:rsid w:val="000E1E17"/>
    <w:rsid w:val="000E1F12"/>
    <w:rsid w:val="000E1F96"/>
    <w:rsid w:val="000E1FC9"/>
    <w:rsid w:val="000E215F"/>
    <w:rsid w:val="000E244F"/>
    <w:rsid w:val="000E249C"/>
    <w:rsid w:val="000E24A5"/>
    <w:rsid w:val="000E27C3"/>
    <w:rsid w:val="000E28BC"/>
    <w:rsid w:val="000E29A7"/>
    <w:rsid w:val="000E2A4E"/>
    <w:rsid w:val="000E2B6F"/>
    <w:rsid w:val="000E2BB1"/>
    <w:rsid w:val="000E2C88"/>
    <w:rsid w:val="000E2CB4"/>
    <w:rsid w:val="000E2E24"/>
    <w:rsid w:val="000E3083"/>
    <w:rsid w:val="000E337D"/>
    <w:rsid w:val="000E33B5"/>
    <w:rsid w:val="000E3448"/>
    <w:rsid w:val="000E3680"/>
    <w:rsid w:val="000E369D"/>
    <w:rsid w:val="000E36BE"/>
    <w:rsid w:val="000E36EA"/>
    <w:rsid w:val="000E3707"/>
    <w:rsid w:val="000E37DC"/>
    <w:rsid w:val="000E39FC"/>
    <w:rsid w:val="000E3BFE"/>
    <w:rsid w:val="000E3CC3"/>
    <w:rsid w:val="000E3F49"/>
    <w:rsid w:val="000E405C"/>
    <w:rsid w:val="000E4084"/>
    <w:rsid w:val="000E40A3"/>
    <w:rsid w:val="000E41C4"/>
    <w:rsid w:val="000E41D3"/>
    <w:rsid w:val="000E4246"/>
    <w:rsid w:val="000E44AC"/>
    <w:rsid w:val="000E4590"/>
    <w:rsid w:val="000E46CB"/>
    <w:rsid w:val="000E476B"/>
    <w:rsid w:val="000E481D"/>
    <w:rsid w:val="000E4820"/>
    <w:rsid w:val="000E4AFB"/>
    <w:rsid w:val="000E4BC4"/>
    <w:rsid w:val="000E4C9F"/>
    <w:rsid w:val="000E4CCA"/>
    <w:rsid w:val="000E4D90"/>
    <w:rsid w:val="000E4F7F"/>
    <w:rsid w:val="000E5086"/>
    <w:rsid w:val="000E5207"/>
    <w:rsid w:val="000E53DE"/>
    <w:rsid w:val="000E54FF"/>
    <w:rsid w:val="000E5AC6"/>
    <w:rsid w:val="000E5CE6"/>
    <w:rsid w:val="000E60CD"/>
    <w:rsid w:val="000E64BC"/>
    <w:rsid w:val="000E6742"/>
    <w:rsid w:val="000E685F"/>
    <w:rsid w:val="000E6E19"/>
    <w:rsid w:val="000E6E72"/>
    <w:rsid w:val="000E6F1E"/>
    <w:rsid w:val="000E6F73"/>
    <w:rsid w:val="000E710A"/>
    <w:rsid w:val="000E7196"/>
    <w:rsid w:val="000E7309"/>
    <w:rsid w:val="000E7365"/>
    <w:rsid w:val="000E7819"/>
    <w:rsid w:val="000E78DB"/>
    <w:rsid w:val="000E79F3"/>
    <w:rsid w:val="000E7D99"/>
    <w:rsid w:val="000E7E49"/>
    <w:rsid w:val="000E7EF0"/>
    <w:rsid w:val="000E7F01"/>
    <w:rsid w:val="000F00C7"/>
    <w:rsid w:val="000F0112"/>
    <w:rsid w:val="000F01F9"/>
    <w:rsid w:val="000F0391"/>
    <w:rsid w:val="000F0403"/>
    <w:rsid w:val="000F0D31"/>
    <w:rsid w:val="000F101B"/>
    <w:rsid w:val="000F10D7"/>
    <w:rsid w:val="000F11FB"/>
    <w:rsid w:val="000F1274"/>
    <w:rsid w:val="000F13AF"/>
    <w:rsid w:val="000F13DE"/>
    <w:rsid w:val="000F13FD"/>
    <w:rsid w:val="000F141F"/>
    <w:rsid w:val="000F14DA"/>
    <w:rsid w:val="000F15CB"/>
    <w:rsid w:val="000F176C"/>
    <w:rsid w:val="000F18DC"/>
    <w:rsid w:val="000F1C7E"/>
    <w:rsid w:val="000F1D17"/>
    <w:rsid w:val="000F1DFD"/>
    <w:rsid w:val="000F1ED8"/>
    <w:rsid w:val="000F1FFF"/>
    <w:rsid w:val="000F2043"/>
    <w:rsid w:val="000F2210"/>
    <w:rsid w:val="000F22B4"/>
    <w:rsid w:val="000F2306"/>
    <w:rsid w:val="000F24D9"/>
    <w:rsid w:val="000F27F9"/>
    <w:rsid w:val="000F29EF"/>
    <w:rsid w:val="000F2A12"/>
    <w:rsid w:val="000F2A21"/>
    <w:rsid w:val="000F2A3B"/>
    <w:rsid w:val="000F2B23"/>
    <w:rsid w:val="000F2B4F"/>
    <w:rsid w:val="000F2D54"/>
    <w:rsid w:val="000F2DA7"/>
    <w:rsid w:val="000F2DD8"/>
    <w:rsid w:val="000F2E46"/>
    <w:rsid w:val="000F2E48"/>
    <w:rsid w:val="000F2E91"/>
    <w:rsid w:val="000F2EF0"/>
    <w:rsid w:val="000F3093"/>
    <w:rsid w:val="000F3376"/>
    <w:rsid w:val="000F345C"/>
    <w:rsid w:val="000F349A"/>
    <w:rsid w:val="000F35EC"/>
    <w:rsid w:val="000F3701"/>
    <w:rsid w:val="000F3989"/>
    <w:rsid w:val="000F3A24"/>
    <w:rsid w:val="000F3E0E"/>
    <w:rsid w:val="000F3F33"/>
    <w:rsid w:val="000F4189"/>
    <w:rsid w:val="000F4413"/>
    <w:rsid w:val="000F4455"/>
    <w:rsid w:val="000F445C"/>
    <w:rsid w:val="000F463B"/>
    <w:rsid w:val="000F48DF"/>
    <w:rsid w:val="000F4918"/>
    <w:rsid w:val="000F4974"/>
    <w:rsid w:val="000F4C2F"/>
    <w:rsid w:val="000F4CB2"/>
    <w:rsid w:val="000F4D1F"/>
    <w:rsid w:val="000F4E54"/>
    <w:rsid w:val="000F5018"/>
    <w:rsid w:val="000F51CA"/>
    <w:rsid w:val="000F5341"/>
    <w:rsid w:val="000F53CB"/>
    <w:rsid w:val="000F55D4"/>
    <w:rsid w:val="000F56FC"/>
    <w:rsid w:val="000F5779"/>
    <w:rsid w:val="000F5966"/>
    <w:rsid w:val="000F5E58"/>
    <w:rsid w:val="000F60C4"/>
    <w:rsid w:val="000F61CF"/>
    <w:rsid w:val="000F61D8"/>
    <w:rsid w:val="000F649A"/>
    <w:rsid w:val="000F66CA"/>
    <w:rsid w:val="000F6756"/>
    <w:rsid w:val="000F679C"/>
    <w:rsid w:val="000F6B5F"/>
    <w:rsid w:val="000F6B9E"/>
    <w:rsid w:val="000F6E16"/>
    <w:rsid w:val="000F6F22"/>
    <w:rsid w:val="000F731C"/>
    <w:rsid w:val="000F77AF"/>
    <w:rsid w:val="000F7851"/>
    <w:rsid w:val="000F7888"/>
    <w:rsid w:val="000F788A"/>
    <w:rsid w:val="000F7A66"/>
    <w:rsid w:val="000F7AEE"/>
    <w:rsid w:val="000F7B28"/>
    <w:rsid w:val="000F7C77"/>
    <w:rsid w:val="000F7C8D"/>
    <w:rsid w:val="001001D2"/>
    <w:rsid w:val="001002F4"/>
    <w:rsid w:val="001005AF"/>
    <w:rsid w:val="001005FA"/>
    <w:rsid w:val="00100638"/>
    <w:rsid w:val="001008CF"/>
    <w:rsid w:val="00100B08"/>
    <w:rsid w:val="00100B5F"/>
    <w:rsid w:val="00100C25"/>
    <w:rsid w:val="00100C69"/>
    <w:rsid w:val="00100E9F"/>
    <w:rsid w:val="00100EBB"/>
    <w:rsid w:val="00100FE9"/>
    <w:rsid w:val="00101033"/>
    <w:rsid w:val="001012D6"/>
    <w:rsid w:val="00101377"/>
    <w:rsid w:val="0010137E"/>
    <w:rsid w:val="001014E8"/>
    <w:rsid w:val="00101539"/>
    <w:rsid w:val="00101AB3"/>
    <w:rsid w:val="00101DFD"/>
    <w:rsid w:val="00101F9F"/>
    <w:rsid w:val="00101FED"/>
    <w:rsid w:val="00102221"/>
    <w:rsid w:val="00102550"/>
    <w:rsid w:val="00102604"/>
    <w:rsid w:val="00102A76"/>
    <w:rsid w:val="00102CE4"/>
    <w:rsid w:val="00102FD8"/>
    <w:rsid w:val="0010307C"/>
    <w:rsid w:val="001030EA"/>
    <w:rsid w:val="0010322A"/>
    <w:rsid w:val="00103276"/>
    <w:rsid w:val="001035F5"/>
    <w:rsid w:val="001036B8"/>
    <w:rsid w:val="0010397F"/>
    <w:rsid w:val="00103C47"/>
    <w:rsid w:val="00103D9F"/>
    <w:rsid w:val="00103DF2"/>
    <w:rsid w:val="00103F7D"/>
    <w:rsid w:val="00103FC4"/>
    <w:rsid w:val="00104003"/>
    <w:rsid w:val="001041BE"/>
    <w:rsid w:val="0010432C"/>
    <w:rsid w:val="0010489A"/>
    <w:rsid w:val="00104C6C"/>
    <w:rsid w:val="00104E5B"/>
    <w:rsid w:val="00104EAF"/>
    <w:rsid w:val="001050E1"/>
    <w:rsid w:val="00105113"/>
    <w:rsid w:val="001052AE"/>
    <w:rsid w:val="00105379"/>
    <w:rsid w:val="00105686"/>
    <w:rsid w:val="00105708"/>
    <w:rsid w:val="001057E9"/>
    <w:rsid w:val="00105A36"/>
    <w:rsid w:val="00105AE9"/>
    <w:rsid w:val="00105CC9"/>
    <w:rsid w:val="00105E2A"/>
    <w:rsid w:val="00105F79"/>
    <w:rsid w:val="00106082"/>
    <w:rsid w:val="0010609C"/>
    <w:rsid w:val="0010618F"/>
    <w:rsid w:val="001061DD"/>
    <w:rsid w:val="00106584"/>
    <w:rsid w:val="00106675"/>
    <w:rsid w:val="00106CE9"/>
    <w:rsid w:val="00106D25"/>
    <w:rsid w:val="00106D3D"/>
    <w:rsid w:val="00107075"/>
    <w:rsid w:val="0010752E"/>
    <w:rsid w:val="00107590"/>
    <w:rsid w:val="001075F4"/>
    <w:rsid w:val="00107A2A"/>
    <w:rsid w:val="00107AE9"/>
    <w:rsid w:val="00107C07"/>
    <w:rsid w:val="00107CDC"/>
    <w:rsid w:val="00107D07"/>
    <w:rsid w:val="00107D3F"/>
    <w:rsid w:val="00107EBD"/>
    <w:rsid w:val="001100F2"/>
    <w:rsid w:val="001101D5"/>
    <w:rsid w:val="0011078E"/>
    <w:rsid w:val="0011084A"/>
    <w:rsid w:val="00110893"/>
    <w:rsid w:val="00110A41"/>
    <w:rsid w:val="00110C30"/>
    <w:rsid w:val="00110C3A"/>
    <w:rsid w:val="00110CE1"/>
    <w:rsid w:val="00110E92"/>
    <w:rsid w:val="00110EA6"/>
    <w:rsid w:val="00110F6A"/>
    <w:rsid w:val="001111E3"/>
    <w:rsid w:val="001112DD"/>
    <w:rsid w:val="001113E0"/>
    <w:rsid w:val="001114E9"/>
    <w:rsid w:val="00111642"/>
    <w:rsid w:val="00111777"/>
    <w:rsid w:val="00111B35"/>
    <w:rsid w:val="00111D11"/>
    <w:rsid w:val="00111D7C"/>
    <w:rsid w:val="00111DE2"/>
    <w:rsid w:val="00111E21"/>
    <w:rsid w:val="00111E76"/>
    <w:rsid w:val="00111EB9"/>
    <w:rsid w:val="00111EEF"/>
    <w:rsid w:val="00111F39"/>
    <w:rsid w:val="00112120"/>
    <w:rsid w:val="00112372"/>
    <w:rsid w:val="0011243A"/>
    <w:rsid w:val="001125DF"/>
    <w:rsid w:val="00112666"/>
    <w:rsid w:val="001127B7"/>
    <w:rsid w:val="001129E0"/>
    <w:rsid w:val="00112B70"/>
    <w:rsid w:val="00112CB8"/>
    <w:rsid w:val="00112CDF"/>
    <w:rsid w:val="00112DDE"/>
    <w:rsid w:val="00112DE8"/>
    <w:rsid w:val="00112F1B"/>
    <w:rsid w:val="00112F30"/>
    <w:rsid w:val="00112F7A"/>
    <w:rsid w:val="0011301F"/>
    <w:rsid w:val="00113543"/>
    <w:rsid w:val="001135E3"/>
    <w:rsid w:val="001136C1"/>
    <w:rsid w:val="001139A4"/>
    <w:rsid w:val="00113E1B"/>
    <w:rsid w:val="00113FDA"/>
    <w:rsid w:val="001140C2"/>
    <w:rsid w:val="0011421F"/>
    <w:rsid w:val="0011428E"/>
    <w:rsid w:val="0011429B"/>
    <w:rsid w:val="00114547"/>
    <w:rsid w:val="00114614"/>
    <w:rsid w:val="001146A6"/>
    <w:rsid w:val="00114756"/>
    <w:rsid w:val="001147FD"/>
    <w:rsid w:val="00114834"/>
    <w:rsid w:val="00114969"/>
    <w:rsid w:val="001149F9"/>
    <w:rsid w:val="00114AA1"/>
    <w:rsid w:val="00114ACB"/>
    <w:rsid w:val="00114B7B"/>
    <w:rsid w:val="00114EF8"/>
    <w:rsid w:val="00114F42"/>
    <w:rsid w:val="001150B3"/>
    <w:rsid w:val="001152C0"/>
    <w:rsid w:val="001153D6"/>
    <w:rsid w:val="0011550A"/>
    <w:rsid w:val="00115575"/>
    <w:rsid w:val="001158E1"/>
    <w:rsid w:val="00115A96"/>
    <w:rsid w:val="00115C4A"/>
    <w:rsid w:val="00115C8E"/>
    <w:rsid w:val="00115CFD"/>
    <w:rsid w:val="00115D98"/>
    <w:rsid w:val="00115ED4"/>
    <w:rsid w:val="00116696"/>
    <w:rsid w:val="00116A12"/>
    <w:rsid w:val="00116A1B"/>
    <w:rsid w:val="00116C0A"/>
    <w:rsid w:val="00116D7C"/>
    <w:rsid w:val="00116F2A"/>
    <w:rsid w:val="00117375"/>
    <w:rsid w:val="00117397"/>
    <w:rsid w:val="001176EE"/>
    <w:rsid w:val="00117756"/>
    <w:rsid w:val="001178C5"/>
    <w:rsid w:val="00117994"/>
    <w:rsid w:val="001179BF"/>
    <w:rsid w:val="001179E1"/>
    <w:rsid w:val="00117A67"/>
    <w:rsid w:val="00117EBC"/>
    <w:rsid w:val="00120092"/>
    <w:rsid w:val="0012040E"/>
    <w:rsid w:val="00120442"/>
    <w:rsid w:val="00120558"/>
    <w:rsid w:val="001205FD"/>
    <w:rsid w:val="00120ACB"/>
    <w:rsid w:val="00120BC6"/>
    <w:rsid w:val="00120C2D"/>
    <w:rsid w:val="00120CFA"/>
    <w:rsid w:val="00120E7F"/>
    <w:rsid w:val="00120E84"/>
    <w:rsid w:val="00120E94"/>
    <w:rsid w:val="00120EA5"/>
    <w:rsid w:val="00120F58"/>
    <w:rsid w:val="0012114E"/>
    <w:rsid w:val="001211F1"/>
    <w:rsid w:val="001211F7"/>
    <w:rsid w:val="00121432"/>
    <w:rsid w:val="001214BD"/>
    <w:rsid w:val="0012151E"/>
    <w:rsid w:val="0012152E"/>
    <w:rsid w:val="0012164A"/>
    <w:rsid w:val="00121ADD"/>
    <w:rsid w:val="00121B98"/>
    <w:rsid w:val="00121D7B"/>
    <w:rsid w:val="00121E0B"/>
    <w:rsid w:val="00122216"/>
    <w:rsid w:val="00122227"/>
    <w:rsid w:val="0012231C"/>
    <w:rsid w:val="00122334"/>
    <w:rsid w:val="001225C1"/>
    <w:rsid w:val="0012262A"/>
    <w:rsid w:val="0012266A"/>
    <w:rsid w:val="00122758"/>
    <w:rsid w:val="0012276F"/>
    <w:rsid w:val="00122797"/>
    <w:rsid w:val="00122872"/>
    <w:rsid w:val="001228C9"/>
    <w:rsid w:val="00122B0A"/>
    <w:rsid w:val="00122B38"/>
    <w:rsid w:val="00122C54"/>
    <w:rsid w:val="00122E5E"/>
    <w:rsid w:val="00123006"/>
    <w:rsid w:val="0012302F"/>
    <w:rsid w:val="001230AE"/>
    <w:rsid w:val="00123425"/>
    <w:rsid w:val="00123490"/>
    <w:rsid w:val="001237E5"/>
    <w:rsid w:val="0012389A"/>
    <w:rsid w:val="00123C40"/>
    <w:rsid w:val="00123DDD"/>
    <w:rsid w:val="00123DF7"/>
    <w:rsid w:val="00123E48"/>
    <w:rsid w:val="00123E56"/>
    <w:rsid w:val="00123EB2"/>
    <w:rsid w:val="00123EFB"/>
    <w:rsid w:val="00123F64"/>
    <w:rsid w:val="00124026"/>
    <w:rsid w:val="0012410F"/>
    <w:rsid w:val="00124121"/>
    <w:rsid w:val="0012436F"/>
    <w:rsid w:val="001243B4"/>
    <w:rsid w:val="001244B8"/>
    <w:rsid w:val="001245DC"/>
    <w:rsid w:val="001246F0"/>
    <w:rsid w:val="001248F6"/>
    <w:rsid w:val="00124ABC"/>
    <w:rsid w:val="00124BBB"/>
    <w:rsid w:val="00124E33"/>
    <w:rsid w:val="00124FE5"/>
    <w:rsid w:val="00125226"/>
    <w:rsid w:val="001252DD"/>
    <w:rsid w:val="0012531A"/>
    <w:rsid w:val="0012548C"/>
    <w:rsid w:val="00125547"/>
    <w:rsid w:val="00125557"/>
    <w:rsid w:val="0012585B"/>
    <w:rsid w:val="00125934"/>
    <w:rsid w:val="00125B2C"/>
    <w:rsid w:val="00125B96"/>
    <w:rsid w:val="00125CF6"/>
    <w:rsid w:val="00125FC7"/>
    <w:rsid w:val="00125FD3"/>
    <w:rsid w:val="0012601E"/>
    <w:rsid w:val="001260EC"/>
    <w:rsid w:val="001263E4"/>
    <w:rsid w:val="00126650"/>
    <w:rsid w:val="00126932"/>
    <w:rsid w:val="00126BE5"/>
    <w:rsid w:val="00126C13"/>
    <w:rsid w:val="00126F41"/>
    <w:rsid w:val="001271E0"/>
    <w:rsid w:val="0012740A"/>
    <w:rsid w:val="001275D8"/>
    <w:rsid w:val="0012781E"/>
    <w:rsid w:val="00127A94"/>
    <w:rsid w:val="00127D02"/>
    <w:rsid w:val="00127D39"/>
    <w:rsid w:val="00127E52"/>
    <w:rsid w:val="001302AE"/>
    <w:rsid w:val="00130337"/>
    <w:rsid w:val="001307CC"/>
    <w:rsid w:val="0013083E"/>
    <w:rsid w:val="001308A4"/>
    <w:rsid w:val="00130A34"/>
    <w:rsid w:val="00130AB6"/>
    <w:rsid w:val="00130C8B"/>
    <w:rsid w:val="00130EAE"/>
    <w:rsid w:val="001311E4"/>
    <w:rsid w:val="00131273"/>
    <w:rsid w:val="001315B0"/>
    <w:rsid w:val="0013184D"/>
    <w:rsid w:val="0013195A"/>
    <w:rsid w:val="00131998"/>
    <w:rsid w:val="00131A72"/>
    <w:rsid w:val="00131A85"/>
    <w:rsid w:val="00131F09"/>
    <w:rsid w:val="00132060"/>
    <w:rsid w:val="0013213F"/>
    <w:rsid w:val="00132268"/>
    <w:rsid w:val="0013250F"/>
    <w:rsid w:val="00132657"/>
    <w:rsid w:val="0013265A"/>
    <w:rsid w:val="001326E6"/>
    <w:rsid w:val="00132831"/>
    <w:rsid w:val="00132B6C"/>
    <w:rsid w:val="00132C53"/>
    <w:rsid w:val="00132D0D"/>
    <w:rsid w:val="00132D3E"/>
    <w:rsid w:val="00132DCC"/>
    <w:rsid w:val="00132E52"/>
    <w:rsid w:val="0013306A"/>
    <w:rsid w:val="0013339C"/>
    <w:rsid w:val="001335EC"/>
    <w:rsid w:val="001335FE"/>
    <w:rsid w:val="00133644"/>
    <w:rsid w:val="00133873"/>
    <w:rsid w:val="00133907"/>
    <w:rsid w:val="0013392F"/>
    <w:rsid w:val="0013397D"/>
    <w:rsid w:val="001339C9"/>
    <w:rsid w:val="00133A33"/>
    <w:rsid w:val="00133C1B"/>
    <w:rsid w:val="00133C65"/>
    <w:rsid w:val="00133D06"/>
    <w:rsid w:val="00134096"/>
    <w:rsid w:val="001343C2"/>
    <w:rsid w:val="00134860"/>
    <w:rsid w:val="00134A97"/>
    <w:rsid w:val="00134B8A"/>
    <w:rsid w:val="00134B98"/>
    <w:rsid w:val="00135222"/>
    <w:rsid w:val="001352EB"/>
    <w:rsid w:val="001354BA"/>
    <w:rsid w:val="001355DB"/>
    <w:rsid w:val="00135600"/>
    <w:rsid w:val="001356A6"/>
    <w:rsid w:val="0013583C"/>
    <w:rsid w:val="001358DF"/>
    <w:rsid w:val="00135BDF"/>
    <w:rsid w:val="00135FEF"/>
    <w:rsid w:val="00135FF1"/>
    <w:rsid w:val="001360E3"/>
    <w:rsid w:val="001363AB"/>
    <w:rsid w:val="00136407"/>
    <w:rsid w:val="0013654D"/>
    <w:rsid w:val="001366B0"/>
    <w:rsid w:val="001368B5"/>
    <w:rsid w:val="0013690F"/>
    <w:rsid w:val="00136A1D"/>
    <w:rsid w:val="00136C1A"/>
    <w:rsid w:val="00136C76"/>
    <w:rsid w:val="00136CC0"/>
    <w:rsid w:val="00136F70"/>
    <w:rsid w:val="00137017"/>
    <w:rsid w:val="001370B9"/>
    <w:rsid w:val="00137203"/>
    <w:rsid w:val="0013733A"/>
    <w:rsid w:val="00137361"/>
    <w:rsid w:val="001374E4"/>
    <w:rsid w:val="00137730"/>
    <w:rsid w:val="0013773B"/>
    <w:rsid w:val="00137B2F"/>
    <w:rsid w:val="00137B9C"/>
    <w:rsid w:val="00137C8A"/>
    <w:rsid w:val="00137E28"/>
    <w:rsid w:val="00137E9E"/>
    <w:rsid w:val="00137EA6"/>
    <w:rsid w:val="00137F18"/>
    <w:rsid w:val="00137FC9"/>
    <w:rsid w:val="0014008E"/>
    <w:rsid w:val="00140096"/>
    <w:rsid w:val="00140100"/>
    <w:rsid w:val="00140224"/>
    <w:rsid w:val="0014061C"/>
    <w:rsid w:val="0014088F"/>
    <w:rsid w:val="00140A67"/>
    <w:rsid w:val="00140A9F"/>
    <w:rsid w:val="00140C4D"/>
    <w:rsid w:val="00140CE4"/>
    <w:rsid w:val="00140D73"/>
    <w:rsid w:val="00140E52"/>
    <w:rsid w:val="00140EB3"/>
    <w:rsid w:val="00140FB9"/>
    <w:rsid w:val="001414A7"/>
    <w:rsid w:val="001418A7"/>
    <w:rsid w:val="00141BE8"/>
    <w:rsid w:val="00141D43"/>
    <w:rsid w:val="00141D6A"/>
    <w:rsid w:val="00141D86"/>
    <w:rsid w:val="00141F3F"/>
    <w:rsid w:val="001421B5"/>
    <w:rsid w:val="001427A1"/>
    <w:rsid w:val="00142866"/>
    <w:rsid w:val="001429A3"/>
    <w:rsid w:val="00142A13"/>
    <w:rsid w:val="00142A2F"/>
    <w:rsid w:val="00142A58"/>
    <w:rsid w:val="00142B95"/>
    <w:rsid w:val="00142EA3"/>
    <w:rsid w:val="00142EC0"/>
    <w:rsid w:val="00142FBF"/>
    <w:rsid w:val="00142FF7"/>
    <w:rsid w:val="001430AD"/>
    <w:rsid w:val="0014342B"/>
    <w:rsid w:val="00143485"/>
    <w:rsid w:val="001435A5"/>
    <w:rsid w:val="001435B0"/>
    <w:rsid w:val="001436A7"/>
    <w:rsid w:val="00143755"/>
    <w:rsid w:val="0014383D"/>
    <w:rsid w:val="001438B3"/>
    <w:rsid w:val="00143998"/>
    <w:rsid w:val="001439A2"/>
    <w:rsid w:val="00143DAC"/>
    <w:rsid w:val="00143E0E"/>
    <w:rsid w:val="00143EF9"/>
    <w:rsid w:val="0014488A"/>
    <w:rsid w:val="00144927"/>
    <w:rsid w:val="00144995"/>
    <w:rsid w:val="00144A53"/>
    <w:rsid w:val="00144A59"/>
    <w:rsid w:val="00144B36"/>
    <w:rsid w:val="00144B4F"/>
    <w:rsid w:val="00144B59"/>
    <w:rsid w:val="00144B62"/>
    <w:rsid w:val="00145067"/>
    <w:rsid w:val="001452E3"/>
    <w:rsid w:val="00145964"/>
    <w:rsid w:val="00145AF0"/>
    <w:rsid w:val="00145E68"/>
    <w:rsid w:val="00145EE6"/>
    <w:rsid w:val="00146001"/>
    <w:rsid w:val="00146282"/>
    <w:rsid w:val="00146383"/>
    <w:rsid w:val="00146498"/>
    <w:rsid w:val="001464D8"/>
    <w:rsid w:val="00146504"/>
    <w:rsid w:val="001465A6"/>
    <w:rsid w:val="00146610"/>
    <w:rsid w:val="00146945"/>
    <w:rsid w:val="00146BCA"/>
    <w:rsid w:val="00146E3A"/>
    <w:rsid w:val="00146EC8"/>
    <w:rsid w:val="00147253"/>
    <w:rsid w:val="00147285"/>
    <w:rsid w:val="00147558"/>
    <w:rsid w:val="001475CB"/>
    <w:rsid w:val="00147694"/>
    <w:rsid w:val="001476CA"/>
    <w:rsid w:val="00147705"/>
    <w:rsid w:val="0014772C"/>
    <w:rsid w:val="00147A1C"/>
    <w:rsid w:val="00147AE8"/>
    <w:rsid w:val="00147E3C"/>
    <w:rsid w:val="00147EEE"/>
    <w:rsid w:val="00147FDF"/>
    <w:rsid w:val="00150362"/>
    <w:rsid w:val="001505FC"/>
    <w:rsid w:val="0015079C"/>
    <w:rsid w:val="00150850"/>
    <w:rsid w:val="0015088B"/>
    <w:rsid w:val="001508B7"/>
    <w:rsid w:val="00150A0D"/>
    <w:rsid w:val="00150A2E"/>
    <w:rsid w:val="00150A7A"/>
    <w:rsid w:val="00150C1F"/>
    <w:rsid w:val="00150EEA"/>
    <w:rsid w:val="00150F1F"/>
    <w:rsid w:val="001510E6"/>
    <w:rsid w:val="001512B6"/>
    <w:rsid w:val="0015143B"/>
    <w:rsid w:val="0015158B"/>
    <w:rsid w:val="001515F3"/>
    <w:rsid w:val="0015164F"/>
    <w:rsid w:val="001516FB"/>
    <w:rsid w:val="00151745"/>
    <w:rsid w:val="0015180A"/>
    <w:rsid w:val="00151AA5"/>
    <w:rsid w:val="00151B52"/>
    <w:rsid w:val="00151C76"/>
    <w:rsid w:val="00151D43"/>
    <w:rsid w:val="00151D61"/>
    <w:rsid w:val="00151DEE"/>
    <w:rsid w:val="00151E89"/>
    <w:rsid w:val="00151FE5"/>
    <w:rsid w:val="0015224A"/>
    <w:rsid w:val="0015229F"/>
    <w:rsid w:val="00152557"/>
    <w:rsid w:val="0015256E"/>
    <w:rsid w:val="001525B6"/>
    <w:rsid w:val="0015261D"/>
    <w:rsid w:val="00152B2A"/>
    <w:rsid w:val="00152B3B"/>
    <w:rsid w:val="00152E2A"/>
    <w:rsid w:val="00152EB6"/>
    <w:rsid w:val="00152FBD"/>
    <w:rsid w:val="0015312F"/>
    <w:rsid w:val="001531AF"/>
    <w:rsid w:val="001531B7"/>
    <w:rsid w:val="0015325B"/>
    <w:rsid w:val="00153290"/>
    <w:rsid w:val="001532ED"/>
    <w:rsid w:val="001534D2"/>
    <w:rsid w:val="0015369A"/>
    <w:rsid w:val="00153743"/>
    <w:rsid w:val="001539C0"/>
    <w:rsid w:val="00153A21"/>
    <w:rsid w:val="00153A80"/>
    <w:rsid w:val="00153ABF"/>
    <w:rsid w:val="00153AC6"/>
    <w:rsid w:val="00153C4A"/>
    <w:rsid w:val="001540F6"/>
    <w:rsid w:val="00154315"/>
    <w:rsid w:val="0015447B"/>
    <w:rsid w:val="001544F6"/>
    <w:rsid w:val="00154552"/>
    <w:rsid w:val="00154688"/>
    <w:rsid w:val="00154710"/>
    <w:rsid w:val="00154BEE"/>
    <w:rsid w:val="00154C4A"/>
    <w:rsid w:val="00154D0D"/>
    <w:rsid w:val="00154F64"/>
    <w:rsid w:val="00154FEF"/>
    <w:rsid w:val="00155008"/>
    <w:rsid w:val="001554C5"/>
    <w:rsid w:val="001555EA"/>
    <w:rsid w:val="0015564C"/>
    <w:rsid w:val="00155676"/>
    <w:rsid w:val="001556C9"/>
    <w:rsid w:val="001556FD"/>
    <w:rsid w:val="0015588C"/>
    <w:rsid w:val="00155892"/>
    <w:rsid w:val="00155C98"/>
    <w:rsid w:val="00155D00"/>
    <w:rsid w:val="00156085"/>
    <w:rsid w:val="00156110"/>
    <w:rsid w:val="00156126"/>
    <w:rsid w:val="0015614E"/>
    <w:rsid w:val="0015632F"/>
    <w:rsid w:val="001566E7"/>
    <w:rsid w:val="0015679A"/>
    <w:rsid w:val="001568F8"/>
    <w:rsid w:val="00156910"/>
    <w:rsid w:val="00156AD8"/>
    <w:rsid w:val="00156B08"/>
    <w:rsid w:val="00156CEB"/>
    <w:rsid w:val="00156D66"/>
    <w:rsid w:val="00156E5B"/>
    <w:rsid w:val="00156F93"/>
    <w:rsid w:val="00157163"/>
    <w:rsid w:val="00157279"/>
    <w:rsid w:val="0015755D"/>
    <w:rsid w:val="0015759D"/>
    <w:rsid w:val="001575D8"/>
    <w:rsid w:val="0015764F"/>
    <w:rsid w:val="00157691"/>
    <w:rsid w:val="001576C2"/>
    <w:rsid w:val="00157882"/>
    <w:rsid w:val="00157A01"/>
    <w:rsid w:val="00157B3B"/>
    <w:rsid w:val="00157D31"/>
    <w:rsid w:val="00160086"/>
    <w:rsid w:val="001600C0"/>
    <w:rsid w:val="001603EA"/>
    <w:rsid w:val="00160557"/>
    <w:rsid w:val="00160572"/>
    <w:rsid w:val="00160785"/>
    <w:rsid w:val="00160820"/>
    <w:rsid w:val="00160B2A"/>
    <w:rsid w:val="00160BDA"/>
    <w:rsid w:val="00160CB3"/>
    <w:rsid w:val="00160EB7"/>
    <w:rsid w:val="00160EBD"/>
    <w:rsid w:val="0016116F"/>
    <w:rsid w:val="0016117D"/>
    <w:rsid w:val="001612FD"/>
    <w:rsid w:val="0016154C"/>
    <w:rsid w:val="00161650"/>
    <w:rsid w:val="00161665"/>
    <w:rsid w:val="001616B2"/>
    <w:rsid w:val="00161899"/>
    <w:rsid w:val="001619CF"/>
    <w:rsid w:val="00161C44"/>
    <w:rsid w:val="00161E8F"/>
    <w:rsid w:val="00161F0A"/>
    <w:rsid w:val="00161F34"/>
    <w:rsid w:val="00162029"/>
    <w:rsid w:val="001620BA"/>
    <w:rsid w:val="0016244A"/>
    <w:rsid w:val="00162573"/>
    <w:rsid w:val="0016268D"/>
    <w:rsid w:val="00162690"/>
    <w:rsid w:val="0016278B"/>
    <w:rsid w:val="001629F7"/>
    <w:rsid w:val="00162AE6"/>
    <w:rsid w:val="00162C0D"/>
    <w:rsid w:val="00162C31"/>
    <w:rsid w:val="00162E38"/>
    <w:rsid w:val="00163251"/>
    <w:rsid w:val="00163331"/>
    <w:rsid w:val="00163371"/>
    <w:rsid w:val="0016343B"/>
    <w:rsid w:val="001634CF"/>
    <w:rsid w:val="00163554"/>
    <w:rsid w:val="00163597"/>
    <w:rsid w:val="001636D3"/>
    <w:rsid w:val="00163769"/>
    <w:rsid w:val="00163867"/>
    <w:rsid w:val="00163CB4"/>
    <w:rsid w:val="00164017"/>
    <w:rsid w:val="001640D5"/>
    <w:rsid w:val="00164145"/>
    <w:rsid w:val="00164163"/>
    <w:rsid w:val="00164421"/>
    <w:rsid w:val="00164645"/>
    <w:rsid w:val="0016472F"/>
    <w:rsid w:val="00164860"/>
    <w:rsid w:val="00164982"/>
    <w:rsid w:val="00164C2A"/>
    <w:rsid w:val="00164ECE"/>
    <w:rsid w:val="00164F75"/>
    <w:rsid w:val="0016545F"/>
    <w:rsid w:val="00165541"/>
    <w:rsid w:val="00165644"/>
    <w:rsid w:val="00165658"/>
    <w:rsid w:val="0016587F"/>
    <w:rsid w:val="00165A3F"/>
    <w:rsid w:val="00165AAD"/>
    <w:rsid w:val="00165B27"/>
    <w:rsid w:val="00165B43"/>
    <w:rsid w:val="00165C5B"/>
    <w:rsid w:val="00166186"/>
    <w:rsid w:val="00166459"/>
    <w:rsid w:val="001664AD"/>
    <w:rsid w:val="00166642"/>
    <w:rsid w:val="001666E9"/>
    <w:rsid w:val="00166781"/>
    <w:rsid w:val="001667DF"/>
    <w:rsid w:val="00166875"/>
    <w:rsid w:val="00166AD5"/>
    <w:rsid w:val="00166B40"/>
    <w:rsid w:val="00166C1C"/>
    <w:rsid w:val="00166DD3"/>
    <w:rsid w:val="00166F19"/>
    <w:rsid w:val="00166FA5"/>
    <w:rsid w:val="00167057"/>
    <w:rsid w:val="001670B5"/>
    <w:rsid w:val="001675A3"/>
    <w:rsid w:val="00167853"/>
    <w:rsid w:val="001679AA"/>
    <w:rsid w:val="00167C18"/>
    <w:rsid w:val="00167D30"/>
    <w:rsid w:val="00167DE4"/>
    <w:rsid w:val="00167E29"/>
    <w:rsid w:val="0017003D"/>
    <w:rsid w:val="001700A3"/>
    <w:rsid w:val="00170102"/>
    <w:rsid w:val="001701A8"/>
    <w:rsid w:val="001702F8"/>
    <w:rsid w:val="0017039C"/>
    <w:rsid w:val="001707C8"/>
    <w:rsid w:val="00170913"/>
    <w:rsid w:val="00170995"/>
    <w:rsid w:val="001709BB"/>
    <w:rsid w:val="001709F0"/>
    <w:rsid w:val="00170C32"/>
    <w:rsid w:val="00170E7B"/>
    <w:rsid w:val="00170EAC"/>
    <w:rsid w:val="00171328"/>
    <w:rsid w:val="00171732"/>
    <w:rsid w:val="001717C2"/>
    <w:rsid w:val="00171910"/>
    <w:rsid w:val="0017196C"/>
    <w:rsid w:val="00171A80"/>
    <w:rsid w:val="00171B1F"/>
    <w:rsid w:val="00171B38"/>
    <w:rsid w:val="00171CD4"/>
    <w:rsid w:val="00171EB5"/>
    <w:rsid w:val="0017200F"/>
    <w:rsid w:val="001722CA"/>
    <w:rsid w:val="0017238A"/>
    <w:rsid w:val="001723BE"/>
    <w:rsid w:val="001724F2"/>
    <w:rsid w:val="001725C8"/>
    <w:rsid w:val="001725E4"/>
    <w:rsid w:val="0017265F"/>
    <w:rsid w:val="0017277F"/>
    <w:rsid w:val="001729CD"/>
    <w:rsid w:val="00172A4E"/>
    <w:rsid w:val="00172A81"/>
    <w:rsid w:val="00172AFA"/>
    <w:rsid w:val="00172BA5"/>
    <w:rsid w:val="00172FB2"/>
    <w:rsid w:val="00172FB3"/>
    <w:rsid w:val="0017309D"/>
    <w:rsid w:val="0017312C"/>
    <w:rsid w:val="001731F6"/>
    <w:rsid w:val="0017326C"/>
    <w:rsid w:val="00173513"/>
    <w:rsid w:val="0017353D"/>
    <w:rsid w:val="00173687"/>
    <w:rsid w:val="001736AD"/>
    <w:rsid w:val="001737E1"/>
    <w:rsid w:val="00173985"/>
    <w:rsid w:val="00173A65"/>
    <w:rsid w:val="00173CBC"/>
    <w:rsid w:val="00173CD9"/>
    <w:rsid w:val="00173D4A"/>
    <w:rsid w:val="001742CB"/>
    <w:rsid w:val="001743C9"/>
    <w:rsid w:val="0017442E"/>
    <w:rsid w:val="00174479"/>
    <w:rsid w:val="001744E5"/>
    <w:rsid w:val="0017463E"/>
    <w:rsid w:val="001749A0"/>
    <w:rsid w:val="00174AE7"/>
    <w:rsid w:val="00174CE7"/>
    <w:rsid w:val="00174CF4"/>
    <w:rsid w:val="00174EF5"/>
    <w:rsid w:val="00174F19"/>
    <w:rsid w:val="001751B3"/>
    <w:rsid w:val="0017551F"/>
    <w:rsid w:val="00175594"/>
    <w:rsid w:val="0017565D"/>
    <w:rsid w:val="0017565F"/>
    <w:rsid w:val="0017585D"/>
    <w:rsid w:val="0017596E"/>
    <w:rsid w:val="00175BFA"/>
    <w:rsid w:val="00175D12"/>
    <w:rsid w:val="00175E17"/>
    <w:rsid w:val="00176053"/>
    <w:rsid w:val="00176264"/>
    <w:rsid w:val="001764D0"/>
    <w:rsid w:val="00176723"/>
    <w:rsid w:val="001767D3"/>
    <w:rsid w:val="001768EE"/>
    <w:rsid w:val="001769F8"/>
    <w:rsid w:val="00176D16"/>
    <w:rsid w:val="00176D23"/>
    <w:rsid w:val="00176D4B"/>
    <w:rsid w:val="00176D95"/>
    <w:rsid w:val="00176E62"/>
    <w:rsid w:val="00176F9B"/>
    <w:rsid w:val="00177006"/>
    <w:rsid w:val="001770A6"/>
    <w:rsid w:val="001770D9"/>
    <w:rsid w:val="00177193"/>
    <w:rsid w:val="0017734B"/>
    <w:rsid w:val="001773DE"/>
    <w:rsid w:val="00177C79"/>
    <w:rsid w:val="00177CA0"/>
    <w:rsid w:val="00177E41"/>
    <w:rsid w:val="00177EAA"/>
    <w:rsid w:val="00177EBC"/>
    <w:rsid w:val="00177F61"/>
    <w:rsid w:val="00180137"/>
    <w:rsid w:val="00180207"/>
    <w:rsid w:val="00180318"/>
    <w:rsid w:val="001803AB"/>
    <w:rsid w:val="00180450"/>
    <w:rsid w:val="00180472"/>
    <w:rsid w:val="001804A1"/>
    <w:rsid w:val="00180513"/>
    <w:rsid w:val="0018053B"/>
    <w:rsid w:val="001805C1"/>
    <w:rsid w:val="001806BC"/>
    <w:rsid w:val="00180B5A"/>
    <w:rsid w:val="00180BCE"/>
    <w:rsid w:val="00180E68"/>
    <w:rsid w:val="00180E72"/>
    <w:rsid w:val="00180EAE"/>
    <w:rsid w:val="00180EEC"/>
    <w:rsid w:val="00180FB8"/>
    <w:rsid w:val="00180FD6"/>
    <w:rsid w:val="0018127F"/>
    <w:rsid w:val="00181310"/>
    <w:rsid w:val="001813D8"/>
    <w:rsid w:val="0018176F"/>
    <w:rsid w:val="0018194C"/>
    <w:rsid w:val="00181A69"/>
    <w:rsid w:val="00181BC8"/>
    <w:rsid w:val="00181BE0"/>
    <w:rsid w:val="00181CB9"/>
    <w:rsid w:val="00181E4C"/>
    <w:rsid w:val="00181E9B"/>
    <w:rsid w:val="00181F79"/>
    <w:rsid w:val="00181FA3"/>
    <w:rsid w:val="00182007"/>
    <w:rsid w:val="00182092"/>
    <w:rsid w:val="0018219B"/>
    <w:rsid w:val="00182209"/>
    <w:rsid w:val="00182211"/>
    <w:rsid w:val="00182319"/>
    <w:rsid w:val="0018253F"/>
    <w:rsid w:val="0018269F"/>
    <w:rsid w:val="00182861"/>
    <w:rsid w:val="001828C4"/>
    <w:rsid w:val="001828E3"/>
    <w:rsid w:val="0018291D"/>
    <w:rsid w:val="00182936"/>
    <w:rsid w:val="001829D9"/>
    <w:rsid w:val="00182BA8"/>
    <w:rsid w:val="00182C12"/>
    <w:rsid w:val="00182CAE"/>
    <w:rsid w:val="00182D69"/>
    <w:rsid w:val="00182E8A"/>
    <w:rsid w:val="00182E8B"/>
    <w:rsid w:val="00182EB4"/>
    <w:rsid w:val="001830B9"/>
    <w:rsid w:val="001830C1"/>
    <w:rsid w:val="001831D8"/>
    <w:rsid w:val="00183342"/>
    <w:rsid w:val="00183670"/>
    <w:rsid w:val="001837FB"/>
    <w:rsid w:val="00183A38"/>
    <w:rsid w:val="00183CBE"/>
    <w:rsid w:val="00183FDD"/>
    <w:rsid w:val="00184249"/>
    <w:rsid w:val="001843F4"/>
    <w:rsid w:val="001843FB"/>
    <w:rsid w:val="0018454F"/>
    <w:rsid w:val="001845CC"/>
    <w:rsid w:val="001845CD"/>
    <w:rsid w:val="00184AD1"/>
    <w:rsid w:val="00184AD6"/>
    <w:rsid w:val="00184AF7"/>
    <w:rsid w:val="00184CE7"/>
    <w:rsid w:val="00184EB0"/>
    <w:rsid w:val="00184F0C"/>
    <w:rsid w:val="00184F74"/>
    <w:rsid w:val="001851A0"/>
    <w:rsid w:val="00185276"/>
    <w:rsid w:val="001852EB"/>
    <w:rsid w:val="0018543E"/>
    <w:rsid w:val="00185540"/>
    <w:rsid w:val="0018567C"/>
    <w:rsid w:val="001857C7"/>
    <w:rsid w:val="00185889"/>
    <w:rsid w:val="001858A6"/>
    <w:rsid w:val="0018591A"/>
    <w:rsid w:val="00185939"/>
    <w:rsid w:val="00185CC9"/>
    <w:rsid w:val="00185FAE"/>
    <w:rsid w:val="00185FE1"/>
    <w:rsid w:val="001860BE"/>
    <w:rsid w:val="00186133"/>
    <w:rsid w:val="00186228"/>
    <w:rsid w:val="001863C4"/>
    <w:rsid w:val="00186440"/>
    <w:rsid w:val="00186551"/>
    <w:rsid w:val="00186595"/>
    <w:rsid w:val="00186679"/>
    <w:rsid w:val="00186AAE"/>
    <w:rsid w:val="00186C11"/>
    <w:rsid w:val="00186DAC"/>
    <w:rsid w:val="00186E7B"/>
    <w:rsid w:val="00186ED4"/>
    <w:rsid w:val="00186F0A"/>
    <w:rsid w:val="00186F6C"/>
    <w:rsid w:val="0018718F"/>
    <w:rsid w:val="00187262"/>
    <w:rsid w:val="001872D1"/>
    <w:rsid w:val="00187436"/>
    <w:rsid w:val="0018760B"/>
    <w:rsid w:val="0018762F"/>
    <w:rsid w:val="00187692"/>
    <w:rsid w:val="00187822"/>
    <w:rsid w:val="00187A58"/>
    <w:rsid w:val="00187DD5"/>
    <w:rsid w:val="00187F94"/>
    <w:rsid w:val="001900C1"/>
    <w:rsid w:val="00190335"/>
    <w:rsid w:val="00190597"/>
    <w:rsid w:val="0019059E"/>
    <w:rsid w:val="0019067E"/>
    <w:rsid w:val="001906E6"/>
    <w:rsid w:val="0019085D"/>
    <w:rsid w:val="0019095F"/>
    <w:rsid w:val="001909F7"/>
    <w:rsid w:val="00190AE2"/>
    <w:rsid w:val="00190BA9"/>
    <w:rsid w:val="00190BCB"/>
    <w:rsid w:val="00190CD2"/>
    <w:rsid w:val="00190CF4"/>
    <w:rsid w:val="00191047"/>
    <w:rsid w:val="00191048"/>
    <w:rsid w:val="0019122B"/>
    <w:rsid w:val="00191346"/>
    <w:rsid w:val="001913D5"/>
    <w:rsid w:val="00191550"/>
    <w:rsid w:val="0019158E"/>
    <w:rsid w:val="001915E3"/>
    <w:rsid w:val="001917BD"/>
    <w:rsid w:val="00191849"/>
    <w:rsid w:val="00191A84"/>
    <w:rsid w:val="00191E0B"/>
    <w:rsid w:val="00191F38"/>
    <w:rsid w:val="00191FE6"/>
    <w:rsid w:val="001921CF"/>
    <w:rsid w:val="00192350"/>
    <w:rsid w:val="001924A8"/>
    <w:rsid w:val="0019254B"/>
    <w:rsid w:val="00192701"/>
    <w:rsid w:val="0019284E"/>
    <w:rsid w:val="00192ADB"/>
    <w:rsid w:val="00192BC0"/>
    <w:rsid w:val="00192C6D"/>
    <w:rsid w:val="00192D59"/>
    <w:rsid w:val="00192F79"/>
    <w:rsid w:val="0019300F"/>
    <w:rsid w:val="00193022"/>
    <w:rsid w:val="0019308A"/>
    <w:rsid w:val="0019340F"/>
    <w:rsid w:val="0019346C"/>
    <w:rsid w:val="00193792"/>
    <w:rsid w:val="0019383B"/>
    <w:rsid w:val="0019396C"/>
    <w:rsid w:val="00193AA1"/>
    <w:rsid w:val="00193AD9"/>
    <w:rsid w:val="00193B82"/>
    <w:rsid w:val="00193C6D"/>
    <w:rsid w:val="00193E5A"/>
    <w:rsid w:val="00193FAA"/>
    <w:rsid w:val="001940B5"/>
    <w:rsid w:val="00194177"/>
    <w:rsid w:val="0019419E"/>
    <w:rsid w:val="0019427E"/>
    <w:rsid w:val="001944BD"/>
    <w:rsid w:val="00194635"/>
    <w:rsid w:val="00194881"/>
    <w:rsid w:val="00194D89"/>
    <w:rsid w:val="00194DB7"/>
    <w:rsid w:val="00195036"/>
    <w:rsid w:val="0019507C"/>
    <w:rsid w:val="00195414"/>
    <w:rsid w:val="0019550C"/>
    <w:rsid w:val="001959B9"/>
    <w:rsid w:val="00195A3F"/>
    <w:rsid w:val="00195A76"/>
    <w:rsid w:val="00195BBF"/>
    <w:rsid w:val="00195C39"/>
    <w:rsid w:val="00195F49"/>
    <w:rsid w:val="00196022"/>
    <w:rsid w:val="001961CC"/>
    <w:rsid w:val="0019625A"/>
    <w:rsid w:val="0019644E"/>
    <w:rsid w:val="0019666F"/>
    <w:rsid w:val="00196799"/>
    <w:rsid w:val="00196870"/>
    <w:rsid w:val="001968D5"/>
    <w:rsid w:val="001969B9"/>
    <w:rsid w:val="00196A03"/>
    <w:rsid w:val="00196AA6"/>
    <w:rsid w:val="00196AA9"/>
    <w:rsid w:val="00196B26"/>
    <w:rsid w:val="00196B2B"/>
    <w:rsid w:val="00196C2F"/>
    <w:rsid w:val="00196C3E"/>
    <w:rsid w:val="00196E06"/>
    <w:rsid w:val="00196EB2"/>
    <w:rsid w:val="00196F7C"/>
    <w:rsid w:val="00197236"/>
    <w:rsid w:val="00197599"/>
    <w:rsid w:val="001977B1"/>
    <w:rsid w:val="0019781A"/>
    <w:rsid w:val="0019781C"/>
    <w:rsid w:val="00197848"/>
    <w:rsid w:val="00197AC8"/>
    <w:rsid w:val="00197C72"/>
    <w:rsid w:val="00197C8D"/>
    <w:rsid w:val="00197C9E"/>
    <w:rsid w:val="00197CBC"/>
    <w:rsid w:val="00197D54"/>
    <w:rsid w:val="001A038B"/>
    <w:rsid w:val="001A03E4"/>
    <w:rsid w:val="001A0704"/>
    <w:rsid w:val="001A0717"/>
    <w:rsid w:val="001A08CF"/>
    <w:rsid w:val="001A0B77"/>
    <w:rsid w:val="001A0EDD"/>
    <w:rsid w:val="001A10DE"/>
    <w:rsid w:val="001A13E5"/>
    <w:rsid w:val="001A166E"/>
    <w:rsid w:val="001A16C6"/>
    <w:rsid w:val="001A1778"/>
    <w:rsid w:val="001A1A79"/>
    <w:rsid w:val="001A1CBB"/>
    <w:rsid w:val="001A1E51"/>
    <w:rsid w:val="001A1F63"/>
    <w:rsid w:val="001A21B6"/>
    <w:rsid w:val="001A22C1"/>
    <w:rsid w:val="001A23EC"/>
    <w:rsid w:val="001A24B3"/>
    <w:rsid w:val="001A2565"/>
    <w:rsid w:val="001A267C"/>
    <w:rsid w:val="001A2748"/>
    <w:rsid w:val="001A276A"/>
    <w:rsid w:val="001A2903"/>
    <w:rsid w:val="001A295E"/>
    <w:rsid w:val="001A29D8"/>
    <w:rsid w:val="001A2A74"/>
    <w:rsid w:val="001A2DFB"/>
    <w:rsid w:val="001A2EB8"/>
    <w:rsid w:val="001A301A"/>
    <w:rsid w:val="001A351B"/>
    <w:rsid w:val="001A35C9"/>
    <w:rsid w:val="001A3704"/>
    <w:rsid w:val="001A3D66"/>
    <w:rsid w:val="001A3EA5"/>
    <w:rsid w:val="001A41E2"/>
    <w:rsid w:val="001A434D"/>
    <w:rsid w:val="001A45B4"/>
    <w:rsid w:val="001A45BF"/>
    <w:rsid w:val="001A48E4"/>
    <w:rsid w:val="001A4901"/>
    <w:rsid w:val="001A4A2C"/>
    <w:rsid w:val="001A4AD5"/>
    <w:rsid w:val="001A4EAF"/>
    <w:rsid w:val="001A4F21"/>
    <w:rsid w:val="001A501B"/>
    <w:rsid w:val="001A50B5"/>
    <w:rsid w:val="001A512A"/>
    <w:rsid w:val="001A520C"/>
    <w:rsid w:val="001A521D"/>
    <w:rsid w:val="001A56E0"/>
    <w:rsid w:val="001A5849"/>
    <w:rsid w:val="001A5973"/>
    <w:rsid w:val="001A599E"/>
    <w:rsid w:val="001A5AE0"/>
    <w:rsid w:val="001A5B34"/>
    <w:rsid w:val="001A5C50"/>
    <w:rsid w:val="001A5D55"/>
    <w:rsid w:val="001A5E49"/>
    <w:rsid w:val="001A5EB6"/>
    <w:rsid w:val="001A6047"/>
    <w:rsid w:val="001A6061"/>
    <w:rsid w:val="001A60BD"/>
    <w:rsid w:val="001A62A1"/>
    <w:rsid w:val="001A6309"/>
    <w:rsid w:val="001A6320"/>
    <w:rsid w:val="001A635D"/>
    <w:rsid w:val="001A64BD"/>
    <w:rsid w:val="001A6664"/>
    <w:rsid w:val="001A6716"/>
    <w:rsid w:val="001A69EA"/>
    <w:rsid w:val="001A6AB6"/>
    <w:rsid w:val="001A6BA2"/>
    <w:rsid w:val="001A6CA8"/>
    <w:rsid w:val="001A6D2D"/>
    <w:rsid w:val="001A6E32"/>
    <w:rsid w:val="001A6F48"/>
    <w:rsid w:val="001A6F63"/>
    <w:rsid w:val="001A6FF5"/>
    <w:rsid w:val="001A71DF"/>
    <w:rsid w:val="001A7459"/>
    <w:rsid w:val="001A75C0"/>
    <w:rsid w:val="001A76AE"/>
    <w:rsid w:val="001A76C9"/>
    <w:rsid w:val="001A76D9"/>
    <w:rsid w:val="001A786C"/>
    <w:rsid w:val="001A793C"/>
    <w:rsid w:val="001A7C17"/>
    <w:rsid w:val="001A7E12"/>
    <w:rsid w:val="001B01B6"/>
    <w:rsid w:val="001B01DD"/>
    <w:rsid w:val="001B034C"/>
    <w:rsid w:val="001B03DB"/>
    <w:rsid w:val="001B04DF"/>
    <w:rsid w:val="001B051A"/>
    <w:rsid w:val="001B056A"/>
    <w:rsid w:val="001B0861"/>
    <w:rsid w:val="001B0953"/>
    <w:rsid w:val="001B09E6"/>
    <w:rsid w:val="001B0B1E"/>
    <w:rsid w:val="001B0D73"/>
    <w:rsid w:val="001B0E7D"/>
    <w:rsid w:val="001B0EAE"/>
    <w:rsid w:val="001B1573"/>
    <w:rsid w:val="001B15F3"/>
    <w:rsid w:val="001B1789"/>
    <w:rsid w:val="001B17FE"/>
    <w:rsid w:val="001B194F"/>
    <w:rsid w:val="001B19C0"/>
    <w:rsid w:val="001B1A64"/>
    <w:rsid w:val="001B1BAA"/>
    <w:rsid w:val="001B1C5A"/>
    <w:rsid w:val="001B1D69"/>
    <w:rsid w:val="001B1E75"/>
    <w:rsid w:val="001B2159"/>
    <w:rsid w:val="001B21A3"/>
    <w:rsid w:val="001B23A3"/>
    <w:rsid w:val="001B2455"/>
    <w:rsid w:val="001B24B9"/>
    <w:rsid w:val="001B2654"/>
    <w:rsid w:val="001B27B3"/>
    <w:rsid w:val="001B27B7"/>
    <w:rsid w:val="001B28AB"/>
    <w:rsid w:val="001B296A"/>
    <w:rsid w:val="001B2A15"/>
    <w:rsid w:val="001B2A5C"/>
    <w:rsid w:val="001B2AEC"/>
    <w:rsid w:val="001B2C19"/>
    <w:rsid w:val="001B2F11"/>
    <w:rsid w:val="001B323E"/>
    <w:rsid w:val="001B344A"/>
    <w:rsid w:val="001B3554"/>
    <w:rsid w:val="001B378A"/>
    <w:rsid w:val="001B3AE0"/>
    <w:rsid w:val="001B3B8E"/>
    <w:rsid w:val="001B40A2"/>
    <w:rsid w:val="001B4320"/>
    <w:rsid w:val="001B4467"/>
    <w:rsid w:val="001B449D"/>
    <w:rsid w:val="001B44AC"/>
    <w:rsid w:val="001B460D"/>
    <w:rsid w:val="001B4B00"/>
    <w:rsid w:val="001B4FA1"/>
    <w:rsid w:val="001B50E3"/>
    <w:rsid w:val="001B51AA"/>
    <w:rsid w:val="001B522A"/>
    <w:rsid w:val="001B5318"/>
    <w:rsid w:val="001B5377"/>
    <w:rsid w:val="001B5398"/>
    <w:rsid w:val="001B53F7"/>
    <w:rsid w:val="001B586A"/>
    <w:rsid w:val="001B58C2"/>
    <w:rsid w:val="001B5B3B"/>
    <w:rsid w:val="001B5CED"/>
    <w:rsid w:val="001B6055"/>
    <w:rsid w:val="001B60B3"/>
    <w:rsid w:val="001B6245"/>
    <w:rsid w:val="001B6282"/>
    <w:rsid w:val="001B63AB"/>
    <w:rsid w:val="001B6575"/>
    <w:rsid w:val="001B6692"/>
    <w:rsid w:val="001B67E6"/>
    <w:rsid w:val="001B6864"/>
    <w:rsid w:val="001B688F"/>
    <w:rsid w:val="001B691C"/>
    <w:rsid w:val="001B699A"/>
    <w:rsid w:val="001B6A7F"/>
    <w:rsid w:val="001B6AE9"/>
    <w:rsid w:val="001B6D36"/>
    <w:rsid w:val="001B707E"/>
    <w:rsid w:val="001B72D1"/>
    <w:rsid w:val="001B737A"/>
    <w:rsid w:val="001B7582"/>
    <w:rsid w:val="001B7638"/>
    <w:rsid w:val="001B76B3"/>
    <w:rsid w:val="001B7856"/>
    <w:rsid w:val="001B78BC"/>
    <w:rsid w:val="001B78D5"/>
    <w:rsid w:val="001B7A3D"/>
    <w:rsid w:val="001B7A89"/>
    <w:rsid w:val="001B7B08"/>
    <w:rsid w:val="001B7B94"/>
    <w:rsid w:val="001B7CF4"/>
    <w:rsid w:val="001B7CF7"/>
    <w:rsid w:val="001B7E7F"/>
    <w:rsid w:val="001B7E8A"/>
    <w:rsid w:val="001C007F"/>
    <w:rsid w:val="001C0114"/>
    <w:rsid w:val="001C02B5"/>
    <w:rsid w:val="001C04B2"/>
    <w:rsid w:val="001C07CC"/>
    <w:rsid w:val="001C0B97"/>
    <w:rsid w:val="001C0C8A"/>
    <w:rsid w:val="001C0DCF"/>
    <w:rsid w:val="001C114C"/>
    <w:rsid w:val="001C1596"/>
    <w:rsid w:val="001C1960"/>
    <w:rsid w:val="001C19FA"/>
    <w:rsid w:val="001C1A4D"/>
    <w:rsid w:val="001C1A7E"/>
    <w:rsid w:val="001C1BD7"/>
    <w:rsid w:val="001C1CA4"/>
    <w:rsid w:val="001C2252"/>
    <w:rsid w:val="001C22ED"/>
    <w:rsid w:val="001C2336"/>
    <w:rsid w:val="001C2496"/>
    <w:rsid w:val="001C285A"/>
    <w:rsid w:val="001C2883"/>
    <w:rsid w:val="001C28BB"/>
    <w:rsid w:val="001C2A47"/>
    <w:rsid w:val="001C2AAF"/>
    <w:rsid w:val="001C2F01"/>
    <w:rsid w:val="001C3153"/>
    <w:rsid w:val="001C31D6"/>
    <w:rsid w:val="001C3347"/>
    <w:rsid w:val="001C33CF"/>
    <w:rsid w:val="001C342E"/>
    <w:rsid w:val="001C3484"/>
    <w:rsid w:val="001C355C"/>
    <w:rsid w:val="001C35A5"/>
    <w:rsid w:val="001C35C6"/>
    <w:rsid w:val="001C3A3D"/>
    <w:rsid w:val="001C3D10"/>
    <w:rsid w:val="001C3D9C"/>
    <w:rsid w:val="001C3FC4"/>
    <w:rsid w:val="001C4012"/>
    <w:rsid w:val="001C4101"/>
    <w:rsid w:val="001C424B"/>
    <w:rsid w:val="001C42A8"/>
    <w:rsid w:val="001C4364"/>
    <w:rsid w:val="001C448F"/>
    <w:rsid w:val="001C44E7"/>
    <w:rsid w:val="001C478A"/>
    <w:rsid w:val="001C492A"/>
    <w:rsid w:val="001C49B5"/>
    <w:rsid w:val="001C4B87"/>
    <w:rsid w:val="001C4C1E"/>
    <w:rsid w:val="001C4CA5"/>
    <w:rsid w:val="001C526E"/>
    <w:rsid w:val="001C539A"/>
    <w:rsid w:val="001C5485"/>
    <w:rsid w:val="001C54E3"/>
    <w:rsid w:val="001C56F3"/>
    <w:rsid w:val="001C57B4"/>
    <w:rsid w:val="001C5853"/>
    <w:rsid w:val="001C58D9"/>
    <w:rsid w:val="001C5C08"/>
    <w:rsid w:val="001C5FC6"/>
    <w:rsid w:val="001C6109"/>
    <w:rsid w:val="001C6174"/>
    <w:rsid w:val="001C61A7"/>
    <w:rsid w:val="001C625F"/>
    <w:rsid w:val="001C632A"/>
    <w:rsid w:val="001C663C"/>
    <w:rsid w:val="001C664D"/>
    <w:rsid w:val="001C67BF"/>
    <w:rsid w:val="001C6B9F"/>
    <w:rsid w:val="001C6D47"/>
    <w:rsid w:val="001C6D66"/>
    <w:rsid w:val="001C6EDC"/>
    <w:rsid w:val="001C7046"/>
    <w:rsid w:val="001C7547"/>
    <w:rsid w:val="001C76E8"/>
    <w:rsid w:val="001C77D7"/>
    <w:rsid w:val="001C7AE3"/>
    <w:rsid w:val="001C7D47"/>
    <w:rsid w:val="001C7D4C"/>
    <w:rsid w:val="001C7E82"/>
    <w:rsid w:val="001D0025"/>
    <w:rsid w:val="001D0106"/>
    <w:rsid w:val="001D0698"/>
    <w:rsid w:val="001D06FA"/>
    <w:rsid w:val="001D0810"/>
    <w:rsid w:val="001D0B25"/>
    <w:rsid w:val="001D0CA7"/>
    <w:rsid w:val="001D0E05"/>
    <w:rsid w:val="001D0E48"/>
    <w:rsid w:val="001D0EB1"/>
    <w:rsid w:val="001D118A"/>
    <w:rsid w:val="001D11C1"/>
    <w:rsid w:val="001D1397"/>
    <w:rsid w:val="001D14A3"/>
    <w:rsid w:val="001D1682"/>
    <w:rsid w:val="001D1A09"/>
    <w:rsid w:val="001D1B07"/>
    <w:rsid w:val="001D1B12"/>
    <w:rsid w:val="001D1C81"/>
    <w:rsid w:val="001D1CA4"/>
    <w:rsid w:val="001D1CAF"/>
    <w:rsid w:val="001D1D6C"/>
    <w:rsid w:val="001D1EEF"/>
    <w:rsid w:val="001D1FC0"/>
    <w:rsid w:val="001D200A"/>
    <w:rsid w:val="001D250C"/>
    <w:rsid w:val="001D2560"/>
    <w:rsid w:val="001D26FF"/>
    <w:rsid w:val="001D28CF"/>
    <w:rsid w:val="001D2A5E"/>
    <w:rsid w:val="001D2AFF"/>
    <w:rsid w:val="001D2B8C"/>
    <w:rsid w:val="001D2BAB"/>
    <w:rsid w:val="001D2BC8"/>
    <w:rsid w:val="001D2BD3"/>
    <w:rsid w:val="001D3144"/>
    <w:rsid w:val="001D3151"/>
    <w:rsid w:val="001D32B6"/>
    <w:rsid w:val="001D33D9"/>
    <w:rsid w:val="001D349D"/>
    <w:rsid w:val="001D3893"/>
    <w:rsid w:val="001D39CA"/>
    <w:rsid w:val="001D3AF5"/>
    <w:rsid w:val="001D3B4C"/>
    <w:rsid w:val="001D3DBD"/>
    <w:rsid w:val="001D3DCF"/>
    <w:rsid w:val="001D3EF7"/>
    <w:rsid w:val="001D407B"/>
    <w:rsid w:val="001D4311"/>
    <w:rsid w:val="001D4393"/>
    <w:rsid w:val="001D4586"/>
    <w:rsid w:val="001D4791"/>
    <w:rsid w:val="001D4839"/>
    <w:rsid w:val="001D4908"/>
    <w:rsid w:val="001D4A62"/>
    <w:rsid w:val="001D4F25"/>
    <w:rsid w:val="001D5281"/>
    <w:rsid w:val="001D5470"/>
    <w:rsid w:val="001D5513"/>
    <w:rsid w:val="001D56CE"/>
    <w:rsid w:val="001D57DD"/>
    <w:rsid w:val="001D5B74"/>
    <w:rsid w:val="001D5BD7"/>
    <w:rsid w:val="001D5CA1"/>
    <w:rsid w:val="001D5D35"/>
    <w:rsid w:val="001D5F97"/>
    <w:rsid w:val="001D6212"/>
    <w:rsid w:val="001D6334"/>
    <w:rsid w:val="001D65D7"/>
    <w:rsid w:val="001D67EE"/>
    <w:rsid w:val="001D6839"/>
    <w:rsid w:val="001D6AB2"/>
    <w:rsid w:val="001D6AF0"/>
    <w:rsid w:val="001D6B7B"/>
    <w:rsid w:val="001D6C51"/>
    <w:rsid w:val="001D6D21"/>
    <w:rsid w:val="001D6E44"/>
    <w:rsid w:val="001D6FCE"/>
    <w:rsid w:val="001D7165"/>
    <w:rsid w:val="001D73D1"/>
    <w:rsid w:val="001D75E6"/>
    <w:rsid w:val="001D7AD3"/>
    <w:rsid w:val="001D7C77"/>
    <w:rsid w:val="001D7D3C"/>
    <w:rsid w:val="001E00E8"/>
    <w:rsid w:val="001E0191"/>
    <w:rsid w:val="001E030D"/>
    <w:rsid w:val="001E0438"/>
    <w:rsid w:val="001E046C"/>
    <w:rsid w:val="001E0755"/>
    <w:rsid w:val="001E081D"/>
    <w:rsid w:val="001E08C3"/>
    <w:rsid w:val="001E08F6"/>
    <w:rsid w:val="001E091E"/>
    <w:rsid w:val="001E0B06"/>
    <w:rsid w:val="001E0B71"/>
    <w:rsid w:val="001E0C5A"/>
    <w:rsid w:val="001E0D0D"/>
    <w:rsid w:val="001E0D13"/>
    <w:rsid w:val="001E0E21"/>
    <w:rsid w:val="001E1094"/>
    <w:rsid w:val="001E1095"/>
    <w:rsid w:val="001E13F6"/>
    <w:rsid w:val="001E1576"/>
    <w:rsid w:val="001E16B2"/>
    <w:rsid w:val="001E18BA"/>
    <w:rsid w:val="001E18DC"/>
    <w:rsid w:val="001E1A0F"/>
    <w:rsid w:val="001E1C58"/>
    <w:rsid w:val="001E1DC7"/>
    <w:rsid w:val="001E1E37"/>
    <w:rsid w:val="001E1E38"/>
    <w:rsid w:val="001E1EBB"/>
    <w:rsid w:val="001E1F01"/>
    <w:rsid w:val="001E1FFE"/>
    <w:rsid w:val="001E2310"/>
    <w:rsid w:val="001E258D"/>
    <w:rsid w:val="001E271D"/>
    <w:rsid w:val="001E2757"/>
    <w:rsid w:val="001E27CF"/>
    <w:rsid w:val="001E2E84"/>
    <w:rsid w:val="001E2FCC"/>
    <w:rsid w:val="001E3037"/>
    <w:rsid w:val="001E328C"/>
    <w:rsid w:val="001E33FB"/>
    <w:rsid w:val="001E347A"/>
    <w:rsid w:val="001E3778"/>
    <w:rsid w:val="001E3C5E"/>
    <w:rsid w:val="001E3C7B"/>
    <w:rsid w:val="001E3E5E"/>
    <w:rsid w:val="001E3F4A"/>
    <w:rsid w:val="001E41DC"/>
    <w:rsid w:val="001E4438"/>
    <w:rsid w:val="001E45CD"/>
    <w:rsid w:val="001E460B"/>
    <w:rsid w:val="001E47E6"/>
    <w:rsid w:val="001E487A"/>
    <w:rsid w:val="001E49C2"/>
    <w:rsid w:val="001E4A6B"/>
    <w:rsid w:val="001E4A71"/>
    <w:rsid w:val="001E4AB0"/>
    <w:rsid w:val="001E4B94"/>
    <w:rsid w:val="001E4C74"/>
    <w:rsid w:val="001E4C94"/>
    <w:rsid w:val="001E4F23"/>
    <w:rsid w:val="001E4F3D"/>
    <w:rsid w:val="001E50BF"/>
    <w:rsid w:val="001E51B6"/>
    <w:rsid w:val="001E52F1"/>
    <w:rsid w:val="001E5369"/>
    <w:rsid w:val="001E53F8"/>
    <w:rsid w:val="001E547A"/>
    <w:rsid w:val="001E55E9"/>
    <w:rsid w:val="001E5658"/>
    <w:rsid w:val="001E590C"/>
    <w:rsid w:val="001E5B25"/>
    <w:rsid w:val="001E5C14"/>
    <w:rsid w:val="001E5C7A"/>
    <w:rsid w:val="001E5CD1"/>
    <w:rsid w:val="001E607D"/>
    <w:rsid w:val="001E609B"/>
    <w:rsid w:val="001E609D"/>
    <w:rsid w:val="001E6406"/>
    <w:rsid w:val="001E6635"/>
    <w:rsid w:val="001E6650"/>
    <w:rsid w:val="001E6852"/>
    <w:rsid w:val="001E685D"/>
    <w:rsid w:val="001E68CE"/>
    <w:rsid w:val="001E6B98"/>
    <w:rsid w:val="001E6C41"/>
    <w:rsid w:val="001E6C80"/>
    <w:rsid w:val="001E6CB0"/>
    <w:rsid w:val="001E7356"/>
    <w:rsid w:val="001E7359"/>
    <w:rsid w:val="001E7364"/>
    <w:rsid w:val="001E736D"/>
    <w:rsid w:val="001E74E0"/>
    <w:rsid w:val="001E74E7"/>
    <w:rsid w:val="001E776B"/>
    <w:rsid w:val="001E7798"/>
    <w:rsid w:val="001E78E7"/>
    <w:rsid w:val="001E78EA"/>
    <w:rsid w:val="001E7C0B"/>
    <w:rsid w:val="001E7C5A"/>
    <w:rsid w:val="001E7CD3"/>
    <w:rsid w:val="001E7E93"/>
    <w:rsid w:val="001E7F76"/>
    <w:rsid w:val="001E7FA1"/>
    <w:rsid w:val="001F001A"/>
    <w:rsid w:val="001F003E"/>
    <w:rsid w:val="001F0170"/>
    <w:rsid w:val="001F017D"/>
    <w:rsid w:val="001F0491"/>
    <w:rsid w:val="001F054A"/>
    <w:rsid w:val="001F06E2"/>
    <w:rsid w:val="001F0728"/>
    <w:rsid w:val="001F0803"/>
    <w:rsid w:val="001F0938"/>
    <w:rsid w:val="001F0D1E"/>
    <w:rsid w:val="001F0DCE"/>
    <w:rsid w:val="001F10FD"/>
    <w:rsid w:val="001F1120"/>
    <w:rsid w:val="001F13DC"/>
    <w:rsid w:val="001F1545"/>
    <w:rsid w:val="001F15B7"/>
    <w:rsid w:val="001F1644"/>
    <w:rsid w:val="001F175C"/>
    <w:rsid w:val="001F1772"/>
    <w:rsid w:val="001F17AD"/>
    <w:rsid w:val="001F17B8"/>
    <w:rsid w:val="001F1841"/>
    <w:rsid w:val="001F1AA1"/>
    <w:rsid w:val="001F1BE5"/>
    <w:rsid w:val="001F1C65"/>
    <w:rsid w:val="001F1F8C"/>
    <w:rsid w:val="001F2003"/>
    <w:rsid w:val="001F200C"/>
    <w:rsid w:val="001F212F"/>
    <w:rsid w:val="001F22FC"/>
    <w:rsid w:val="001F27CC"/>
    <w:rsid w:val="001F28BE"/>
    <w:rsid w:val="001F2BA6"/>
    <w:rsid w:val="001F2CB6"/>
    <w:rsid w:val="001F2D06"/>
    <w:rsid w:val="001F2EDB"/>
    <w:rsid w:val="001F2F95"/>
    <w:rsid w:val="001F30B4"/>
    <w:rsid w:val="001F317E"/>
    <w:rsid w:val="001F31C8"/>
    <w:rsid w:val="001F333C"/>
    <w:rsid w:val="001F33C1"/>
    <w:rsid w:val="001F3410"/>
    <w:rsid w:val="001F342F"/>
    <w:rsid w:val="001F34DB"/>
    <w:rsid w:val="001F3587"/>
    <w:rsid w:val="001F3671"/>
    <w:rsid w:val="001F36D4"/>
    <w:rsid w:val="001F3860"/>
    <w:rsid w:val="001F388A"/>
    <w:rsid w:val="001F3AFA"/>
    <w:rsid w:val="001F3DA8"/>
    <w:rsid w:val="001F4008"/>
    <w:rsid w:val="001F40E7"/>
    <w:rsid w:val="001F41A6"/>
    <w:rsid w:val="001F41FD"/>
    <w:rsid w:val="001F4352"/>
    <w:rsid w:val="001F4421"/>
    <w:rsid w:val="001F4492"/>
    <w:rsid w:val="001F4555"/>
    <w:rsid w:val="001F47C3"/>
    <w:rsid w:val="001F48B0"/>
    <w:rsid w:val="001F496D"/>
    <w:rsid w:val="001F4A1C"/>
    <w:rsid w:val="001F4B79"/>
    <w:rsid w:val="001F4DD0"/>
    <w:rsid w:val="001F4E6D"/>
    <w:rsid w:val="001F4E89"/>
    <w:rsid w:val="001F4F79"/>
    <w:rsid w:val="001F500A"/>
    <w:rsid w:val="001F51E9"/>
    <w:rsid w:val="001F531E"/>
    <w:rsid w:val="001F53F6"/>
    <w:rsid w:val="001F53FE"/>
    <w:rsid w:val="001F5453"/>
    <w:rsid w:val="001F570E"/>
    <w:rsid w:val="001F5801"/>
    <w:rsid w:val="001F582E"/>
    <w:rsid w:val="001F58D1"/>
    <w:rsid w:val="001F5965"/>
    <w:rsid w:val="001F59D9"/>
    <w:rsid w:val="001F5A2E"/>
    <w:rsid w:val="001F5BC8"/>
    <w:rsid w:val="001F5CF4"/>
    <w:rsid w:val="001F5DB5"/>
    <w:rsid w:val="001F5E18"/>
    <w:rsid w:val="001F5E2B"/>
    <w:rsid w:val="001F60D6"/>
    <w:rsid w:val="001F62D8"/>
    <w:rsid w:val="001F6482"/>
    <w:rsid w:val="001F64C6"/>
    <w:rsid w:val="001F683C"/>
    <w:rsid w:val="001F69F0"/>
    <w:rsid w:val="001F6B9D"/>
    <w:rsid w:val="001F6EBE"/>
    <w:rsid w:val="001F6F5E"/>
    <w:rsid w:val="001F7000"/>
    <w:rsid w:val="001F7002"/>
    <w:rsid w:val="001F70BB"/>
    <w:rsid w:val="001F7196"/>
    <w:rsid w:val="001F7285"/>
    <w:rsid w:val="001F73BB"/>
    <w:rsid w:val="001F73DD"/>
    <w:rsid w:val="001F7460"/>
    <w:rsid w:val="001F7462"/>
    <w:rsid w:val="001F7A8A"/>
    <w:rsid w:val="001F7E04"/>
    <w:rsid w:val="001F7E8D"/>
    <w:rsid w:val="001F7EB1"/>
    <w:rsid w:val="001F7F0C"/>
    <w:rsid w:val="00200002"/>
    <w:rsid w:val="0020000F"/>
    <w:rsid w:val="00200185"/>
    <w:rsid w:val="002001E4"/>
    <w:rsid w:val="002003A3"/>
    <w:rsid w:val="0020044E"/>
    <w:rsid w:val="002004D9"/>
    <w:rsid w:val="00200775"/>
    <w:rsid w:val="002007EC"/>
    <w:rsid w:val="00200897"/>
    <w:rsid w:val="0020091C"/>
    <w:rsid w:val="002009D5"/>
    <w:rsid w:val="002009DA"/>
    <w:rsid w:val="00200C2C"/>
    <w:rsid w:val="00200EED"/>
    <w:rsid w:val="0020125A"/>
    <w:rsid w:val="002013EC"/>
    <w:rsid w:val="00201784"/>
    <w:rsid w:val="002017F3"/>
    <w:rsid w:val="00201811"/>
    <w:rsid w:val="002018CA"/>
    <w:rsid w:val="00201B58"/>
    <w:rsid w:val="00201DD1"/>
    <w:rsid w:val="002025B7"/>
    <w:rsid w:val="002025D2"/>
    <w:rsid w:val="00202657"/>
    <w:rsid w:val="0020267D"/>
    <w:rsid w:val="00202798"/>
    <w:rsid w:val="002027F0"/>
    <w:rsid w:val="002028A5"/>
    <w:rsid w:val="00202A56"/>
    <w:rsid w:val="00202B5D"/>
    <w:rsid w:val="00202E1C"/>
    <w:rsid w:val="00203242"/>
    <w:rsid w:val="002032C7"/>
    <w:rsid w:val="00203528"/>
    <w:rsid w:val="00203659"/>
    <w:rsid w:val="002036CF"/>
    <w:rsid w:val="00203867"/>
    <w:rsid w:val="0020389F"/>
    <w:rsid w:val="002038F9"/>
    <w:rsid w:val="002038FF"/>
    <w:rsid w:val="00203D03"/>
    <w:rsid w:val="00203E31"/>
    <w:rsid w:val="0020400B"/>
    <w:rsid w:val="00204110"/>
    <w:rsid w:val="00204130"/>
    <w:rsid w:val="00204366"/>
    <w:rsid w:val="00204528"/>
    <w:rsid w:val="00204639"/>
    <w:rsid w:val="00204725"/>
    <w:rsid w:val="002047A5"/>
    <w:rsid w:val="00204814"/>
    <w:rsid w:val="00204A21"/>
    <w:rsid w:val="00204CB9"/>
    <w:rsid w:val="00204DB8"/>
    <w:rsid w:val="00204DEF"/>
    <w:rsid w:val="0020526C"/>
    <w:rsid w:val="002053A4"/>
    <w:rsid w:val="0020581C"/>
    <w:rsid w:val="00205951"/>
    <w:rsid w:val="002059C0"/>
    <w:rsid w:val="002059EA"/>
    <w:rsid w:val="00205AC4"/>
    <w:rsid w:val="00205BA9"/>
    <w:rsid w:val="00205BE5"/>
    <w:rsid w:val="00205C30"/>
    <w:rsid w:val="00205EC5"/>
    <w:rsid w:val="002061D2"/>
    <w:rsid w:val="0020623A"/>
    <w:rsid w:val="0020640F"/>
    <w:rsid w:val="002064DC"/>
    <w:rsid w:val="00206553"/>
    <w:rsid w:val="00206587"/>
    <w:rsid w:val="0020666F"/>
    <w:rsid w:val="00206855"/>
    <w:rsid w:val="00206A00"/>
    <w:rsid w:val="00206A64"/>
    <w:rsid w:val="00206A8E"/>
    <w:rsid w:val="00206E06"/>
    <w:rsid w:val="00206F9A"/>
    <w:rsid w:val="0020706F"/>
    <w:rsid w:val="00207070"/>
    <w:rsid w:val="002072D5"/>
    <w:rsid w:val="002073E5"/>
    <w:rsid w:val="002074B4"/>
    <w:rsid w:val="0020752C"/>
    <w:rsid w:val="00207607"/>
    <w:rsid w:val="00207782"/>
    <w:rsid w:val="00207795"/>
    <w:rsid w:val="002077D3"/>
    <w:rsid w:val="00207878"/>
    <w:rsid w:val="002078DA"/>
    <w:rsid w:val="00207C27"/>
    <w:rsid w:val="00207C52"/>
    <w:rsid w:val="00207D5A"/>
    <w:rsid w:val="00207F5E"/>
    <w:rsid w:val="002101AE"/>
    <w:rsid w:val="0021026A"/>
    <w:rsid w:val="002103AD"/>
    <w:rsid w:val="002103D3"/>
    <w:rsid w:val="002104D3"/>
    <w:rsid w:val="0021056F"/>
    <w:rsid w:val="002105AB"/>
    <w:rsid w:val="002105D6"/>
    <w:rsid w:val="002108C2"/>
    <w:rsid w:val="002108F9"/>
    <w:rsid w:val="00210A0D"/>
    <w:rsid w:val="00210B57"/>
    <w:rsid w:val="00210D14"/>
    <w:rsid w:val="00211001"/>
    <w:rsid w:val="002111A6"/>
    <w:rsid w:val="002112C2"/>
    <w:rsid w:val="0021146D"/>
    <w:rsid w:val="00211511"/>
    <w:rsid w:val="00211607"/>
    <w:rsid w:val="002116AA"/>
    <w:rsid w:val="00211767"/>
    <w:rsid w:val="00211ACE"/>
    <w:rsid w:val="00211EC2"/>
    <w:rsid w:val="00211EF0"/>
    <w:rsid w:val="002120B1"/>
    <w:rsid w:val="002121B8"/>
    <w:rsid w:val="0021225A"/>
    <w:rsid w:val="0021250E"/>
    <w:rsid w:val="0021252E"/>
    <w:rsid w:val="00212633"/>
    <w:rsid w:val="00212B8D"/>
    <w:rsid w:val="00212FA4"/>
    <w:rsid w:val="00212FCC"/>
    <w:rsid w:val="002132A2"/>
    <w:rsid w:val="002133CD"/>
    <w:rsid w:val="0021343D"/>
    <w:rsid w:val="00213447"/>
    <w:rsid w:val="002136C2"/>
    <w:rsid w:val="0021376E"/>
    <w:rsid w:val="00213B64"/>
    <w:rsid w:val="00213C06"/>
    <w:rsid w:val="00213C3E"/>
    <w:rsid w:val="00213CB6"/>
    <w:rsid w:val="00213E0A"/>
    <w:rsid w:val="00214000"/>
    <w:rsid w:val="0021408D"/>
    <w:rsid w:val="002140DC"/>
    <w:rsid w:val="00214271"/>
    <w:rsid w:val="00214365"/>
    <w:rsid w:val="00214399"/>
    <w:rsid w:val="00214568"/>
    <w:rsid w:val="0021459F"/>
    <w:rsid w:val="0021488E"/>
    <w:rsid w:val="00214AF5"/>
    <w:rsid w:val="00214DF8"/>
    <w:rsid w:val="00214F97"/>
    <w:rsid w:val="00215086"/>
    <w:rsid w:val="00215118"/>
    <w:rsid w:val="002153B2"/>
    <w:rsid w:val="002157BF"/>
    <w:rsid w:val="002158E7"/>
    <w:rsid w:val="00215C25"/>
    <w:rsid w:val="00215D5E"/>
    <w:rsid w:val="00215EB0"/>
    <w:rsid w:val="00215EE6"/>
    <w:rsid w:val="00215FF7"/>
    <w:rsid w:val="00216375"/>
    <w:rsid w:val="00216382"/>
    <w:rsid w:val="00216505"/>
    <w:rsid w:val="0021660F"/>
    <w:rsid w:val="002166CF"/>
    <w:rsid w:val="0021687D"/>
    <w:rsid w:val="00216A27"/>
    <w:rsid w:val="00216B5E"/>
    <w:rsid w:val="00216B91"/>
    <w:rsid w:val="00216C8D"/>
    <w:rsid w:val="00216CB5"/>
    <w:rsid w:val="0021709B"/>
    <w:rsid w:val="002172DF"/>
    <w:rsid w:val="00217407"/>
    <w:rsid w:val="00217578"/>
    <w:rsid w:val="002175B0"/>
    <w:rsid w:val="00217849"/>
    <w:rsid w:val="00217A5C"/>
    <w:rsid w:val="00217BD3"/>
    <w:rsid w:val="00217DD9"/>
    <w:rsid w:val="00217E54"/>
    <w:rsid w:val="00217FC2"/>
    <w:rsid w:val="00217FEE"/>
    <w:rsid w:val="002201A5"/>
    <w:rsid w:val="002201CB"/>
    <w:rsid w:val="002201F1"/>
    <w:rsid w:val="00220362"/>
    <w:rsid w:val="00220550"/>
    <w:rsid w:val="0022089C"/>
    <w:rsid w:val="002208A3"/>
    <w:rsid w:val="00220B35"/>
    <w:rsid w:val="00220E76"/>
    <w:rsid w:val="00221255"/>
    <w:rsid w:val="00221792"/>
    <w:rsid w:val="002217C4"/>
    <w:rsid w:val="00221AFA"/>
    <w:rsid w:val="00221FEB"/>
    <w:rsid w:val="002222D9"/>
    <w:rsid w:val="002224D9"/>
    <w:rsid w:val="002224EC"/>
    <w:rsid w:val="00222656"/>
    <w:rsid w:val="00222708"/>
    <w:rsid w:val="002227C5"/>
    <w:rsid w:val="00222862"/>
    <w:rsid w:val="00222951"/>
    <w:rsid w:val="00222A32"/>
    <w:rsid w:val="00222BE6"/>
    <w:rsid w:val="00222D89"/>
    <w:rsid w:val="00222EC4"/>
    <w:rsid w:val="00222FA2"/>
    <w:rsid w:val="0022323B"/>
    <w:rsid w:val="002233DA"/>
    <w:rsid w:val="002235B5"/>
    <w:rsid w:val="00223631"/>
    <w:rsid w:val="002236EF"/>
    <w:rsid w:val="002237B2"/>
    <w:rsid w:val="002238B7"/>
    <w:rsid w:val="00223957"/>
    <w:rsid w:val="00223D6E"/>
    <w:rsid w:val="00223D9D"/>
    <w:rsid w:val="0022427C"/>
    <w:rsid w:val="00224291"/>
    <w:rsid w:val="0022431B"/>
    <w:rsid w:val="00224695"/>
    <w:rsid w:val="00224713"/>
    <w:rsid w:val="002248F8"/>
    <w:rsid w:val="00224911"/>
    <w:rsid w:val="00224C14"/>
    <w:rsid w:val="00224E1D"/>
    <w:rsid w:val="00224E69"/>
    <w:rsid w:val="00224EB5"/>
    <w:rsid w:val="00224ECB"/>
    <w:rsid w:val="00225340"/>
    <w:rsid w:val="002253A7"/>
    <w:rsid w:val="0022542D"/>
    <w:rsid w:val="002254D6"/>
    <w:rsid w:val="002257CC"/>
    <w:rsid w:val="00225806"/>
    <w:rsid w:val="002258FD"/>
    <w:rsid w:val="00225BF0"/>
    <w:rsid w:val="00225CF7"/>
    <w:rsid w:val="00225DDB"/>
    <w:rsid w:val="00225F72"/>
    <w:rsid w:val="002260E2"/>
    <w:rsid w:val="00226358"/>
    <w:rsid w:val="00226597"/>
    <w:rsid w:val="002269C8"/>
    <w:rsid w:val="00226A9D"/>
    <w:rsid w:val="00226AD7"/>
    <w:rsid w:val="00226C4B"/>
    <w:rsid w:val="00226CCF"/>
    <w:rsid w:val="00226E14"/>
    <w:rsid w:val="00226FF7"/>
    <w:rsid w:val="00227055"/>
    <w:rsid w:val="002271C0"/>
    <w:rsid w:val="002272E5"/>
    <w:rsid w:val="00227828"/>
    <w:rsid w:val="00227882"/>
    <w:rsid w:val="002278BC"/>
    <w:rsid w:val="0022792A"/>
    <w:rsid w:val="002279BE"/>
    <w:rsid w:val="00227AF4"/>
    <w:rsid w:val="00227B42"/>
    <w:rsid w:val="00227C6F"/>
    <w:rsid w:val="00227F22"/>
    <w:rsid w:val="00227F62"/>
    <w:rsid w:val="00227FE3"/>
    <w:rsid w:val="002302E6"/>
    <w:rsid w:val="00230358"/>
    <w:rsid w:val="002303BC"/>
    <w:rsid w:val="00230535"/>
    <w:rsid w:val="002306B3"/>
    <w:rsid w:val="002306CB"/>
    <w:rsid w:val="002306DB"/>
    <w:rsid w:val="00230965"/>
    <w:rsid w:val="00230A57"/>
    <w:rsid w:val="00230AC9"/>
    <w:rsid w:val="00230AD9"/>
    <w:rsid w:val="00230CDF"/>
    <w:rsid w:val="00230CE4"/>
    <w:rsid w:val="00230FF7"/>
    <w:rsid w:val="002311A7"/>
    <w:rsid w:val="002311DD"/>
    <w:rsid w:val="002312A3"/>
    <w:rsid w:val="00231388"/>
    <w:rsid w:val="00231832"/>
    <w:rsid w:val="00231988"/>
    <w:rsid w:val="00231B22"/>
    <w:rsid w:val="00232057"/>
    <w:rsid w:val="0023211D"/>
    <w:rsid w:val="002321E6"/>
    <w:rsid w:val="002323D3"/>
    <w:rsid w:val="0023288B"/>
    <w:rsid w:val="00232A61"/>
    <w:rsid w:val="00232A66"/>
    <w:rsid w:val="00232AC4"/>
    <w:rsid w:val="00232B3F"/>
    <w:rsid w:val="00232E2B"/>
    <w:rsid w:val="002333FB"/>
    <w:rsid w:val="002334D6"/>
    <w:rsid w:val="0023370C"/>
    <w:rsid w:val="00233746"/>
    <w:rsid w:val="00233777"/>
    <w:rsid w:val="002337A3"/>
    <w:rsid w:val="0023384C"/>
    <w:rsid w:val="0023398F"/>
    <w:rsid w:val="00233DD2"/>
    <w:rsid w:val="00233EE6"/>
    <w:rsid w:val="00233FA1"/>
    <w:rsid w:val="0023401B"/>
    <w:rsid w:val="0023412C"/>
    <w:rsid w:val="00234340"/>
    <w:rsid w:val="002343F1"/>
    <w:rsid w:val="002344A2"/>
    <w:rsid w:val="00234CC2"/>
    <w:rsid w:val="00234D51"/>
    <w:rsid w:val="00234EAF"/>
    <w:rsid w:val="00235163"/>
    <w:rsid w:val="00235174"/>
    <w:rsid w:val="00235304"/>
    <w:rsid w:val="00235418"/>
    <w:rsid w:val="00235619"/>
    <w:rsid w:val="00235643"/>
    <w:rsid w:val="0023574C"/>
    <w:rsid w:val="00235A53"/>
    <w:rsid w:val="00235A99"/>
    <w:rsid w:val="00235AA3"/>
    <w:rsid w:val="00235AC4"/>
    <w:rsid w:val="00235BAD"/>
    <w:rsid w:val="00235BCB"/>
    <w:rsid w:val="00235C29"/>
    <w:rsid w:val="00235CEC"/>
    <w:rsid w:val="00236134"/>
    <w:rsid w:val="00236342"/>
    <w:rsid w:val="00236429"/>
    <w:rsid w:val="0023670A"/>
    <w:rsid w:val="00236AC2"/>
    <w:rsid w:val="00236F67"/>
    <w:rsid w:val="00236FDC"/>
    <w:rsid w:val="0023776D"/>
    <w:rsid w:val="00237B14"/>
    <w:rsid w:val="00237C14"/>
    <w:rsid w:val="00237E34"/>
    <w:rsid w:val="00237F3A"/>
    <w:rsid w:val="00237FCA"/>
    <w:rsid w:val="002400CE"/>
    <w:rsid w:val="00240211"/>
    <w:rsid w:val="0024027D"/>
    <w:rsid w:val="0024036C"/>
    <w:rsid w:val="00240501"/>
    <w:rsid w:val="0024093C"/>
    <w:rsid w:val="00240A6A"/>
    <w:rsid w:val="00241384"/>
    <w:rsid w:val="002413A0"/>
    <w:rsid w:val="002414F2"/>
    <w:rsid w:val="00241632"/>
    <w:rsid w:val="00241762"/>
    <w:rsid w:val="00241796"/>
    <w:rsid w:val="00241823"/>
    <w:rsid w:val="00241AFF"/>
    <w:rsid w:val="00241B8A"/>
    <w:rsid w:val="00241BE2"/>
    <w:rsid w:val="00241DE9"/>
    <w:rsid w:val="00241F0D"/>
    <w:rsid w:val="002420A7"/>
    <w:rsid w:val="002420B1"/>
    <w:rsid w:val="00242106"/>
    <w:rsid w:val="00242126"/>
    <w:rsid w:val="00242489"/>
    <w:rsid w:val="002424AD"/>
    <w:rsid w:val="0024259F"/>
    <w:rsid w:val="002425C7"/>
    <w:rsid w:val="00242733"/>
    <w:rsid w:val="0024282A"/>
    <w:rsid w:val="00242979"/>
    <w:rsid w:val="0024298C"/>
    <w:rsid w:val="00243448"/>
    <w:rsid w:val="00243515"/>
    <w:rsid w:val="0024353C"/>
    <w:rsid w:val="002435B0"/>
    <w:rsid w:val="00243B19"/>
    <w:rsid w:val="00243BA2"/>
    <w:rsid w:val="00243CB5"/>
    <w:rsid w:val="00243D0A"/>
    <w:rsid w:val="00243D1A"/>
    <w:rsid w:val="002440B5"/>
    <w:rsid w:val="002440FE"/>
    <w:rsid w:val="002442BE"/>
    <w:rsid w:val="002442F6"/>
    <w:rsid w:val="00244579"/>
    <w:rsid w:val="002445A9"/>
    <w:rsid w:val="00244649"/>
    <w:rsid w:val="002446C2"/>
    <w:rsid w:val="002446F1"/>
    <w:rsid w:val="002447C6"/>
    <w:rsid w:val="002448E3"/>
    <w:rsid w:val="00244906"/>
    <w:rsid w:val="00244BA9"/>
    <w:rsid w:val="00244DE0"/>
    <w:rsid w:val="00245060"/>
    <w:rsid w:val="0024512F"/>
    <w:rsid w:val="00245185"/>
    <w:rsid w:val="0024531F"/>
    <w:rsid w:val="0024548E"/>
    <w:rsid w:val="0024560D"/>
    <w:rsid w:val="00245634"/>
    <w:rsid w:val="0024566B"/>
    <w:rsid w:val="002456C7"/>
    <w:rsid w:val="002456D7"/>
    <w:rsid w:val="00245838"/>
    <w:rsid w:val="0024592C"/>
    <w:rsid w:val="00245A07"/>
    <w:rsid w:val="00245C44"/>
    <w:rsid w:val="00245EBD"/>
    <w:rsid w:val="00245ED8"/>
    <w:rsid w:val="00246087"/>
    <w:rsid w:val="00246347"/>
    <w:rsid w:val="00246655"/>
    <w:rsid w:val="00246876"/>
    <w:rsid w:val="00246991"/>
    <w:rsid w:val="00246C61"/>
    <w:rsid w:val="00246D4B"/>
    <w:rsid w:val="00247054"/>
    <w:rsid w:val="002470D4"/>
    <w:rsid w:val="00247191"/>
    <w:rsid w:val="0024725F"/>
    <w:rsid w:val="0024727B"/>
    <w:rsid w:val="002473DA"/>
    <w:rsid w:val="00247861"/>
    <w:rsid w:val="002479A6"/>
    <w:rsid w:val="002479E0"/>
    <w:rsid w:val="00247D68"/>
    <w:rsid w:val="00247EE6"/>
    <w:rsid w:val="0024E73B"/>
    <w:rsid w:val="00250031"/>
    <w:rsid w:val="00250074"/>
    <w:rsid w:val="0025007D"/>
    <w:rsid w:val="002500E6"/>
    <w:rsid w:val="002501FB"/>
    <w:rsid w:val="0025039E"/>
    <w:rsid w:val="00250427"/>
    <w:rsid w:val="00250659"/>
    <w:rsid w:val="002508B6"/>
    <w:rsid w:val="00250A88"/>
    <w:rsid w:val="00250AF7"/>
    <w:rsid w:val="00250CD6"/>
    <w:rsid w:val="00250D07"/>
    <w:rsid w:val="00250DE8"/>
    <w:rsid w:val="00250E0F"/>
    <w:rsid w:val="00250E98"/>
    <w:rsid w:val="0025108D"/>
    <w:rsid w:val="0025127D"/>
    <w:rsid w:val="002512C8"/>
    <w:rsid w:val="0025152B"/>
    <w:rsid w:val="00251612"/>
    <w:rsid w:val="0025176E"/>
    <w:rsid w:val="00251863"/>
    <w:rsid w:val="00251A56"/>
    <w:rsid w:val="00251AD8"/>
    <w:rsid w:val="00251D0A"/>
    <w:rsid w:val="00251F49"/>
    <w:rsid w:val="00251FED"/>
    <w:rsid w:val="00251FF2"/>
    <w:rsid w:val="00252153"/>
    <w:rsid w:val="002521B5"/>
    <w:rsid w:val="002521E2"/>
    <w:rsid w:val="0025220D"/>
    <w:rsid w:val="00252324"/>
    <w:rsid w:val="00252344"/>
    <w:rsid w:val="0025244F"/>
    <w:rsid w:val="0025246B"/>
    <w:rsid w:val="002526EF"/>
    <w:rsid w:val="00252738"/>
    <w:rsid w:val="002527F9"/>
    <w:rsid w:val="002528FB"/>
    <w:rsid w:val="002529EF"/>
    <w:rsid w:val="00252A48"/>
    <w:rsid w:val="00252B42"/>
    <w:rsid w:val="00252D8D"/>
    <w:rsid w:val="00252EA9"/>
    <w:rsid w:val="0025306F"/>
    <w:rsid w:val="00253196"/>
    <w:rsid w:val="002532CF"/>
    <w:rsid w:val="002533F0"/>
    <w:rsid w:val="002535A8"/>
    <w:rsid w:val="00253605"/>
    <w:rsid w:val="00253889"/>
    <w:rsid w:val="00253A81"/>
    <w:rsid w:val="00253B8F"/>
    <w:rsid w:val="00253CD7"/>
    <w:rsid w:val="00253CEA"/>
    <w:rsid w:val="00253DB4"/>
    <w:rsid w:val="0025402F"/>
    <w:rsid w:val="00254106"/>
    <w:rsid w:val="00254538"/>
    <w:rsid w:val="0025456D"/>
    <w:rsid w:val="002545B6"/>
    <w:rsid w:val="0025468D"/>
    <w:rsid w:val="0025491E"/>
    <w:rsid w:val="00254C4F"/>
    <w:rsid w:val="00254D54"/>
    <w:rsid w:val="00254E81"/>
    <w:rsid w:val="00254EA4"/>
    <w:rsid w:val="00254F23"/>
    <w:rsid w:val="00255059"/>
    <w:rsid w:val="00255060"/>
    <w:rsid w:val="002551A1"/>
    <w:rsid w:val="00255200"/>
    <w:rsid w:val="00255408"/>
    <w:rsid w:val="002556FC"/>
    <w:rsid w:val="0025578E"/>
    <w:rsid w:val="00255B05"/>
    <w:rsid w:val="00255B60"/>
    <w:rsid w:val="00255E0D"/>
    <w:rsid w:val="00255FAD"/>
    <w:rsid w:val="00255FD9"/>
    <w:rsid w:val="00256172"/>
    <w:rsid w:val="002561EF"/>
    <w:rsid w:val="0025654C"/>
    <w:rsid w:val="0025655A"/>
    <w:rsid w:val="00256621"/>
    <w:rsid w:val="00256905"/>
    <w:rsid w:val="002569EA"/>
    <w:rsid w:val="00256A11"/>
    <w:rsid w:val="00256A5C"/>
    <w:rsid w:val="00256D29"/>
    <w:rsid w:val="00256EAC"/>
    <w:rsid w:val="00256EB5"/>
    <w:rsid w:val="00256EF8"/>
    <w:rsid w:val="00256F31"/>
    <w:rsid w:val="00257018"/>
    <w:rsid w:val="0025703A"/>
    <w:rsid w:val="0025706E"/>
    <w:rsid w:val="0025707B"/>
    <w:rsid w:val="0025711B"/>
    <w:rsid w:val="002571FB"/>
    <w:rsid w:val="00257270"/>
    <w:rsid w:val="00257399"/>
    <w:rsid w:val="0025758D"/>
    <w:rsid w:val="00257672"/>
    <w:rsid w:val="00257808"/>
    <w:rsid w:val="002579DB"/>
    <w:rsid w:val="002579F3"/>
    <w:rsid w:val="00257DB4"/>
    <w:rsid w:val="00257E03"/>
    <w:rsid w:val="00257E6D"/>
    <w:rsid w:val="0026000E"/>
    <w:rsid w:val="002601DE"/>
    <w:rsid w:val="00260852"/>
    <w:rsid w:val="002609C3"/>
    <w:rsid w:val="00260C44"/>
    <w:rsid w:val="00260EF5"/>
    <w:rsid w:val="00260F6D"/>
    <w:rsid w:val="00261035"/>
    <w:rsid w:val="00261196"/>
    <w:rsid w:val="002611D1"/>
    <w:rsid w:val="00261268"/>
    <w:rsid w:val="002612FD"/>
    <w:rsid w:val="002616AC"/>
    <w:rsid w:val="002616E5"/>
    <w:rsid w:val="002616FD"/>
    <w:rsid w:val="002617A2"/>
    <w:rsid w:val="0026181E"/>
    <w:rsid w:val="0026184C"/>
    <w:rsid w:val="00261B83"/>
    <w:rsid w:val="00261F0E"/>
    <w:rsid w:val="00261FDE"/>
    <w:rsid w:val="002624E4"/>
    <w:rsid w:val="00262740"/>
    <w:rsid w:val="002627B0"/>
    <w:rsid w:val="00262803"/>
    <w:rsid w:val="00262936"/>
    <w:rsid w:val="00262A2E"/>
    <w:rsid w:val="00262D4F"/>
    <w:rsid w:val="00262E04"/>
    <w:rsid w:val="00262E06"/>
    <w:rsid w:val="00262E96"/>
    <w:rsid w:val="00263027"/>
    <w:rsid w:val="002631D6"/>
    <w:rsid w:val="002633D1"/>
    <w:rsid w:val="002634C8"/>
    <w:rsid w:val="00263AAD"/>
    <w:rsid w:val="00263BB1"/>
    <w:rsid w:val="00263D6B"/>
    <w:rsid w:val="00263D6C"/>
    <w:rsid w:val="00263ED2"/>
    <w:rsid w:val="0026425D"/>
    <w:rsid w:val="002645BF"/>
    <w:rsid w:val="00264753"/>
    <w:rsid w:val="00264BAE"/>
    <w:rsid w:val="00264C1B"/>
    <w:rsid w:val="00264C1D"/>
    <w:rsid w:val="00264D53"/>
    <w:rsid w:val="00264EA7"/>
    <w:rsid w:val="00265106"/>
    <w:rsid w:val="00265BF3"/>
    <w:rsid w:val="00265ED8"/>
    <w:rsid w:val="00266072"/>
    <w:rsid w:val="002661CF"/>
    <w:rsid w:val="00266476"/>
    <w:rsid w:val="002664A9"/>
    <w:rsid w:val="0026668C"/>
    <w:rsid w:val="002666DA"/>
    <w:rsid w:val="00266865"/>
    <w:rsid w:val="00266903"/>
    <w:rsid w:val="00266BB6"/>
    <w:rsid w:val="00266D48"/>
    <w:rsid w:val="00266E32"/>
    <w:rsid w:val="00267015"/>
    <w:rsid w:val="00267096"/>
    <w:rsid w:val="0026714C"/>
    <w:rsid w:val="00267231"/>
    <w:rsid w:val="002672F9"/>
    <w:rsid w:val="0026755F"/>
    <w:rsid w:val="002675AE"/>
    <w:rsid w:val="002677A0"/>
    <w:rsid w:val="002677B3"/>
    <w:rsid w:val="00267803"/>
    <w:rsid w:val="002678F6"/>
    <w:rsid w:val="00267D55"/>
    <w:rsid w:val="00267F2B"/>
    <w:rsid w:val="00267FDC"/>
    <w:rsid w:val="00270165"/>
    <w:rsid w:val="00270318"/>
    <w:rsid w:val="00270334"/>
    <w:rsid w:val="002704FE"/>
    <w:rsid w:val="002706B8"/>
    <w:rsid w:val="002707CA"/>
    <w:rsid w:val="00270833"/>
    <w:rsid w:val="002709E5"/>
    <w:rsid w:val="00270ADF"/>
    <w:rsid w:val="00270AF4"/>
    <w:rsid w:val="00270F30"/>
    <w:rsid w:val="00270F88"/>
    <w:rsid w:val="0027101E"/>
    <w:rsid w:val="0027104C"/>
    <w:rsid w:val="002710E6"/>
    <w:rsid w:val="0027183F"/>
    <w:rsid w:val="002719F2"/>
    <w:rsid w:val="00271A65"/>
    <w:rsid w:val="00271ABF"/>
    <w:rsid w:val="00271C37"/>
    <w:rsid w:val="00271E4B"/>
    <w:rsid w:val="00272151"/>
    <w:rsid w:val="00272195"/>
    <w:rsid w:val="0027219D"/>
    <w:rsid w:val="00272296"/>
    <w:rsid w:val="0027230A"/>
    <w:rsid w:val="00272360"/>
    <w:rsid w:val="00272481"/>
    <w:rsid w:val="00272585"/>
    <w:rsid w:val="002727BF"/>
    <w:rsid w:val="00272880"/>
    <w:rsid w:val="002728CA"/>
    <w:rsid w:val="00272A45"/>
    <w:rsid w:val="00272E79"/>
    <w:rsid w:val="002730D6"/>
    <w:rsid w:val="00273115"/>
    <w:rsid w:val="0027328F"/>
    <w:rsid w:val="002732D0"/>
    <w:rsid w:val="00273480"/>
    <w:rsid w:val="00273586"/>
    <w:rsid w:val="00273B5F"/>
    <w:rsid w:val="00273C45"/>
    <w:rsid w:val="00273DDA"/>
    <w:rsid w:val="00273F93"/>
    <w:rsid w:val="00273F98"/>
    <w:rsid w:val="00274026"/>
    <w:rsid w:val="00274038"/>
    <w:rsid w:val="00274066"/>
    <w:rsid w:val="002740BF"/>
    <w:rsid w:val="002743EA"/>
    <w:rsid w:val="00274C28"/>
    <w:rsid w:val="00274C29"/>
    <w:rsid w:val="00274E46"/>
    <w:rsid w:val="00274FBD"/>
    <w:rsid w:val="002750B0"/>
    <w:rsid w:val="00275101"/>
    <w:rsid w:val="00275113"/>
    <w:rsid w:val="0027513E"/>
    <w:rsid w:val="00275227"/>
    <w:rsid w:val="0027541A"/>
    <w:rsid w:val="00275511"/>
    <w:rsid w:val="00275AC6"/>
    <w:rsid w:val="00275B7D"/>
    <w:rsid w:val="00275BA9"/>
    <w:rsid w:val="00275C84"/>
    <w:rsid w:val="00275CC8"/>
    <w:rsid w:val="00275FD0"/>
    <w:rsid w:val="0027600F"/>
    <w:rsid w:val="00276115"/>
    <w:rsid w:val="002762DC"/>
    <w:rsid w:val="002763C5"/>
    <w:rsid w:val="00276417"/>
    <w:rsid w:val="002764A0"/>
    <w:rsid w:val="002764B9"/>
    <w:rsid w:val="0027659E"/>
    <w:rsid w:val="0027671E"/>
    <w:rsid w:val="002767C4"/>
    <w:rsid w:val="00276820"/>
    <w:rsid w:val="0027684A"/>
    <w:rsid w:val="002769FA"/>
    <w:rsid w:val="00276A3A"/>
    <w:rsid w:val="00276AA8"/>
    <w:rsid w:val="00276AC1"/>
    <w:rsid w:val="00276CCE"/>
    <w:rsid w:val="00276D7F"/>
    <w:rsid w:val="00277047"/>
    <w:rsid w:val="002770F0"/>
    <w:rsid w:val="0027715A"/>
    <w:rsid w:val="00277356"/>
    <w:rsid w:val="002773A1"/>
    <w:rsid w:val="0027745A"/>
    <w:rsid w:val="00277659"/>
    <w:rsid w:val="00277B3B"/>
    <w:rsid w:val="00277CE1"/>
    <w:rsid w:val="00280165"/>
    <w:rsid w:val="002802F7"/>
    <w:rsid w:val="00280368"/>
    <w:rsid w:val="00280830"/>
    <w:rsid w:val="00280921"/>
    <w:rsid w:val="00280C29"/>
    <w:rsid w:val="00280E88"/>
    <w:rsid w:val="0028100B"/>
    <w:rsid w:val="002811CF"/>
    <w:rsid w:val="0028136B"/>
    <w:rsid w:val="00281496"/>
    <w:rsid w:val="002816CC"/>
    <w:rsid w:val="0028181F"/>
    <w:rsid w:val="0028194C"/>
    <w:rsid w:val="00281D42"/>
    <w:rsid w:val="00281E83"/>
    <w:rsid w:val="00282202"/>
    <w:rsid w:val="00282224"/>
    <w:rsid w:val="002822B3"/>
    <w:rsid w:val="002822B9"/>
    <w:rsid w:val="002822C3"/>
    <w:rsid w:val="00282521"/>
    <w:rsid w:val="00282670"/>
    <w:rsid w:val="00282A6F"/>
    <w:rsid w:val="00282B57"/>
    <w:rsid w:val="00283156"/>
    <w:rsid w:val="0028324C"/>
    <w:rsid w:val="0028334C"/>
    <w:rsid w:val="00283367"/>
    <w:rsid w:val="002833AE"/>
    <w:rsid w:val="00283409"/>
    <w:rsid w:val="00283621"/>
    <w:rsid w:val="00283623"/>
    <w:rsid w:val="002838E8"/>
    <w:rsid w:val="00283C03"/>
    <w:rsid w:val="00283E36"/>
    <w:rsid w:val="00283EDA"/>
    <w:rsid w:val="00284093"/>
    <w:rsid w:val="002842F4"/>
    <w:rsid w:val="002843B7"/>
    <w:rsid w:val="00284573"/>
    <w:rsid w:val="002845FB"/>
    <w:rsid w:val="002848B4"/>
    <w:rsid w:val="00284CFE"/>
    <w:rsid w:val="00284EA9"/>
    <w:rsid w:val="00284EBA"/>
    <w:rsid w:val="00284FB4"/>
    <w:rsid w:val="0028505B"/>
    <w:rsid w:val="002850A2"/>
    <w:rsid w:val="002853FC"/>
    <w:rsid w:val="00285487"/>
    <w:rsid w:val="0028550F"/>
    <w:rsid w:val="002856F2"/>
    <w:rsid w:val="00285723"/>
    <w:rsid w:val="002857DB"/>
    <w:rsid w:val="00285841"/>
    <w:rsid w:val="002859FE"/>
    <w:rsid w:val="00285A4A"/>
    <w:rsid w:val="00285D30"/>
    <w:rsid w:val="00285DB3"/>
    <w:rsid w:val="00285DD0"/>
    <w:rsid w:val="0028619D"/>
    <w:rsid w:val="00286453"/>
    <w:rsid w:val="002864AF"/>
    <w:rsid w:val="002864B7"/>
    <w:rsid w:val="0028663C"/>
    <w:rsid w:val="0028671A"/>
    <w:rsid w:val="002869E4"/>
    <w:rsid w:val="00286A6B"/>
    <w:rsid w:val="00286B1F"/>
    <w:rsid w:val="00286BA4"/>
    <w:rsid w:val="00286CEA"/>
    <w:rsid w:val="00286D14"/>
    <w:rsid w:val="0028734F"/>
    <w:rsid w:val="00287536"/>
    <w:rsid w:val="00287642"/>
    <w:rsid w:val="00287937"/>
    <w:rsid w:val="00287A40"/>
    <w:rsid w:val="00287B7D"/>
    <w:rsid w:val="00287C59"/>
    <w:rsid w:val="00287CD3"/>
    <w:rsid w:val="00287D37"/>
    <w:rsid w:val="00287E39"/>
    <w:rsid w:val="00290075"/>
    <w:rsid w:val="00290124"/>
    <w:rsid w:val="002901C1"/>
    <w:rsid w:val="00290391"/>
    <w:rsid w:val="00290437"/>
    <w:rsid w:val="0029083E"/>
    <w:rsid w:val="00290BF2"/>
    <w:rsid w:val="00290DFB"/>
    <w:rsid w:val="00290EAD"/>
    <w:rsid w:val="00290ED9"/>
    <w:rsid w:val="0029118A"/>
    <w:rsid w:val="0029130D"/>
    <w:rsid w:val="002913FF"/>
    <w:rsid w:val="0029159B"/>
    <w:rsid w:val="00291794"/>
    <w:rsid w:val="00291839"/>
    <w:rsid w:val="00291A00"/>
    <w:rsid w:val="00291A72"/>
    <w:rsid w:val="00291A9D"/>
    <w:rsid w:val="00291C20"/>
    <w:rsid w:val="00291E4C"/>
    <w:rsid w:val="00291E75"/>
    <w:rsid w:val="00292114"/>
    <w:rsid w:val="00292195"/>
    <w:rsid w:val="002921A5"/>
    <w:rsid w:val="00292238"/>
    <w:rsid w:val="00292435"/>
    <w:rsid w:val="0029244C"/>
    <w:rsid w:val="00292512"/>
    <w:rsid w:val="00292635"/>
    <w:rsid w:val="002928D5"/>
    <w:rsid w:val="00292919"/>
    <w:rsid w:val="00292A4C"/>
    <w:rsid w:val="00292AF3"/>
    <w:rsid w:val="00292F98"/>
    <w:rsid w:val="00293043"/>
    <w:rsid w:val="00293082"/>
    <w:rsid w:val="00293225"/>
    <w:rsid w:val="002932F9"/>
    <w:rsid w:val="002933A6"/>
    <w:rsid w:val="002933B6"/>
    <w:rsid w:val="0029347D"/>
    <w:rsid w:val="00293605"/>
    <w:rsid w:val="0029374D"/>
    <w:rsid w:val="00293788"/>
    <w:rsid w:val="0029380C"/>
    <w:rsid w:val="0029389F"/>
    <w:rsid w:val="00293934"/>
    <w:rsid w:val="0029393F"/>
    <w:rsid w:val="00293975"/>
    <w:rsid w:val="00293AC6"/>
    <w:rsid w:val="00293B87"/>
    <w:rsid w:val="00293FED"/>
    <w:rsid w:val="0029405A"/>
    <w:rsid w:val="00294340"/>
    <w:rsid w:val="00294498"/>
    <w:rsid w:val="0029456A"/>
    <w:rsid w:val="0029489F"/>
    <w:rsid w:val="00294965"/>
    <w:rsid w:val="00294A0D"/>
    <w:rsid w:val="00294AA1"/>
    <w:rsid w:val="00294B95"/>
    <w:rsid w:val="00294BCC"/>
    <w:rsid w:val="00294D11"/>
    <w:rsid w:val="00294D31"/>
    <w:rsid w:val="00294E26"/>
    <w:rsid w:val="00294EEE"/>
    <w:rsid w:val="00295380"/>
    <w:rsid w:val="0029541F"/>
    <w:rsid w:val="002954CD"/>
    <w:rsid w:val="0029554F"/>
    <w:rsid w:val="002956BF"/>
    <w:rsid w:val="00295867"/>
    <w:rsid w:val="002958C8"/>
    <w:rsid w:val="00295BF5"/>
    <w:rsid w:val="00295C82"/>
    <w:rsid w:val="00295E33"/>
    <w:rsid w:val="00295F73"/>
    <w:rsid w:val="00295FA3"/>
    <w:rsid w:val="002960C4"/>
    <w:rsid w:val="002960D4"/>
    <w:rsid w:val="00296116"/>
    <w:rsid w:val="002961C4"/>
    <w:rsid w:val="00296494"/>
    <w:rsid w:val="0029673D"/>
    <w:rsid w:val="002968F9"/>
    <w:rsid w:val="00296927"/>
    <w:rsid w:val="002969DE"/>
    <w:rsid w:val="00296DE1"/>
    <w:rsid w:val="00296F21"/>
    <w:rsid w:val="002971CF"/>
    <w:rsid w:val="002971D0"/>
    <w:rsid w:val="00297609"/>
    <w:rsid w:val="00297631"/>
    <w:rsid w:val="0029765D"/>
    <w:rsid w:val="00297AC8"/>
    <w:rsid w:val="00297D03"/>
    <w:rsid w:val="00297DC9"/>
    <w:rsid w:val="00297E06"/>
    <w:rsid w:val="00297FF7"/>
    <w:rsid w:val="002A0014"/>
    <w:rsid w:val="002A0239"/>
    <w:rsid w:val="002A0291"/>
    <w:rsid w:val="002A03B1"/>
    <w:rsid w:val="002A03F7"/>
    <w:rsid w:val="002A046A"/>
    <w:rsid w:val="002A0694"/>
    <w:rsid w:val="002A0955"/>
    <w:rsid w:val="002A09BA"/>
    <w:rsid w:val="002A0A03"/>
    <w:rsid w:val="002A0B47"/>
    <w:rsid w:val="002A0BE2"/>
    <w:rsid w:val="002A0C15"/>
    <w:rsid w:val="002A0E32"/>
    <w:rsid w:val="002A0EA1"/>
    <w:rsid w:val="002A1132"/>
    <w:rsid w:val="002A115F"/>
    <w:rsid w:val="002A1241"/>
    <w:rsid w:val="002A1616"/>
    <w:rsid w:val="002A1702"/>
    <w:rsid w:val="002A1812"/>
    <w:rsid w:val="002A1903"/>
    <w:rsid w:val="002A1B63"/>
    <w:rsid w:val="002A1BB0"/>
    <w:rsid w:val="002A1D55"/>
    <w:rsid w:val="002A1D92"/>
    <w:rsid w:val="002A1DCA"/>
    <w:rsid w:val="002A1E0D"/>
    <w:rsid w:val="002A2027"/>
    <w:rsid w:val="002A206A"/>
    <w:rsid w:val="002A2378"/>
    <w:rsid w:val="002A247A"/>
    <w:rsid w:val="002A24A5"/>
    <w:rsid w:val="002A2619"/>
    <w:rsid w:val="002A280F"/>
    <w:rsid w:val="002A2CC1"/>
    <w:rsid w:val="002A2F97"/>
    <w:rsid w:val="002A2FE3"/>
    <w:rsid w:val="002A3159"/>
    <w:rsid w:val="002A31C3"/>
    <w:rsid w:val="002A3399"/>
    <w:rsid w:val="002A33ED"/>
    <w:rsid w:val="002A34A3"/>
    <w:rsid w:val="002A34E6"/>
    <w:rsid w:val="002A3525"/>
    <w:rsid w:val="002A3641"/>
    <w:rsid w:val="002A3A3F"/>
    <w:rsid w:val="002A3F7C"/>
    <w:rsid w:val="002A401F"/>
    <w:rsid w:val="002A4098"/>
    <w:rsid w:val="002A40A6"/>
    <w:rsid w:val="002A418D"/>
    <w:rsid w:val="002A4246"/>
    <w:rsid w:val="002A4283"/>
    <w:rsid w:val="002A4300"/>
    <w:rsid w:val="002A46B5"/>
    <w:rsid w:val="002A4A42"/>
    <w:rsid w:val="002A4A50"/>
    <w:rsid w:val="002A4A79"/>
    <w:rsid w:val="002A4B95"/>
    <w:rsid w:val="002A4BE3"/>
    <w:rsid w:val="002A4CBB"/>
    <w:rsid w:val="002A4D2D"/>
    <w:rsid w:val="002A4FC7"/>
    <w:rsid w:val="002A50AD"/>
    <w:rsid w:val="002A5104"/>
    <w:rsid w:val="002A5274"/>
    <w:rsid w:val="002A53BF"/>
    <w:rsid w:val="002A5523"/>
    <w:rsid w:val="002A55D7"/>
    <w:rsid w:val="002A55FD"/>
    <w:rsid w:val="002A56B1"/>
    <w:rsid w:val="002A5818"/>
    <w:rsid w:val="002A5897"/>
    <w:rsid w:val="002A5A9A"/>
    <w:rsid w:val="002A5AD4"/>
    <w:rsid w:val="002A5B52"/>
    <w:rsid w:val="002A5B6A"/>
    <w:rsid w:val="002A5D01"/>
    <w:rsid w:val="002A5DAD"/>
    <w:rsid w:val="002A5DB0"/>
    <w:rsid w:val="002A5DFA"/>
    <w:rsid w:val="002A605B"/>
    <w:rsid w:val="002A623F"/>
    <w:rsid w:val="002A6481"/>
    <w:rsid w:val="002A6619"/>
    <w:rsid w:val="002A6686"/>
    <w:rsid w:val="002A66B5"/>
    <w:rsid w:val="002A6703"/>
    <w:rsid w:val="002A6809"/>
    <w:rsid w:val="002A6B24"/>
    <w:rsid w:val="002A6BC8"/>
    <w:rsid w:val="002A6DDE"/>
    <w:rsid w:val="002A6E29"/>
    <w:rsid w:val="002A6F31"/>
    <w:rsid w:val="002A6F66"/>
    <w:rsid w:val="002A6F6D"/>
    <w:rsid w:val="002A7028"/>
    <w:rsid w:val="002A70A0"/>
    <w:rsid w:val="002A73EE"/>
    <w:rsid w:val="002A74F6"/>
    <w:rsid w:val="002A7549"/>
    <w:rsid w:val="002A7A3C"/>
    <w:rsid w:val="002A7A98"/>
    <w:rsid w:val="002A7C23"/>
    <w:rsid w:val="002A7CAF"/>
    <w:rsid w:val="002A7D61"/>
    <w:rsid w:val="002A7D64"/>
    <w:rsid w:val="002A7DBB"/>
    <w:rsid w:val="002A7E12"/>
    <w:rsid w:val="002A7EE4"/>
    <w:rsid w:val="002B0223"/>
    <w:rsid w:val="002B0364"/>
    <w:rsid w:val="002B04A0"/>
    <w:rsid w:val="002B052D"/>
    <w:rsid w:val="002B0541"/>
    <w:rsid w:val="002B05B5"/>
    <w:rsid w:val="002B067E"/>
    <w:rsid w:val="002B097D"/>
    <w:rsid w:val="002B0A71"/>
    <w:rsid w:val="002B0B1E"/>
    <w:rsid w:val="002B0DEE"/>
    <w:rsid w:val="002B0E28"/>
    <w:rsid w:val="002B0EBB"/>
    <w:rsid w:val="002B0EDA"/>
    <w:rsid w:val="002B0F50"/>
    <w:rsid w:val="002B12E4"/>
    <w:rsid w:val="002B14D0"/>
    <w:rsid w:val="002B14E2"/>
    <w:rsid w:val="002B166A"/>
    <w:rsid w:val="002B1870"/>
    <w:rsid w:val="002B1935"/>
    <w:rsid w:val="002B1963"/>
    <w:rsid w:val="002B1A9E"/>
    <w:rsid w:val="002B1CEB"/>
    <w:rsid w:val="002B1CF7"/>
    <w:rsid w:val="002B1F3C"/>
    <w:rsid w:val="002B1F66"/>
    <w:rsid w:val="002B2146"/>
    <w:rsid w:val="002B22E9"/>
    <w:rsid w:val="002B24CE"/>
    <w:rsid w:val="002B273B"/>
    <w:rsid w:val="002B2B2C"/>
    <w:rsid w:val="002B2BF5"/>
    <w:rsid w:val="002B2C84"/>
    <w:rsid w:val="002B2DE1"/>
    <w:rsid w:val="002B2E73"/>
    <w:rsid w:val="002B2F4A"/>
    <w:rsid w:val="002B2F8A"/>
    <w:rsid w:val="002B324F"/>
    <w:rsid w:val="002B3290"/>
    <w:rsid w:val="002B32EC"/>
    <w:rsid w:val="002B352E"/>
    <w:rsid w:val="002B359D"/>
    <w:rsid w:val="002B365B"/>
    <w:rsid w:val="002B3789"/>
    <w:rsid w:val="002B3997"/>
    <w:rsid w:val="002B3B7F"/>
    <w:rsid w:val="002B3D93"/>
    <w:rsid w:val="002B40BE"/>
    <w:rsid w:val="002B43FE"/>
    <w:rsid w:val="002B45BB"/>
    <w:rsid w:val="002B4628"/>
    <w:rsid w:val="002B46C6"/>
    <w:rsid w:val="002B46DA"/>
    <w:rsid w:val="002B47E8"/>
    <w:rsid w:val="002B47F1"/>
    <w:rsid w:val="002B4948"/>
    <w:rsid w:val="002B49EE"/>
    <w:rsid w:val="002B4BA8"/>
    <w:rsid w:val="002B4D09"/>
    <w:rsid w:val="002B4FB5"/>
    <w:rsid w:val="002B50A2"/>
    <w:rsid w:val="002B551D"/>
    <w:rsid w:val="002B5658"/>
    <w:rsid w:val="002B5659"/>
    <w:rsid w:val="002B588C"/>
    <w:rsid w:val="002B5935"/>
    <w:rsid w:val="002B594E"/>
    <w:rsid w:val="002B597E"/>
    <w:rsid w:val="002B5A1E"/>
    <w:rsid w:val="002B5A51"/>
    <w:rsid w:val="002B5A9C"/>
    <w:rsid w:val="002B5EA3"/>
    <w:rsid w:val="002B5F97"/>
    <w:rsid w:val="002B5FAB"/>
    <w:rsid w:val="002B6399"/>
    <w:rsid w:val="002B6657"/>
    <w:rsid w:val="002B67C0"/>
    <w:rsid w:val="002B6844"/>
    <w:rsid w:val="002B68E0"/>
    <w:rsid w:val="002B6A3A"/>
    <w:rsid w:val="002B6A64"/>
    <w:rsid w:val="002B6B62"/>
    <w:rsid w:val="002B6FA8"/>
    <w:rsid w:val="002B7039"/>
    <w:rsid w:val="002B7167"/>
    <w:rsid w:val="002B717D"/>
    <w:rsid w:val="002B730B"/>
    <w:rsid w:val="002B78A0"/>
    <w:rsid w:val="002B7DDA"/>
    <w:rsid w:val="002B7E23"/>
    <w:rsid w:val="002C0086"/>
    <w:rsid w:val="002C009F"/>
    <w:rsid w:val="002C01F6"/>
    <w:rsid w:val="002C04AC"/>
    <w:rsid w:val="002C0520"/>
    <w:rsid w:val="002C05A1"/>
    <w:rsid w:val="002C07A6"/>
    <w:rsid w:val="002C08E6"/>
    <w:rsid w:val="002C08F9"/>
    <w:rsid w:val="002C0B10"/>
    <w:rsid w:val="002C0D92"/>
    <w:rsid w:val="002C0F62"/>
    <w:rsid w:val="002C10E5"/>
    <w:rsid w:val="002C1502"/>
    <w:rsid w:val="002C17DF"/>
    <w:rsid w:val="002C1803"/>
    <w:rsid w:val="002C18C2"/>
    <w:rsid w:val="002C19E2"/>
    <w:rsid w:val="002C1A56"/>
    <w:rsid w:val="002C1B9B"/>
    <w:rsid w:val="002C1E66"/>
    <w:rsid w:val="002C1FB1"/>
    <w:rsid w:val="002C2067"/>
    <w:rsid w:val="002C2183"/>
    <w:rsid w:val="002C22CE"/>
    <w:rsid w:val="002C23A5"/>
    <w:rsid w:val="002C24C9"/>
    <w:rsid w:val="002C255C"/>
    <w:rsid w:val="002C26F1"/>
    <w:rsid w:val="002C27A0"/>
    <w:rsid w:val="002C28D9"/>
    <w:rsid w:val="002C2AA5"/>
    <w:rsid w:val="002C2F10"/>
    <w:rsid w:val="002C2F9F"/>
    <w:rsid w:val="002C2FBA"/>
    <w:rsid w:val="002C33F7"/>
    <w:rsid w:val="002C343E"/>
    <w:rsid w:val="002C35B7"/>
    <w:rsid w:val="002C3635"/>
    <w:rsid w:val="002C3677"/>
    <w:rsid w:val="002C3749"/>
    <w:rsid w:val="002C37A0"/>
    <w:rsid w:val="002C3B73"/>
    <w:rsid w:val="002C3D6B"/>
    <w:rsid w:val="002C3E1C"/>
    <w:rsid w:val="002C40CB"/>
    <w:rsid w:val="002C414B"/>
    <w:rsid w:val="002C4467"/>
    <w:rsid w:val="002C45C8"/>
    <w:rsid w:val="002C45F9"/>
    <w:rsid w:val="002C4628"/>
    <w:rsid w:val="002C467C"/>
    <w:rsid w:val="002C47E6"/>
    <w:rsid w:val="002C49C0"/>
    <w:rsid w:val="002C4B1F"/>
    <w:rsid w:val="002C4C59"/>
    <w:rsid w:val="002C4CAE"/>
    <w:rsid w:val="002C4D24"/>
    <w:rsid w:val="002C4E0E"/>
    <w:rsid w:val="002C5188"/>
    <w:rsid w:val="002C528E"/>
    <w:rsid w:val="002C537D"/>
    <w:rsid w:val="002C55BF"/>
    <w:rsid w:val="002C5809"/>
    <w:rsid w:val="002C594D"/>
    <w:rsid w:val="002C596A"/>
    <w:rsid w:val="002C5BCF"/>
    <w:rsid w:val="002C5DC2"/>
    <w:rsid w:val="002C5ED2"/>
    <w:rsid w:val="002C60D1"/>
    <w:rsid w:val="002C6124"/>
    <w:rsid w:val="002C620A"/>
    <w:rsid w:val="002C66E3"/>
    <w:rsid w:val="002C66E9"/>
    <w:rsid w:val="002C67FE"/>
    <w:rsid w:val="002C680C"/>
    <w:rsid w:val="002C6936"/>
    <w:rsid w:val="002C6A74"/>
    <w:rsid w:val="002C6A84"/>
    <w:rsid w:val="002C6BB4"/>
    <w:rsid w:val="002C6CA7"/>
    <w:rsid w:val="002C6DF9"/>
    <w:rsid w:val="002C6E15"/>
    <w:rsid w:val="002C71FC"/>
    <w:rsid w:val="002C722A"/>
    <w:rsid w:val="002C7260"/>
    <w:rsid w:val="002C74A4"/>
    <w:rsid w:val="002C7622"/>
    <w:rsid w:val="002C78ED"/>
    <w:rsid w:val="002C7A25"/>
    <w:rsid w:val="002C7AAE"/>
    <w:rsid w:val="002C7AED"/>
    <w:rsid w:val="002C7BBC"/>
    <w:rsid w:val="002C7BEC"/>
    <w:rsid w:val="002C7DB7"/>
    <w:rsid w:val="002C7FBD"/>
    <w:rsid w:val="002C7FC2"/>
    <w:rsid w:val="002D0290"/>
    <w:rsid w:val="002D04DB"/>
    <w:rsid w:val="002D0717"/>
    <w:rsid w:val="002D0A9F"/>
    <w:rsid w:val="002D0F8B"/>
    <w:rsid w:val="002D103E"/>
    <w:rsid w:val="002D11E5"/>
    <w:rsid w:val="002D1223"/>
    <w:rsid w:val="002D1234"/>
    <w:rsid w:val="002D1295"/>
    <w:rsid w:val="002D1354"/>
    <w:rsid w:val="002D1634"/>
    <w:rsid w:val="002D1790"/>
    <w:rsid w:val="002D1832"/>
    <w:rsid w:val="002D18C2"/>
    <w:rsid w:val="002D1B3B"/>
    <w:rsid w:val="002D1BA8"/>
    <w:rsid w:val="002D1D6C"/>
    <w:rsid w:val="002D1E49"/>
    <w:rsid w:val="002D20F2"/>
    <w:rsid w:val="002D21F4"/>
    <w:rsid w:val="002D2202"/>
    <w:rsid w:val="002D22C3"/>
    <w:rsid w:val="002D2449"/>
    <w:rsid w:val="002D247B"/>
    <w:rsid w:val="002D26D8"/>
    <w:rsid w:val="002D28C5"/>
    <w:rsid w:val="002D28E0"/>
    <w:rsid w:val="002D2A0D"/>
    <w:rsid w:val="002D2A74"/>
    <w:rsid w:val="002D2F79"/>
    <w:rsid w:val="002D335B"/>
    <w:rsid w:val="002D3400"/>
    <w:rsid w:val="002D349C"/>
    <w:rsid w:val="002D35E1"/>
    <w:rsid w:val="002D3664"/>
    <w:rsid w:val="002D3710"/>
    <w:rsid w:val="002D3C48"/>
    <w:rsid w:val="002D3E3B"/>
    <w:rsid w:val="002D400D"/>
    <w:rsid w:val="002D40F5"/>
    <w:rsid w:val="002D4222"/>
    <w:rsid w:val="002D4438"/>
    <w:rsid w:val="002D473B"/>
    <w:rsid w:val="002D4838"/>
    <w:rsid w:val="002D4994"/>
    <w:rsid w:val="002D49AB"/>
    <w:rsid w:val="002D4A54"/>
    <w:rsid w:val="002D4B58"/>
    <w:rsid w:val="002D4BDF"/>
    <w:rsid w:val="002D4E3D"/>
    <w:rsid w:val="002D4E81"/>
    <w:rsid w:val="002D4EAC"/>
    <w:rsid w:val="002D4F1E"/>
    <w:rsid w:val="002D4F8D"/>
    <w:rsid w:val="002D504F"/>
    <w:rsid w:val="002D5067"/>
    <w:rsid w:val="002D50A2"/>
    <w:rsid w:val="002D5214"/>
    <w:rsid w:val="002D53A9"/>
    <w:rsid w:val="002D54B9"/>
    <w:rsid w:val="002D5686"/>
    <w:rsid w:val="002D57AA"/>
    <w:rsid w:val="002D595C"/>
    <w:rsid w:val="002D5A0D"/>
    <w:rsid w:val="002D5AFE"/>
    <w:rsid w:val="002D5FF8"/>
    <w:rsid w:val="002D6021"/>
    <w:rsid w:val="002D614D"/>
    <w:rsid w:val="002D6344"/>
    <w:rsid w:val="002D6694"/>
    <w:rsid w:val="002D67C8"/>
    <w:rsid w:val="002D693A"/>
    <w:rsid w:val="002D6AEF"/>
    <w:rsid w:val="002D6B5C"/>
    <w:rsid w:val="002D6C5C"/>
    <w:rsid w:val="002D6CB8"/>
    <w:rsid w:val="002D6EEF"/>
    <w:rsid w:val="002D6FE8"/>
    <w:rsid w:val="002D6FF0"/>
    <w:rsid w:val="002D71E5"/>
    <w:rsid w:val="002D71F1"/>
    <w:rsid w:val="002D7347"/>
    <w:rsid w:val="002D76F7"/>
    <w:rsid w:val="002D772C"/>
    <w:rsid w:val="002D7771"/>
    <w:rsid w:val="002D77B1"/>
    <w:rsid w:val="002D78A1"/>
    <w:rsid w:val="002D7A45"/>
    <w:rsid w:val="002D7CEE"/>
    <w:rsid w:val="002D7D82"/>
    <w:rsid w:val="002D7DCB"/>
    <w:rsid w:val="002D7E95"/>
    <w:rsid w:val="002E006C"/>
    <w:rsid w:val="002E02A2"/>
    <w:rsid w:val="002E030D"/>
    <w:rsid w:val="002E0562"/>
    <w:rsid w:val="002E071E"/>
    <w:rsid w:val="002E095D"/>
    <w:rsid w:val="002E0983"/>
    <w:rsid w:val="002E0AAF"/>
    <w:rsid w:val="002E0B70"/>
    <w:rsid w:val="002E0BB1"/>
    <w:rsid w:val="002E0C1A"/>
    <w:rsid w:val="002E0C5D"/>
    <w:rsid w:val="002E0FF4"/>
    <w:rsid w:val="002E128B"/>
    <w:rsid w:val="002E1690"/>
    <w:rsid w:val="002E169E"/>
    <w:rsid w:val="002E172D"/>
    <w:rsid w:val="002E1783"/>
    <w:rsid w:val="002E17ED"/>
    <w:rsid w:val="002E1820"/>
    <w:rsid w:val="002E19B5"/>
    <w:rsid w:val="002E1AB4"/>
    <w:rsid w:val="002E1D48"/>
    <w:rsid w:val="002E1D59"/>
    <w:rsid w:val="002E1EC8"/>
    <w:rsid w:val="002E204B"/>
    <w:rsid w:val="002E228E"/>
    <w:rsid w:val="002E23D3"/>
    <w:rsid w:val="002E247B"/>
    <w:rsid w:val="002E24C5"/>
    <w:rsid w:val="002E2506"/>
    <w:rsid w:val="002E25B3"/>
    <w:rsid w:val="002E2915"/>
    <w:rsid w:val="002E2A8D"/>
    <w:rsid w:val="002E2ABB"/>
    <w:rsid w:val="002E2B7E"/>
    <w:rsid w:val="002E2D77"/>
    <w:rsid w:val="002E2F71"/>
    <w:rsid w:val="002E32A8"/>
    <w:rsid w:val="002E32BF"/>
    <w:rsid w:val="002E3378"/>
    <w:rsid w:val="002E35AA"/>
    <w:rsid w:val="002E3A3A"/>
    <w:rsid w:val="002E3B0C"/>
    <w:rsid w:val="002E3CB9"/>
    <w:rsid w:val="002E3D13"/>
    <w:rsid w:val="002E3D4D"/>
    <w:rsid w:val="002E3E33"/>
    <w:rsid w:val="002E3EBB"/>
    <w:rsid w:val="002E3F2A"/>
    <w:rsid w:val="002E3F84"/>
    <w:rsid w:val="002E404C"/>
    <w:rsid w:val="002E4436"/>
    <w:rsid w:val="002E468A"/>
    <w:rsid w:val="002E4769"/>
    <w:rsid w:val="002E4823"/>
    <w:rsid w:val="002E483F"/>
    <w:rsid w:val="002E4948"/>
    <w:rsid w:val="002E49A2"/>
    <w:rsid w:val="002E4A44"/>
    <w:rsid w:val="002E4D24"/>
    <w:rsid w:val="002E50B2"/>
    <w:rsid w:val="002E51A0"/>
    <w:rsid w:val="002E55D0"/>
    <w:rsid w:val="002E56AE"/>
    <w:rsid w:val="002E5720"/>
    <w:rsid w:val="002E577F"/>
    <w:rsid w:val="002E5821"/>
    <w:rsid w:val="002E58F6"/>
    <w:rsid w:val="002E59E4"/>
    <w:rsid w:val="002E5A46"/>
    <w:rsid w:val="002E5A95"/>
    <w:rsid w:val="002E5B0F"/>
    <w:rsid w:val="002E5BAE"/>
    <w:rsid w:val="002E5C91"/>
    <w:rsid w:val="002E5EE3"/>
    <w:rsid w:val="002E5F54"/>
    <w:rsid w:val="002E5F65"/>
    <w:rsid w:val="002E62D0"/>
    <w:rsid w:val="002E64CC"/>
    <w:rsid w:val="002E65EE"/>
    <w:rsid w:val="002E6627"/>
    <w:rsid w:val="002E6709"/>
    <w:rsid w:val="002E695D"/>
    <w:rsid w:val="002E69DB"/>
    <w:rsid w:val="002E6A21"/>
    <w:rsid w:val="002E6CD0"/>
    <w:rsid w:val="002E6EB2"/>
    <w:rsid w:val="002E70B4"/>
    <w:rsid w:val="002E70D4"/>
    <w:rsid w:val="002E71CA"/>
    <w:rsid w:val="002E7277"/>
    <w:rsid w:val="002E727D"/>
    <w:rsid w:val="002E743A"/>
    <w:rsid w:val="002E75B3"/>
    <w:rsid w:val="002E784D"/>
    <w:rsid w:val="002E78F8"/>
    <w:rsid w:val="002E7B01"/>
    <w:rsid w:val="002E7C28"/>
    <w:rsid w:val="002E7C9F"/>
    <w:rsid w:val="002E7E8A"/>
    <w:rsid w:val="002E7F93"/>
    <w:rsid w:val="002E7FE5"/>
    <w:rsid w:val="002F0181"/>
    <w:rsid w:val="002F022C"/>
    <w:rsid w:val="002F022E"/>
    <w:rsid w:val="002F0254"/>
    <w:rsid w:val="002F03E1"/>
    <w:rsid w:val="002F06F1"/>
    <w:rsid w:val="002F0788"/>
    <w:rsid w:val="002F07DE"/>
    <w:rsid w:val="002F0B34"/>
    <w:rsid w:val="002F0BA6"/>
    <w:rsid w:val="002F0BE4"/>
    <w:rsid w:val="002F0D74"/>
    <w:rsid w:val="002F1026"/>
    <w:rsid w:val="002F1032"/>
    <w:rsid w:val="002F10D9"/>
    <w:rsid w:val="002F142E"/>
    <w:rsid w:val="002F143A"/>
    <w:rsid w:val="002F144E"/>
    <w:rsid w:val="002F146A"/>
    <w:rsid w:val="002F14E0"/>
    <w:rsid w:val="002F15EA"/>
    <w:rsid w:val="002F174A"/>
    <w:rsid w:val="002F1781"/>
    <w:rsid w:val="002F1A78"/>
    <w:rsid w:val="002F1A94"/>
    <w:rsid w:val="002F1AFD"/>
    <w:rsid w:val="002F1BF7"/>
    <w:rsid w:val="002F1C58"/>
    <w:rsid w:val="002F1CED"/>
    <w:rsid w:val="002F20A9"/>
    <w:rsid w:val="002F20B2"/>
    <w:rsid w:val="002F210C"/>
    <w:rsid w:val="002F2199"/>
    <w:rsid w:val="002F2296"/>
    <w:rsid w:val="002F22DD"/>
    <w:rsid w:val="002F24E4"/>
    <w:rsid w:val="002F2531"/>
    <w:rsid w:val="002F27BE"/>
    <w:rsid w:val="002F2C9E"/>
    <w:rsid w:val="002F2E2A"/>
    <w:rsid w:val="002F3253"/>
    <w:rsid w:val="002F32C9"/>
    <w:rsid w:val="002F34D9"/>
    <w:rsid w:val="002F36EC"/>
    <w:rsid w:val="002F3885"/>
    <w:rsid w:val="002F38EF"/>
    <w:rsid w:val="002F3B91"/>
    <w:rsid w:val="002F3D15"/>
    <w:rsid w:val="002F3D8B"/>
    <w:rsid w:val="002F3FCC"/>
    <w:rsid w:val="002F4299"/>
    <w:rsid w:val="002F4725"/>
    <w:rsid w:val="002F4741"/>
    <w:rsid w:val="002F481B"/>
    <w:rsid w:val="002F48AC"/>
    <w:rsid w:val="002F491A"/>
    <w:rsid w:val="002F4A03"/>
    <w:rsid w:val="002F4A0C"/>
    <w:rsid w:val="002F4F05"/>
    <w:rsid w:val="002F4F7F"/>
    <w:rsid w:val="002F5003"/>
    <w:rsid w:val="002F50A7"/>
    <w:rsid w:val="002F5159"/>
    <w:rsid w:val="002F52CF"/>
    <w:rsid w:val="002F52DA"/>
    <w:rsid w:val="002F552A"/>
    <w:rsid w:val="002F5541"/>
    <w:rsid w:val="002F56F3"/>
    <w:rsid w:val="002F591A"/>
    <w:rsid w:val="002F5D4C"/>
    <w:rsid w:val="002F5D61"/>
    <w:rsid w:val="002F5FBB"/>
    <w:rsid w:val="002F60ED"/>
    <w:rsid w:val="002F6428"/>
    <w:rsid w:val="002F6484"/>
    <w:rsid w:val="002F64BF"/>
    <w:rsid w:val="002F6500"/>
    <w:rsid w:val="002F651F"/>
    <w:rsid w:val="002F6538"/>
    <w:rsid w:val="002F6600"/>
    <w:rsid w:val="002F66BD"/>
    <w:rsid w:val="002F6AA6"/>
    <w:rsid w:val="002F6F4D"/>
    <w:rsid w:val="002F6FCE"/>
    <w:rsid w:val="002F712F"/>
    <w:rsid w:val="002F7406"/>
    <w:rsid w:val="002F74DF"/>
    <w:rsid w:val="002F7893"/>
    <w:rsid w:val="002F79DA"/>
    <w:rsid w:val="002F7AAD"/>
    <w:rsid w:val="002F7C98"/>
    <w:rsid w:val="002F7D20"/>
    <w:rsid w:val="002F7E76"/>
    <w:rsid w:val="00300070"/>
    <w:rsid w:val="003000FA"/>
    <w:rsid w:val="00300132"/>
    <w:rsid w:val="00300152"/>
    <w:rsid w:val="00300915"/>
    <w:rsid w:val="00300984"/>
    <w:rsid w:val="00300B44"/>
    <w:rsid w:val="00300BD4"/>
    <w:rsid w:val="00300D16"/>
    <w:rsid w:val="00300E9C"/>
    <w:rsid w:val="00300F84"/>
    <w:rsid w:val="003010E5"/>
    <w:rsid w:val="003012C0"/>
    <w:rsid w:val="003012D0"/>
    <w:rsid w:val="00301487"/>
    <w:rsid w:val="00301629"/>
    <w:rsid w:val="00301714"/>
    <w:rsid w:val="00301919"/>
    <w:rsid w:val="00301989"/>
    <w:rsid w:val="003019B6"/>
    <w:rsid w:val="00301C72"/>
    <w:rsid w:val="00301D3B"/>
    <w:rsid w:val="003020EA"/>
    <w:rsid w:val="00302172"/>
    <w:rsid w:val="00302259"/>
    <w:rsid w:val="003022F7"/>
    <w:rsid w:val="003022FA"/>
    <w:rsid w:val="00302375"/>
    <w:rsid w:val="00302609"/>
    <w:rsid w:val="003026FE"/>
    <w:rsid w:val="00302D00"/>
    <w:rsid w:val="00302D80"/>
    <w:rsid w:val="00302DB4"/>
    <w:rsid w:val="00302E74"/>
    <w:rsid w:val="00302EAE"/>
    <w:rsid w:val="00302F17"/>
    <w:rsid w:val="00302F46"/>
    <w:rsid w:val="00303160"/>
    <w:rsid w:val="003034BA"/>
    <w:rsid w:val="003034C5"/>
    <w:rsid w:val="003035EF"/>
    <w:rsid w:val="0030369A"/>
    <w:rsid w:val="003036A3"/>
    <w:rsid w:val="003039E4"/>
    <w:rsid w:val="003039E9"/>
    <w:rsid w:val="00303A39"/>
    <w:rsid w:val="00303C77"/>
    <w:rsid w:val="00303CCB"/>
    <w:rsid w:val="0030416A"/>
    <w:rsid w:val="003041B2"/>
    <w:rsid w:val="00304366"/>
    <w:rsid w:val="00304620"/>
    <w:rsid w:val="00304664"/>
    <w:rsid w:val="00304721"/>
    <w:rsid w:val="0030478A"/>
    <w:rsid w:val="00304A35"/>
    <w:rsid w:val="00304DCE"/>
    <w:rsid w:val="003050C1"/>
    <w:rsid w:val="003050CB"/>
    <w:rsid w:val="003051E1"/>
    <w:rsid w:val="00305206"/>
    <w:rsid w:val="003057B3"/>
    <w:rsid w:val="0030584C"/>
    <w:rsid w:val="003059E4"/>
    <w:rsid w:val="00305AB6"/>
    <w:rsid w:val="00305AEA"/>
    <w:rsid w:val="00305C15"/>
    <w:rsid w:val="00305C25"/>
    <w:rsid w:val="00305CB6"/>
    <w:rsid w:val="00305CE7"/>
    <w:rsid w:val="00305E92"/>
    <w:rsid w:val="00306151"/>
    <w:rsid w:val="00306367"/>
    <w:rsid w:val="00306373"/>
    <w:rsid w:val="003063A9"/>
    <w:rsid w:val="0030641A"/>
    <w:rsid w:val="003064A5"/>
    <w:rsid w:val="00306592"/>
    <w:rsid w:val="003065C5"/>
    <w:rsid w:val="00306800"/>
    <w:rsid w:val="00306872"/>
    <w:rsid w:val="00306AEA"/>
    <w:rsid w:val="00306C48"/>
    <w:rsid w:val="00306D2F"/>
    <w:rsid w:val="00306D39"/>
    <w:rsid w:val="00306DD7"/>
    <w:rsid w:val="003070D3"/>
    <w:rsid w:val="003071C5"/>
    <w:rsid w:val="003071F0"/>
    <w:rsid w:val="003075A9"/>
    <w:rsid w:val="003075E5"/>
    <w:rsid w:val="00307676"/>
    <w:rsid w:val="00307994"/>
    <w:rsid w:val="003079E9"/>
    <w:rsid w:val="00307BC1"/>
    <w:rsid w:val="00307C7E"/>
    <w:rsid w:val="00307D6B"/>
    <w:rsid w:val="00307D9A"/>
    <w:rsid w:val="00307E6B"/>
    <w:rsid w:val="003100BB"/>
    <w:rsid w:val="0031013C"/>
    <w:rsid w:val="00310221"/>
    <w:rsid w:val="003102FB"/>
    <w:rsid w:val="00310412"/>
    <w:rsid w:val="00310607"/>
    <w:rsid w:val="00310775"/>
    <w:rsid w:val="003107EC"/>
    <w:rsid w:val="00310823"/>
    <w:rsid w:val="00310885"/>
    <w:rsid w:val="00310914"/>
    <w:rsid w:val="00310B64"/>
    <w:rsid w:val="003112B4"/>
    <w:rsid w:val="0031134F"/>
    <w:rsid w:val="00311365"/>
    <w:rsid w:val="0031164C"/>
    <w:rsid w:val="00311B15"/>
    <w:rsid w:val="00311B1C"/>
    <w:rsid w:val="00311C5A"/>
    <w:rsid w:val="00311F70"/>
    <w:rsid w:val="00312091"/>
    <w:rsid w:val="003121BD"/>
    <w:rsid w:val="003121CA"/>
    <w:rsid w:val="00312334"/>
    <w:rsid w:val="003127C1"/>
    <w:rsid w:val="0031296E"/>
    <w:rsid w:val="00312A68"/>
    <w:rsid w:val="00312C4C"/>
    <w:rsid w:val="00312C58"/>
    <w:rsid w:val="00312E66"/>
    <w:rsid w:val="00312F39"/>
    <w:rsid w:val="00312FE7"/>
    <w:rsid w:val="00313085"/>
    <w:rsid w:val="003130EF"/>
    <w:rsid w:val="0031324B"/>
    <w:rsid w:val="003132FB"/>
    <w:rsid w:val="00313BAF"/>
    <w:rsid w:val="00313CB1"/>
    <w:rsid w:val="00313D7F"/>
    <w:rsid w:val="00313F06"/>
    <w:rsid w:val="00313F10"/>
    <w:rsid w:val="00314258"/>
    <w:rsid w:val="003142FE"/>
    <w:rsid w:val="00314436"/>
    <w:rsid w:val="00314443"/>
    <w:rsid w:val="003147B7"/>
    <w:rsid w:val="00314819"/>
    <w:rsid w:val="003148ED"/>
    <w:rsid w:val="003148F8"/>
    <w:rsid w:val="003149D6"/>
    <w:rsid w:val="00314B56"/>
    <w:rsid w:val="00314D3D"/>
    <w:rsid w:val="00314D8A"/>
    <w:rsid w:val="00314D9B"/>
    <w:rsid w:val="00314F16"/>
    <w:rsid w:val="00314F45"/>
    <w:rsid w:val="00314FD9"/>
    <w:rsid w:val="003151C9"/>
    <w:rsid w:val="00315293"/>
    <w:rsid w:val="003153AD"/>
    <w:rsid w:val="003154FE"/>
    <w:rsid w:val="0031556A"/>
    <w:rsid w:val="00315628"/>
    <w:rsid w:val="00315699"/>
    <w:rsid w:val="003158A9"/>
    <w:rsid w:val="00315CF1"/>
    <w:rsid w:val="00315D61"/>
    <w:rsid w:val="00315DEB"/>
    <w:rsid w:val="00315E40"/>
    <w:rsid w:val="00315F0A"/>
    <w:rsid w:val="00315F0E"/>
    <w:rsid w:val="0031613F"/>
    <w:rsid w:val="0031618A"/>
    <w:rsid w:val="003161BE"/>
    <w:rsid w:val="0031635E"/>
    <w:rsid w:val="00316424"/>
    <w:rsid w:val="00316514"/>
    <w:rsid w:val="0031653A"/>
    <w:rsid w:val="00316BD9"/>
    <w:rsid w:val="00316BDD"/>
    <w:rsid w:val="00316CA3"/>
    <w:rsid w:val="00316CD5"/>
    <w:rsid w:val="00316CE9"/>
    <w:rsid w:val="00316E7F"/>
    <w:rsid w:val="00317310"/>
    <w:rsid w:val="00317324"/>
    <w:rsid w:val="00317337"/>
    <w:rsid w:val="0031739A"/>
    <w:rsid w:val="003178B6"/>
    <w:rsid w:val="00317B6F"/>
    <w:rsid w:val="00317DD4"/>
    <w:rsid w:val="00317E4F"/>
    <w:rsid w:val="00317E51"/>
    <w:rsid w:val="00317F84"/>
    <w:rsid w:val="0032010D"/>
    <w:rsid w:val="003202C4"/>
    <w:rsid w:val="003204D5"/>
    <w:rsid w:val="003208F0"/>
    <w:rsid w:val="00320C57"/>
    <w:rsid w:val="00320C64"/>
    <w:rsid w:val="00320C86"/>
    <w:rsid w:val="00320DA6"/>
    <w:rsid w:val="00320E45"/>
    <w:rsid w:val="00320F28"/>
    <w:rsid w:val="00320FD9"/>
    <w:rsid w:val="00321210"/>
    <w:rsid w:val="003212D2"/>
    <w:rsid w:val="003217F0"/>
    <w:rsid w:val="003218C4"/>
    <w:rsid w:val="00321947"/>
    <w:rsid w:val="00321BF8"/>
    <w:rsid w:val="00321D61"/>
    <w:rsid w:val="00322012"/>
    <w:rsid w:val="0032201B"/>
    <w:rsid w:val="003224DF"/>
    <w:rsid w:val="003227A8"/>
    <w:rsid w:val="00322852"/>
    <w:rsid w:val="003228DA"/>
    <w:rsid w:val="0032293E"/>
    <w:rsid w:val="00322B29"/>
    <w:rsid w:val="0032343D"/>
    <w:rsid w:val="00323640"/>
    <w:rsid w:val="00323ABE"/>
    <w:rsid w:val="00323B02"/>
    <w:rsid w:val="00323B65"/>
    <w:rsid w:val="00323C36"/>
    <w:rsid w:val="00323C79"/>
    <w:rsid w:val="00323D45"/>
    <w:rsid w:val="00323F30"/>
    <w:rsid w:val="00323F8F"/>
    <w:rsid w:val="003240D6"/>
    <w:rsid w:val="0032417D"/>
    <w:rsid w:val="00324273"/>
    <w:rsid w:val="003242D2"/>
    <w:rsid w:val="00324452"/>
    <w:rsid w:val="003245D4"/>
    <w:rsid w:val="00324AA3"/>
    <w:rsid w:val="00324AD2"/>
    <w:rsid w:val="00324ADE"/>
    <w:rsid w:val="00324CEF"/>
    <w:rsid w:val="00324E33"/>
    <w:rsid w:val="00324EDA"/>
    <w:rsid w:val="00325084"/>
    <w:rsid w:val="003250B6"/>
    <w:rsid w:val="003250DC"/>
    <w:rsid w:val="00325110"/>
    <w:rsid w:val="00325121"/>
    <w:rsid w:val="003253A5"/>
    <w:rsid w:val="003253E3"/>
    <w:rsid w:val="003255BC"/>
    <w:rsid w:val="003255FC"/>
    <w:rsid w:val="003258B1"/>
    <w:rsid w:val="00325CF6"/>
    <w:rsid w:val="00325D63"/>
    <w:rsid w:val="0032603B"/>
    <w:rsid w:val="00326092"/>
    <w:rsid w:val="0032618A"/>
    <w:rsid w:val="00326279"/>
    <w:rsid w:val="003262A0"/>
    <w:rsid w:val="003263AA"/>
    <w:rsid w:val="003264D5"/>
    <w:rsid w:val="003265CC"/>
    <w:rsid w:val="003266E0"/>
    <w:rsid w:val="00326887"/>
    <w:rsid w:val="003268E9"/>
    <w:rsid w:val="00326A46"/>
    <w:rsid w:val="00326C07"/>
    <w:rsid w:val="00326C59"/>
    <w:rsid w:val="00326C64"/>
    <w:rsid w:val="00326C78"/>
    <w:rsid w:val="00326CFB"/>
    <w:rsid w:val="00326D2C"/>
    <w:rsid w:val="00326F0F"/>
    <w:rsid w:val="003273F7"/>
    <w:rsid w:val="003274D3"/>
    <w:rsid w:val="003274DA"/>
    <w:rsid w:val="00327514"/>
    <w:rsid w:val="003275DE"/>
    <w:rsid w:val="00327680"/>
    <w:rsid w:val="00327839"/>
    <w:rsid w:val="003278AB"/>
    <w:rsid w:val="00327A36"/>
    <w:rsid w:val="00327A95"/>
    <w:rsid w:val="00327B97"/>
    <w:rsid w:val="00327C16"/>
    <w:rsid w:val="00327CD3"/>
    <w:rsid w:val="00327CF0"/>
    <w:rsid w:val="0033038C"/>
    <w:rsid w:val="003303DF"/>
    <w:rsid w:val="003305A0"/>
    <w:rsid w:val="00330858"/>
    <w:rsid w:val="00330918"/>
    <w:rsid w:val="00330B31"/>
    <w:rsid w:val="00330EEF"/>
    <w:rsid w:val="003311EF"/>
    <w:rsid w:val="00331491"/>
    <w:rsid w:val="003315A6"/>
    <w:rsid w:val="0033173D"/>
    <w:rsid w:val="00331AD1"/>
    <w:rsid w:val="00331B5A"/>
    <w:rsid w:val="00331BBF"/>
    <w:rsid w:val="00331E2F"/>
    <w:rsid w:val="00331F94"/>
    <w:rsid w:val="0033204B"/>
    <w:rsid w:val="003320F8"/>
    <w:rsid w:val="003322B9"/>
    <w:rsid w:val="00332493"/>
    <w:rsid w:val="00332554"/>
    <w:rsid w:val="0033259A"/>
    <w:rsid w:val="0033265B"/>
    <w:rsid w:val="003326E3"/>
    <w:rsid w:val="0033275A"/>
    <w:rsid w:val="003327D4"/>
    <w:rsid w:val="00332D83"/>
    <w:rsid w:val="00332D9F"/>
    <w:rsid w:val="00332EAA"/>
    <w:rsid w:val="00332EBD"/>
    <w:rsid w:val="00332EBE"/>
    <w:rsid w:val="00332F6F"/>
    <w:rsid w:val="0033323C"/>
    <w:rsid w:val="00333251"/>
    <w:rsid w:val="003332F0"/>
    <w:rsid w:val="0033346A"/>
    <w:rsid w:val="00333528"/>
    <w:rsid w:val="0033354F"/>
    <w:rsid w:val="003335F7"/>
    <w:rsid w:val="003336A6"/>
    <w:rsid w:val="00333876"/>
    <w:rsid w:val="00333891"/>
    <w:rsid w:val="003339E4"/>
    <w:rsid w:val="003339EB"/>
    <w:rsid w:val="003339FA"/>
    <w:rsid w:val="00333B1A"/>
    <w:rsid w:val="00333BDA"/>
    <w:rsid w:val="00333D01"/>
    <w:rsid w:val="00333E58"/>
    <w:rsid w:val="00333E65"/>
    <w:rsid w:val="00333FF4"/>
    <w:rsid w:val="0033405A"/>
    <w:rsid w:val="003340FB"/>
    <w:rsid w:val="00334493"/>
    <w:rsid w:val="00334509"/>
    <w:rsid w:val="003345FA"/>
    <w:rsid w:val="0033468C"/>
    <w:rsid w:val="00334693"/>
    <w:rsid w:val="00334749"/>
    <w:rsid w:val="003347F3"/>
    <w:rsid w:val="003348A6"/>
    <w:rsid w:val="00334904"/>
    <w:rsid w:val="00334AC2"/>
    <w:rsid w:val="00334CF2"/>
    <w:rsid w:val="00334D52"/>
    <w:rsid w:val="00334DBD"/>
    <w:rsid w:val="00334E03"/>
    <w:rsid w:val="00334ECA"/>
    <w:rsid w:val="003351A1"/>
    <w:rsid w:val="003353AE"/>
    <w:rsid w:val="003354AD"/>
    <w:rsid w:val="0033554D"/>
    <w:rsid w:val="003357E9"/>
    <w:rsid w:val="00335A9E"/>
    <w:rsid w:val="00335C8E"/>
    <w:rsid w:val="0033605B"/>
    <w:rsid w:val="0033627D"/>
    <w:rsid w:val="00336283"/>
    <w:rsid w:val="00336445"/>
    <w:rsid w:val="00336638"/>
    <w:rsid w:val="0033671E"/>
    <w:rsid w:val="00336746"/>
    <w:rsid w:val="003367F3"/>
    <w:rsid w:val="00336874"/>
    <w:rsid w:val="00336AB0"/>
    <w:rsid w:val="00336B04"/>
    <w:rsid w:val="00336CE8"/>
    <w:rsid w:val="00336DB1"/>
    <w:rsid w:val="00336FBC"/>
    <w:rsid w:val="00337112"/>
    <w:rsid w:val="0033714F"/>
    <w:rsid w:val="003371C8"/>
    <w:rsid w:val="0033733B"/>
    <w:rsid w:val="00337496"/>
    <w:rsid w:val="003374B0"/>
    <w:rsid w:val="003376B7"/>
    <w:rsid w:val="003376D2"/>
    <w:rsid w:val="003377BA"/>
    <w:rsid w:val="00337893"/>
    <w:rsid w:val="0033792A"/>
    <w:rsid w:val="00337CF2"/>
    <w:rsid w:val="00337ED6"/>
    <w:rsid w:val="00340132"/>
    <w:rsid w:val="0034049F"/>
    <w:rsid w:val="00340884"/>
    <w:rsid w:val="003408D1"/>
    <w:rsid w:val="00340A23"/>
    <w:rsid w:val="00340A43"/>
    <w:rsid w:val="00340BF6"/>
    <w:rsid w:val="00340BFA"/>
    <w:rsid w:val="00340C2E"/>
    <w:rsid w:val="00340C6F"/>
    <w:rsid w:val="00340CFC"/>
    <w:rsid w:val="00340D8E"/>
    <w:rsid w:val="00341191"/>
    <w:rsid w:val="00341295"/>
    <w:rsid w:val="003412C0"/>
    <w:rsid w:val="003414FA"/>
    <w:rsid w:val="003415C9"/>
    <w:rsid w:val="00341646"/>
    <w:rsid w:val="0034184C"/>
    <w:rsid w:val="00341872"/>
    <w:rsid w:val="003419F1"/>
    <w:rsid w:val="00341C8A"/>
    <w:rsid w:val="00341CF7"/>
    <w:rsid w:val="00341F26"/>
    <w:rsid w:val="003420E2"/>
    <w:rsid w:val="0034210F"/>
    <w:rsid w:val="0034211D"/>
    <w:rsid w:val="0034223A"/>
    <w:rsid w:val="003425F5"/>
    <w:rsid w:val="0034265E"/>
    <w:rsid w:val="003428F6"/>
    <w:rsid w:val="00342B02"/>
    <w:rsid w:val="00343118"/>
    <w:rsid w:val="00343261"/>
    <w:rsid w:val="003432BD"/>
    <w:rsid w:val="00343486"/>
    <w:rsid w:val="00343499"/>
    <w:rsid w:val="00343520"/>
    <w:rsid w:val="00343619"/>
    <w:rsid w:val="00343679"/>
    <w:rsid w:val="00343873"/>
    <w:rsid w:val="0034392C"/>
    <w:rsid w:val="003439FE"/>
    <w:rsid w:val="00343B07"/>
    <w:rsid w:val="00343B73"/>
    <w:rsid w:val="00343D94"/>
    <w:rsid w:val="00343DAE"/>
    <w:rsid w:val="00343EA1"/>
    <w:rsid w:val="00343ED6"/>
    <w:rsid w:val="00343F0B"/>
    <w:rsid w:val="00343F7C"/>
    <w:rsid w:val="003441D1"/>
    <w:rsid w:val="00344360"/>
    <w:rsid w:val="003444FF"/>
    <w:rsid w:val="003445DF"/>
    <w:rsid w:val="003446E8"/>
    <w:rsid w:val="00344752"/>
    <w:rsid w:val="00344947"/>
    <w:rsid w:val="00344975"/>
    <w:rsid w:val="00344A58"/>
    <w:rsid w:val="00344AF3"/>
    <w:rsid w:val="00344D30"/>
    <w:rsid w:val="00344F26"/>
    <w:rsid w:val="003450CB"/>
    <w:rsid w:val="00345155"/>
    <w:rsid w:val="00345378"/>
    <w:rsid w:val="00345B16"/>
    <w:rsid w:val="00345C3F"/>
    <w:rsid w:val="00345D08"/>
    <w:rsid w:val="00345FF3"/>
    <w:rsid w:val="003460CD"/>
    <w:rsid w:val="00346623"/>
    <w:rsid w:val="00346722"/>
    <w:rsid w:val="00346810"/>
    <w:rsid w:val="00346A51"/>
    <w:rsid w:val="00346CC2"/>
    <w:rsid w:val="00346EA4"/>
    <w:rsid w:val="00346F49"/>
    <w:rsid w:val="00347086"/>
    <w:rsid w:val="003470A2"/>
    <w:rsid w:val="00347266"/>
    <w:rsid w:val="003472FF"/>
    <w:rsid w:val="003473E0"/>
    <w:rsid w:val="003473EB"/>
    <w:rsid w:val="0034757A"/>
    <w:rsid w:val="003475FF"/>
    <w:rsid w:val="0034771B"/>
    <w:rsid w:val="003479A4"/>
    <w:rsid w:val="00347D7C"/>
    <w:rsid w:val="00347EEC"/>
    <w:rsid w:val="00347F30"/>
    <w:rsid w:val="00350398"/>
    <w:rsid w:val="003503D8"/>
    <w:rsid w:val="0035044D"/>
    <w:rsid w:val="00350B5B"/>
    <w:rsid w:val="00350DBA"/>
    <w:rsid w:val="00350E45"/>
    <w:rsid w:val="00350E97"/>
    <w:rsid w:val="00350EB3"/>
    <w:rsid w:val="0035101C"/>
    <w:rsid w:val="003513DD"/>
    <w:rsid w:val="003514F4"/>
    <w:rsid w:val="0035154C"/>
    <w:rsid w:val="003516DE"/>
    <w:rsid w:val="00351754"/>
    <w:rsid w:val="0035175D"/>
    <w:rsid w:val="00351891"/>
    <w:rsid w:val="00351ABE"/>
    <w:rsid w:val="00351B4A"/>
    <w:rsid w:val="00351B4D"/>
    <w:rsid w:val="00351C5D"/>
    <w:rsid w:val="00351C82"/>
    <w:rsid w:val="00351CB5"/>
    <w:rsid w:val="00351D15"/>
    <w:rsid w:val="00351F51"/>
    <w:rsid w:val="003522B9"/>
    <w:rsid w:val="0035234A"/>
    <w:rsid w:val="003523AA"/>
    <w:rsid w:val="0035264B"/>
    <w:rsid w:val="0035283E"/>
    <w:rsid w:val="003529B0"/>
    <w:rsid w:val="00352B58"/>
    <w:rsid w:val="00352BC6"/>
    <w:rsid w:val="00352F3D"/>
    <w:rsid w:val="0035322F"/>
    <w:rsid w:val="003533A2"/>
    <w:rsid w:val="0035359D"/>
    <w:rsid w:val="003537AF"/>
    <w:rsid w:val="00353963"/>
    <w:rsid w:val="00353B17"/>
    <w:rsid w:val="00353B57"/>
    <w:rsid w:val="00353BDE"/>
    <w:rsid w:val="00353E57"/>
    <w:rsid w:val="00353FC5"/>
    <w:rsid w:val="0035401C"/>
    <w:rsid w:val="00354077"/>
    <w:rsid w:val="0035416A"/>
    <w:rsid w:val="00354262"/>
    <w:rsid w:val="003543E0"/>
    <w:rsid w:val="0035480F"/>
    <w:rsid w:val="00354AAC"/>
    <w:rsid w:val="00354B21"/>
    <w:rsid w:val="00354F29"/>
    <w:rsid w:val="00354FEF"/>
    <w:rsid w:val="0035501F"/>
    <w:rsid w:val="00355025"/>
    <w:rsid w:val="00355338"/>
    <w:rsid w:val="003553B6"/>
    <w:rsid w:val="003554C2"/>
    <w:rsid w:val="0035556F"/>
    <w:rsid w:val="00355A50"/>
    <w:rsid w:val="00355EC1"/>
    <w:rsid w:val="00355F66"/>
    <w:rsid w:val="00356036"/>
    <w:rsid w:val="0035607C"/>
    <w:rsid w:val="00356272"/>
    <w:rsid w:val="003562D8"/>
    <w:rsid w:val="00356576"/>
    <w:rsid w:val="00356861"/>
    <w:rsid w:val="003569E9"/>
    <w:rsid w:val="00356CCD"/>
    <w:rsid w:val="00356DAE"/>
    <w:rsid w:val="00356F4B"/>
    <w:rsid w:val="00356FDB"/>
    <w:rsid w:val="0035735B"/>
    <w:rsid w:val="003573CE"/>
    <w:rsid w:val="003574FE"/>
    <w:rsid w:val="00357522"/>
    <w:rsid w:val="00357985"/>
    <w:rsid w:val="003579BB"/>
    <w:rsid w:val="00357AEF"/>
    <w:rsid w:val="00357B6D"/>
    <w:rsid w:val="00357D7C"/>
    <w:rsid w:val="00357EF9"/>
    <w:rsid w:val="00360124"/>
    <w:rsid w:val="00360197"/>
    <w:rsid w:val="003601E3"/>
    <w:rsid w:val="00360211"/>
    <w:rsid w:val="00360274"/>
    <w:rsid w:val="003603EB"/>
    <w:rsid w:val="00360617"/>
    <w:rsid w:val="00360659"/>
    <w:rsid w:val="003606E7"/>
    <w:rsid w:val="00360832"/>
    <w:rsid w:val="00360846"/>
    <w:rsid w:val="00360A30"/>
    <w:rsid w:val="00360A43"/>
    <w:rsid w:val="00360A80"/>
    <w:rsid w:val="00360B2C"/>
    <w:rsid w:val="00360CA2"/>
    <w:rsid w:val="00360CA4"/>
    <w:rsid w:val="0036112D"/>
    <w:rsid w:val="003611A0"/>
    <w:rsid w:val="0036120D"/>
    <w:rsid w:val="003614CC"/>
    <w:rsid w:val="003616E3"/>
    <w:rsid w:val="00361867"/>
    <w:rsid w:val="00361892"/>
    <w:rsid w:val="0036189F"/>
    <w:rsid w:val="003618BE"/>
    <w:rsid w:val="00361960"/>
    <w:rsid w:val="00361D10"/>
    <w:rsid w:val="00361D47"/>
    <w:rsid w:val="00361DB0"/>
    <w:rsid w:val="00361E96"/>
    <w:rsid w:val="00361EB5"/>
    <w:rsid w:val="00361FC2"/>
    <w:rsid w:val="00362125"/>
    <w:rsid w:val="003622A3"/>
    <w:rsid w:val="0036239B"/>
    <w:rsid w:val="00362520"/>
    <w:rsid w:val="003626CA"/>
    <w:rsid w:val="00362839"/>
    <w:rsid w:val="0036291B"/>
    <w:rsid w:val="0036295E"/>
    <w:rsid w:val="00362A4F"/>
    <w:rsid w:val="00362B0F"/>
    <w:rsid w:val="00362B23"/>
    <w:rsid w:val="00362ED9"/>
    <w:rsid w:val="00362F31"/>
    <w:rsid w:val="00363101"/>
    <w:rsid w:val="003634F7"/>
    <w:rsid w:val="00363A55"/>
    <w:rsid w:val="00363BE7"/>
    <w:rsid w:val="003640AC"/>
    <w:rsid w:val="0036425B"/>
    <w:rsid w:val="00364368"/>
    <w:rsid w:val="0036438E"/>
    <w:rsid w:val="00364489"/>
    <w:rsid w:val="0036473F"/>
    <w:rsid w:val="00364816"/>
    <w:rsid w:val="0036497F"/>
    <w:rsid w:val="00364987"/>
    <w:rsid w:val="00364AD9"/>
    <w:rsid w:val="00364B14"/>
    <w:rsid w:val="00364C1C"/>
    <w:rsid w:val="00364E18"/>
    <w:rsid w:val="00364EA0"/>
    <w:rsid w:val="00364ED1"/>
    <w:rsid w:val="00364F0D"/>
    <w:rsid w:val="0036504E"/>
    <w:rsid w:val="00365359"/>
    <w:rsid w:val="003655CF"/>
    <w:rsid w:val="00365840"/>
    <w:rsid w:val="0036585B"/>
    <w:rsid w:val="00365BC3"/>
    <w:rsid w:val="00365DF7"/>
    <w:rsid w:val="00366414"/>
    <w:rsid w:val="00366A8F"/>
    <w:rsid w:val="00366D10"/>
    <w:rsid w:val="00366DD7"/>
    <w:rsid w:val="00366E8D"/>
    <w:rsid w:val="00366FFA"/>
    <w:rsid w:val="00367336"/>
    <w:rsid w:val="003674B3"/>
    <w:rsid w:val="003677EA"/>
    <w:rsid w:val="0036789A"/>
    <w:rsid w:val="003678A5"/>
    <w:rsid w:val="003678AE"/>
    <w:rsid w:val="003678B1"/>
    <w:rsid w:val="0036798D"/>
    <w:rsid w:val="003679B5"/>
    <w:rsid w:val="00367C0D"/>
    <w:rsid w:val="00367F17"/>
    <w:rsid w:val="003704C2"/>
    <w:rsid w:val="003705D1"/>
    <w:rsid w:val="003705FF"/>
    <w:rsid w:val="0037071F"/>
    <w:rsid w:val="00370823"/>
    <w:rsid w:val="0037082F"/>
    <w:rsid w:val="003708A7"/>
    <w:rsid w:val="0037097C"/>
    <w:rsid w:val="00370A39"/>
    <w:rsid w:val="00370A4D"/>
    <w:rsid w:val="00370C02"/>
    <w:rsid w:val="00370CD4"/>
    <w:rsid w:val="00370F36"/>
    <w:rsid w:val="00371015"/>
    <w:rsid w:val="00371299"/>
    <w:rsid w:val="00371445"/>
    <w:rsid w:val="00371451"/>
    <w:rsid w:val="0037161A"/>
    <w:rsid w:val="0037170E"/>
    <w:rsid w:val="003719F1"/>
    <w:rsid w:val="00371A1A"/>
    <w:rsid w:val="00371B53"/>
    <w:rsid w:val="00371D77"/>
    <w:rsid w:val="00371DEA"/>
    <w:rsid w:val="00371E12"/>
    <w:rsid w:val="00371E57"/>
    <w:rsid w:val="00371FF7"/>
    <w:rsid w:val="00372069"/>
    <w:rsid w:val="003720EA"/>
    <w:rsid w:val="0037216D"/>
    <w:rsid w:val="003722BB"/>
    <w:rsid w:val="0037233C"/>
    <w:rsid w:val="00372396"/>
    <w:rsid w:val="0037243C"/>
    <w:rsid w:val="00372443"/>
    <w:rsid w:val="00372554"/>
    <w:rsid w:val="003725B6"/>
    <w:rsid w:val="00372666"/>
    <w:rsid w:val="00372A5B"/>
    <w:rsid w:val="00372A74"/>
    <w:rsid w:val="00372BB2"/>
    <w:rsid w:val="00372C41"/>
    <w:rsid w:val="00372CDA"/>
    <w:rsid w:val="00372DD9"/>
    <w:rsid w:val="00372E28"/>
    <w:rsid w:val="00372EAF"/>
    <w:rsid w:val="00372EFC"/>
    <w:rsid w:val="0037327A"/>
    <w:rsid w:val="00373369"/>
    <w:rsid w:val="003735F7"/>
    <w:rsid w:val="00373692"/>
    <w:rsid w:val="00373C83"/>
    <w:rsid w:val="00373C96"/>
    <w:rsid w:val="00373CDC"/>
    <w:rsid w:val="00373DA7"/>
    <w:rsid w:val="00373E54"/>
    <w:rsid w:val="0037404A"/>
    <w:rsid w:val="003740B6"/>
    <w:rsid w:val="00374115"/>
    <w:rsid w:val="0037447D"/>
    <w:rsid w:val="003745B0"/>
    <w:rsid w:val="00374627"/>
    <w:rsid w:val="003747B8"/>
    <w:rsid w:val="00374844"/>
    <w:rsid w:val="003749ED"/>
    <w:rsid w:val="00374AE8"/>
    <w:rsid w:val="00374B35"/>
    <w:rsid w:val="00374C7F"/>
    <w:rsid w:val="00374F82"/>
    <w:rsid w:val="00374FCD"/>
    <w:rsid w:val="00375151"/>
    <w:rsid w:val="00375221"/>
    <w:rsid w:val="00375222"/>
    <w:rsid w:val="003755EB"/>
    <w:rsid w:val="0037560D"/>
    <w:rsid w:val="003757FC"/>
    <w:rsid w:val="00375A0A"/>
    <w:rsid w:val="00375D86"/>
    <w:rsid w:val="00375DC4"/>
    <w:rsid w:val="00375E2F"/>
    <w:rsid w:val="00375F84"/>
    <w:rsid w:val="0037601E"/>
    <w:rsid w:val="0037613B"/>
    <w:rsid w:val="0037648C"/>
    <w:rsid w:val="003766D8"/>
    <w:rsid w:val="00376751"/>
    <w:rsid w:val="0037675B"/>
    <w:rsid w:val="00376BEC"/>
    <w:rsid w:val="00377263"/>
    <w:rsid w:val="0037728D"/>
    <w:rsid w:val="003773EF"/>
    <w:rsid w:val="0037750D"/>
    <w:rsid w:val="00377533"/>
    <w:rsid w:val="003776BD"/>
    <w:rsid w:val="003776D8"/>
    <w:rsid w:val="00377896"/>
    <w:rsid w:val="00377976"/>
    <w:rsid w:val="00377A64"/>
    <w:rsid w:val="00377D0B"/>
    <w:rsid w:val="003800C9"/>
    <w:rsid w:val="00380163"/>
    <w:rsid w:val="003802ED"/>
    <w:rsid w:val="003803BA"/>
    <w:rsid w:val="0038060B"/>
    <w:rsid w:val="0038063C"/>
    <w:rsid w:val="00380722"/>
    <w:rsid w:val="00380828"/>
    <w:rsid w:val="00380856"/>
    <w:rsid w:val="00380996"/>
    <w:rsid w:val="00380A99"/>
    <w:rsid w:val="00380B5D"/>
    <w:rsid w:val="00380C7B"/>
    <w:rsid w:val="00380F35"/>
    <w:rsid w:val="00380FB5"/>
    <w:rsid w:val="003810FA"/>
    <w:rsid w:val="0038137B"/>
    <w:rsid w:val="00381513"/>
    <w:rsid w:val="00381553"/>
    <w:rsid w:val="003815BA"/>
    <w:rsid w:val="00381656"/>
    <w:rsid w:val="003818AC"/>
    <w:rsid w:val="00381AF2"/>
    <w:rsid w:val="00381BC5"/>
    <w:rsid w:val="00381C39"/>
    <w:rsid w:val="00381C61"/>
    <w:rsid w:val="00382029"/>
    <w:rsid w:val="0038206C"/>
    <w:rsid w:val="0038206E"/>
    <w:rsid w:val="003820B2"/>
    <w:rsid w:val="003820BB"/>
    <w:rsid w:val="0038230E"/>
    <w:rsid w:val="003823CD"/>
    <w:rsid w:val="00382410"/>
    <w:rsid w:val="003826CD"/>
    <w:rsid w:val="003827E3"/>
    <w:rsid w:val="00382AC8"/>
    <w:rsid w:val="00382D93"/>
    <w:rsid w:val="00383071"/>
    <w:rsid w:val="00383137"/>
    <w:rsid w:val="003831DC"/>
    <w:rsid w:val="0038333F"/>
    <w:rsid w:val="003834A3"/>
    <w:rsid w:val="003837EB"/>
    <w:rsid w:val="00383A09"/>
    <w:rsid w:val="00383B1F"/>
    <w:rsid w:val="00383EC0"/>
    <w:rsid w:val="0038400D"/>
    <w:rsid w:val="003841C2"/>
    <w:rsid w:val="00384432"/>
    <w:rsid w:val="0038471A"/>
    <w:rsid w:val="0038497F"/>
    <w:rsid w:val="003849F3"/>
    <w:rsid w:val="00384CAA"/>
    <w:rsid w:val="00384DE2"/>
    <w:rsid w:val="00384E89"/>
    <w:rsid w:val="00384F03"/>
    <w:rsid w:val="00384FAE"/>
    <w:rsid w:val="0038506D"/>
    <w:rsid w:val="003850BA"/>
    <w:rsid w:val="003852CD"/>
    <w:rsid w:val="0038530F"/>
    <w:rsid w:val="00385382"/>
    <w:rsid w:val="003853E3"/>
    <w:rsid w:val="003853EF"/>
    <w:rsid w:val="0038555C"/>
    <w:rsid w:val="003857C9"/>
    <w:rsid w:val="003859A6"/>
    <w:rsid w:val="00385BE9"/>
    <w:rsid w:val="00385CE3"/>
    <w:rsid w:val="00385E93"/>
    <w:rsid w:val="00385EA7"/>
    <w:rsid w:val="0038605D"/>
    <w:rsid w:val="0038619E"/>
    <w:rsid w:val="0038627C"/>
    <w:rsid w:val="00386282"/>
    <w:rsid w:val="003865E9"/>
    <w:rsid w:val="00386614"/>
    <w:rsid w:val="003866AC"/>
    <w:rsid w:val="00386742"/>
    <w:rsid w:val="00386904"/>
    <w:rsid w:val="00386984"/>
    <w:rsid w:val="00386AF7"/>
    <w:rsid w:val="00386C1D"/>
    <w:rsid w:val="00386C38"/>
    <w:rsid w:val="00386C90"/>
    <w:rsid w:val="00386D46"/>
    <w:rsid w:val="00386EC0"/>
    <w:rsid w:val="00386F5F"/>
    <w:rsid w:val="00386F69"/>
    <w:rsid w:val="00387082"/>
    <w:rsid w:val="0038727F"/>
    <w:rsid w:val="003872B4"/>
    <w:rsid w:val="0038739D"/>
    <w:rsid w:val="0038759B"/>
    <w:rsid w:val="00387672"/>
    <w:rsid w:val="0038798F"/>
    <w:rsid w:val="00387AE8"/>
    <w:rsid w:val="00387DB5"/>
    <w:rsid w:val="00387E9A"/>
    <w:rsid w:val="0039014A"/>
    <w:rsid w:val="0039014B"/>
    <w:rsid w:val="003901BE"/>
    <w:rsid w:val="0039078C"/>
    <w:rsid w:val="00390ABF"/>
    <w:rsid w:val="00390B57"/>
    <w:rsid w:val="00390DF7"/>
    <w:rsid w:val="00391348"/>
    <w:rsid w:val="00391435"/>
    <w:rsid w:val="0039163A"/>
    <w:rsid w:val="0039172D"/>
    <w:rsid w:val="00391A4C"/>
    <w:rsid w:val="00391BFA"/>
    <w:rsid w:val="00391CA0"/>
    <w:rsid w:val="00391D55"/>
    <w:rsid w:val="00391F3F"/>
    <w:rsid w:val="00392202"/>
    <w:rsid w:val="003922C8"/>
    <w:rsid w:val="003924D0"/>
    <w:rsid w:val="003925D5"/>
    <w:rsid w:val="0039268C"/>
    <w:rsid w:val="003926E4"/>
    <w:rsid w:val="00392778"/>
    <w:rsid w:val="00392783"/>
    <w:rsid w:val="00392A4E"/>
    <w:rsid w:val="00392B5E"/>
    <w:rsid w:val="00392BB5"/>
    <w:rsid w:val="00392D6D"/>
    <w:rsid w:val="00393028"/>
    <w:rsid w:val="0039323C"/>
    <w:rsid w:val="0039326B"/>
    <w:rsid w:val="00393407"/>
    <w:rsid w:val="0039345A"/>
    <w:rsid w:val="00393530"/>
    <w:rsid w:val="0039374C"/>
    <w:rsid w:val="00393872"/>
    <w:rsid w:val="0039395C"/>
    <w:rsid w:val="003939E1"/>
    <w:rsid w:val="00393E12"/>
    <w:rsid w:val="00393E79"/>
    <w:rsid w:val="00393EA3"/>
    <w:rsid w:val="00393F27"/>
    <w:rsid w:val="00394058"/>
    <w:rsid w:val="003941A9"/>
    <w:rsid w:val="00394460"/>
    <w:rsid w:val="0039456F"/>
    <w:rsid w:val="0039485C"/>
    <w:rsid w:val="0039498F"/>
    <w:rsid w:val="00394ACE"/>
    <w:rsid w:val="00394B16"/>
    <w:rsid w:val="00394D59"/>
    <w:rsid w:val="00394DDE"/>
    <w:rsid w:val="00394F16"/>
    <w:rsid w:val="003950C2"/>
    <w:rsid w:val="00395115"/>
    <w:rsid w:val="00395378"/>
    <w:rsid w:val="003953F6"/>
    <w:rsid w:val="00395458"/>
    <w:rsid w:val="0039558E"/>
    <w:rsid w:val="00395591"/>
    <w:rsid w:val="003955E1"/>
    <w:rsid w:val="003956E3"/>
    <w:rsid w:val="00395A82"/>
    <w:rsid w:val="00395B1B"/>
    <w:rsid w:val="00395C5B"/>
    <w:rsid w:val="0039639B"/>
    <w:rsid w:val="00396570"/>
    <w:rsid w:val="003966A7"/>
    <w:rsid w:val="003966B2"/>
    <w:rsid w:val="003966C5"/>
    <w:rsid w:val="003967F0"/>
    <w:rsid w:val="00396827"/>
    <w:rsid w:val="00396A82"/>
    <w:rsid w:val="00396B17"/>
    <w:rsid w:val="00396BDB"/>
    <w:rsid w:val="00396C6F"/>
    <w:rsid w:val="00396E07"/>
    <w:rsid w:val="00396F5B"/>
    <w:rsid w:val="003970EE"/>
    <w:rsid w:val="0039712D"/>
    <w:rsid w:val="00397295"/>
    <w:rsid w:val="0039730D"/>
    <w:rsid w:val="0039736C"/>
    <w:rsid w:val="0039756F"/>
    <w:rsid w:val="00397677"/>
    <w:rsid w:val="003979BA"/>
    <w:rsid w:val="00397B1B"/>
    <w:rsid w:val="00397CC0"/>
    <w:rsid w:val="00397E03"/>
    <w:rsid w:val="00397E0B"/>
    <w:rsid w:val="00397EC3"/>
    <w:rsid w:val="00397F9D"/>
    <w:rsid w:val="003A0115"/>
    <w:rsid w:val="003A01B6"/>
    <w:rsid w:val="003A01CD"/>
    <w:rsid w:val="003A04E9"/>
    <w:rsid w:val="003A0618"/>
    <w:rsid w:val="003A0675"/>
    <w:rsid w:val="003A080C"/>
    <w:rsid w:val="003A0A0B"/>
    <w:rsid w:val="003A0A7F"/>
    <w:rsid w:val="003A0D19"/>
    <w:rsid w:val="003A0DB9"/>
    <w:rsid w:val="003A1060"/>
    <w:rsid w:val="003A10C9"/>
    <w:rsid w:val="003A124E"/>
    <w:rsid w:val="003A12C4"/>
    <w:rsid w:val="003A1315"/>
    <w:rsid w:val="003A144A"/>
    <w:rsid w:val="003A1705"/>
    <w:rsid w:val="003A1785"/>
    <w:rsid w:val="003A180E"/>
    <w:rsid w:val="003A1883"/>
    <w:rsid w:val="003A18B3"/>
    <w:rsid w:val="003A18C0"/>
    <w:rsid w:val="003A197A"/>
    <w:rsid w:val="003A19BE"/>
    <w:rsid w:val="003A1ED9"/>
    <w:rsid w:val="003A2569"/>
    <w:rsid w:val="003A25A5"/>
    <w:rsid w:val="003A2819"/>
    <w:rsid w:val="003A298C"/>
    <w:rsid w:val="003A29E0"/>
    <w:rsid w:val="003A2BCA"/>
    <w:rsid w:val="003A2C50"/>
    <w:rsid w:val="003A2C55"/>
    <w:rsid w:val="003A2C9D"/>
    <w:rsid w:val="003A2D69"/>
    <w:rsid w:val="003A2D7B"/>
    <w:rsid w:val="003A2DA0"/>
    <w:rsid w:val="003A2DB5"/>
    <w:rsid w:val="003A2E9A"/>
    <w:rsid w:val="003A3097"/>
    <w:rsid w:val="003A3395"/>
    <w:rsid w:val="003A3552"/>
    <w:rsid w:val="003A3636"/>
    <w:rsid w:val="003A38EF"/>
    <w:rsid w:val="003A3CE6"/>
    <w:rsid w:val="003A3E70"/>
    <w:rsid w:val="003A3EFC"/>
    <w:rsid w:val="003A3F4B"/>
    <w:rsid w:val="003A403A"/>
    <w:rsid w:val="003A40C2"/>
    <w:rsid w:val="003A418F"/>
    <w:rsid w:val="003A4231"/>
    <w:rsid w:val="003A4307"/>
    <w:rsid w:val="003A45DD"/>
    <w:rsid w:val="003A49A2"/>
    <w:rsid w:val="003A49DC"/>
    <w:rsid w:val="003A4B05"/>
    <w:rsid w:val="003A4BA8"/>
    <w:rsid w:val="003A4BE2"/>
    <w:rsid w:val="003A4D9C"/>
    <w:rsid w:val="003A53BE"/>
    <w:rsid w:val="003A5493"/>
    <w:rsid w:val="003A5664"/>
    <w:rsid w:val="003A5836"/>
    <w:rsid w:val="003A58E6"/>
    <w:rsid w:val="003A59A1"/>
    <w:rsid w:val="003A59D6"/>
    <w:rsid w:val="003A59F0"/>
    <w:rsid w:val="003A5AB1"/>
    <w:rsid w:val="003A5B20"/>
    <w:rsid w:val="003A5C5F"/>
    <w:rsid w:val="003A5C86"/>
    <w:rsid w:val="003A5CD5"/>
    <w:rsid w:val="003A5E4C"/>
    <w:rsid w:val="003A6017"/>
    <w:rsid w:val="003A6023"/>
    <w:rsid w:val="003A6034"/>
    <w:rsid w:val="003A6182"/>
    <w:rsid w:val="003A628A"/>
    <w:rsid w:val="003A62CC"/>
    <w:rsid w:val="003A631B"/>
    <w:rsid w:val="003A6355"/>
    <w:rsid w:val="003A668A"/>
    <w:rsid w:val="003A6878"/>
    <w:rsid w:val="003A68AC"/>
    <w:rsid w:val="003A6A16"/>
    <w:rsid w:val="003A6AFC"/>
    <w:rsid w:val="003A6D7E"/>
    <w:rsid w:val="003A6E2D"/>
    <w:rsid w:val="003A7129"/>
    <w:rsid w:val="003A718A"/>
    <w:rsid w:val="003A75D6"/>
    <w:rsid w:val="003A7A17"/>
    <w:rsid w:val="003A7A7F"/>
    <w:rsid w:val="003A7AC3"/>
    <w:rsid w:val="003A7CC5"/>
    <w:rsid w:val="003B0220"/>
    <w:rsid w:val="003B02A5"/>
    <w:rsid w:val="003B034A"/>
    <w:rsid w:val="003B07E4"/>
    <w:rsid w:val="003B0A4D"/>
    <w:rsid w:val="003B0ACB"/>
    <w:rsid w:val="003B0C24"/>
    <w:rsid w:val="003B0E4B"/>
    <w:rsid w:val="003B10DB"/>
    <w:rsid w:val="003B1187"/>
    <w:rsid w:val="003B1269"/>
    <w:rsid w:val="003B141E"/>
    <w:rsid w:val="003B1589"/>
    <w:rsid w:val="003B15B1"/>
    <w:rsid w:val="003B18AF"/>
    <w:rsid w:val="003B194D"/>
    <w:rsid w:val="003B1C48"/>
    <w:rsid w:val="003B1D94"/>
    <w:rsid w:val="003B1E46"/>
    <w:rsid w:val="003B1F7C"/>
    <w:rsid w:val="003B223C"/>
    <w:rsid w:val="003B24D5"/>
    <w:rsid w:val="003B2540"/>
    <w:rsid w:val="003B2753"/>
    <w:rsid w:val="003B2880"/>
    <w:rsid w:val="003B2AB7"/>
    <w:rsid w:val="003B2B40"/>
    <w:rsid w:val="003B2B43"/>
    <w:rsid w:val="003B2D4A"/>
    <w:rsid w:val="003B3030"/>
    <w:rsid w:val="003B31B8"/>
    <w:rsid w:val="003B32B6"/>
    <w:rsid w:val="003B36C6"/>
    <w:rsid w:val="003B393F"/>
    <w:rsid w:val="003B3A2C"/>
    <w:rsid w:val="003B3A54"/>
    <w:rsid w:val="003B3C89"/>
    <w:rsid w:val="003B3DBA"/>
    <w:rsid w:val="003B409B"/>
    <w:rsid w:val="003B4372"/>
    <w:rsid w:val="003B45B3"/>
    <w:rsid w:val="003B460F"/>
    <w:rsid w:val="003B4A19"/>
    <w:rsid w:val="003B4A75"/>
    <w:rsid w:val="003B4BA0"/>
    <w:rsid w:val="003B4BB7"/>
    <w:rsid w:val="003B4E24"/>
    <w:rsid w:val="003B4F77"/>
    <w:rsid w:val="003B50F4"/>
    <w:rsid w:val="003B5229"/>
    <w:rsid w:val="003B5247"/>
    <w:rsid w:val="003B52DC"/>
    <w:rsid w:val="003B5515"/>
    <w:rsid w:val="003B57A9"/>
    <w:rsid w:val="003B585D"/>
    <w:rsid w:val="003B5A45"/>
    <w:rsid w:val="003B5B40"/>
    <w:rsid w:val="003B5B87"/>
    <w:rsid w:val="003B5C5C"/>
    <w:rsid w:val="003B5DB7"/>
    <w:rsid w:val="003B5DBD"/>
    <w:rsid w:val="003B5E16"/>
    <w:rsid w:val="003B5F4C"/>
    <w:rsid w:val="003B5FC2"/>
    <w:rsid w:val="003B5FED"/>
    <w:rsid w:val="003B60CB"/>
    <w:rsid w:val="003B6134"/>
    <w:rsid w:val="003B6145"/>
    <w:rsid w:val="003B62AD"/>
    <w:rsid w:val="003B640F"/>
    <w:rsid w:val="003B648F"/>
    <w:rsid w:val="003B64FB"/>
    <w:rsid w:val="003B657D"/>
    <w:rsid w:val="003B6AB8"/>
    <w:rsid w:val="003B6B99"/>
    <w:rsid w:val="003B6C6A"/>
    <w:rsid w:val="003B6CFD"/>
    <w:rsid w:val="003B6D11"/>
    <w:rsid w:val="003B6DA5"/>
    <w:rsid w:val="003B6E2B"/>
    <w:rsid w:val="003B7008"/>
    <w:rsid w:val="003B7074"/>
    <w:rsid w:val="003B70B8"/>
    <w:rsid w:val="003B72B0"/>
    <w:rsid w:val="003B7374"/>
    <w:rsid w:val="003B737E"/>
    <w:rsid w:val="003B73FE"/>
    <w:rsid w:val="003B743B"/>
    <w:rsid w:val="003B75B4"/>
    <w:rsid w:val="003B7615"/>
    <w:rsid w:val="003B7B2C"/>
    <w:rsid w:val="003B7B6A"/>
    <w:rsid w:val="003B7BD9"/>
    <w:rsid w:val="003B7BEB"/>
    <w:rsid w:val="003B7CCE"/>
    <w:rsid w:val="003B7DDB"/>
    <w:rsid w:val="003B7DFC"/>
    <w:rsid w:val="003B7E9D"/>
    <w:rsid w:val="003B7FBC"/>
    <w:rsid w:val="003C00BE"/>
    <w:rsid w:val="003C00EC"/>
    <w:rsid w:val="003C016F"/>
    <w:rsid w:val="003C04FF"/>
    <w:rsid w:val="003C07B9"/>
    <w:rsid w:val="003C093D"/>
    <w:rsid w:val="003C095A"/>
    <w:rsid w:val="003C09C3"/>
    <w:rsid w:val="003C0E04"/>
    <w:rsid w:val="003C0E18"/>
    <w:rsid w:val="003C1019"/>
    <w:rsid w:val="003C109A"/>
    <w:rsid w:val="003C10BD"/>
    <w:rsid w:val="003C1169"/>
    <w:rsid w:val="003C1313"/>
    <w:rsid w:val="003C142A"/>
    <w:rsid w:val="003C1503"/>
    <w:rsid w:val="003C1844"/>
    <w:rsid w:val="003C1F63"/>
    <w:rsid w:val="003C1FF2"/>
    <w:rsid w:val="003C2027"/>
    <w:rsid w:val="003C2062"/>
    <w:rsid w:val="003C21A6"/>
    <w:rsid w:val="003C2261"/>
    <w:rsid w:val="003C23EE"/>
    <w:rsid w:val="003C249F"/>
    <w:rsid w:val="003C2506"/>
    <w:rsid w:val="003C2B8F"/>
    <w:rsid w:val="003C2D5E"/>
    <w:rsid w:val="003C2E26"/>
    <w:rsid w:val="003C2F9A"/>
    <w:rsid w:val="003C306C"/>
    <w:rsid w:val="003C323B"/>
    <w:rsid w:val="003C336D"/>
    <w:rsid w:val="003C34A9"/>
    <w:rsid w:val="003C34FF"/>
    <w:rsid w:val="003C3597"/>
    <w:rsid w:val="003C3602"/>
    <w:rsid w:val="003C3639"/>
    <w:rsid w:val="003C366D"/>
    <w:rsid w:val="003C36A6"/>
    <w:rsid w:val="003C379F"/>
    <w:rsid w:val="003C3966"/>
    <w:rsid w:val="003C39FD"/>
    <w:rsid w:val="003C3A3D"/>
    <w:rsid w:val="003C3A86"/>
    <w:rsid w:val="003C3C93"/>
    <w:rsid w:val="003C4127"/>
    <w:rsid w:val="003C425B"/>
    <w:rsid w:val="003C4265"/>
    <w:rsid w:val="003C4328"/>
    <w:rsid w:val="003C45CC"/>
    <w:rsid w:val="003C4730"/>
    <w:rsid w:val="003C4747"/>
    <w:rsid w:val="003C4975"/>
    <w:rsid w:val="003C4A7C"/>
    <w:rsid w:val="003C4A9C"/>
    <w:rsid w:val="003C4AFA"/>
    <w:rsid w:val="003C4CDE"/>
    <w:rsid w:val="003C5157"/>
    <w:rsid w:val="003C5588"/>
    <w:rsid w:val="003C5605"/>
    <w:rsid w:val="003C569D"/>
    <w:rsid w:val="003C56B1"/>
    <w:rsid w:val="003C570F"/>
    <w:rsid w:val="003C5863"/>
    <w:rsid w:val="003C59C8"/>
    <w:rsid w:val="003C5A05"/>
    <w:rsid w:val="003C5C7C"/>
    <w:rsid w:val="003C5CF8"/>
    <w:rsid w:val="003C5E0C"/>
    <w:rsid w:val="003C5E93"/>
    <w:rsid w:val="003C5EB4"/>
    <w:rsid w:val="003C5EC2"/>
    <w:rsid w:val="003C6084"/>
    <w:rsid w:val="003C6108"/>
    <w:rsid w:val="003C6499"/>
    <w:rsid w:val="003C681B"/>
    <w:rsid w:val="003C6915"/>
    <w:rsid w:val="003C6BEA"/>
    <w:rsid w:val="003C6D38"/>
    <w:rsid w:val="003C6F88"/>
    <w:rsid w:val="003C70A0"/>
    <w:rsid w:val="003C72BC"/>
    <w:rsid w:val="003C73B3"/>
    <w:rsid w:val="003C75C4"/>
    <w:rsid w:val="003C7667"/>
    <w:rsid w:val="003C798E"/>
    <w:rsid w:val="003C79BC"/>
    <w:rsid w:val="003C7BB6"/>
    <w:rsid w:val="003C7BC2"/>
    <w:rsid w:val="003C7BE0"/>
    <w:rsid w:val="003C7C11"/>
    <w:rsid w:val="003C7C65"/>
    <w:rsid w:val="003C7F33"/>
    <w:rsid w:val="003C7FA9"/>
    <w:rsid w:val="003D05BB"/>
    <w:rsid w:val="003D0643"/>
    <w:rsid w:val="003D06A4"/>
    <w:rsid w:val="003D076F"/>
    <w:rsid w:val="003D0789"/>
    <w:rsid w:val="003D08AE"/>
    <w:rsid w:val="003D095C"/>
    <w:rsid w:val="003D0A32"/>
    <w:rsid w:val="003D0A35"/>
    <w:rsid w:val="003D0BCC"/>
    <w:rsid w:val="003D0D92"/>
    <w:rsid w:val="003D0E81"/>
    <w:rsid w:val="003D0EDE"/>
    <w:rsid w:val="003D1239"/>
    <w:rsid w:val="003D156C"/>
    <w:rsid w:val="003D1649"/>
    <w:rsid w:val="003D19A8"/>
    <w:rsid w:val="003D1A27"/>
    <w:rsid w:val="003D1B40"/>
    <w:rsid w:val="003D1BE7"/>
    <w:rsid w:val="003D1BF0"/>
    <w:rsid w:val="003D206C"/>
    <w:rsid w:val="003D231C"/>
    <w:rsid w:val="003D2426"/>
    <w:rsid w:val="003D266D"/>
    <w:rsid w:val="003D26B6"/>
    <w:rsid w:val="003D26F7"/>
    <w:rsid w:val="003D2880"/>
    <w:rsid w:val="003D2A3E"/>
    <w:rsid w:val="003D2B63"/>
    <w:rsid w:val="003D2C05"/>
    <w:rsid w:val="003D2C2A"/>
    <w:rsid w:val="003D2CDE"/>
    <w:rsid w:val="003D3381"/>
    <w:rsid w:val="003D3681"/>
    <w:rsid w:val="003D36F1"/>
    <w:rsid w:val="003D3744"/>
    <w:rsid w:val="003D37D0"/>
    <w:rsid w:val="003D3A00"/>
    <w:rsid w:val="003D3A83"/>
    <w:rsid w:val="003D3AB2"/>
    <w:rsid w:val="003D3CBF"/>
    <w:rsid w:val="003D3D48"/>
    <w:rsid w:val="003D3DF4"/>
    <w:rsid w:val="003D3FD3"/>
    <w:rsid w:val="003D40A9"/>
    <w:rsid w:val="003D41E9"/>
    <w:rsid w:val="003D4284"/>
    <w:rsid w:val="003D42D0"/>
    <w:rsid w:val="003D4467"/>
    <w:rsid w:val="003D46E6"/>
    <w:rsid w:val="003D4702"/>
    <w:rsid w:val="003D495E"/>
    <w:rsid w:val="003D4A9B"/>
    <w:rsid w:val="003D4CDF"/>
    <w:rsid w:val="003D4E27"/>
    <w:rsid w:val="003D4E37"/>
    <w:rsid w:val="003D5179"/>
    <w:rsid w:val="003D5377"/>
    <w:rsid w:val="003D5390"/>
    <w:rsid w:val="003D5505"/>
    <w:rsid w:val="003D552D"/>
    <w:rsid w:val="003D5542"/>
    <w:rsid w:val="003D56D6"/>
    <w:rsid w:val="003D56E0"/>
    <w:rsid w:val="003D5763"/>
    <w:rsid w:val="003D57D7"/>
    <w:rsid w:val="003D5830"/>
    <w:rsid w:val="003D5902"/>
    <w:rsid w:val="003D596E"/>
    <w:rsid w:val="003D5DBF"/>
    <w:rsid w:val="003D5F4B"/>
    <w:rsid w:val="003D6907"/>
    <w:rsid w:val="003D6B0E"/>
    <w:rsid w:val="003D6CA8"/>
    <w:rsid w:val="003D6DEB"/>
    <w:rsid w:val="003D6EAA"/>
    <w:rsid w:val="003D6EBB"/>
    <w:rsid w:val="003D7127"/>
    <w:rsid w:val="003D7239"/>
    <w:rsid w:val="003D734B"/>
    <w:rsid w:val="003D7360"/>
    <w:rsid w:val="003D75D2"/>
    <w:rsid w:val="003D7820"/>
    <w:rsid w:val="003D7836"/>
    <w:rsid w:val="003D7992"/>
    <w:rsid w:val="003D7A45"/>
    <w:rsid w:val="003D7A80"/>
    <w:rsid w:val="003D7B48"/>
    <w:rsid w:val="003D7DF7"/>
    <w:rsid w:val="003D7EC9"/>
    <w:rsid w:val="003D7F5C"/>
    <w:rsid w:val="003E032D"/>
    <w:rsid w:val="003E04BA"/>
    <w:rsid w:val="003E051D"/>
    <w:rsid w:val="003E064A"/>
    <w:rsid w:val="003E06B5"/>
    <w:rsid w:val="003E0782"/>
    <w:rsid w:val="003E0924"/>
    <w:rsid w:val="003E0A3E"/>
    <w:rsid w:val="003E0AFB"/>
    <w:rsid w:val="003E0DCD"/>
    <w:rsid w:val="003E0E49"/>
    <w:rsid w:val="003E0FA4"/>
    <w:rsid w:val="003E1072"/>
    <w:rsid w:val="003E1304"/>
    <w:rsid w:val="003E139C"/>
    <w:rsid w:val="003E13A6"/>
    <w:rsid w:val="003E147E"/>
    <w:rsid w:val="003E15FA"/>
    <w:rsid w:val="003E1677"/>
    <w:rsid w:val="003E18BA"/>
    <w:rsid w:val="003E1949"/>
    <w:rsid w:val="003E1992"/>
    <w:rsid w:val="003E1C8F"/>
    <w:rsid w:val="003E1DE7"/>
    <w:rsid w:val="003E1E2D"/>
    <w:rsid w:val="003E21D8"/>
    <w:rsid w:val="003E2207"/>
    <w:rsid w:val="003E2215"/>
    <w:rsid w:val="003E24D4"/>
    <w:rsid w:val="003E267C"/>
    <w:rsid w:val="003E2713"/>
    <w:rsid w:val="003E2934"/>
    <w:rsid w:val="003E299A"/>
    <w:rsid w:val="003E29F1"/>
    <w:rsid w:val="003E2EEA"/>
    <w:rsid w:val="003E2F4E"/>
    <w:rsid w:val="003E3605"/>
    <w:rsid w:val="003E3658"/>
    <w:rsid w:val="003E37A6"/>
    <w:rsid w:val="003E3907"/>
    <w:rsid w:val="003E398E"/>
    <w:rsid w:val="003E3AAF"/>
    <w:rsid w:val="003E3C0E"/>
    <w:rsid w:val="003E3DF0"/>
    <w:rsid w:val="003E432B"/>
    <w:rsid w:val="003E43C2"/>
    <w:rsid w:val="003E450D"/>
    <w:rsid w:val="003E45F1"/>
    <w:rsid w:val="003E4A0A"/>
    <w:rsid w:val="003E4B61"/>
    <w:rsid w:val="003E4CB1"/>
    <w:rsid w:val="003E5067"/>
    <w:rsid w:val="003E51DE"/>
    <w:rsid w:val="003E54EB"/>
    <w:rsid w:val="003E5581"/>
    <w:rsid w:val="003E5639"/>
    <w:rsid w:val="003E5830"/>
    <w:rsid w:val="003E5C62"/>
    <w:rsid w:val="003E5CC4"/>
    <w:rsid w:val="003E5F49"/>
    <w:rsid w:val="003E643C"/>
    <w:rsid w:val="003E64A5"/>
    <w:rsid w:val="003E66A0"/>
    <w:rsid w:val="003E6764"/>
    <w:rsid w:val="003E690B"/>
    <w:rsid w:val="003E69EF"/>
    <w:rsid w:val="003E6B23"/>
    <w:rsid w:val="003E6B42"/>
    <w:rsid w:val="003E6B4D"/>
    <w:rsid w:val="003E6F93"/>
    <w:rsid w:val="003E6FBF"/>
    <w:rsid w:val="003E726E"/>
    <w:rsid w:val="003E7347"/>
    <w:rsid w:val="003E73DB"/>
    <w:rsid w:val="003E7438"/>
    <w:rsid w:val="003E76E5"/>
    <w:rsid w:val="003E77FD"/>
    <w:rsid w:val="003E79B7"/>
    <w:rsid w:val="003E7A22"/>
    <w:rsid w:val="003E7D1F"/>
    <w:rsid w:val="003F00B5"/>
    <w:rsid w:val="003F01B4"/>
    <w:rsid w:val="003F021C"/>
    <w:rsid w:val="003F026D"/>
    <w:rsid w:val="003F0376"/>
    <w:rsid w:val="003F03F0"/>
    <w:rsid w:val="003F05F9"/>
    <w:rsid w:val="003F0642"/>
    <w:rsid w:val="003F0719"/>
    <w:rsid w:val="003F0789"/>
    <w:rsid w:val="003F0A21"/>
    <w:rsid w:val="003F0A5A"/>
    <w:rsid w:val="003F0BEF"/>
    <w:rsid w:val="003F0C7B"/>
    <w:rsid w:val="003F0D2E"/>
    <w:rsid w:val="003F0D57"/>
    <w:rsid w:val="003F0DA5"/>
    <w:rsid w:val="003F0EEF"/>
    <w:rsid w:val="003F0F02"/>
    <w:rsid w:val="003F1150"/>
    <w:rsid w:val="003F120D"/>
    <w:rsid w:val="003F1244"/>
    <w:rsid w:val="003F1483"/>
    <w:rsid w:val="003F1559"/>
    <w:rsid w:val="003F162D"/>
    <w:rsid w:val="003F1684"/>
    <w:rsid w:val="003F17A5"/>
    <w:rsid w:val="003F1B8E"/>
    <w:rsid w:val="003F1C0C"/>
    <w:rsid w:val="003F1C8D"/>
    <w:rsid w:val="003F1CF1"/>
    <w:rsid w:val="003F1F5B"/>
    <w:rsid w:val="003F21CA"/>
    <w:rsid w:val="003F2227"/>
    <w:rsid w:val="003F246F"/>
    <w:rsid w:val="003F25D9"/>
    <w:rsid w:val="003F2947"/>
    <w:rsid w:val="003F297D"/>
    <w:rsid w:val="003F2A37"/>
    <w:rsid w:val="003F2B2C"/>
    <w:rsid w:val="003F2C9D"/>
    <w:rsid w:val="003F2CDA"/>
    <w:rsid w:val="003F2ED5"/>
    <w:rsid w:val="003F318B"/>
    <w:rsid w:val="003F31DB"/>
    <w:rsid w:val="003F3200"/>
    <w:rsid w:val="003F3298"/>
    <w:rsid w:val="003F32B9"/>
    <w:rsid w:val="003F3351"/>
    <w:rsid w:val="003F3643"/>
    <w:rsid w:val="003F3659"/>
    <w:rsid w:val="003F38E9"/>
    <w:rsid w:val="003F3943"/>
    <w:rsid w:val="003F3970"/>
    <w:rsid w:val="003F3C28"/>
    <w:rsid w:val="003F3CEF"/>
    <w:rsid w:val="003F3F95"/>
    <w:rsid w:val="003F4121"/>
    <w:rsid w:val="003F4145"/>
    <w:rsid w:val="003F41D5"/>
    <w:rsid w:val="003F42FD"/>
    <w:rsid w:val="003F45BE"/>
    <w:rsid w:val="003F4663"/>
    <w:rsid w:val="003F46BD"/>
    <w:rsid w:val="003F470E"/>
    <w:rsid w:val="003F47F4"/>
    <w:rsid w:val="003F4949"/>
    <w:rsid w:val="003F49BD"/>
    <w:rsid w:val="003F4AFD"/>
    <w:rsid w:val="003F4B59"/>
    <w:rsid w:val="003F4EBE"/>
    <w:rsid w:val="003F4F11"/>
    <w:rsid w:val="003F51F5"/>
    <w:rsid w:val="003F531B"/>
    <w:rsid w:val="003F557E"/>
    <w:rsid w:val="003F56F5"/>
    <w:rsid w:val="003F5715"/>
    <w:rsid w:val="003F57F8"/>
    <w:rsid w:val="003F58ED"/>
    <w:rsid w:val="003F5974"/>
    <w:rsid w:val="003F598A"/>
    <w:rsid w:val="003F5A66"/>
    <w:rsid w:val="003F5C36"/>
    <w:rsid w:val="003F5F2E"/>
    <w:rsid w:val="003F6117"/>
    <w:rsid w:val="003F61C6"/>
    <w:rsid w:val="003F6320"/>
    <w:rsid w:val="003F640E"/>
    <w:rsid w:val="003F6467"/>
    <w:rsid w:val="003F649A"/>
    <w:rsid w:val="003F67F0"/>
    <w:rsid w:val="003F6812"/>
    <w:rsid w:val="003F682F"/>
    <w:rsid w:val="003F6847"/>
    <w:rsid w:val="003F6885"/>
    <w:rsid w:val="003F690E"/>
    <w:rsid w:val="003F69C5"/>
    <w:rsid w:val="003F6A82"/>
    <w:rsid w:val="003F6CBD"/>
    <w:rsid w:val="003F6D44"/>
    <w:rsid w:val="003F6E81"/>
    <w:rsid w:val="003F7163"/>
    <w:rsid w:val="003F7526"/>
    <w:rsid w:val="003F7575"/>
    <w:rsid w:val="003F790D"/>
    <w:rsid w:val="003F791A"/>
    <w:rsid w:val="003F7D1C"/>
    <w:rsid w:val="004000CE"/>
    <w:rsid w:val="004000E5"/>
    <w:rsid w:val="00400174"/>
    <w:rsid w:val="004002A4"/>
    <w:rsid w:val="00400585"/>
    <w:rsid w:val="00400735"/>
    <w:rsid w:val="0040093E"/>
    <w:rsid w:val="00400987"/>
    <w:rsid w:val="004009D8"/>
    <w:rsid w:val="00400A96"/>
    <w:rsid w:val="00400B8B"/>
    <w:rsid w:val="00400D3E"/>
    <w:rsid w:val="00400F13"/>
    <w:rsid w:val="00400FA6"/>
    <w:rsid w:val="004010AA"/>
    <w:rsid w:val="004013BC"/>
    <w:rsid w:val="004013DD"/>
    <w:rsid w:val="004014B0"/>
    <w:rsid w:val="0040165D"/>
    <w:rsid w:val="004016F3"/>
    <w:rsid w:val="00401776"/>
    <w:rsid w:val="004019D5"/>
    <w:rsid w:val="00401A6A"/>
    <w:rsid w:val="00401C61"/>
    <w:rsid w:val="00401DFE"/>
    <w:rsid w:val="004025EC"/>
    <w:rsid w:val="00402734"/>
    <w:rsid w:val="004028CF"/>
    <w:rsid w:val="00402A10"/>
    <w:rsid w:val="00402AB0"/>
    <w:rsid w:val="00402AC4"/>
    <w:rsid w:val="00402D7C"/>
    <w:rsid w:val="00403071"/>
    <w:rsid w:val="004034FC"/>
    <w:rsid w:val="004035A4"/>
    <w:rsid w:val="00403645"/>
    <w:rsid w:val="00403AD1"/>
    <w:rsid w:val="00403AFF"/>
    <w:rsid w:val="00403C54"/>
    <w:rsid w:val="00403DFE"/>
    <w:rsid w:val="00403E4C"/>
    <w:rsid w:val="00403E69"/>
    <w:rsid w:val="004042AB"/>
    <w:rsid w:val="004043B7"/>
    <w:rsid w:val="004045BC"/>
    <w:rsid w:val="004045EE"/>
    <w:rsid w:val="00404771"/>
    <w:rsid w:val="00404A4F"/>
    <w:rsid w:val="00404DDD"/>
    <w:rsid w:val="00404F64"/>
    <w:rsid w:val="00404F7D"/>
    <w:rsid w:val="00405093"/>
    <w:rsid w:val="00405260"/>
    <w:rsid w:val="004053BE"/>
    <w:rsid w:val="00405544"/>
    <w:rsid w:val="0040566B"/>
    <w:rsid w:val="0040573C"/>
    <w:rsid w:val="004058C2"/>
    <w:rsid w:val="00405A3D"/>
    <w:rsid w:val="00405AA7"/>
    <w:rsid w:val="00405CAC"/>
    <w:rsid w:val="00405CCB"/>
    <w:rsid w:val="00405D7C"/>
    <w:rsid w:val="00405D8B"/>
    <w:rsid w:val="00406054"/>
    <w:rsid w:val="004060DD"/>
    <w:rsid w:val="00406124"/>
    <w:rsid w:val="00406577"/>
    <w:rsid w:val="00406592"/>
    <w:rsid w:val="00406833"/>
    <w:rsid w:val="0040691C"/>
    <w:rsid w:val="0040697C"/>
    <w:rsid w:val="00406A79"/>
    <w:rsid w:val="00406AA2"/>
    <w:rsid w:val="00406B0F"/>
    <w:rsid w:val="00406BF0"/>
    <w:rsid w:val="0040728D"/>
    <w:rsid w:val="004073B4"/>
    <w:rsid w:val="004074B5"/>
    <w:rsid w:val="00407561"/>
    <w:rsid w:val="0040763B"/>
    <w:rsid w:val="004076C1"/>
    <w:rsid w:val="00407B41"/>
    <w:rsid w:val="00407C56"/>
    <w:rsid w:val="00407C7E"/>
    <w:rsid w:val="00407D22"/>
    <w:rsid w:val="00407D7D"/>
    <w:rsid w:val="00407E26"/>
    <w:rsid w:val="00407EB9"/>
    <w:rsid w:val="004104D6"/>
    <w:rsid w:val="0041068C"/>
    <w:rsid w:val="004106EE"/>
    <w:rsid w:val="00410772"/>
    <w:rsid w:val="00410950"/>
    <w:rsid w:val="00410A97"/>
    <w:rsid w:val="00410D51"/>
    <w:rsid w:val="00410DF7"/>
    <w:rsid w:val="00410F1D"/>
    <w:rsid w:val="0041116C"/>
    <w:rsid w:val="0041135C"/>
    <w:rsid w:val="00411415"/>
    <w:rsid w:val="004114CC"/>
    <w:rsid w:val="00411535"/>
    <w:rsid w:val="00411537"/>
    <w:rsid w:val="00411593"/>
    <w:rsid w:val="00411823"/>
    <w:rsid w:val="00411843"/>
    <w:rsid w:val="00411E2C"/>
    <w:rsid w:val="00411F4B"/>
    <w:rsid w:val="004120F3"/>
    <w:rsid w:val="0041227B"/>
    <w:rsid w:val="0041246E"/>
    <w:rsid w:val="00412532"/>
    <w:rsid w:val="00412779"/>
    <w:rsid w:val="004129B9"/>
    <w:rsid w:val="00412A9B"/>
    <w:rsid w:val="00412AAA"/>
    <w:rsid w:val="00412C12"/>
    <w:rsid w:val="00412DA7"/>
    <w:rsid w:val="00412DF4"/>
    <w:rsid w:val="0041319C"/>
    <w:rsid w:val="00413572"/>
    <w:rsid w:val="00413684"/>
    <w:rsid w:val="00413C14"/>
    <w:rsid w:val="00413CD0"/>
    <w:rsid w:val="00413CEC"/>
    <w:rsid w:val="00413EA6"/>
    <w:rsid w:val="004141CE"/>
    <w:rsid w:val="004141DD"/>
    <w:rsid w:val="0041436E"/>
    <w:rsid w:val="0041448F"/>
    <w:rsid w:val="00414649"/>
    <w:rsid w:val="00414875"/>
    <w:rsid w:val="0041498A"/>
    <w:rsid w:val="00414B16"/>
    <w:rsid w:val="00414BD5"/>
    <w:rsid w:val="00414F21"/>
    <w:rsid w:val="00414F4A"/>
    <w:rsid w:val="004150F9"/>
    <w:rsid w:val="00415174"/>
    <w:rsid w:val="00415177"/>
    <w:rsid w:val="00415272"/>
    <w:rsid w:val="00415683"/>
    <w:rsid w:val="00415865"/>
    <w:rsid w:val="00415B62"/>
    <w:rsid w:val="00415BAF"/>
    <w:rsid w:val="00415BDF"/>
    <w:rsid w:val="00415CB4"/>
    <w:rsid w:val="00415E55"/>
    <w:rsid w:val="00415ED2"/>
    <w:rsid w:val="00415F1F"/>
    <w:rsid w:val="00416183"/>
    <w:rsid w:val="00416188"/>
    <w:rsid w:val="004162B8"/>
    <w:rsid w:val="00416B3E"/>
    <w:rsid w:val="00416C85"/>
    <w:rsid w:val="0041720F"/>
    <w:rsid w:val="00417304"/>
    <w:rsid w:val="00417630"/>
    <w:rsid w:val="0041787E"/>
    <w:rsid w:val="00417916"/>
    <w:rsid w:val="00417ABD"/>
    <w:rsid w:val="00417B5D"/>
    <w:rsid w:val="00417BF9"/>
    <w:rsid w:val="00417EEB"/>
    <w:rsid w:val="00417F7F"/>
    <w:rsid w:val="00417FB0"/>
    <w:rsid w:val="00420080"/>
    <w:rsid w:val="004202DD"/>
    <w:rsid w:val="0042076D"/>
    <w:rsid w:val="004208FC"/>
    <w:rsid w:val="00420927"/>
    <w:rsid w:val="00420B53"/>
    <w:rsid w:val="00420F01"/>
    <w:rsid w:val="00421761"/>
    <w:rsid w:val="00421A02"/>
    <w:rsid w:val="00421A72"/>
    <w:rsid w:val="00421C95"/>
    <w:rsid w:val="00421D1D"/>
    <w:rsid w:val="00421DCD"/>
    <w:rsid w:val="00421FB9"/>
    <w:rsid w:val="00422475"/>
    <w:rsid w:val="00422560"/>
    <w:rsid w:val="004226CC"/>
    <w:rsid w:val="0042270F"/>
    <w:rsid w:val="004227CB"/>
    <w:rsid w:val="00422811"/>
    <w:rsid w:val="00422DD9"/>
    <w:rsid w:val="00422DE4"/>
    <w:rsid w:val="00422E28"/>
    <w:rsid w:val="00422E99"/>
    <w:rsid w:val="00422FF5"/>
    <w:rsid w:val="00423167"/>
    <w:rsid w:val="004231FE"/>
    <w:rsid w:val="004232DD"/>
    <w:rsid w:val="0042335A"/>
    <w:rsid w:val="00423412"/>
    <w:rsid w:val="004235A2"/>
    <w:rsid w:val="00423721"/>
    <w:rsid w:val="00423768"/>
    <w:rsid w:val="0042391B"/>
    <w:rsid w:val="004239F5"/>
    <w:rsid w:val="00423CC4"/>
    <w:rsid w:val="00423CF0"/>
    <w:rsid w:val="00423F7A"/>
    <w:rsid w:val="0042403D"/>
    <w:rsid w:val="004242F0"/>
    <w:rsid w:val="004246DD"/>
    <w:rsid w:val="004247E7"/>
    <w:rsid w:val="0042493E"/>
    <w:rsid w:val="00424A81"/>
    <w:rsid w:val="00424BAF"/>
    <w:rsid w:val="00424D15"/>
    <w:rsid w:val="00424D30"/>
    <w:rsid w:val="00424E19"/>
    <w:rsid w:val="00425549"/>
    <w:rsid w:val="004255C0"/>
    <w:rsid w:val="004255CF"/>
    <w:rsid w:val="00425687"/>
    <w:rsid w:val="004258E5"/>
    <w:rsid w:val="00425B2E"/>
    <w:rsid w:val="00425DF9"/>
    <w:rsid w:val="0042604B"/>
    <w:rsid w:val="00426418"/>
    <w:rsid w:val="00426591"/>
    <w:rsid w:val="004267CF"/>
    <w:rsid w:val="00426871"/>
    <w:rsid w:val="00426997"/>
    <w:rsid w:val="00426A98"/>
    <w:rsid w:val="00426B78"/>
    <w:rsid w:val="00426CF3"/>
    <w:rsid w:val="00427061"/>
    <w:rsid w:val="00427130"/>
    <w:rsid w:val="004274CE"/>
    <w:rsid w:val="004277C0"/>
    <w:rsid w:val="004279A3"/>
    <w:rsid w:val="004279D2"/>
    <w:rsid w:val="00427BC8"/>
    <w:rsid w:val="00427BF6"/>
    <w:rsid w:val="00427C6C"/>
    <w:rsid w:val="00427D76"/>
    <w:rsid w:val="00427E50"/>
    <w:rsid w:val="0043028F"/>
    <w:rsid w:val="004304CA"/>
    <w:rsid w:val="004304FA"/>
    <w:rsid w:val="00430799"/>
    <w:rsid w:val="00430A9A"/>
    <w:rsid w:val="00430B42"/>
    <w:rsid w:val="00430BC8"/>
    <w:rsid w:val="00430D20"/>
    <w:rsid w:val="00430D22"/>
    <w:rsid w:val="00430DAE"/>
    <w:rsid w:val="00430DBF"/>
    <w:rsid w:val="00430E0E"/>
    <w:rsid w:val="00430EF3"/>
    <w:rsid w:val="00430F83"/>
    <w:rsid w:val="004311AA"/>
    <w:rsid w:val="00431209"/>
    <w:rsid w:val="00431276"/>
    <w:rsid w:val="00431281"/>
    <w:rsid w:val="004312E2"/>
    <w:rsid w:val="00431574"/>
    <w:rsid w:val="0043183A"/>
    <w:rsid w:val="00431972"/>
    <w:rsid w:val="004319F9"/>
    <w:rsid w:val="00431B4C"/>
    <w:rsid w:val="00431BCE"/>
    <w:rsid w:val="00431D0E"/>
    <w:rsid w:val="00431DB6"/>
    <w:rsid w:val="00431E6B"/>
    <w:rsid w:val="0043217B"/>
    <w:rsid w:val="0043239F"/>
    <w:rsid w:val="004323E4"/>
    <w:rsid w:val="00432404"/>
    <w:rsid w:val="00432447"/>
    <w:rsid w:val="00432477"/>
    <w:rsid w:val="004325B4"/>
    <w:rsid w:val="004326E1"/>
    <w:rsid w:val="0043297D"/>
    <w:rsid w:val="00432E98"/>
    <w:rsid w:val="00432F47"/>
    <w:rsid w:val="0043302C"/>
    <w:rsid w:val="004332A7"/>
    <w:rsid w:val="00433395"/>
    <w:rsid w:val="004333B9"/>
    <w:rsid w:val="00433416"/>
    <w:rsid w:val="00433677"/>
    <w:rsid w:val="0043385F"/>
    <w:rsid w:val="00433885"/>
    <w:rsid w:val="004338F4"/>
    <w:rsid w:val="00433BAD"/>
    <w:rsid w:val="00433C61"/>
    <w:rsid w:val="00433C6D"/>
    <w:rsid w:val="00434172"/>
    <w:rsid w:val="00434361"/>
    <w:rsid w:val="00434362"/>
    <w:rsid w:val="004343C6"/>
    <w:rsid w:val="0043460C"/>
    <w:rsid w:val="004346B2"/>
    <w:rsid w:val="004346BF"/>
    <w:rsid w:val="004348BC"/>
    <w:rsid w:val="00434A7E"/>
    <w:rsid w:val="00434BE6"/>
    <w:rsid w:val="00434DCE"/>
    <w:rsid w:val="00434DDF"/>
    <w:rsid w:val="00434DFC"/>
    <w:rsid w:val="00434F6E"/>
    <w:rsid w:val="0043500D"/>
    <w:rsid w:val="004350A9"/>
    <w:rsid w:val="00435201"/>
    <w:rsid w:val="0043538D"/>
    <w:rsid w:val="004353BC"/>
    <w:rsid w:val="00435501"/>
    <w:rsid w:val="0043552E"/>
    <w:rsid w:val="004355C3"/>
    <w:rsid w:val="004357F5"/>
    <w:rsid w:val="0043591D"/>
    <w:rsid w:val="0043597B"/>
    <w:rsid w:val="00435A82"/>
    <w:rsid w:val="00435B4D"/>
    <w:rsid w:val="0043614F"/>
    <w:rsid w:val="0043629F"/>
    <w:rsid w:val="00436454"/>
    <w:rsid w:val="004366BE"/>
    <w:rsid w:val="00436722"/>
    <w:rsid w:val="0043672F"/>
    <w:rsid w:val="00436787"/>
    <w:rsid w:val="00436C83"/>
    <w:rsid w:val="00436D13"/>
    <w:rsid w:val="00436EBC"/>
    <w:rsid w:val="0043704F"/>
    <w:rsid w:val="004374AD"/>
    <w:rsid w:val="004375C4"/>
    <w:rsid w:val="00437884"/>
    <w:rsid w:val="00437918"/>
    <w:rsid w:val="00437D60"/>
    <w:rsid w:val="00440300"/>
    <w:rsid w:val="0044038A"/>
    <w:rsid w:val="0044043E"/>
    <w:rsid w:val="00440629"/>
    <w:rsid w:val="0044089F"/>
    <w:rsid w:val="00440903"/>
    <w:rsid w:val="004409B6"/>
    <w:rsid w:val="00440B54"/>
    <w:rsid w:val="00440C6B"/>
    <w:rsid w:val="00440E91"/>
    <w:rsid w:val="004411A3"/>
    <w:rsid w:val="0044120A"/>
    <w:rsid w:val="00441366"/>
    <w:rsid w:val="00441711"/>
    <w:rsid w:val="00441738"/>
    <w:rsid w:val="0044173F"/>
    <w:rsid w:val="004417AF"/>
    <w:rsid w:val="00441891"/>
    <w:rsid w:val="00441F0C"/>
    <w:rsid w:val="00441FF5"/>
    <w:rsid w:val="004426CD"/>
    <w:rsid w:val="00442BF3"/>
    <w:rsid w:val="00442C32"/>
    <w:rsid w:val="00442D78"/>
    <w:rsid w:val="00442E89"/>
    <w:rsid w:val="00442EE7"/>
    <w:rsid w:val="0044334C"/>
    <w:rsid w:val="00443464"/>
    <w:rsid w:val="004435E2"/>
    <w:rsid w:val="00443901"/>
    <w:rsid w:val="00443B66"/>
    <w:rsid w:val="00443FB9"/>
    <w:rsid w:val="004441C2"/>
    <w:rsid w:val="00444219"/>
    <w:rsid w:val="00444238"/>
    <w:rsid w:val="00444266"/>
    <w:rsid w:val="00444292"/>
    <w:rsid w:val="004444A0"/>
    <w:rsid w:val="004447FA"/>
    <w:rsid w:val="004447FF"/>
    <w:rsid w:val="00444819"/>
    <w:rsid w:val="004448EC"/>
    <w:rsid w:val="00444D79"/>
    <w:rsid w:val="00444E90"/>
    <w:rsid w:val="00444FCB"/>
    <w:rsid w:val="004451BD"/>
    <w:rsid w:val="004452AD"/>
    <w:rsid w:val="0044530F"/>
    <w:rsid w:val="00445636"/>
    <w:rsid w:val="0044571A"/>
    <w:rsid w:val="004457BC"/>
    <w:rsid w:val="00445832"/>
    <w:rsid w:val="0044598C"/>
    <w:rsid w:val="004459C6"/>
    <w:rsid w:val="00445DDF"/>
    <w:rsid w:val="00445E31"/>
    <w:rsid w:val="00445E39"/>
    <w:rsid w:val="00446047"/>
    <w:rsid w:val="0044607A"/>
    <w:rsid w:val="00446097"/>
    <w:rsid w:val="004462BF"/>
    <w:rsid w:val="0044649B"/>
    <w:rsid w:val="00446526"/>
    <w:rsid w:val="00446536"/>
    <w:rsid w:val="0044668E"/>
    <w:rsid w:val="00446857"/>
    <w:rsid w:val="0044698A"/>
    <w:rsid w:val="00446D0A"/>
    <w:rsid w:val="00446D54"/>
    <w:rsid w:val="00446DE1"/>
    <w:rsid w:val="00446E22"/>
    <w:rsid w:val="00446F63"/>
    <w:rsid w:val="00447035"/>
    <w:rsid w:val="00447575"/>
    <w:rsid w:val="00447A23"/>
    <w:rsid w:val="00447A42"/>
    <w:rsid w:val="00447DCB"/>
    <w:rsid w:val="00447E4B"/>
    <w:rsid w:val="00447EB5"/>
    <w:rsid w:val="00450560"/>
    <w:rsid w:val="004505AD"/>
    <w:rsid w:val="004505C2"/>
    <w:rsid w:val="004508DF"/>
    <w:rsid w:val="00450A7C"/>
    <w:rsid w:val="00450BC8"/>
    <w:rsid w:val="00450D40"/>
    <w:rsid w:val="00450E94"/>
    <w:rsid w:val="00451504"/>
    <w:rsid w:val="004517FD"/>
    <w:rsid w:val="00451836"/>
    <w:rsid w:val="004518E2"/>
    <w:rsid w:val="00451A17"/>
    <w:rsid w:val="00451BDC"/>
    <w:rsid w:val="00451D9A"/>
    <w:rsid w:val="00451D9F"/>
    <w:rsid w:val="00451DE2"/>
    <w:rsid w:val="0045208F"/>
    <w:rsid w:val="004520E7"/>
    <w:rsid w:val="004521ED"/>
    <w:rsid w:val="004522E1"/>
    <w:rsid w:val="00452309"/>
    <w:rsid w:val="004524A2"/>
    <w:rsid w:val="0045280F"/>
    <w:rsid w:val="0045287C"/>
    <w:rsid w:val="0045294C"/>
    <w:rsid w:val="00452A53"/>
    <w:rsid w:val="00452AB9"/>
    <w:rsid w:val="00452B11"/>
    <w:rsid w:val="00452B94"/>
    <w:rsid w:val="00452BD2"/>
    <w:rsid w:val="00452C20"/>
    <w:rsid w:val="00452F8B"/>
    <w:rsid w:val="00452FBA"/>
    <w:rsid w:val="00452FCA"/>
    <w:rsid w:val="0045318E"/>
    <w:rsid w:val="0045321F"/>
    <w:rsid w:val="004533D3"/>
    <w:rsid w:val="004534EB"/>
    <w:rsid w:val="004536B0"/>
    <w:rsid w:val="00453ACC"/>
    <w:rsid w:val="00453BE0"/>
    <w:rsid w:val="00453D54"/>
    <w:rsid w:val="00453EC2"/>
    <w:rsid w:val="00453F87"/>
    <w:rsid w:val="00454162"/>
    <w:rsid w:val="00454171"/>
    <w:rsid w:val="00454184"/>
    <w:rsid w:val="004542EF"/>
    <w:rsid w:val="00454682"/>
    <w:rsid w:val="004547C1"/>
    <w:rsid w:val="004547C5"/>
    <w:rsid w:val="00454864"/>
    <w:rsid w:val="0045493B"/>
    <w:rsid w:val="00454992"/>
    <w:rsid w:val="00454B9C"/>
    <w:rsid w:val="00454C6C"/>
    <w:rsid w:val="00454ED1"/>
    <w:rsid w:val="00454F85"/>
    <w:rsid w:val="00455045"/>
    <w:rsid w:val="004550E6"/>
    <w:rsid w:val="00455142"/>
    <w:rsid w:val="0045515F"/>
    <w:rsid w:val="00455246"/>
    <w:rsid w:val="004553A3"/>
    <w:rsid w:val="00455637"/>
    <w:rsid w:val="00455709"/>
    <w:rsid w:val="004557CA"/>
    <w:rsid w:val="00455B90"/>
    <w:rsid w:val="00455E3F"/>
    <w:rsid w:val="00455EF3"/>
    <w:rsid w:val="00455F65"/>
    <w:rsid w:val="00455FD1"/>
    <w:rsid w:val="00456020"/>
    <w:rsid w:val="00456137"/>
    <w:rsid w:val="004562A6"/>
    <w:rsid w:val="004562E4"/>
    <w:rsid w:val="00456305"/>
    <w:rsid w:val="00456DAD"/>
    <w:rsid w:val="00456FA0"/>
    <w:rsid w:val="00457131"/>
    <w:rsid w:val="004572DD"/>
    <w:rsid w:val="004573CE"/>
    <w:rsid w:val="00457DE3"/>
    <w:rsid w:val="00457DE4"/>
    <w:rsid w:val="00457DFC"/>
    <w:rsid w:val="00457E50"/>
    <w:rsid w:val="0046000D"/>
    <w:rsid w:val="00460060"/>
    <w:rsid w:val="004600B9"/>
    <w:rsid w:val="004601C3"/>
    <w:rsid w:val="00460360"/>
    <w:rsid w:val="0046039C"/>
    <w:rsid w:val="00460472"/>
    <w:rsid w:val="004607BA"/>
    <w:rsid w:val="00460BAA"/>
    <w:rsid w:val="00460C4E"/>
    <w:rsid w:val="00460C89"/>
    <w:rsid w:val="00460F53"/>
    <w:rsid w:val="004611AA"/>
    <w:rsid w:val="004611C6"/>
    <w:rsid w:val="0046125B"/>
    <w:rsid w:val="004612C5"/>
    <w:rsid w:val="0046148C"/>
    <w:rsid w:val="00461593"/>
    <w:rsid w:val="00461B1C"/>
    <w:rsid w:val="00461D61"/>
    <w:rsid w:val="0046202A"/>
    <w:rsid w:val="00462049"/>
    <w:rsid w:val="004620AF"/>
    <w:rsid w:val="004622AC"/>
    <w:rsid w:val="0046249A"/>
    <w:rsid w:val="0046291E"/>
    <w:rsid w:val="00462A24"/>
    <w:rsid w:val="00462AFF"/>
    <w:rsid w:val="00462B94"/>
    <w:rsid w:val="00462CB5"/>
    <w:rsid w:val="00462D08"/>
    <w:rsid w:val="0046307D"/>
    <w:rsid w:val="00463333"/>
    <w:rsid w:val="00463575"/>
    <w:rsid w:val="00463AD4"/>
    <w:rsid w:val="00463BEF"/>
    <w:rsid w:val="00463C10"/>
    <w:rsid w:val="00463E4E"/>
    <w:rsid w:val="00464287"/>
    <w:rsid w:val="0046451E"/>
    <w:rsid w:val="0046458E"/>
    <w:rsid w:val="00464BEC"/>
    <w:rsid w:val="00464D90"/>
    <w:rsid w:val="00464DDD"/>
    <w:rsid w:val="00464E8F"/>
    <w:rsid w:val="00464FA9"/>
    <w:rsid w:val="004651FF"/>
    <w:rsid w:val="00465594"/>
    <w:rsid w:val="0046576A"/>
    <w:rsid w:val="00465827"/>
    <w:rsid w:val="00465BB8"/>
    <w:rsid w:val="00465C1C"/>
    <w:rsid w:val="00465CBF"/>
    <w:rsid w:val="00465EB7"/>
    <w:rsid w:val="00465FAA"/>
    <w:rsid w:val="00465FC7"/>
    <w:rsid w:val="00465FC8"/>
    <w:rsid w:val="00466091"/>
    <w:rsid w:val="004661D7"/>
    <w:rsid w:val="004662BC"/>
    <w:rsid w:val="00466521"/>
    <w:rsid w:val="00466585"/>
    <w:rsid w:val="00466860"/>
    <w:rsid w:val="004668E8"/>
    <w:rsid w:val="004669FC"/>
    <w:rsid w:val="00466B86"/>
    <w:rsid w:val="00466C20"/>
    <w:rsid w:val="00466D1F"/>
    <w:rsid w:val="00467143"/>
    <w:rsid w:val="0046714A"/>
    <w:rsid w:val="004671C8"/>
    <w:rsid w:val="00467379"/>
    <w:rsid w:val="004675C3"/>
    <w:rsid w:val="00467629"/>
    <w:rsid w:val="00467691"/>
    <w:rsid w:val="0046775B"/>
    <w:rsid w:val="004677AC"/>
    <w:rsid w:val="00467826"/>
    <w:rsid w:val="00467845"/>
    <w:rsid w:val="00467B81"/>
    <w:rsid w:val="00467C10"/>
    <w:rsid w:val="00467D91"/>
    <w:rsid w:val="00467DC2"/>
    <w:rsid w:val="00467EA0"/>
    <w:rsid w:val="00470012"/>
    <w:rsid w:val="00470295"/>
    <w:rsid w:val="00470481"/>
    <w:rsid w:val="0047048F"/>
    <w:rsid w:val="004704A4"/>
    <w:rsid w:val="004708BD"/>
    <w:rsid w:val="00470A7B"/>
    <w:rsid w:val="00470AC7"/>
    <w:rsid w:val="00470AFF"/>
    <w:rsid w:val="00470BF0"/>
    <w:rsid w:val="00470CB7"/>
    <w:rsid w:val="00470CD0"/>
    <w:rsid w:val="00470D24"/>
    <w:rsid w:val="00470E59"/>
    <w:rsid w:val="00470F65"/>
    <w:rsid w:val="00471038"/>
    <w:rsid w:val="00471350"/>
    <w:rsid w:val="00471556"/>
    <w:rsid w:val="004717A7"/>
    <w:rsid w:val="0047181D"/>
    <w:rsid w:val="004719DF"/>
    <w:rsid w:val="00471EFC"/>
    <w:rsid w:val="00472038"/>
    <w:rsid w:val="0047220F"/>
    <w:rsid w:val="00472433"/>
    <w:rsid w:val="004724AB"/>
    <w:rsid w:val="004725E3"/>
    <w:rsid w:val="00472632"/>
    <w:rsid w:val="00472663"/>
    <w:rsid w:val="004727F1"/>
    <w:rsid w:val="00472AAF"/>
    <w:rsid w:val="00472B55"/>
    <w:rsid w:val="00472C5D"/>
    <w:rsid w:val="00472CF8"/>
    <w:rsid w:val="00472DDB"/>
    <w:rsid w:val="00472EBF"/>
    <w:rsid w:val="00472F73"/>
    <w:rsid w:val="00472FBB"/>
    <w:rsid w:val="00473081"/>
    <w:rsid w:val="00473410"/>
    <w:rsid w:val="004734D6"/>
    <w:rsid w:val="004735FE"/>
    <w:rsid w:val="00473667"/>
    <w:rsid w:val="00473689"/>
    <w:rsid w:val="0047371D"/>
    <w:rsid w:val="00473836"/>
    <w:rsid w:val="004739D5"/>
    <w:rsid w:val="004739FD"/>
    <w:rsid w:val="00473A76"/>
    <w:rsid w:val="00473ABA"/>
    <w:rsid w:val="00473C24"/>
    <w:rsid w:val="00473D4F"/>
    <w:rsid w:val="00473D52"/>
    <w:rsid w:val="00473D8D"/>
    <w:rsid w:val="00473DDB"/>
    <w:rsid w:val="00473DFF"/>
    <w:rsid w:val="00474168"/>
    <w:rsid w:val="004741E3"/>
    <w:rsid w:val="00474A49"/>
    <w:rsid w:val="00474B12"/>
    <w:rsid w:val="00474C09"/>
    <w:rsid w:val="00474D16"/>
    <w:rsid w:val="00474D2D"/>
    <w:rsid w:val="00474DBE"/>
    <w:rsid w:val="0047500E"/>
    <w:rsid w:val="004753D1"/>
    <w:rsid w:val="004754AD"/>
    <w:rsid w:val="004754E6"/>
    <w:rsid w:val="00475516"/>
    <w:rsid w:val="004756CA"/>
    <w:rsid w:val="0047590B"/>
    <w:rsid w:val="00475922"/>
    <w:rsid w:val="004759F0"/>
    <w:rsid w:val="00475B28"/>
    <w:rsid w:val="00475B58"/>
    <w:rsid w:val="00475DC1"/>
    <w:rsid w:val="00475E18"/>
    <w:rsid w:val="00476007"/>
    <w:rsid w:val="004760C8"/>
    <w:rsid w:val="0047626C"/>
    <w:rsid w:val="0047630D"/>
    <w:rsid w:val="00476370"/>
    <w:rsid w:val="004763A0"/>
    <w:rsid w:val="00476592"/>
    <w:rsid w:val="0047661F"/>
    <w:rsid w:val="00476728"/>
    <w:rsid w:val="004769FB"/>
    <w:rsid w:val="00476B16"/>
    <w:rsid w:val="00476BC0"/>
    <w:rsid w:val="00476CB6"/>
    <w:rsid w:val="00476CF2"/>
    <w:rsid w:val="004770EE"/>
    <w:rsid w:val="00477460"/>
    <w:rsid w:val="0047774D"/>
    <w:rsid w:val="00477886"/>
    <w:rsid w:val="004778E1"/>
    <w:rsid w:val="0047796C"/>
    <w:rsid w:val="004779CE"/>
    <w:rsid w:val="00477E6A"/>
    <w:rsid w:val="00477EC1"/>
    <w:rsid w:val="0048005D"/>
    <w:rsid w:val="00480098"/>
    <w:rsid w:val="004801A6"/>
    <w:rsid w:val="00480395"/>
    <w:rsid w:val="00480916"/>
    <w:rsid w:val="00480D37"/>
    <w:rsid w:val="00480DA3"/>
    <w:rsid w:val="00480E40"/>
    <w:rsid w:val="00480F5D"/>
    <w:rsid w:val="0048161F"/>
    <w:rsid w:val="00481BFD"/>
    <w:rsid w:val="00481C25"/>
    <w:rsid w:val="00481DA2"/>
    <w:rsid w:val="00481DA7"/>
    <w:rsid w:val="00481E88"/>
    <w:rsid w:val="00481EAB"/>
    <w:rsid w:val="00482031"/>
    <w:rsid w:val="00482407"/>
    <w:rsid w:val="004826BF"/>
    <w:rsid w:val="004826C2"/>
    <w:rsid w:val="004827B1"/>
    <w:rsid w:val="004827F7"/>
    <w:rsid w:val="00482873"/>
    <w:rsid w:val="00482887"/>
    <w:rsid w:val="00482955"/>
    <w:rsid w:val="00482A13"/>
    <w:rsid w:val="00482A42"/>
    <w:rsid w:val="00482A5D"/>
    <w:rsid w:val="00482BAF"/>
    <w:rsid w:val="00482C25"/>
    <w:rsid w:val="00482D26"/>
    <w:rsid w:val="00482DA5"/>
    <w:rsid w:val="00482DB2"/>
    <w:rsid w:val="00482E79"/>
    <w:rsid w:val="00482EA7"/>
    <w:rsid w:val="00482EDC"/>
    <w:rsid w:val="00483141"/>
    <w:rsid w:val="004833A9"/>
    <w:rsid w:val="00483607"/>
    <w:rsid w:val="004839A2"/>
    <w:rsid w:val="00483C99"/>
    <w:rsid w:val="00483DE2"/>
    <w:rsid w:val="00483E95"/>
    <w:rsid w:val="004840F6"/>
    <w:rsid w:val="00484336"/>
    <w:rsid w:val="004843F6"/>
    <w:rsid w:val="00484403"/>
    <w:rsid w:val="00484502"/>
    <w:rsid w:val="00484523"/>
    <w:rsid w:val="00484AE7"/>
    <w:rsid w:val="00484CDE"/>
    <w:rsid w:val="0048505A"/>
    <w:rsid w:val="0048511A"/>
    <w:rsid w:val="0048525A"/>
    <w:rsid w:val="004855A5"/>
    <w:rsid w:val="004855C6"/>
    <w:rsid w:val="00485618"/>
    <w:rsid w:val="00485767"/>
    <w:rsid w:val="00485789"/>
    <w:rsid w:val="00485846"/>
    <w:rsid w:val="00485B9B"/>
    <w:rsid w:val="00485C6D"/>
    <w:rsid w:val="0048612E"/>
    <w:rsid w:val="00486175"/>
    <w:rsid w:val="0048627C"/>
    <w:rsid w:val="00486336"/>
    <w:rsid w:val="00486476"/>
    <w:rsid w:val="00486599"/>
    <w:rsid w:val="0048662F"/>
    <w:rsid w:val="004868F7"/>
    <w:rsid w:val="00486C0F"/>
    <w:rsid w:val="004871A8"/>
    <w:rsid w:val="004871C6"/>
    <w:rsid w:val="0048722A"/>
    <w:rsid w:val="0048757B"/>
    <w:rsid w:val="00487618"/>
    <w:rsid w:val="00487772"/>
    <w:rsid w:val="00487822"/>
    <w:rsid w:val="004879D7"/>
    <w:rsid w:val="00487A97"/>
    <w:rsid w:val="00487E4B"/>
    <w:rsid w:val="00487EF0"/>
    <w:rsid w:val="00487EFE"/>
    <w:rsid w:val="00487F46"/>
    <w:rsid w:val="00487F55"/>
    <w:rsid w:val="00490378"/>
    <w:rsid w:val="0049056C"/>
    <w:rsid w:val="00490587"/>
    <w:rsid w:val="00490706"/>
    <w:rsid w:val="004909D3"/>
    <w:rsid w:val="00490DFB"/>
    <w:rsid w:val="004913ED"/>
    <w:rsid w:val="00491447"/>
    <w:rsid w:val="00491469"/>
    <w:rsid w:val="0049162B"/>
    <w:rsid w:val="00491706"/>
    <w:rsid w:val="004918F2"/>
    <w:rsid w:val="00491AE1"/>
    <w:rsid w:val="00491B90"/>
    <w:rsid w:val="00491DDC"/>
    <w:rsid w:val="0049219C"/>
    <w:rsid w:val="00492468"/>
    <w:rsid w:val="004924D1"/>
    <w:rsid w:val="004925A1"/>
    <w:rsid w:val="00492833"/>
    <w:rsid w:val="004929DE"/>
    <w:rsid w:val="00492CB7"/>
    <w:rsid w:val="00492D19"/>
    <w:rsid w:val="00492E75"/>
    <w:rsid w:val="004931C0"/>
    <w:rsid w:val="00493471"/>
    <w:rsid w:val="004934AD"/>
    <w:rsid w:val="0049350C"/>
    <w:rsid w:val="00493546"/>
    <w:rsid w:val="004935DC"/>
    <w:rsid w:val="00493758"/>
    <w:rsid w:val="004938AF"/>
    <w:rsid w:val="00493945"/>
    <w:rsid w:val="00493C21"/>
    <w:rsid w:val="00493D48"/>
    <w:rsid w:val="00493E80"/>
    <w:rsid w:val="00493F13"/>
    <w:rsid w:val="00494274"/>
    <w:rsid w:val="004942E4"/>
    <w:rsid w:val="00494475"/>
    <w:rsid w:val="004944C5"/>
    <w:rsid w:val="00494566"/>
    <w:rsid w:val="004945F2"/>
    <w:rsid w:val="004947F8"/>
    <w:rsid w:val="00494991"/>
    <w:rsid w:val="00494C6D"/>
    <w:rsid w:val="00494CE8"/>
    <w:rsid w:val="00494D63"/>
    <w:rsid w:val="00494DBA"/>
    <w:rsid w:val="00494E1E"/>
    <w:rsid w:val="00495124"/>
    <w:rsid w:val="00495235"/>
    <w:rsid w:val="00495331"/>
    <w:rsid w:val="0049584E"/>
    <w:rsid w:val="004959CF"/>
    <w:rsid w:val="004959E9"/>
    <w:rsid w:val="00495AE6"/>
    <w:rsid w:val="00495C81"/>
    <w:rsid w:val="00495CD6"/>
    <w:rsid w:val="00495DEE"/>
    <w:rsid w:val="00495EB0"/>
    <w:rsid w:val="00496047"/>
    <w:rsid w:val="00496073"/>
    <w:rsid w:val="00496219"/>
    <w:rsid w:val="0049631E"/>
    <w:rsid w:val="004963B1"/>
    <w:rsid w:val="00496450"/>
    <w:rsid w:val="0049645E"/>
    <w:rsid w:val="00496634"/>
    <w:rsid w:val="00496639"/>
    <w:rsid w:val="00496960"/>
    <w:rsid w:val="00496A54"/>
    <w:rsid w:val="00496A77"/>
    <w:rsid w:val="00496A83"/>
    <w:rsid w:val="00496B42"/>
    <w:rsid w:val="00496CF9"/>
    <w:rsid w:val="00496DE0"/>
    <w:rsid w:val="00496DFE"/>
    <w:rsid w:val="00496FD1"/>
    <w:rsid w:val="0049711B"/>
    <w:rsid w:val="004974B1"/>
    <w:rsid w:val="0049759F"/>
    <w:rsid w:val="004976E1"/>
    <w:rsid w:val="004979A4"/>
    <w:rsid w:val="004979BC"/>
    <w:rsid w:val="00497B20"/>
    <w:rsid w:val="00497C02"/>
    <w:rsid w:val="00497D8C"/>
    <w:rsid w:val="00497DCF"/>
    <w:rsid w:val="00497E95"/>
    <w:rsid w:val="00497EC7"/>
    <w:rsid w:val="00497FB4"/>
    <w:rsid w:val="004A00D0"/>
    <w:rsid w:val="004A0290"/>
    <w:rsid w:val="004A030B"/>
    <w:rsid w:val="004A03B3"/>
    <w:rsid w:val="004A03CE"/>
    <w:rsid w:val="004A042E"/>
    <w:rsid w:val="004A04C0"/>
    <w:rsid w:val="004A0820"/>
    <w:rsid w:val="004A0972"/>
    <w:rsid w:val="004A0AE5"/>
    <w:rsid w:val="004A0D67"/>
    <w:rsid w:val="004A0DF1"/>
    <w:rsid w:val="004A0FDB"/>
    <w:rsid w:val="004A109A"/>
    <w:rsid w:val="004A1296"/>
    <w:rsid w:val="004A1440"/>
    <w:rsid w:val="004A15D7"/>
    <w:rsid w:val="004A1972"/>
    <w:rsid w:val="004A19DA"/>
    <w:rsid w:val="004A1B2D"/>
    <w:rsid w:val="004A1D1D"/>
    <w:rsid w:val="004A1DB0"/>
    <w:rsid w:val="004A1F14"/>
    <w:rsid w:val="004A1F26"/>
    <w:rsid w:val="004A2154"/>
    <w:rsid w:val="004A21F5"/>
    <w:rsid w:val="004A222B"/>
    <w:rsid w:val="004A2338"/>
    <w:rsid w:val="004A234D"/>
    <w:rsid w:val="004A25F3"/>
    <w:rsid w:val="004A26CC"/>
    <w:rsid w:val="004A2755"/>
    <w:rsid w:val="004A2784"/>
    <w:rsid w:val="004A27A8"/>
    <w:rsid w:val="004A2806"/>
    <w:rsid w:val="004A2849"/>
    <w:rsid w:val="004A2937"/>
    <w:rsid w:val="004A2A54"/>
    <w:rsid w:val="004A2D02"/>
    <w:rsid w:val="004A2E45"/>
    <w:rsid w:val="004A2FE6"/>
    <w:rsid w:val="004A3160"/>
    <w:rsid w:val="004A3231"/>
    <w:rsid w:val="004A330C"/>
    <w:rsid w:val="004A3469"/>
    <w:rsid w:val="004A39A9"/>
    <w:rsid w:val="004A3A75"/>
    <w:rsid w:val="004A3AF1"/>
    <w:rsid w:val="004A3B10"/>
    <w:rsid w:val="004A3DC7"/>
    <w:rsid w:val="004A3DDB"/>
    <w:rsid w:val="004A3E6C"/>
    <w:rsid w:val="004A4050"/>
    <w:rsid w:val="004A441F"/>
    <w:rsid w:val="004A45F4"/>
    <w:rsid w:val="004A4799"/>
    <w:rsid w:val="004A49FC"/>
    <w:rsid w:val="004A4A8D"/>
    <w:rsid w:val="004A4CEC"/>
    <w:rsid w:val="004A4DF0"/>
    <w:rsid w:val="004A4E15"/>
    <w:rsid w:val="004A4E32"/>
    <w:rsid w:val="004A5141"/>
    <w:rsid w:val="004A515E"/>
    <w:rsid w:val="004A5190"/>
    <w:rsid w:val="004A52B0"/>
    <w:rsid w:val="004A57FC"/>
    <w:rsid w:val="004A5830"/>
    <w:rsid w:val="004A5983"/>
    <w:rsid w:val="004A5E7F"/>
    <w:rsid w:val="004A5E9C"/>
    <w:rsid w:val="004A5EC2"/>
    <w:rsid w:val="004A607A"/>
    <w:rsid w:val="004A60B8"/>
    <w:rsid w:val="004A642A"/>
    <w:rsid w:val="004A6458"/>
    <w:rsid w:val="004A64B8"/>
    <w:rsid w:val="004A6789"/>
    <w:rsid w:val="004A6A9C"/>
    <w:rsid w:val="004A6B45"/>
    <w:rsid w:val="004A6C58"/>
    <w:rsid w:val="004A6CA6"/>
    <w:rsid w:val="004A6DCF"/>
    <w:rsid w:val="004A6E35"/>
    <w:rsid w:val="004A6FBD"/>
    <w:rsid w:val="004A7060"/>
    <w:rsid w:val="004A70FC"/>
    <w:rsid w:val="004A716E"/>
    <w:rsid w:val="004A71CA"/>
    <w:rsid w:val="004A72E0"/>
    <w:rsid w:val="004A731E"/>
    <w:rsid w:val="004A73DA"/>
    <w:rsid w:val="004A7456"/>
    <w:rsid w:val="004A760D"/>
    <w:rsid w:val="004A781D"/>
    <w:rsid w:val="004A7A77"/>
    <w:rsid w:val="004A7BBF"/>
    <w:rsid w:val="004A7DAD"/>
    <w:rsid w:val="004A7DFE"/>
    <w:rsid w:val="004B030C"/>
    <w:rsid w:val="004B0429"/>
    <w:rsid w:val="004B07D2"/>
    <w:rsid w:val="004B07F3"/>
    <w:rsid w:val="004B0976"/>
    <w:rsid w:val="004B0B14"/>
    <w:rsid w:val="004B0C01"/>
    <w:rsid w:val="004B0D3F"/>
    <w:rsid w:val="004B0DCE"/>
    <w:rsid w:val="004B0E99"/>
    <w:rsid w:val="004B0EFA"/>
    <w:rsid w:val="004B0FFD"/>
    <w:rsid w:val="004B1329"/>
    <w:rsid w:val="004B1657"/>
    <w:rsid w:val="004B1686"/>
    <w:rsid w:val="004B193B"/>
    <w:rsid w:val="004B1C63"/>
    <w:rsid w:val="004B1C94"/>
    <w:rsid w:val="004B1E38"/>
    <w:rsid w:val="004B1F8B"/>
    <w:rsid w:val="004B2031"/>
    <w:rsid w:val="004B21F2"/>
    <w:rsid w:val="004B231E"/>
    <w:rsid w:val="004B26B6"/>
    <w:rsid w:val="004B2734"/>
    <w:rsid w:val="004B2884"/>
    <w:rsid w:val="004B2ACD"/>
    <w:rsid w:val="004B2B6F"/>
    <w:rsid w:val="004B2BBC"/>
    <w:rsid w:val="004B2C64"/>
    <w:rsid w:val="004B2D59"/>
    <w:rsid w:val="004B2D7D"/>
    <w:rsid w:val="004B2E2B"/>
    <w:rsid w:val="004B30B9"/>
    <w:rsid w:val="004B3143"/>
    <w:rsid w:val="004B328A"/>
    <w:rsid w:val="004B354B"/>
    <w:rsid w:val="004B3669"/>
    <w:rsid w:val="004B368C"/>
    <w:rsid w:val="004B36AC"/>
    <w:rsid w:val="004B36CD"/>
    <w:rsid w:val="004B3AB4"/>
    <w:rsid w:val="004B3C47"/>
    <w:rsid w:val="004B3CED"/>
    <w:rsid w:val="004B3E6B"/>
    <w:rsid w:val="004B3E7D"/>
    <w:rsid w:val="004B410C"/>
    <w:rsid w:val="004B422F"/>
    <w:rsid w:val="004B4314"/>
    <w:rsid w:val="004B4800"/>
    <w:rsid w:val="004B493C"/>
    <w:rsid w:val="004B4A52"/>
    <w:rsid w:val="004B4B01"/>
    <w:rsid w:val="004B4B32"/>
    <w:rsid w:val="004B4B8C"/>
    <w:rsid w:val="004B4BEF"/>
    <w:rsid w:val="004B4DC1"/>
    <w:rsid w:val="004B4E37"/>
    <w:rsid w:val="004B4E89"/>
    <w:rsid w:val="004B4F9B"/>
    <w:rsid w:val="004B51CD"/>
    <w:rsid w:val="004B5242"/>
    <w:rsid w:val="004B54D0"/>
    <w:rsid w:val="004B576E"/>
    <w:rsid w:val="004B5815"/>
    <w:rsid w:val="004B5BDA"/>
    <w:rsid w:val="004B5C81"/>
    <w:rsid w:val="004B633E"/>
    <w:rsid w:val="004B634C"/>
    <w:rsid w:val="004B6435"/>
    <w:rsid w:val="004B6456"/>
    <w:rsid w:val="004B6708"/>
    <w:rsid w:val="004B67D4"/>
    <w:rsid w:val="004B6872"/>
    <w:rsid w:val="004B69EC"/>
    <w:rsid w:val="004B6BFC"/>
    <w:rsid w:val="004B6D15"/>
    <w:rsid w:val="004B6FED"/>
    <w:rsid w:val="004B7129"/>
    <w:rsid w:val="004B72B1"/>
    <w:rsid w:val="004B7432"/>
    <w:rsid w:val="004B7450"/>
    <w:rsid w:val="004B7838"/>
    <w:rsid w:val="004B7872"/>
    <w:rsid w:val="004B78E6"/>
    <w:rsid w:val="004B79A3"/>
    <w:rsid w:val="004B79AE"/>
    <w:rsid w:val="004B79C9"/>
    <w:rsid w:val="004B7A86"/>
    <w:rsid w:val="004B7ACA"/>
    <w:rsid w:val="004B7BA1"/>
    <w:rsid w:val="004B7D74"/>
    <w:rsid w:val="004B7DB5"/>
    <w:rsid w:val="004B7ECA"/>
    <w:rsid w:val="004C014B"/>
    <w:rsid w:val="004C0247"/>
    <w:rsid w:val="004C02AA"/>
    <w:rsid w:val="004C066B"/>
    <w:rsid w:val="004C0978"/>
    <w:rsid w:val="004C0C22"/>
    <w:rsid w:val="004C0C5C"/>
    <w:rsid w:val="004C0C9D"/>
    <w:rsid w:val="004C17DE"/>
    <w:rsid w:val="004C18B3"/>
    <w:rsid w:val="004C193D"/>
    <w:rsid w:val="004C194C"/>
    <w:rsid w:val="004C1955"/>
    <w:rsid w:val="004C1975"/>
    <w:rsid w:val="004C1B22"/>
    <w:rsid w:val="004C1B58"/>
    <w:rsid w:val="004C1BB4"/>
    <w:rsid w:val="004C1CE5"/>
    <w:rsid w:val="004C1E9D"/>
    <w:rsid w:val="004C2067"/>
    <w:rsid w:val="004C20E4"/>
    <w:rsid w:val="004C2197"/>
    <w:rsid w:val="004C2262"/>
    <w:rsid w:val="004C22C8"/>
    <w:rsid w:val="004C22D7"/>
    <w:rsid w:val="004C23E1"/>
    <w:rsid w:val="004C24C4"/>
    <w:rsid w:val="004C25E1"/>
    <w:rsid w:val="004C2930"/>
    <w:rsid w:val="004C2B22"/>
    <w:rsid w:val="004C2D5E"/>
    <w:rsid w:val="004C2D9A"/>
    <w:rsid w:val="004C2E23"/>
    <w:rsid w:val="004C3040"/>
    <w:rsid w:val="004C30DE"/>
    <w:rsid w:val="004C330A"/>
    <w:rsid w:val="004C3805"/>
    <w:rsid w:val="004C389C"/>
    <w:rsid w:val="004C3939"/>
    <w:rsid w:val="004C39FF"/>
    <w:rsid w:val="004C3AB0"/>
    <w:rsid w:val="004C3E7C"/>
    <w:rsid w:val="004C3FBA"/>
    <w:rsid w:val="004C4103"/>
    <w:rsid w:val="004C42B9"/>
    <w:rsid w:val="004C4487"/>
    <w:rsid w:val="004C44F3"/>
    <w:rsid w:val="004C465E"/>
    <w:rsid w:val="004C48EB"/>
    <w:rsid w:val="004C48FC"/>
    <w:rsid w:val="004C491B"/>
    <w:rsid w:val="004C4B31"/>
    <w:rsid w:val="004C4CA9"/>
    <w:rsid w:val="004C4CBF"/>
    <w:rsid w:val="004C4CDF"/>
    <w:rsid w:val="004C5218"/>
    <w:rsid w:val="004C53EE"/>
    <w:rsid w:val="004C545C"/>
    <w:rsid w:val="004C5597"/>
    <w:rsid w:val="004C5693"/>
    <w:rsid w:val="004C586F"/>
    <w:rsid w:val="004C59F9"/>
    <w:rsid w:val="004C5AEA"/>
    <w:rsid w:val="004C5D41"/>
    <w:rsid w:val="004C5FE1"/>
    <w:rsid w:val="004C6447"/>
    <w:rsid w:val="004C64F3"/>
    <w:rsid w:val="004C6544"/>
    <w:rsid w:val="004C654C"/>
    <w:rsid w:val="004C67C2"/>
    <w:rsid w:val="004C6A29"/>
    <w:rsid w:val="004C6B73"/>
    <w:rsid w:val="004C6B7D"/>
    <w:rsid w:val="004C7502"/>
    <w:rsid w:val="004C773B"/>
    <w:rsid w:val="004C777D"/>
    <w:rsid w:val="004C784A"/>
    <w:rsid w:val="004C794B"/>
    <w:rsid w:val="004C7B02"/>
    <w:rsid w:val="004C7D58"/>
    <w:rsid w:val="004C7E14"/>
    <w:rsid w:val="004C7ED9"/>
    <w:rsid w:val="004C7FCB"/>
    <w:rsid w:val="004D0069"/>
    <w:rsid w:val="004D0224"/>
    <w:rsid w:val="004D02C1"/>
    <w:rsid w:val="004D05E0"/>
    <w:rsid w:val="004D081C"/>
    <w:rsid w:val="004D0EDC"/>
    <w:rsid w:val="004D104E"/>
    <w:rsid w:val="004D1091"/>
    <w:rsid w:val="004D1515"/>
    <w:rsid w:val="004D1695"/>
    <w:rsid w:val="004D1753"/>
    <w:rsid w:val="004D183D"/>
    <w:rsid w:val="004D18E8"/>
    <w:rsid w:val="004D1AA0"/>
    <w:rsid w:val="004D1B2B"/>
    <w:rsid w:val="004D22D3"/>
    <w:rsid w:val="004D2550"/>
    <w:rsid w:val="004D2586"/>
    <w:rsid w:val="004D2785"/>
    <w:rsid w:val="004D27E0"/>
    <w:rsid w:val="004D292E"/>
    <w:rsid w:val="004D298E"/>
    <w:rsid w:val="004D29DD"/>
    <w:rsid w:val="004D2D49"/>
    <w:rsid w:val="004D2ED4"/>
    <w:rsid w:val="004D3079"/>
    <w:rsid w:val="004D30AD"/>
    <w:rsid w:val="004D314E"/>
    <w:rsid w:val="004D3213"/>
    <w:rsid w:val="004D324E"/>
    <w:rsid w:val="004D347D"/>
    <w:rsid w:val="004D356F"/>
    <w:rsid w:val="004D37C1"/>
    <w:rsid w:val="004D39EB"/>
    <w:rsid w:val="004D3B14"/>
    <w:rsid w:val="004D3B4E"/>
    <w:rsid w:val="004D3CAD"/>
    <w:rsid w:val="004D3D6B"/>
    <w:rsid w:val="004D3E30"/>
    <w:rsid w:val="004D3EF0"/>
    <w:rsid w:val="004D3EF7"/>
    <w:rsid w:val="004D3F16"/>
    <w:rsid w:val="004D3FA9"/>
    <w:rsid w:val="004D40E5"/>
    <w:rsid w:val="004D410F"/>
    <w:rsid w:val="004D4417"/>
    <w:rsid w:val="004D4490"/>
    <w:rsid w:val="004D47B1"/>
    <w:rsid w:val="004D49CF"/>
    <w:rsid w:val="004D4C86"/>
    <w:rsid w:val="004D4CE6"/>
    <w:rsid w:val="004D4D3F"/>
    <w:rsid w:val="004D4E4C"/>
    <w:rsid w:val="004D4F6A"/>
    <w:rsid w:val="004D4F89"/>
    <w:rsid w:val="004D5007"/>
    <w:rsid w:val="004D507E"/>
    <w:rsid w:val="004D531F"/>
    <w:rsid w:val="004D53B7"/>
    <w:rsid w:val="004D57C4"/>
    <w:rsid w:val="004D595C"/>
    <w:rsid w:val="004D5ABD"/>
    <w:rsid w:val="004D5AD2"/>
    <w:rsid w:val="004D5B27"/>
    <w:rsid w:val="004D5BED"/>
    <w:rsid w:val="004D5BFD"/>
    <w:rsid w:val="004D5CA1"/>
    <w:rsid w:val="004D6059"/>
    <w:rsid w:val="004D6207"/>
    <w:rsid w:val="004D62AB"/>
    <w:rsid w:val="004D62FF"/>
    <w:rsid w:val="004D6379"/>
    <w:rsid w:val="004D6450"/>
    <w:rsid w:val="004D658F"/>
    <w:rsid w:val="004D6653"/>
    <w:rsid w:val="004D67B7"/>
    <w:rsid w:val="004D680C"/>
    <w:rsid w:val="004D6B9F"/>
    <w:rsid w:val="004D6BFC"/>
    <w:rsid w:val="004D6FB4"/>
    <w:rsid w:val="004D6FFB"/>
    <w:rsid w:val="004D70A8"/>
    <w:rsid w:val="004D71F3"/>
    <w:rsid w:val="004D737E"/>
    <w:rsid w:val="004D7708"/>
    <w:rsid w:val="004D7761"/>
    <w:rsid w:val="004D77B2"/>
    <w:rsid w:val="004D77B7"/>
    <w:rsid w:val="004D7819"/>
    <w:rsid w:val="004D7850"/>
    <w:rsid w:val="004D7C2C"/>
    <w:rsid w:val="004D7E05"/>
    <w:rsid w:val="004D7EB9"/>
    <w:rsid w:val="004E0009"/>
    <w:rsid w:val="004E00CA"/>
    <w:rsid w:val="004E034A"/>
    <w:rsid w:val="004E036C"/>
    <w:rsid w:val="004E0484"/>
    <w:rsid w:val="004E0649"/>
    <w:rsid w:val="004E0899"/>
    <w:rsid w:val="004E08A0"/>
    <w:rsid w:val="004E08B6"/>
    <w:rsid w:val="004E0907"/>
    <w:rsid w:val="004E0A2C"/>
    <w:rsid w:val="004E0A41"/>
    <w:rsid w:val="004E0A5B"/>
    <w:rsid w:val="004E0AC1"/>
    <w:rsid w:val="004E0BC9"/>
    <w:rsid w:val="004E0C64"/>
    <w:rsid w:val="004E0D4C"/>
    <w:rsid w:val="004E0E34"/>
    <w:rsid w:val="004E0F1F"/>
    <w:rsid w:val="004E0F66"/>
    <w:rsid w:val="004E1168"/>
    <w:rsid w:val="004E1420"/>
    <w:rsid w:val="004E17B1"/>
    <w:rsid w:val="004E1CEF"/>
    <w:rsid w:val="004E1D12"/>
    <w:rsid w:val="004E1DBA"/>
    <w:rsid w:val="004E1EE3"/>
    <w:rsid w:val="004E215D"/>
    <w:rsid w:val="004E219B"/>
    <w:rsid w:val="004E2248"/>
    <w:rsid w:val="004E24D4"/>
    <w:rsid w:val="004E25AD"/>
    <w:rsid w:val="004E2C73"/>
    <w:rsid w:val="004E2DBE"/>
    <w:rsid w:val="004E31B9"/>
    <w:rsid w:val="004E3249"/>
    <w:rsid w:val="004E3331"/>
    <w:rsid w:val="004E33C4"/>
    <w:rsid w:val="004E347A"/>
    <w:rsid w:val="004E3566"/>
    <w:rsid w:val="004E3602"/>
    <w:rsid w:val="004E37B4"/>
    <w:rsid w:val="004E38BA"/>
    <w:rsid w:val="004E3950"/>
    <w:rsid w:val="004E3A1A"/>
    <w:rsid w:val="004E3F06"/>
    <w:rsid w:val="004E4384"/>
    <w:rsid w:val="004E46A0"/>
    <w:rsid w:val="004E46E1"/>
    <w:rsid w:val="004E4710"/>
    <w:rsid w:val="004E479C"/>
    <w:rsid w:val="004E4BFE"/>
    <w:rsid w:val="004E4E3E"/>
    <w:rsid w:val="004E4EEC"/>
    <w:rsid w:val="004E50F1"/>
    <w:rsid w:val="004E5124"/>
    <w:rsid w:val="004E51B2"/>
    <w:rsid w:val="004E51F0"/>
    <w:rsid w:val="004E5322"/>
    <w:rsid w:val="004E54ED"/>
    <w:rsid w:val="004E5570"/>
    <w:rsid w:val="004E58B2"/>
    <w:rsid w:val="004E58C5"/>
    <w:rsid w:val="004E59BD"/>
    <w:rsid w:val="004E5A3C"/>
    <w:rsid w:val="004E5B84"/>
    <w:rsid w:val="004E5B8D"/>
    <w:rsid w:val="004E5C0E"/>
    <w:rsid w:val="004E5F37"/>
    <w:rsid w:val="004E6159"/>
    <w:rsid w:val="004E6514"/>
    <w:rsid w:val="004E6541"/>
    <w:rsid w:val="004E6542"/>
    <w:rsid w:val="004E65C7"/>
    <w:rsid w:val="004E6614"/>
    <w:rsid w:val="004E6807"/>
    <w:rsid w:val="004E6916"/>
    <w:rsid w:val="004E6BB7"/>
    <w:rsid w:val="004E6C08"/>
    <w:rsid w:val="004E6D7D"/>
    <w:rsid w:val="004E6DD3"/>
    <w:rsid w:val="004E6EBF"/>
    <w:rsid w:val="004E70D7"/>
    <w:rsid w:val="004E720F"/>
    <w:rsid w:val="004E73FA"/>
    <w:rsid w:val="004E7866"/>
    <w:rsid w:val="004E7940"/>
    <w:rsid w:val="004E7A43"/>
    <w:rsid w:val="004E7B5D"/>
    <w:rsid w:val="004E7BF2"/>
    <w:rsid w:val="004E7D43"/>
    <w:rsid w:val="004E7FFC"/>
    <w:rsid w:val="004F00EC"/>
    <w:rsid w:val="004F01BE"/>
    <w:rsid w:val="004F0331"/>
    <w:rsid w:val="004F035A"/>
    <w:rsid w:val="004F03BB"/>
    <w:rsid w:val="004F07CA"/>
    <w:rsid w:val="004F09E1"/>
    <w:rsid w:val="004F0A98"/>
    <w:rsid w:val="004F0BF7"/>
    <w:rsid w:val="004F0C4A"/>
    <w:rsid w:val="004F0DED"/>
    <w:rsid w:val="004F0F30"/>
    <w:rsid w:val="004F0F90"/>
    <w:rsid w:val="004F11C0"/>
    <w:rsid w:val="004F1352"/>
    <w:rsid w:val="004F16B7"/>
    <w:rsid w:val="004F1791"/>
    <w:rsid w:val="004F17F2"/>
    <w:rsid w:val="004F1885"/>
    <w:rsid w:val="004F1ADD"/>
    <w:rsid w:val="004F1BA7"/>
    <w:rsid w:val="004F1DF3"/>
    <w:rsid w:val="004F2059"/>
    <w:rsid w:val="004F20A4"/>
    <w:rsid w:val="004F23EC"/>
    <w:rsid w:val="004F26DB"/>
    <w:rsid w:val="004F275E"/>
    <w:rsid w:val="004F2859"/>
    <w:rsid w:val="004F2A94"/>
    <w:rsid w:val="004F2AF5"/>
    <w:rsid w:val="004F2E24"/>
    <w:rsid w:val="004F2E92"/>
    <w:rsid w:val="004F2F4C"/>
    <w:rsid w:val="004F302F"/>
    <w:rsid w:val="004F3381"/>
    <w:rsid w:val="004F3393"/>
    <w:rsid w:val="004F3659"/>
    <w:rsid w:val="004F3670"/>
    <w:rsid w:val="004F391F"/>
    <w:rsid w:val="004F398B"/>
    <w:rsid w:val="004F3A22"/>
    <w:rsid w:val="004F3BA7"/>
    <w:rsid w:val="004F3E70"/>
    <w:rsid w:val="004F405B"/>
    <w:rsid w:val="004F450E"/>
    <w:rsid w:val="004F451D"/>
    <w:rsid w:val="004F4596"/>
    <w:rsid w:val="004F4652"/>
    <w:rsid w:val="004F4656"/>
    <w:rsid w:val="004F467E"/>
    <w:rsid w:val="004F49F5"/>
    <w:rsid w:val="004F4CDD"/>
    <w:rsid w:val="004F4D41"/>
    <w:rsid w:val="004F4F4A"/>
    <w:rsid w:val="004F4F65"/>
    <w:rsid w:val="004F4F75"/>
    <w:rsid w:val="004F5353"/>
    <w:rsid w:val="004F5419"/>
    <w:rsid w:val="004F561B"/>
    <w:rsid w:val="004F5694"/>
    <w:rsid w:val="004F59EC"/>
    <w:rsid w:val="004F5BF8"/>
    <w:rsid w:val="004F5C20"/>
    <w:rsid w:val="004F5CA0"/>
    <w:rsid w:val="004F5CCF"/>
    <w:rsid w:val="004F5E44"/>
    <w:rsid w:val="004F6050"/>
    <w:rsid w:val="004F6231"/>
    <w:rsid w:val="004F6346"/>
    <w:rsid w:val="004F64DA"/>
    <w:rsid w:val="004F67DC"/>
    <w:rsid w:val="004F687D"/>
    <w:rsid w:val="004F6892"/>
    <w:rsid w:val="004F6B7C"/>
    <w:rsid w:val="004F6BFE"/>
    <w:rsid w:val="004F6EBA"/>
    <w:rsid w:val="004F6EDB"/>
    <w:rsid w:val="004F7072"/>
    <w:rsid w:val="004F70C2"/>
    <w:rsid w:val="004F70CE"/>
    <w:rsid w:val="004F70F3"/>
    <w:rsid w:val="004F712F"/>
    <w:rsid w:val="004F7171"/>
    <w:rsid w:val="004F7267"/>
    <w:rsid w:val="004F7320"/>
    <w:rsid w:val="004F7615"/>
    <w:rsid w:val="004F77D1"/>
    <w:rsid w:val="004F7899"/>
    <w:rsid w:val="004F78E6"/>
    <w:rsid w:val="004F7AB4"/>
    <w:rsid w:val="004F7B89"/>
    <w:rsid w:val="004F7CD2"/>
    <w:rsid w:val="004F7CE4"/>
    <w:rsid w:val="004F7F07"/>
    <w:rsid w:val="0050017F"/>
    <w:rsid w:val="005002FC"/>
    <w:rsid w:val="005004AC"/>
    <w:rsid w:val="00500542"/>
    <w:rsid w:val="00500560"/>
    <w:rsid w:val="00500991"/>
    <w:rsid w:val="00500B77"/>
    <w:rsid w:val="00500C16"/>
    <w:rsid w:val="00500C56"/>
    <w:rsid w:val="00500DE4"/>
    <w:rsid w:val="00500DFE"/>
    <w:rsid w:val="00500F44"/>
    <w:rsid w:val="00501025"/>
    <w:rsid w:val="00501348"/>
    <w:rsid w:val="0050139B"/>
    <w:rsid w:val="0050155E"/>
    <w:rsid w:val="0050158C"/>
    <w:rsid w:val="005016B9"/>
    <w:rsid w:val="005017AC"/>
    <w:rsid w:val="00501A87"/>
    <w:rsid w:val="00501D74"/>
    <w:rsid w:val="005021C3"/>
    <w:rsid w:val="00502200"/>
    <w:rsid w:val="0050229A"/>
    <w:rsid w:val="00502400"/>
    <w:rsid w:val="00502491"/>
    <w:rsid w:val="0050254B"/>
    <w:rsid w:val="00502609"/>
    <w:rsid w:val="005026F9"/>
    <w:rsid w:val="0050278F"/>
    <w:rsid w:val="00502A14"/>
    <w:rsid w:val="00502A8F"/>
    <w:rsid w:val="00502AFB"/>
    <w:rsid w:val="00502DAE"/>
    <w:rsid w:val="00502DD5"/>
    <w:rsid w:val="0050308B"/>
    <w:rsid w:val="005031C7"/>
    <w:rsid w:val="005033F9"/>
    <w:rsid w:val="00503412"/>
    <w:rsid w:val="005034A3"/>
    <w:rsid w:val="005035E8"/>
    <w:rsid w:val="005037B7"/>
    <w:rsid w:val="005038E4"/>
    <w:rsid w:val="00503986"/>
    <w:rsid w:val="00503D76"/>
    <w:rsid w:val="00503F88"/>
    <w:rsid w:val="00504072"/>
    <w:rsid w:val="00504082"/>
    <w:rsid w:val="005041B1"/>
    <w:rsid w:val="005041CD"/>
    <w:rsid w:val="005044CB"/>
    <w:rsid w:val="0050456E"/>
    <w:rsid w:val="005049F5"/>
    <w:rsid w:val="00504A63"/>
    <w:rsid w:val="00504D28"/>
    <w:rsid w:val="00504DEC"/>
    <w:rsid w:val="00504F35"/>
    <w:rsid w:val="0050520E"/>
    <w:rsid w:val="005054F5"/>
    <w:rsid w:val="005056B5"/>
    <w:rsid w:val="005056F7"/>
    <w:rsid w:val="0050582B"/>
    <w:rsid w:val="00505875"/>
    <w:rsid w:val="00505B16"/>
    <w:rsid w:val="00505C76"/>
    <w:rsid w:val="00505F3B"/>
    <w:rsid w:val="005060D7"/>
    <w:rsid w:val="00506456"/>
    <w:rsid w:val="00506509"/>
    <w:rsid w:val="00506552"/>
    <w:rsid w:val="005069DA"/>
    <w:rsid w:val="00506A77"/>
    <w:rsid w:val="00506BA0"/>
    <w:rsid w:val="00506DE8"/>
    <w:rsid w:val="00506E46"/>
    <w:rsid w:val="00507061"/>
    <w:rsid w:val="00507067"/>
    <w:rsid w:val="005071D5"/>
    <w:rsid w:val="005072D4"/>
    <w:rsid w:val="00507386"/>
    <w:rsid w:val="005075E5"/>
    <w:rsid w:val="005079B2"/>
    <w:rsid w:val="00507B92"/>
    <w:rsid w:val="00507BD4"/>
    <w:rsid w:val="00507C63"/>
    <w:rsid w:val="00507DD0"/>
    <w:rsid w:val="00507FB4"/>
    <w:rsid w:val="00510099"/>
    <w:rsid w:val="005102CD"/>
    <w:rsid w:val="0051043F"/>
    <w:rsid w:val="0051051F"/>
    <w:rsid w:val="005108E8"/>
    <w:rsid w:val="00510942"/>
    <w:rsid w:val="005109EA"/>
    <w:rsid w:val="00510C01"/>
    <w:rsid w:val="00510C38"/>
    <w:rsid w:val="00510CD2"/>
    <w:rsid w:val="00510ED7"/>
    <w:rsid w:val="0051108A"/>
    <w:rsid w:val="005110DC"/>
    <w:rsid w:val="00511250"/>
    <w:rsid w:val="005112FB"/>
    <w:rsid w:val="005115C2"/>
    <w:rsid w:val="0051167F"/>
    <w:rsid w:val="00511786"/>
    <w:rsid w:val="0051184E"/>
    <w:rsid w:val="00511980"/>
    <w:rsid w:val="00511A42"/>
    <w:rsid w:val="00511A95"/>
    <w:rsid w:val="00511AB6"/>
    <w:rsid w:val="00511BB7"/>
    <w:rsid w:val="00511BBA"/>
    <w:rsid w:val="00511BED"/>
    <w:rsid w:val="00511DC2"/>
    <w:rsid w:val="00511E32"/>
    <w:rsid w:val="00511E3D"/>
    <w:rsid w:val="00511F0E"/>
    <w:rsid w:val="00512002"/>
    <w:rsid w:val="005122C1"/>
    <w:rsid w:val="005122C6"/>
    <w:rsid w:val="00512475"/>
    <w:rsid w:val="0051272E"/>
    <w:rsid w:val="005129D1"/>
    <w:rsid w:val="00512AC3"/>
    <w:rsid w:val="00512B7E"/>
    <w:rsid w:val="00512C20"/>
    <w:rsid w:val="0051300E"/>
    <w:rsid w:val="005132B3"/>
    <w:rsid w:val="00513422"/>
    <w:rsid w:val="0051345F"/>
    <w:rsid w:val="00513527"/>
    <w:rsid w:val="00513682"/>
    <w:rsid w:val="00513B0B"/>
    <w:rsid w:val="00513BC7"/>
    <w:rsid w:val="00513BF0"/>
    <w:rsid w:val="00513C3F"/>
    <w:rsid w:val="00513D59"/>
    <w:rsid w:val="00513DBA"/>
    <w:rsid w:val="00513EC6"/>
    <w:rsid w:val="00513F3A"/>
    <w:rsid w:val="00514006"/>
    <w:rsid w:val="00514008"/>
    <w:rsid w:val="00514186"/>
    <w:rsid w:val="0051431A"/>
    <w:rsid w:val="005145CF"/>
    <w:rsid w:val="0051490E"/>
    <w:rsid w:val="00514CA6"/>
    <w:rsid w:val="00514D33"/>
    <w:rsid w:val="00514D6E"/>
    <w:rsid w:val="00514D9A"/>
    <w:rsid w:val="0051536E"/>
    <w:rsid w:val="0051571F"/>
    <w:rsid w:val="00515845"/>
    <w:rsid w:val="005158A9"/>
    <w:rsid w:val="00515A7F"/>
    <w:rsid w:val="00515BF9"/>
    <w:rsid w:val="00515C57"/>
    <w:rsid w:val="00515C93"/>
    <w:rsid w:val="00515D66"/>
    <w:rsid w:val="00515D67"/>
    <w:rsid w:val="00515DC3"/>
    <w:rsid w:val="00515DD9"/>
    <w:rsid w:val="00515FAB"/>
    <w:rsid w:val="00516075"/>
    <w:rsid w:val="005160B4"/>
    <w:rsid w:val="005160B8"/>
    <w:rsid w:val="005160BB"/>
    <w:rsid w:val="005164FC"/>
    <w:rsid w:val="00516554"/>
    <w:rsid w:val="00516622"/>
    <w:rsid w:val="00516701"/>
    <w:rsid w:val="005167BB"/>
    <w:rsid w:val="005168B9"/>
    <w:rsid w:val="005168ED"/>
    <w:rsid w:val="00516A94"/>
    <w:rsid w:val="00516C72"/>
    <w:rsid w:val="00516D1D"/>
    <w:rsid w:val="00516E1B"/>
    <w:rsid w:val="00516E34"/>
    <w:rsid w:val="00516F21"/>
    <w:rsid w:val="00516FED"/>
    <w:rsid w:val="00517082"/>
    <w:rsid w:val="005170D3"/>
    <w:rsid w:val="005171DB"/>
    <w:rsid w:val="005172A1"/>
    <w:rsid w:val="00517323"/>
    <w:rsid w:val="00517460"/>
    <w:rsid w:val="00517480"/>
    <w:rsid w:val="005174BB"/>
    <w:rsid w:val="00517632"/>
    <w:rsid w:val="005177E8"/>
    <w:rsid w:val="005179A0"/>
    <w:rsid w:val="00517B43"/>
    <w:rsid w:val="00517BA8"/>
    <w:rsid w:val="00517BC1"/>
    <w:rsid w:val="00517D0B"/>
    <w:rsid w:val="00517D81"/>
    <w:rsid w:val="00517DAC"/>
    <w:rsid w:val="00517EFC"/>
    <w:rsid w:val="005200B8"/>
    <w:rsid w:val="00520110"/>
    <w:rsid w:val="00520129"/>
    <w:rsid w:val="0052036B"/>
    <w:rsid w:val="005206F6"/>
    <w:rsid w:val="005207ED"/>
    <w:rsid w:val="00520B0B"/>
    <w:rsid w:val="00520BDF"/>
    <w:rsid w:val="00520C7D"/>
    <w:rsid w:val="00520DF3"/>
    <w:rsid w:val="00520E6E"/>
    <w:rsid w:val="00520F20"/>
    <w:rsid w:val="00520FCA"/>
    <w:rsid w:val="005210CE"/>
    <w:rsid w:val="00521274"/>
    <w:rsid w:val="00521326"/>
    <w:rsid w:val="005213FA"/>
    <w:rsid w:val="0052144C"/>
    <w:rsid w:val="0052152A"/>
    <w:rsid w:val="0052168A"/>
    <w:rsid w:val="005216E9"/>
    <w:rsid w:val="005217A7"/>
    <w:rsid w:val="00521923"/>
    <w:rsid w:val="005219B8"/>
    <w:rsid w:val="005219BD"/>
    <w:rsid w:val="00521A08"/>
    <w:rsid w:val="00521A2A"/>
    <w:rsid w:val="00521B46"/>
    <w:rsid w:val="00521DE3"/>
    <w:rsid w:val="00521F30"/>
    <w:rsid w:val="00522779"/>
    <w:rsid w:val="005229C9"/>
    <w:rsid w:val="005229E1"/>
    <w:rsid w:val="00522C17"/>
    <w:rsid w:val="00522D6C"/>
    <w:rsid w:val="00522D78"/>
    <w:rsid w:val="00522DA4"/>
    <w:rsid w:val="00522E0C"/>
    <w:rsid w:val="0052310D"/>
    <w:rsid w:val="0052319B"/>
    <w:rsid w:val="00523567"/>
    <w:rsid w:val="0052358F"/>
    <w:rsid w:val="005237FB"/>
    <w:rsid w:val="00523854"/>
    <w:rsid w:val="0052387F"/>
    <w:rsid w:val="00523897"/>
    <w:rsid w:val="00523984"/>
    <w:rsid w:val="00523B3E"/>
    <w:rsid w:val="00523D76"/>
    <w:rsid w:val="00523E3F"/>
    <w:rsid w:val="00523F3A"/>
    <w:rsid w:val="00524352"/>
    <w:rsid w:val="00524384"/>
    <w:rsid w:val="0052455A"/>
    <w:rsid w:val="0052465A"/>
    <w:rsid w:val="00524979"/>
    <w:rsid w:val="00524B62"/>
    <w:rsid w:val="00524D57"/>
    <w:rsid w:val="00524DA0"/>
    <w:rsid w:val="00525046"/>
    <w:rsid w:val="005254B2"/>
    <w:rsid w:val="00525545"/>
    <w:rsid w:val="0052566B"/>
    <w:rsid w:val="0052569A"/>
    <w:rsid w:val="00525975"/>
    <w:rsid w:val="00525C75"/>
    <w:rsid w:val="00525D06"/>
    <w:rsid w:val="00526745"/>
    <w:rsid w:val="005268B1"/>
    <w:rsid w:val="00526BFF"/>
    <w:rsid w:val="00526C81"/>
    <w:rsid w:val="00526DC3"/>
    <w:rsid w:val="00526F9D"/>
    <w:rsid w:val="005270A9"/>
    <w:rsid w:val="00527349"/>
    <w:rsid w:val="00527454"/>
    <w:rsid w:val="00527508"/>
    <w:rsid w:val="0052799B"/>
    <w:rsid w:val="005279A7"/>
    <w:rsid w:val="00527C1C"/>
    <w:rsid w:val="00527C27"/>
    <w:rsid w:val="00527E66"/>
    <w:rsid w:val="00527FCB"/>
    <w:rsid w:val="0053010B"/>
    <w:rsid w:val="0053030D"/>
    <w:rsid w:val="005305E4"/>
    <w:rsid w:val="005306DF"/>
    <w:rsid w:val="0053086D"/>
    <w:rsid w:val="005309CD"/>
    <w:rsid w:val="005309CE"/>
    <w:rsid w:val="005309D4"/>
    <w:rsid w:val="00530A46"/>
    <w:rsid w:val="00530D4D"/>
    <w:rsid w:val="00530DC3"/>
    <w:rsid w:val="00530DF8"/>
    <w:rsid w:val="00530EBE"/>
    <w:rsid w:val="00531054"/>
    <w:rsid w:val="005310CE"/>
    <w:rsid w:val="005311CA"/>
    <w:rsid w:val="005312BB"/>
    <w:rsid w:val="005312F6"/>
    <w:rsid w:val="005312F9"/>
    <w:rsid w:val="005312FE"/>
    <w:rsid w:val="005314AD"/>
    <w:rsid w:val="00531811"/>
    <w:rsid w:val="005319F2"/>
    <w:rsid w:val="00531A4A"/>
    <w:rsid w:val="00531B20"/>
    <w:rsid w:val="00531B30"/>
    <w:rsid w:val="00531B5A"/>
    <w:rsid w:val="00531D47"/>
    <w:rsid w:val="00531E43"/>
    <w:rsid w:val="00531EA1"/>
    <w:rsid w:val="005324EA"/>
    <w:rsid w:val="00532521"/>
    <w:rsid w:val="005325A5"/>
    <w:rsid w:val="00532832"/>
    <w:rsid w:val="00532859"/>
    <w:rsid w:val="0053294A"/>
    <w:rsid w:val="00532A65"/>
    <w:rsid w:val="00532A68"/>
    <w:rsid w:val="00532BCB"/>
    <w:rsid w:val="00532BF6"/>
    <w:rsid w:val="00532FEF"/>
    <w:rsid w:val="00533384"/>
    <w:rsid w:val="005334C1"/>
    <w:rsid w:val="005336CC"/>
    <w:rsid w:val="005338A3"/>
    <w:rsid w:val="005339D0"/>
    <w:rsid w:val="00533E7A"/>
    <w:rsid w:val="00533F76"/>
    <w:rsid w:val="005342B3"/>
    <w:rsid w:val="005343E6"/>
    <w:rsid w:val="00534571"/>
    <w:rsid w:val="005345AF"/>
    <w:rsid w:val="005346E2"/>
    <w:rsid w:val="00534838"/>
    <w:rsid w:val="00534910"/>
    <w:rsid w:val="005349AA"/>
    <w:rsid w:val="00534C73"/>
    <w:rsid w:val="00534D25"/>
    <w:rsid w:val="00534E77"/>
    <w:rsid w:val="005350C1"/>
    <w:rsid w:val="00535112"/>
    <w:rsid w:val="0053522F"/>
    <w:rsid w:val="00535502"/>
    <w:rsid w:val="00535533"/>
    <w:rsid w:val="00535557"/>
    <w:rsid w:val="00535608"/>
    <w:rsid w:val="005356F6"/>
    <w:rsid w:val="0053588C"/>
    <w:rsid w:val="0053594A"/>
    <w:rsid w:val="00535972"/>
    <w:rsid w:val="005359A7"/>
    <w:rsid w:val="00535B19"/>
    <w:rsid w:val="00535C57"/>
    <w:rsid w:val="00536090"/>
    <w:rsid w:val="00536265"/>
    <w:rsid w:val="005363DA"/>
    <w:rsid w:val="00536489"/>
    <w:rsid w:val="005365C8"/>
    <w:rsid w:val="005365CD"/>
    <w:rsid w:val="00536855"/>
    <w:rsid w:val="005368D6"/>
    <w:rsid w:val="005368F2"/>
    <w:rsid w:val="00536B28"/>
    <w:rsid w:val="00536BE0"/>
    <w:rsid w:val="00536E76"/>
    <w:rsid w:val="00537174"/>
    <w:rsid w:val="005373DB"/>
    <w:rsid w:val="005375ED"/>
    <w:rsid w:val="005376E9"/>
    <w:rsid w:val="00537758"/>
    <w:rsid w:val="00537876"/>
    <w:rsid w:val="00537944"/>
    <w:rsid w:val="00537966"/>
    <w:rsid w:val="00537BAA"/>
    <w:rsid w:val="005401ED"/>
    <w:rsid w:val="0054037E"/>
    <w:rsid w:val="00540385"/>
    <w:rsid w:val="0054039C"/>
    <w:rsid w:val="00540866"/>
    <w:rsid w:val="0054086B"/>
    <w:rsid w:val="00540AC8"/>
    <w:rsid w:val="00540BE9"/>
    <w:rsid w:val="00540D70"/>
    <w:rsid w:val="00540D94"/>
    <w:rsid w:val="00540EF0"/>
    <w:rsid w:val="00540F7F"/>
    <w:rsid w:val="0054101C"/>
    <w:rsid w:val="00541284"/>
    <w:rsid w:val="0054131A"/>
    <w:rsid w:val="00541631"/>
    <w:rsid w:val="0054179F"/>
    <w:rsid w:val="005417DC"/>
    <w:rsid w:val="0054217E"/>
    <w:rsid w:val="0054217F"/>
    <w:rsid w:val="005421F5"/>
    <w:rsid w:val="005424DA"/>
    <w:rsid w:val="0054255D"/>
    <w:rsid w:val="005426AF"/>
    <w:rsid w:val="005426D2"/>
    <w:rsid w:val="00542722"/>
    <w:rsid w:val="005427CA"/>
    <w:rsid w:val="00542A9B"/>
    <w:rsid w:val="00542C58"/>
    <w:rsid w:val="00542C98"/>
    <w:rsid w:val="00542CA7"/>
    <w:rsid w:val="00542F8C"/>
    <w:rsid w:val="005433A1"/>
    <w:rsid w:val="0054364C"/>
    <w:rsid w:val="00543691"/>
    <w:rsid w:val="0054378B"/>
    <w:rsid w:val="00543913"/>
    <w:rsid w:val="00543A57"/>
    <w:rsid w:val="00543AD7"/>
    <w:rsid w:val="00543B8E"/>
    <w:rsid w:val="00543C9D"/>
    <w:rsid w:val="00543D86"/>
    <w:rsid w:val="00543EEF"/>
    <w:rsid w:val="00543FF5"/>
    <w:rsid w:val="00544034"/>
    <w:rsid w:val="0054403E"/>
    <w:rsid w:val="005441FE"/>
    <w:rsid w:val="00544256"/>
    <w:rsid w:val="0054436E"/>
    <w:rsid w:val="0054439B"/>
    <w:rsid w:val="00544455"/>
    <w:rsid w:val="005445CB"/>
    <w:rsid w:val="005445E1"/>
    <w:rsid w:val="00544667"/>
    <w:rsid w:val="00544751"/>
    <w:rsid w:val="00544A8D"/>
    <w:rsid w:val="00544BFA"/>
    <w:rsid w:val="00544BFE"/>
    <w:rsid w:val="00544D09"/>
    <w:rsid w:val="00544D90"/>
    <w:rsid w:val="00545266"/>
    <w:rsid w:val="005452C2"/>
    <w:rsid w:val="00545617"/>
    <w:rsid w:val="005458E3"/>
    <w:rsid w:val="00545AE1"/>
    <w:rsid w:val="00545BBB"/>
    <w:rsid w:val="00545C5B"/>
    <w:rsid w:val="00545CEA"/>
    <w:rsid w:val="00545FCF"/>
    <w:rsid w:val="00546099"/>
    <w:rsid w:val="005460EB"/>
    <w:rsid w:val="0054631E"/>
    <w:rsid w:val="005463F8"/>
    <w:rsid w:val="00546463"/>
    <w:rsid w:val="0054647B"/>
    <w:rsid w:val="005466BD"/>
    <w:rsid w:val="0054698D"/>
    <w:rsid w:val="005469D7"/>
    <w:rsid w:val="00546A6A"/>
    <w:rsid w:val="00546DA7"/>
    <w:rsid w:val="00546E65"/>
    <w:rsid w:val="00546ECC"/>
    <w:rsid w:val="0054714F"/>
    <w:rsid w:val="005471E7"/>
    <w:rsid w:val="005472C7"/>
    <w:rsid w:val="00547468"/>
    <w:rsid w:val="00547719"/>
    <w:rsid w:val="00547AFE"/>
    <w:rsid w:val="00547B6D"/>
    <w:rsid w:val="00547B84"/>
    <w:rsid w:val="00547DF3"/>
    <w:rsid w:val="00547EAB"/>
    <w:rsid w:val="00547EEB"/>
    <w:rsid w:val="00550296"/>
    <w:rsid w:val="00550381"/>
    <w:rsid w:val="005503B4"/>
    <w:rsid w:val="00550691"/>
    <w:rsid w:val="005507DC"/>
    <w:rsid w:val="005508D2"/>
    <w:rsid w:val="00550A23"/>
    <w:rsid w:val="00550DDD"/>
    <w:rsid w:val="00550F82"/>
    <w:rsid w:val="00550F84"/>
    <w:rsid w:val="005514A4"/>
    <w:rsid w:val="005514D2"/>
    <w:rsid w:val="0055153A"/>
    <w:rsid w:val="00551643"/>
    <w:rsid w:val="005517D2"/>
    <w:rsid w:val="005518E3"/>
    <w:rsid w:val="005519D0"/>
    <w:rsid w:val="00551A00"/>
    <w:rsid w:val="00551C5C"/>
    <w:rsid w:val="00551D27"/>
    <w:rsid w:val="0055206B"/>
    <w:rsid w:val="0055219D"/>
    <w:rsid w:val="005521AC"/>
    <w:rsid w:val="00552213"/>
    <w:rsid w:val="00552294"/>
    <w:rsid w:val="00552473"/>
    <w:rsid w:val="00552542"/>
    <w:rsid w:val="005527F0"/>
    <w:rsid w:val="00552821"/>
    <w:rsid w:val="00552B91"/>
    <w:rsid w:val="00552C0C"/>
    <w:rsid w:val="00552C1F"/>
    <w:rsid w:val="00552CFC"/>
    <w:rsid w:val="00552D14"/>
    <w:rsid w:val="00553161"/>
    <w:rsid w:val="005533C7"/>
    <w:rsid w:val="0055374C"/>
    <w:rsid w:val="005537CA"/>
    <w:rsid w:val="005539E8"/>
    <w:rsid w:val="00553D0A"/>
    <w:rsid w:val="00554116"/>
    <w:rsid w:val="00554194"/>
    <w:rsid w:val="005546AC"/>
    <w:rsid w:val="00554822"/>
    <w:rsid w:val="00554AEF"/>
    <w:rsid w:val="00554B05"/>
    <w:rsid w:val="00554BFE"/>
    <w:rsid w:val="00554C42"/>
    <w:rsid w:val="00554C88"/>
    <w:rsid w:val="00554E08"/>
    <w:rsid w:val="00554E21"/>
    <w:rsid w:val="0055501F"/>
    <w:rsid w:val="00555773"/>
    <w:rsid w:val="00555814"/>
    <w:rsid w:val="00555A9B"/>
    <w:rsid w:val="00555D00"/>
    <w:rsid w:val="00556324"/>
    <w:rsid w:val="00556327"/>
    <w:rsid w:val="0055655A"/>
    <w:rsid w:val="0055675E"/>
    <w:rsid w:val="0055698D"/>
    <w:rsid w:val="00556B36"/>
    <w:rsid w:val="00556BE9"/>
    <w:rsid w:val="00556CAC"/>
    <w:rsid w:val="00556CD1"/>
    <w:rsid w:val="005571D5"/>
    <w:rsid w:val="00557348"/>
    <w:rsid w:val="00557381"/>
    <w:rsid w:val="005573A4"/>
    <w:rsid w:val="005574B1"/>
    <w:rsid w:val="0055751C"/>
    <w:rsid w:val="00557733"/>
    <w:rsid w:val="005577BC"/>
    <w:rsid w:val="00557A0C"/>
    <w:rsid w:val="00557A11"/>
    <w:rsid w:val="00557A71"/>
    <w:rsid w:val="00557D3E"/>
    <w:rsid w:val="00557E87"/>
    <w:rsid w:val="00560325"/>
    <w:rsid w:val="00560394"/>
    <w:rsid w:val="005607D0"/>
    <w:rsid w:val="005608B0"/>
    <w:rsid w:val="00560AC1"/>
    <w:rsid w:val="00560B1C"/>
    <w:rsid w:val="00560C8C"/>
    <w:rsid w:val="00560D55"/>
    <w:rsid w:val="00560E4D"/>
    <w:rsid w:val="00560ECB"/>
    <w:rsid w:val="00561017"/>
    <w:rsid w:val="005611E3"/>
    <w:rsid w:val="0056131C"/>
    <w:rsid w:val="00561375"/>
    <w:rsid w:val="00561528"/>
    <w:rsid w:val="005616E7"/>
    <w:rsid w:val="005617B1"/>
    <w:rsid w:val="005618A6"/>
    <w:rsid w:val="005618E5"/>
    <w:rsid w:val="00561AA7"/>
    <w:rsid w:val="00561BBA"/>
    <w:rsid w:val="00561BC6"/>
    <w:rsid w:val="00561DF5"/>
    <w:rsid w:val="00562467"/>
    <w:rsid w:val="005624BD"/>
    <w:rsid w:val="0056263C"/>
    <w:rsid w:val="00562935"/>
    <w:rsid w:val="00562A28"/>
    <w:rsid w:val="00562BC0"/>
    <w:rsid w:val="00563020"/>
    <w:rsid w:val="00563033"/>
    <w:rsid w:val="00563117"/>
    <w:rsid w:val="005631FA"/>
    <w:rsid w:val="0056320A"/>
    <w:rsid w:val="00563232"/>
    <w:rsid w:val="005632CF"/>
    <w:rsid w:val="00563324"/>
    <w:rsid w:val="00563432"/>
    <w:rsid w:val="00563509"/>
    <w:rsid w:val="00563AF5"/>
    <w:rsid w:val="00563B20"/>
    <w:rsid w:val="00563B63"/>
    <w:rsid w:val="00563C45"/>
    <w:rsid w:val="00563C66"/>
    <w:rsid w:val="00563C9E"/>
    <w:rsid w:val="00563D70"/>
    <w:rsid w:val="00564053"/>
    <w:rsid w:val="00564354"/>
    <w:rsid w:val="00564806"/>
    <w:rsid w:val="00564845"/>
    <w:rsid w:val="0056486E"/>
    <w:rsid w:val="00564885"/>
    <w:rsid w:val="00564C9D"/>
    <w:rsid w:val="00564CC7"/>
    <w:rsid w:val="00564F0E"/>
    <w:rsid w:val="00565299"/>
    <w:rsid w:val="00565429"/>
    <w:rsid w:val="00565519"/>
    <w:rsid w:val="005658CE"/>
    <w:rsid w:val="00565985"/>
    <w:rsid w:val="00565AED"/>
    <w:rsid w:val="00565BB3"/>
    <w:rsid w:val="00565DC0"/>
    <w:rsid w:val="00565F2E"/>
    <w:rsid w:val="00565FA8"/>
    <w:rsid w:val="005660A2"/>
    <w:rsid w:val="0056618F"/>
    <w:rsid w:val="00566221"/>
    <w:rsid w:val="00566610"/>
    <w:rsid w:val="005667DF"/>
    <w:rsid w:val="005668ED"/>
    <w:rsid w:val="00566B7D"/>
    <w:rsid w:val="00566DEF"/>
    <w:rsid w:val="00566E33"/>
    <w:rsid w:val="00566F88"/>
    <w:rsid w:val="00566FCC"/>
    <w:rsid w:val="00567005"/>
    <w:rsid w:val="005670D2"/>
    <w:rsid w:val="0056723B"/>
    <w:rsid w:val="00567397"/>
    <w:rsid w:val="005675CF"/>
    <w:rsid w:val="005675DC"/>
    <w:rsid w:val="00567725"/>
    <w:rsid w:val="00567753"/>
    <w:rsid w:val="0056786C"/>
    <w:rsid w:val="005678EA"/>
    <w:rsid w:val="00567942"/>
    <w:rsid w:val="00567D48"/>
    <w:rsid w:val="00567ED6"/>
    <w:rsid w:val="0057002B"/>
    <w:rsid w:val="00570068"/>
    <w:rsid w:val="0057025A"/>
    <w:rsid w:val="005704CB"/>
    <w:rsid w:val="00570746"/>
    <w:rsid w:val="005709E6"/>
    <w:rsid w:val="00570ACF"/>
    <w:rsid w:val="00570BF6"/>
    <w:rsid w:val="00570F41"/>
    <w:rsid w:val="00570FA4"/>
    <w:rsid w:val="00571009"/>
    <w:rsid w:val="005712BB"/>
    <w:rsid w:val="005713FB"/>
    <w:rsid w:val="0057147C"/>
    <w:rsid w:val="0057155C"/>
    <w:rsid w:val="00571744"/>
    <w:rsid w:val="005717AE"/>
    <w:rsid w:val="00571A03"/>
    <w:rsid w:val="00571F72"/>
    <w:rsid w:val="005720D4"/>
    <w:rsid w:val="005720D7"/>
    <w:rsid w:val="00572121"/>
    <w:rsid w:val="00572594"/>
    <w:rsid w:val="005726CA"/>
    <w:rsid w:val="00572838"/>
    <w:rsid w:val="0057283F"/>
    <w:rsid w:val="00572AD5"/>
    <w:rsid w:val="00572C7C"/>
    <w:rsid w:val="00572D4A"/>
    <w:rsid w:val="00572DEB"/>
    <w:rsid w:val="00572E84"/>
    <w:rsid w:val="00572F02"/>
    <w:rsid w:val="005732F0"/>
    <w:rsid w:val="005732F9"/>
    <w:rsid w:val="0057330E"/>
    <w:rsid w:val="00573370"/>
    <w:rsid w:val="0057339F"/>
    <w:rsid w:val="005735E3"/>
    <w:rsid w:val="00573708"/>
    <w:rsid w:val="00573828"/>
    <w:rsid w:val="005738AA"/>
    <w:rsid w:val="0057397B"/>
    <w:rsid w:val="00573EFD"/>
    <w:rsid w:val="00573F4A"/>
    <w:rsid w:val="005743E5"/>
    <w:rsid w:val="005744AB"/>
    <w:rsid w:val="00574814"/>
    <w:rsid w:val="0057487C"/>
    <w:rsid w:val="005748B8"/>
    <w:rsid w:val="00574AA5"/>
    <w:rsid w:val="00574AB1"/>
    <w:rsid w:val="00574B2B"/>
    <w:rsid w:val="00574BF3"/>
    <w:rsid w:val="00574CCE"/>
    <w:rsid w:val="00574E22"/>
    <w:rsid w:val="00574E3F"/>
    <w:rsid w:val="00574E61"/>
    <w:rsid w:val="00574F8F"/>
    <w:rsid w:val="00575091"/>
    <w:rsid w:val="00575100"/>
    <w:rsid w:val="00575165"/>
    <w:rsid w:val="00575222"/>
    <w:rsid w:val="00575360"/>
    <w:rsid w:val="005753CD"/>
    <w:rsid w:val="00575414"/>
    <w:rsid w:val="005754EF"/>
    <w:rsid w:val="00575566"/>
    <w:rsid w:val="005755E8"/>
    <w:rsid w:val="00575672"/>
    <w:rsid w:val="00575675"/>
    <w:rsid w:val="005759F6"/>
    <w:rsid w:val="00575AEE"/>
    <w:rsid w:val="00575C7B"/>
    <w:rsid w:val="00575D59"/>
    <w:rsid w:val="00575EB6"/>
    <w:rsid w:val="00576083"/>
    <w:rsid w:val="0057610C"/>
    <w:rsid w:val="00576404"/>
    <w:rsid w:val="00576820"/>
    <w:rsid w:val="0057682E"/>
    <w:rsid w:val="005768B7"/>
    <w:rsid w:val="005769A8"/>
    <w:rsid w:val="005769ED"/>
    <w:rsid w:val="00576AAA"/>
    <w:rsid w:val="00576E72"/>
    <w:rsid w:val="00576FA9"/>
    <w:rsid w:val="005770F4"/>
    <w:rsid w:val="00577171"/>
    <w:rsid w:val="005771E8"/>
    <w:rsid w:val="005773E4"/>
    <w:rsid w:val="00577422"/>
    <w:rsid w:val="00577511"/>
    <w:rsid w:val="005775FD"/>
    <w:rsid w:val="0057769F"/>
    <w:rsid w:val="005778F9"/>
    <w:rsid w:val="00577966"/>
    <w:rsid w:val="00577A89"/>
    <w:rsid w:val="00577AA6"/>
    <w:rsid w:val="00577DAB"/>
    <w:rsid w:val="00577E09"/>
    <w:rsid w:val="00577E99"/>
    <w:rsid w:val="00577EEC"/>
    <w:rsid w:val="0058005F"/>
    <w:rsid w:val="0058024C"/>
    <w:rsid w:val="00580258"/>
    <w:rsid w:val="00580366"/>
    <w:rsid w:val="0058040A"/>
    <w:rsid w:val="00580413"/>
    <w:rsid w:val="00580447"/>
    <w:rsid w:val="0058049B"/>
    <w:rsid w:val="00580516"/>
    <w:rsid w:val="00580658"/>
    <w:rsid w:val="0058089E"/>
    <w:rsid w:val="0058091B"/>
    <w:rsid w:val="00580928"/>
    <w:rsid w:val="00580E0D"/>
    <w:rsid w:val="00580FCE"/>
    <w:rsid w:val="00580FF1"/>
    <w:rsid w:val="005810F3"/>
    <w:rsid w:val="00581146"/>
    <w:rsid w:val="00581183"/>
    <w:rsid w:val="00581217"/>
    <w:rsid w:val="00581300"/>
    <w:rsid w:val="0058158E"/>
    <w:rsid w:val="00581611"/>
    <w:rsid w:val="00581622"/>
    <w:rsid w:val="00581732"/>
    <w:rsid w:val="00581870"/>
    <w:rsid w:val="00581894"/>
    <w:rsid w:val="005819EB"/>
    <w:rsid w:val="00581BA2"/>
    <w:rsid w:val="00581DE2"/>
    <w:rsid w:val="00581DEC"/>
    <w:rsid w:val="00582012"/>
    <w:rsid w:val="00582089"/>
    <w:rsid w:val="0058217B"/>
    <w:rsid w:val="0058269A"/>
    <w:rsid w:val="00582719"/>
    <w:rsid w:val="0058290B"/>
    <w:rsid w:val="00582C9E"/>
    <w:rsid w:val="00582E6F"/>
    <w:rsid w:val="00582EC5"/>
    <w:rsid w:val="0058310C"/>
    <w:rsid w:val="00583153"/>
    <w:rsid w:val="0058318C"/>
    <w:rsid w:val="005831F1"/>
    <w:rsid w:val="005832FC"/>
    <w:rsid w:val="00583482"/>
    <w:rsid w:val="005837B2"/>
    <w:rsid w:val="00583832"/>
    <w:rsid w:val="0058388F"/>
    <w:rsid w:val="005838B4"/>
    <w:rsid w:val="00583932"/>
    <w:rsid w:val="00583A81"/>
    <w:rsid w:val="00583BF9"/>
    <w:rsid w:val="00583CAE"/>
    <w:rsid w:val="00583CE6"/>
    <w:rsid w:val="00583D45"/>
    <w:rsid w:val="00583DB8"/>
    <w:rsid w:val="00583DDE"/>
    <w:rsid w:val="00583E94"/>
    <w:rsid w:val="00583F61"/>
    <w:rsid w:val="005840CA"/>
    <w:rsid w:val="00584106"/>
    <w:rsid w:val="00584368"/>
    <w:rsid w:val="00584401"/>
    <w:rsid w:val="005846BF"/>
    <w:rsid w:val="00584875"/>
    <w:rsid w:val="005848E3"/>
    <w:rsid w:val="005848EF"/>
    <w:rsid w:val="00584B5B"/>
    <w:rsid w:val="00584E10"/>
    <w:rsid w:val="00585262"/>
    <w:rsid w:val="00585359"/>
    <w:rsid w:val="0058556C"/>
    <w:rsid w:val="005855B9"/>
    <w:rsid w:val="00585863"/>
    <w:rsid w:val="005858E7"/>
    <w:rsid w:val="005859D4"/>
    <w:rsid w:val="00585A48"/>
    <w:rsid w:val="00585B07"/>
    <w:rsid w:val="00585B0F"/>
    <w:rsid w:val="00585C73"/>
    <w:rsid w:val="00585C9C"/>
    <w:rsid w:val="00585F49"/>
    <w:rsid w:val="005861CA"/>
    <w:rsid w:val="005861CF"/>
    <w:rsid w:val="005866D3"/>
    <w:rsid w:val="00586758"/>
    <w:rsid w:val="00586A0D"/>
    <w:rsid w:val="00586AE2"/>
    <w:rsid w:val="00586B79"/>
    <w:rsid w:val="00586CB9"/>
    <w:rsid w:val="00586D24"/>
    <w:rsid w:val="00586DEC"/>
    <w:rsid w:val="00587216"/>
    <w:rsid w:val="00587266"/>
    <w:rsid w:val="0058726C"/>
    <w:rsid w:val="00587325"/>
    <w:rsid w:val="00587616"/>
    <w:rsid w:val="005877F5"/>
    <w:rsid w:val="00587DAF"/>
    <w:rsid w:val="00587E29"/>
    <w:rsid w:val="00587E33"/>
    <w:rsid w:val="0059014E"/>
    <w:rsid w:val="00590303"/>
    <w:rsid w:val="00590349"/>
    <w:rsid w:val="0059040A"/>
    <w:rsid w:val="00590433"/>
    <w:rsid w:val="005905F2"/>
    <w:rsid w:val="00590652"/>
    <w:rsid w:val="0059074C"/>
    <w:rsid w:val="005908A7"/>
    <w:rsid w:val="00590C3D"/>
    <w:rsid w:val="00590D08"/>
    <w:rsid w:val="00590DCF"/>
    <w:rsid w:val="00590EB2"/>
    <w:rsid w:val="00590F38"/>
    <w:rsid w:val="005911EE"/>
    <w:rsid w:val="00591297"/>
    <w:rsid w:val="0059146C"/>
    <w:rsid w:val="005914AE"/>
    <w:rsid w:val="005916EA"/>
    <w:rsid w:val="0059174B"/>
    <w:rsid w:val="005917B4"/>
    <w:rsid w:val="00591CAE"/>
    <w:rsid w:val="00591D97"/>
    <w:rsid w:val="00591F04"/>
    <w:rsid w:val="005920D7"/>
    <w:rsid w:val="00592154"/>
    <w:rsid w:val="005922BF"/>
    <w:rsid w:val="005923B8"/>
    <w:rsid w:val="005925B7"/>
    <w:rsid w:val="005925EE"/>
    <w:rsid w:val="005926D3"/>
    <w:rsid w:val="0059282F"/>
    <w:rsid w:val="005928B5"/>
    <w:rsid w:val="00592AF9"/>
    <w:rsid w:val="00592B70"/>
    <w:rsid w:val="00592DF5"/>
    <w:rsid w:val="00592EA4"/>
    <w:rsid w:val="00592F97"/>
    <w:rsid w:val="00593236"/>
    <w:rsid w:val="00593288"/>
    <w:rsid w:val="00593376"/>
    <w:rsid w:val="0059349D"/>
    <w:rsid w:val="005935C4"/>
    <w:rsid w:val="00593CA5"/>
    <w:rsid w:val="00593D3A"/>
    <w:rsid w:val="00593DA9"/>
    <w:rsid w:val="00593FEF"/>
    <w:rsid w:val="00594034"/>
    <w:rsid w:val="005941A7"/>
    <w:rsid w:val="0059465F"/>
    <w:rsid w:val="00594769"/>
    <w:rsid w:val="005947AA"/>
    <w:rsid w:val="005949B8"/>
    <w:rsid w:val="00594A34"/>
    <w:rsid w:val="00594AB7"/>
    <w:rsid w:val="00595094"/>
    <w:rsid w:val="005950E9"/>
    <w:rsid w:val="0059516F"/>
    <w:rsid w:val="005951FD"/>
    <w:rsid w:val="0059527A"/>
    <w:rsid w:val="00595860"/>
    <w:rsid w:val="005958E5"/>
    <w:rsid w:val="00595975"/>
    <w:rsid w:val="00595B97"/>
    <w:rsid w:val="00595C06"/>
    <w:rsid w:val="00595CFC"/>
    <w:rsid w:val="00595DF5"/>
    <w:rsid w:val="00595F02"/>
    <w:rsid w:val="00596485"/>
    <w:rsid w:val="0059659D"/>
    <w:rsid w:val="0059662D"/>
    <w:rsid w:val="005967E5"/>
    <w:rsid w:val="0059689F"/>
    <w:rsid w:val="00596ABB"/>
    <w:rsid w:val="00596B1A"/>
    <w:rsid w:val="00596BC4"/>
    <w:rsid w:val="00596CE7"/>
    <w:rsid w:val="00596EF5"/>
    <w:rsid w:val="005971DF"/>
    <w:rsid w:val="0059747C"/>
    <w:rsid w:val="0059778A"/>
    <w:rsid w:val="00597817"/>
    <w:rsid w:val="00597896"/>
    <w:rsid w:val="00597938"/>
    <w:rsid w:val="0059796A"/>
    <w:rsid w:val="005979A6"/>
    <w:rsid w:val="00597A59"/>
    <w:rsid w:val="00597BEE"/>
    <w:rsid w:val="00597D17"/>
    <w:rsid w:val="00597D21"/>
    <w:rsid w:val="00597EC4"/>
    <w:rsid w:val="00597EEB"/>
    <w:rsid w:val="005A000E"/>
    <w:rsid w:val="005A0016"/>
    <w:rsid w:val="005A018C"/>
    <w:rsid w:val="005A06EC"/>
    <w:rsid w:val="005A0851"/>
    <w:rsid w:val="005A0956"/>
    <w:rsid w:val="005A0B17"/>
    <w:rsid w:val="005A0D30"/>
    <w:rsid w:val="005A0DE8"/>
    <w:rsid w:val="005A0E8F"/>
    <w:rsid w:val="005A11DC"/>
    <w:rsid w:val="005A1234"/>
    <w:rsid w:val="005A129E"/>
    <w:rsid w:val="005A12D3"/>
    <w:rsid w:val="005A131C"/>
    <w:rsid w:val="005A13B4"/>
    <w:rsid w:val="005A13C1"/>
    <w:rsid w:val="005A14CB"/>
    <w:rsid w:val="005A1502"/>
    <w:rsid w:val="005A1667"/>
    <w:rsid w:val="005A1B63"/>
    <w:rsid w:val="005A1E95"/>
    <w:rsid w:val="005A1F69"/>
    <w:rsid w:val="005A1F74"/>
    <w:rsid w:val="005A1F83"/>
    <w:rsid w:val="005A1FC3"/>
    <w:rsid w:val="005A1FFF"/>
    <w:rsid w:val="005A2029"/>
    <w:rsid w:val="005A23A4"/>
    <w:rsid w:val="005A2441"/>
    <w:rsid w:val="005A2765"/>
    <w:rsid w:val="005A2773"/>
    <w:rsid w:val="005A2AA3"/>
    <w:rsid w:val="005A2AB5"/>
    <w:rsid w:val="005A2B34"/>
    <w:rsid w:val="005A2BAF"/>
    <w:rsid w:val="005A2CAE"/>
    <w:rsid w:val="005A2D6D"/>
    <w:rsid w:val="005A316F"/>
    <w:rsid w:val="005A31AC"/>
    <w:rsid w:val="005A31BB"/>
    <w:rsid w:val="005A3481"/>
    <w:rsid w:val="005A35A3"/>
    <w:rsid w:val="005A36B5"/>
    <w:rsid w:val="005A3743"/>
    <w:rsid w:val="005A39EF"/>
    <w:rsid w:val="005A3B28"/>
    <w:rsid w:val="005A3BAE"/>
    <w:rsid w:val="005A3BBF"/>
    <w:rsid w:val="005A3C4F"/>
    <w:rsid w:val="005A3CAC"/>
    <w:rsid w:val="005A3DF3"/>
    <w:rsid w:val="005A3EAA"/>
    <w:rsid w:val="005A425D"/>
    <w:rsid w:val="005A4470"/>
    <w:rsid w:val="005A4867"/>
    <w:rsid w:val="005A4985"/>
    <w:rsid w:val="005A4A54"/>
    <w:rsid w:val="005A4B56"/>
    <w:rsid w:val="005A4BD1"/>
    <w:rsid w:val="005A4E32"/>
    <w:rsid w:val="005A4E87"/>
    <w:rsid w:val="005A4FC9"/>
    <w:rsid w:val="005A5112"/>
    <w:rsid w:val="005A5141"/>
    <w:rsid w:val="005A5240"/>
    <w:rsid w:val="005A5283"/>
    <w:rsid w:val="005A52F1"/>
    <w:rsid w:val="005A543C"/>
    <w:rsid w:val="005A5773"/>
    <w:rsid w:val="005A57FB"/>
    <w:rsid w:val="005A59E9"/>
    <w:rsid w:val="005A5A41"/>
    <w:rsid w:val="005A5CB3"/>
    <w:rsid w:val="005A5DB7"/>
    <w:rsid w:val="005A5ED5"/>
    <w:rsid w:val="005A6028"/>
    <w:rsid w:val="005A60B4"/>
    <w:rsid w:val="005A6242"/>
    <w:rsid w:val="005A63BD"/>
    <w:rsid w:val="005A6619"/>
    <w:rsid w:val="005A6816"/>
    <w:rsid w:val="005A696E"/>
    <w:rsid w:val="005A6978"/>
    <w:rsid w:val="005A69C4"/>
    <w:rsid w:val="005A6A12"/>
    <w:rsid w:val="005A6B3D"/>
    <w:rsid w:val="005A6C2A"/>
    <w:rsid w:val="005A6CE9"/>
    <w:rsid w:val="005A6D55"/>
    <w:rsid w:val="005A6E5D"/>
    <w:rsid w:val="005A70AD"/>
    <w:rsid w:val="005A7100"/>
    <w:rsid w:val="005A7201"/>
    <w:rsid w:val="005A73EF"/>
    <w:rsid w:val="005A7457"/>
    <w:rsid w:val="005A7540"/>
    <w:rsid w:val="005A7617"/>
    <w:rsid w:val="005A7727"/>
    <w:rsid w:val="005A780C"/>
    <w:rsid w:val="005A7920"/>
    <w:rsid w:val="005A79D4"/>
    <w:rsid w:val="005A7A0C"/>
    <w:rsid w:val="005A7A11"/>
    <w:rsid w:val="005A7BCE"/>
    <w:rsid w:val="005A7BE9"/>
    <w:rsid w:val="005A7DEA"/>
    <w:rsid w:val="005B001F"/>
    <w:rsid w:val="005B0095"/>
    <w:rsid w:val="005B00CA"/>
    <w:rsid w:val="005B044B"/>
    <w:rsid w:val="005B046C"/>
    <w:rsid w:val="005B06D6"/>
    <w:rsid w:val="005B09CF"/>
    <w:rsid w:val="005B0B69"/>
    <w:rsid w:val="005B0B72"/>
    <w:rsid w:val="005B0C1A"/>
    <w:rsid w:val="005B0DCB"/>
    <w:rsid w:val="005B0E30"/>
    <w:rsid w:val="005B0F53"/>
    <w:rsid w:val="005B11F7"/>
    <w:rsid w:val="005B122C"/>
    <w:rsid w:val="005B1362"/>
    <w:rsid w:val="005B1473"/>
    <w:rsid w:val="005B152F"/>
    <w:rsid w:val="005B1598"/>
    <w:rsid w:val="005B163A"/>
    <w:rsid w:val="005B170C"/>
    <w:rsid w:val="005B196C"/>
    <w:rsid w:val="005B1AEF"/>
    <w:rsid w:val="005B1BF4"/>
    <w:rsid w:val="005B2018"/>
    <w:rsid w:val="005B20A6"/>
    <w:rsid w:val="005B222E"/>
    <w:rsid w:val="005B23F6"/>
    <w:rsid w:val="005B265F"/>
    <w:rsid w:val="005B27F1"/>
    <w:rsid w:val="005B28AB"/>
    <w:rsid w:val="005B28D3"/>
    <w:rsid w:val="005B2941"/>
    <w:rsid w:val="005B2947"/>
    <w:rsid w:val="005B2A1B"/>
    <w:rsid w:val="005B2BCD"/>
    <w:rsid w:val="005B2C14"/>
    <w:rsid w:val="005B2C6C"/>
    <w:rsid w:val="005B2D03"/>
    <w:rsid w:val="005B2E86"/>
    <w:rsid w:val="005B2EFB"/>
    <w:rsid w:val="005B2F00"/>
    <w:rsid w:val="005B3117"/>
    <w:rsid w:val="005B31BA"/>
    <w:rsid w:val="005B31BF"/>
    <w:rsid w:val="005B3226"/>
    <w:rsid w:val="005B3448"/>
    <w:rsid w:val="005B345D"/>
    <w:rsid w:val="005B35A8"/>
    <w:rsid w:val="005B37D0"/>
    <w:rsid w:val="005B3812"/>
    <w:rsid w:val="005B3AC7"/>
    <w:rsid w:val="005B3C17"/>
    <w:rsid w:val="005B3C62"/>
    <w:rsid w:val="005B3CEC"/>
    <w:rsid w:val="005B4157"/>
    <w:rsid w:val="005B415D"/>
    <w:rsid w:val="005B42C4"/>
    <w:rsid w:val="005B43DF"/>
    <w:rsid w:val="005B440A"/>
    <w:rsid w:val="005B4435"/>
    <w:rsid w:val="005B4604"/>
    <w:rsid w:val="005B4A43"/>
    <w:rsid w:val="005B4E4A"/>
    <w:rsid w:val="005B4ECA"/>
    <w:rsid w:val="005B4F03"/>
    <w:rsid w:val="005B4F85"/>
    <w:rsid w:val="005B50C9"/>
    <w:rsid w:val="005B5264"/>
    <w:rsid w:val="005B53D7"/>
    <w:rsid w:val="005B54D8"/>
    <w:rsid w:val="005B5526"/>
    <w:rsid w:val="005B55B9"/>
    <w:rsid w:val="005B5775"/>
    <w:rsid w:val="005B5BD0"/>
    <w:rsid w:val="005B5D93"/>
    <w:rsid w:val="005B5E6C"/>
    <w:rsid w:val="005B6190"/>
    <w:rsid w:val="005B65C5"/>
    <w:rsid w:val="005B66F6"/>
    <w:rsid w:val="005B6765"/>
    <w:rsid w:val="005B68A2"/>
    <w:rsid w:val="005B6938"/>
    <w:rsid w:val="005B69BF"/>
    <w:rsid w:val="005B6A44"/>
    <w:rsid w:val="005B6AE4"/>
    <w:rsid w:val="005B6C6A"/>
    <w:rsid w:val="005B6D19"/>
    <w:rsid w:val="005B6D42"/>
    <w:rsid w:val="005B6E13"/>
    <w:rsid w:val="005B6FF9"/>
    <w:rsid w:val="005B7072"/>
    <w:rsid w:val="005B746C"/>
    <w:rsid w:val="005B74DB"/>
    <w:rsid w:val="005B758B"/>
    <w:rsid w:val="005B7667"/>
    <w:rsid w:val="005B766E"/>
    <w:rsid w:val="005B7B87"/>
    <w:rsid w:val="005B7BF5"/>
    <w:rsid w:val="005B7C1B"/>
    <w:rsid w:val="005B7E82"/>
    <w:rsid w:val="005C00EB"/>
    <w:rsid w:val="005C0125"/>
    <w:rsid w:val="005C02A8"/>
    <w:rsid w:val="005C02E9"/>
    <w:rsid w:val="005C0509"/>
    <w:rsid w:val="005C066D"/>
    <w:rsid w:val="005C0692"/>
    <w:rsid w:val="005C0765"/>
    <w:rsid w:val="005C07A8"/>
    <w:rsid w:val="005C07B8"/>
    <w:rsid w:val="005C0A15"/>
    <w:rsid w:val="005C0A83"/>
    <w:rsid w:val="005C0CB0"/>
    <w:rsid w:val="005C0CF5"/>
    <w:rsid w:val="005C0EDB"/>
    <w:rsid w:val="005C0EFD"/>
    <w:rsid w:val="005C11FF"/>
    <w:rsid w:val="005C120E"/>
    <w:rsid w:val="005C128C"/>
    <w:rsid w:val="005C130F"/>
    <w:rsid w:val="005C134D"/>
    <w:rsid w:val="005C13AE"/>
    <w:rsid w:val="005C16E8"/>
    <w:rsid w:val="005C171F"/>
    <w:rsid w:val="005C1ABF"/>
    <w:rsid w:val="005C1C19"/>
    <w:rsid w:val="005C1CB7"/>
    <w:rsid w:val="005C1D6C"/>
    <w:rsid w:val="005C1F0C"/>
    <w:rsid w:val="005C21D7"/>
    <w:rsid w:val="005C24E9"/>
    <w:rsid w:val="005C26C0"/>
    <w:rsid w:val="005C2781"/>
    <w:rsid w:val="005C2EBA"/>
    <w:rsid w:val="005C2EEA"/>
    <w:rsid w:val="005C2F95"/>
    <w:rsid w:val="005C30E0"/>
    <w:rsid w:val="005C311D"/>
    <w:rsid w:val="005C313D"/>
    <w:rsid w:val="005C3447"/>
    <w:rsid w:val="005C34AA"/>
    <w:rsid w:val="005C367F"/>
    <w:rsid w:val="005C3741"/>
    <w:rsid w:val="005C3B59"/>
    <w:rsid w:val="005C3C52"/>
    <w:rsid w:val="005C3F16"/>
    <w:rsid w:val="005C3F59"/>
    <w:rsid w:val="005C3F8E"/>
    <w:rsid w:val="005C460B"/>
    <w:rsid w:val="005C478D"/>
    <w:rsid w:val="005C47DE"/>
    <w:rsid w:val="005C47F6"/>
    <w:rsid w:val="005C4B47"/>
    <w:rsid w:val="005C4C66"/>
    <w:rsid w:val="005C4D60"/>
    <w:rsid w:val="005C4E39"/>
    <w:rsid w:val="005C4E48"/>
    <w:rsid w:val="005C53BE"/>
    <w:rsid w:val="005C5749"/>
    <w:rsid w:val="005C578F"/>
    <w:rsid w:val="005C5823"/>
    <w:rsid w:val="005C5870"/>
    <w:rsid w:val="005C58D5"/>
    <w:rsid w:val="005C59E2"/>
    <w:rsid w:val="005C5BDC"/>
    <w:rsid w:val="005C5F5B"/>
    <w:rsid w:val="005C6161"/>
    <w:rsid w:val="005C64E3"/>
    <w:rsid w:val="005C6663"/>
    <w:rsid w:val="005C6680"/>
    <w:rsid w:val="005C6738"/>
    <w:rsid w:val="005C6787"/>
    <w:rsid w:val="005C68EB"/>
    <w:rsid w:val="005C6A0F"/>
    <w:rsid w:val="005C6A44"/>
    <w:rsid w:val="005C6E58"/>
    <w:rsid w:val="005C6ECB"/>
    <w:rsid w:val="005C701F"/>
    <w:rsid w:val="005C70D9"/>
    <w:rsid w:val="005C70ED"/>
    <w:rsid w:val="005C7479"/>
    <w:rsid w:val="005C748E"/>
    <w:rsid w:val="005C74C5"/>
    <w:rsid w:val="005C77C2"/>
    <w:rsid w:val="005C77DB"/>
    <w:rsid w:val="005C7890"/>
    <w:rsid w:val="005C7A20"/>
    <w:rsid w:val="005C7ADA"/>
    <w:rsid w:val="005C7C24"/>
    <w:rsid w:val="005C7E2E"/>
    <w:rsid w:val="005C7FCE"/>
    <w:rsid w:val="005D0024"/>
    <w:rsid w:val="005D018E"/>
    <w:rsid w:val="005D01D4"/>
    <w:rsid w:val="005D03CF"/>
    <w:rsid w:val="005D0662"/>
    <w:rsid w:val="005D06CF"/>
    <w:rsid w:val="005D07F9"/>
    <w:rsid w:val="005D093C"/>
    <w:rsid w:val="005D09A7"/>
    <w:rsid w:val="005D09F3"/>
    <w:rsid w:val="005D0AF3"/>
    <w:rsid w:val="005D0B1E"/>
    <w:rsid w:val="005D0C8D"/>
    <w:rsid w:val="005D0CBC"/>
    <w:rsid w:val="005D0CED"/>
    <w:rsid w:val="005D0D50"/>
    <w:rsid w:val="005D0F6A"/>
    <w:rsid w:val="005D109A"/>
    <w:rsid w:val="005D10C1"/>
    <w:rsid w:val="005D11DF"/>
    <w:rsid w:val="005D1329"/>
    <w:rsid w:val="005D156A"/>
    <w:rsid w:val="005D1771"/>
    <w:rsid w:val="005D185C"/>
    <w:rsid w:val="005D19BB"/>
    <w:rsid w:val="005D1A1F"/>
    <w:rsid w:val="005D1A49"/>
    <w:rsid w:val="005D1CD5"/>
    <w:rsid w:val="005D209F"/>
    <w:rsid w:val="005D20DF"/>
    <w:rsid w:val="005D22F7"/>
    <w:rsid w:val="005D25CE"/>
    <w:rsid w:val="005D25EB"/>
    <w:rsid w:val="005D2B5D"/>
    <w:rsid w:val="005D2BB0"/>
    <w:rsid w:val="005D2BC4"/>
    <w:rsid w:val="005D2FC5"/>
    <w:rsid w:val="005D303B"/>
    <w:rsid w:val="005D319B"/>
    <w:rsid w:val="005D343D"/>
    <w:rsid w:val="005D34FE"/>
    <w:rsid w:val="005D3558"/>
    <w:rsid w:val="005D3630"/>
    <w:rsid w:val="005D363B"/>
    <w:rsid w:val="005D3ABF"/>
    <w:rsid w:val="005D3B94"/>
    <w:rsid w:val="005D3BEE"/>
    <w:rsid w:val="005D3D6D"/>
    <w:rsid w:val="005D3ED8"/>
    <w:rsid w:val="005D413D"/>
    <w:rsid w:val="005D438F"/>
    <w:rsid w:val="005D4549"/>
    <w:rsid w:val="005D4A3E"/>
    <w:rsid w:val="005D4B44"/>
    <w:rsid w:val="005D4C05"/>
    <w:rsid w:val="005D4DE4"/>
    <w:rsid w:val="005D4E55"/>
    <w:rsid w:val="005D4ECD"/>
    <w:rsid w:val="005D4F99"/>
    <w:rsid w:val="005D4FAC"/>
    <w:rsid w:val="005D4FB7"/>
    <w:rsid w:val="005D5351"/>
    <w:rsid w:val="005D53C9"/>
    <w:rsid w:val="005D5625"/>
    <w:rsid w:val="005D572E"/>
    <w:rsid w:val="005D57C0"/>
    <w:rsid w:val="005D5922"/>
    <w:rsid w:val="005D5A82"/>
    <w:rsid w:val="005D5ACE"/>
    <w:rsid w:val="005D5BB0"/>
    <w:rsid w:val="005D5BDA"/>
    <w:rsid w:val="005D5C16"/>
    <w:rsid w:val="005D5C99"/>
    <w:rsid w:val="005D5E40"/>
    <w:rsid w:val="005D5EE9"/>
    <w:rsid w:val="005D5F15"/>
    <w:rsid w:val="005D5F75"/>
    <w:rsid w:val="005D5F90"/>
    <w:rsid w:val="005D5F9E"/>
    <w:rsid w:val="005D621F"/>
    <w:rsid w:val="005D62AD"/>
    <w:rsid w:val="005D63EE"/>
    <w:rsid w:val="005D6447"/>
    <w:rsid w:val="005D656C"/>
    <w:rsid w:val="005D659D"/>
    <w:rsid w:val="005D6621"/>
    <w:rsid w:val="005D6827"/>
    <w:rsid w:val="005D6836"/>
    <w:rsid w:val="005D69F9"/>
    <w:rsid w:val="005D6B7C"/>
    <w:rsid w:val="005D6BD8"/>
    <w:rsid w:val="005D6C44"/>
    <w:rsid w:val="005D6E28"/>
    <w:rsid w:val="005D6EA3"/>
    <w:rsid w:val="005D6F7A"/>
    <w:rsid w:val="005D71F7"/>
    <w:rsid w:val="005D72CB"/>
    <w:rsid w:val="005D72E7"/>
    <w:rsid w:val="005D7654"/>
    <w:rsid w:val="005D76CB"/>
    <w:rsid w:val="005D778C"/>
    <w:rsid w:val="005D77AA"/>
    <w:rsid w:val="005D77C8"/>
    <w:rsid w:val="005D7A71"/>
    <w:rsid w:val="005D7CBF"/>
    <w:rsid w:val="005E00E0"/>
    <w:rsid w:val="005E0158"/>
    <w:rsid w:val="005E0222"/>
    <w:rsid w:val="005E0255"/>
    <w:rsid w:val="005E03F1"/>
    <w:rsid w:val="005E04FB"/>
    <w:rsid w:val="005E051F"/>
    <w:rsid w:val="005E05B7"/>
    <w:rsid w:val="005E090B"/>
    <w:rsid w:val="005E0916"/>
    <w:rsid w:val="005E0A63"/>
    <w:rsid w:val="005E0B82"/>
    <w:rsid w:val="005E0D9E"/>
    <w:rsid w:val="005E0EE3"/>
    <w:rsid w:val="005E12BB"/>
    <w:rsid w:val="005E14F2"/>
    <w:rsid w:val="005E1574"/>
    <w:rsid w:val="005E18B2"/>
    <w:rsid w:val="005E18EB"/>
    <w:rsid w:val="005E193B"/>
    <w:rsid w:val="005E1B4F"/>
    <w:rsid w:val="005E1D3D"/>
    <w:rsid w:val="005E1D7A"/>
    <w:rsid w:val="005E229D"/>
    <w:rsid w:val="005E26F3"/>
    <w:rsid w:val="005E270D"/>
    <w:rsid w:val="005E2735"/>
    <w:rsid w:val="005E279A"/>
    <w:rsid w:val="005E27E0"/>
    <w:rsid w:val="005E2834"/>
    <w:rsid w:val="005E2A16"/>
    <w:rsid w:val="005E2A3D"/>
    <w:rsid w:val="005E2A82"/>
    <w:rsid w:val="005E31D3"/>
    <w:rsid w:val="005E33AB"/>
    <w:rsid w:val="005E3728"/>
    <w:rsid w:val="005E3762"/>
    <w:rsid w:val="005E3C81"/>
    <w:rsid w:val="005E3DA5"/>
    <w:rsid w:val="005E3F16"/>
    <w:rsid w:val="005E3FD5"/>
    <w:rsid w:val="005E4031"/>
    <w:rsid w:val="005E42A1"/>
    <w:rsid w:val="005E49FA"/>
    <w:rsid w:val="005E4A1A"/>
    <w:rsid w:val="005E4B01"/>
    <w:rsid w:val="005E4E47"/>
    <w:rsid w:val="005E4F66"/>
    <w:rsid w:val="005E50E1"/>
    <w:rsid w:val="005E538E"/>
    <w:rsid w:val="005E53FF"/>
    <w:rsid w:val="005E58D7"/>
    <w:rsid w:val="005E5A4D"/>
    <w:rsid w:val="005E5CA9"/>
    <w:rsid w:val="005E5CB2"/>
    <w:rsid w:val="005E5DBB"/>
    <w:rsid w:val="005E5ECC"/>
    <w:rsid w:val="005E60F3"/>
    <w:rsid w:val="005E61B5"/>
    <w:rsid w:val="005E623A"/>
    <w:rsid w:val="005E62DB"/>
    <w:rsid w:val="005E6304"/>
    <w:rsid w:val="005E6546"/>
    <w:rsid w:val="005E666D"/>
    <w:rsid w:val="005E66EC"/>
    <w:rsid w:val="005E68AE"/>
    <w:rsid w:val="005E69BE"/>
    <w:rsid w:val="005E6A37"/>
    <w:rsid w:val="005E6C45"/>
    <w:rsid w:val="005E6D6B"/>
    <w:rsid w:val="005E7058"/>
    <w:rsid w:val="005E70C3"/>
    <w:rsid w:val="005E733F"/>
    <w:rsid w:val="005E76DD"/>
    <w:rsid w:val="005E78BA"/>
    <w:rsid w:val="005E78DE"/>
    <w:rsid w:val="005E7A3D"/>
    <w:rsid w:val="005E7CF0"/>
    <w:rsid w:val="005E7DB0"/>
    <w:rsid w:val="005E7F99"/>
    <w:rsid w:val="005F0622"/>
    <w:rsid w:val="005F0961"/>
    <w:rsid w:val="005F0CB0"/>
    <w:rsid w:val="005F0CD0"/>
    <w:rsid w:val="005F1020"/>
    <w:rsid w:val="005F1346"/>
    <w:rsid w:val="005F1450"/>
    <w:rsid w:val="005F1813"/>
    <w:rsid w:val="005F1913"/>
    <w:rsid w:val="005F1AEF"/>
    <w:rsid w:val="005F1B5D"/>
    <w:rsid w:val="005F1C03"/>
    <w:rsid w:val="005F1D52"/>
    <w:rsid w:val="005F1E73"/>
    <w:rsid w:val="005F2068"/>
    <w:rsid w:val="005F224E"/>
    <w:rsid w:val="005F2332"/>
    <w:rsid w:val="005F249C"/>
    <w:rsid w:val="005F25FA"/>
    <w:rsid w:val="005F26FE"/>
    <w:rsid w:val="005F282D"/>
    <w:rsid w:val="005F2838"/>
    <w:rsid w:val="005F2971"/>
    <w:rsid w:val="005F2995"/>
    <w:rsid w:val="005F2A3D"/>
    <w:rsid w:val="005F2A74"/>
    <w:rsid w:val="005F2A7A"/>
    <w:rsid w:val="005F2AD4"/>
    <w:rsid w:val="005F2C33"/>
    <w:rsid w:val="005F2C41"/>
    <w:rsid w:val="005F2D45"/>
    <w:rsid w:val="005F2DBD"/>
    <w:rsid w:val="005F2F1F"/>
    <w:rsid w:val="005F33C1"/>
    <w:rsid w:val="005F369E"/>
    <w:rsid w:val="005F36D0"/>
    <w:rsid w:val="005F39AF"/>
    <w:rsid w:val="005F3AA6"/>
    <w:rsid w:val="005F3B1B"/>
    <w:rsid w:val="005F3B31"/>
    <w:rsid w:val="005F3B88"/>
    <w:rsid w:val="005F3BAA"/>
    <w:rsid w:val="005F3BAE"/>
    <w:rsid w:val="005F3BB8"/>
    <w:rsid w:val="005F3F61"/>
    <w:rsid w:val="005F42A3"/>
    <w:rsid w:val="005F430E"/>
    <w:rsid w:val="005F43B9"/>
    <w:rsid w:val="005F43D7"/>
    <w:rsid w:val="005F46F5"/>
    <w:rsid w:val="005F485A"/>
    <w:rsid w:val="005F4961"/>
    <w:rsid w:val="005F4A5D"/>
    <w:rsid w:val="005F4B8D"/>
    <w:rsid w:val="005F4BA7"/>
    <w:rsid w:val="005F4BA8"/>
    <w:rsid w:val="005F4F0F"/>
    <w:rsid w:val="005F5012"/>
    <w:rsid w:val="005F5019"/>
    <w:rsid w:val="005F50BD"/>
    <w:rsid w:val="005F51DF"/>
    <w:rsid w:val="005F5314"/>
    <w:rsid w:val="005F5541"/>
    <w:rsid w:val="005F5577"/>
    <w:rsid w:val="005F565B"/>
    <w:rsid w:val="005F59F3"/>
    <w:rsid w:val="005F5C99"/>
    <w:rsid w:val="005F5D1A"/>
    <w:rsid w:val="005F5D51"/>
    <w:rsid w:val="005F5DDB"/>
    <w:rsid w:val="005F5E7A"/>
    <w:rsid w:val="005F5F10"/>
    <w:rsid w:val="005F609A"/>
    <w:rsid w:val="005F60AC"/>
    <w:rsid w:val="005F6108"/>
    <w:rsid w:val="005F61D3"/>
    <w:rsid w:val="005F61FB"/>
    <w:rsid w:val="005F6274"/>
    <w:rsid w:val="005F6321"/>
    <w:rsid w:val="005F6B93"/>
    <w:rsid w:val="005F6BC5"/>
    <w:rsid w:val="005F6C6F"/>
    <w:rsid w:val="005F6CB1"/>
    <w:rsid w:val="005F6CFF"/>
    <w:rsid w:val="005F6E36"/>
    <w:rsid w:val="005F7053"/>
    <w:rsid w:val="005F7135"/>
    <w:rsid w:val="005F734F"/>
    <w:rsid w:val="005F7515"/>
    <w:rsid w:val="005F76CD"/>
    <w:rsid w:val="005F76F7"/>
    <w:rsid w:val="005F78C6"/>
    <w:rsid w:val="005F79E4"/>
    <w:rsid w:val="005F7A45"/>
    <w:rsid w:val="005F7B39"/>
    <w:rsid w:val="005F7E8F"/>
    <w:rsid w:val="00600201"/>
    <w:rsid w:val="0060027A"/>
    <w:rsid w:val="00600374"/>
    <w:rsid w:val="00600384"/>
    <w:rsid w:val="0060042E"/>
    <w:rsid w:val="0060056B"/>
    <w:rsid w:val="0060068B"/>
    <w:rsid w:val="006006F3"/>
    <w:rsid w:val="00600704"/>
    <w:rsid w:val="00600808"/>
    <w:rsid w:val="00600884"/>
    <w:rsid w:val="006008F2"/>
    <w:rsid w:val="0060097C"/>
    <w:rsid w:val="006009B8"/>
    <w:rsid w:val="00600A21"/>
    <w:rsid w:val="00600CEE"/>
    <w:rsid w:val="00600CF5"/>
    <w:rsid w:val="00600EF8"/>
    <w:rsid w:val="006011D0"/>
    <w:rsid w:val="00601261"/>
    <w:rsid w:val="006012A3"/>
    <w:rsid w:val="00601441"/>
    <w:rsid w:val="00601526"/>
    <w:rsid w:val="00601675"/>
    <w:rsid w:val="0060168E"/>
    <w:rsid w:val="006019E9"/>
    <w:rsid w:val="00601BB0"/>
    <w:rsid w:val="00601CD6"/>
    <w:rsid w:val="00601EE5"/>
    <w:rsid w:val="00601F8B"/>
    <w:rsid w:val="006020A8"/>
    <w:rsid w:val="006021D6"/>
    <w:rsid w:val="00602370"/>
    <w:rsid w:val="0060243A"/>
    <w:rsid w:val="006027B8"/>
    <w:rsid w:val="00602A92"/>
    <w:rsid w:val="00602AA3"/>
    <w:rsid w:val="00602D54"/>
    <w:rsid w:val="00602FF5"/>
    <w:rsid w:val="00603076"/>
    <w:rsid w:val="006032A6"/>
    <w:rsid w:val="0060343F"/>
    <w:rsid w:val="00603831"/>
    <w:rsid w:val="0060394F"/>
    <w:rsid w:val="006039BA"/>
    <w:rsid w:val="00603CA3"/>
    <w:rsid w:val="00603EEE"/>
    <w:rsid w:val="00603F21"/>
    <w:rsid w:val="006040AF"/>
    <w:rsid w:val="0060418D"/>
    <w:rsid w:val="006041BE"/>
    <w:rsid w:val="00604211"/>
    <w:rsid w:val="0060431E"/>
    <w:rsid w:val="006045E8"/>
    <w:rsid w:val="00604845"/>
    <w:rsid w:val="00604960"/>
    <w:rsid w:val="00604CA7"/>
    <w:rsid w:val="00604EEB"/>
    <w:rsid w:val="00605208"/>
    <w:rsid w:val="00605296"/>
    <w:rsid w:val="006053CD"/>
    <w:rsid w:val="006054FE"/>
    <w:rsid w:val="0060562B"/>
    <w:rsid w:val="006059A0"/>
    <w:rsid w:val="00605D1E"/>
    <w:rsid w:val="00605D25"/>
    <w:rsid w:val="00605E38"/>
    <w:rsid w:val="0060624F"/>
    <w:rsid w:val="0060678B"/>
    <w:rsid w:val="00606A9C"/>
    <w:rsid w:val="00606CC4"/>
    <w:rsid w:val="00606EEB"/>
    <w:rsid w:val="00606EFF"/>
    <w:rsid w:val="00606F8B"/>
    <w:rsid w:val="00606FDC"/>
    <w:rsid w:val="00607066"/>
    <w:rsid w:val="00607545"/>
    <w:rsid w:val="006077D6"/>
    <w:rsid w:val="006079B6"/>
    <w:rsid w:val="006079FD"/>
    <w:rsid w:val="00607B85"/>
    <w:rsid w:val="00607C2F"/>
    <w:rsid w:val="00607D4D"/>
    <w:rsid w:val="00607EDA"/>
    <w:rsid w:val="0061000E"/>
    <w:rsid w:val="00610074"/>
    <w:rsid w:val="00610234"/>
    <w:rsid w:val="006105D8"/>
    <w:rsid w:val="0061069C"/>
    <w:rsid w:val="00610852"/>
    <w:rsid w:val="00610AD9"/>
    <w:rsid w:val="00610AF2"/>
    <w:rsid w:val="00610B5F"/>
    <w:rsid w:val="00610D74"/>
    <w:rsid w:val="00610E0C"/>
    <w:rsid w:val="00610E4F"/>
    <w:rsid w:val="00610F44"/>
    <w:rsid w:val="00611132"/>
    <w:rsid w:val="006111F7"/>
    <w:rsid w:val="006111FF"/>
    <w:rsid w:val="00611329"/>
    <w:rsid w:val="00611374"/>
    <w:rsid w:val="006113F9"/>
    <w:rsid w:val="00611438"/>
    <w:rsid w:val="006115A2"/>
    <w:rsid w:val="00611602"/>
    <w:rsid w:val="00611759"/>
    <w:rsid w:val="006118FA"/>
    <w:rsid w:val="00611C23"/>
    <w:rsid w:val="00611C55"/>
    <w:rsid w:val="00611DC5"/>
    <w:rsid w:val="00611DC9"/>
    <w:rsid w:val="00611E5F"/>
    <w:rsid w:val="0061208C"/>
    <w:rsid w:val="0061220C"/>
    <w:rsid w:val="0061223D"/>
    <w:rsid w:val="0061225A"/>
    <w:rsid w:val="00612356"/>
    <w:rsid w:val="0061242A"/>
    <w:rsid w:val="006124AD"/>
    <w:rsid w:val="00612739"/>
    <w:rsid w:val="0061287B"/>
    <w:rsid w:val="00612A23"/>
    <w:rsid w:val="00612C97"/>
    <w:rsid w:val="00612E3D"/>
    <w:rsid w:val="00612FE9"/>
    <w:rsid w:val="0061300C"/>
    <w:rsid w:val="006134E4"/>
    <w:rsid w:val="00613599"/>
    <w:rsid w:val="006135A0"/>
    <w:rsid w:val="0061365E"/>
    <w:rsid w:val="006136C1"/>
    <w:rsid w:val="006136C3"/>
    <w:rsid w:val="006136FE"/>
    <w:rsid w:val="00613729"/>
    <w:rsid w:val="006139CC"/>
    <w:rsid w:val="00613DF4"/>
    <w:rsid w:val="00613E4B"/>
    <w:rsid w:val="00613F95"/>
    <w:rsid w:val="0061401A"/>
    <w:rsid w:val="00614181"/>
    <w:rsid w:val="00614211"/>
    <w:rsid w:val="0061436D"/>
    <w:rsid w:val="006144F7"/>
    <w:rsid w:val="0061467B"/>
    <w:rsid w:val="00614742"/>
    <w:rsid w:val="0061496D"/>
    <w:rsid w:val="00614AC0"/>
    <w:rsid w:val="00614DCE"/>
    <w:rsid w:val="00614E2B"/>
    <w:rsid w:val="00614ED5"/>
    <w:rsid w:val="0061520D"/>
    <w:rsid w:val="0061523E"/>
    <w:rsid w:val="00615268"/>
    <w:rsid w:val="00615283"/>
    <w:rsid w:val="006152D0"/>
    <w:rsid w:val="006153C6"/>
    <w:rsid w:val="0061540C"/>
    <w:rsid w:val="006155A9"/>
    <w:rsid w:val="00615689"/>
    <w:rsid w:val="006156E5"/>
    <w:rsid w:val="00615791"/>
    <w:rsid w:val="00615807"/>
    <w:rsid w:val="0061595F"/>
    <w:rsid w:val="00615AD5"/>
    <w:rsid w:val="00615D21"/>
    <w:rsid w:val="00615D98"/>
    <w:rsid w:val="00615EE1"/>
    <w:rsid w:val="0061609F"/>
    <w:rsid w:val="0061610D"/>
    <w:rsid w:val="0061629F"/>
    <w:rsid w:val="00616438"/>
    <w:rsid w:val="006164F7"/>
    <w:rsid w:val="006165B0"/>
    <w:rsid w:val="0061685F"/>
    <w:rsid w:val="006168C7"/>
    <w:rsid w:val="006168D5"/>
    <w:rsid w:val="006169B9"/>
    <w:rsid w:val="006169CF"/>
    <w:rsid w:val="00616A60"/>
    <w:rsid w:val="00616B05"/>
    <w:rsid w:val="00616B3E"/>
    <w:rsid w:val="00616CDE"/>
    <w:rsid w:val="006173F5"/>
    <w:rsid w:val="006173FE"/>
    <w:rsid w:val="006175BA"/>
    <w:rsid w:val="006175FF"/>
    <w:rsid w:val="006177FB"/>
    <w:rsid w:val="0061784D"/>
    <w:rsid w:val="00617978"/>
    <w:rsid w:val="00617A16"/>
    <w:rsid w:val="00617D5E"/>
    <w:rsid w:val="00617DC4"/>
    <w:rsid w:val="00617E90"/>
    <w:rsid w:val="00620123"/>
    <w:rsid w:val="006201E0"/>
    <w:rsid w:val="00620216"/>
    <w:rsid w:val="00620290"/>
    <w:rsid w:val="00620361"/>
    <w:rsid w:val="0062064D"/>
    <w:rsid w:val="00620689"/>
    <w:rsid w:val="00620762"/>
    <w:rsid w:val="006209A5"/>
    <w:rsid w:val="00620CCA"/>
    <w:rsid w:val="00620E5A"/>
    <w:rsid w:val="006210E1"/>
    <w:rsid w:val="006211B4"/>
    <w:rsid w:val="0062130A"/>
    <w:rsid w:val="006214EC"/>
    <w:rsid w:val="00621640"/>
    <w:rsid w:val="00621682"/>
    <w:rsid w:val="006218A5"/>
    <w:rsid w:val="006219D4"/>
    <w:rsid w:val="00621B7D"/>
    <w:rsid w:val="00621C70"/>
    <w:rsid w:val="00621F35"/>
    <w:rsid w:val="00621F4C"/>
    <w:rsid w:val="00621F50"/>
    <w:rsid w:val="00621F51"/>
    <w:rsid w:val="006223C1"/>
    <w:rsid w:val="006223D1"/>
    <w:rsid w:val="006223D3"/>
    <w:rsid w:val="006225D7"/>
    <w:rsid w:val="0062264E"/>
    <w:rsid w:val="006227FC"/>
    <w:rsid w:val="00622845"/>
    <w:rsid w:val="006228D8"/>
    <w:rsid w:val="00622936"/>
    <w:rsid w:val="00622A9E"/>
    <w:rsid w:val="00622FE0"/>
    <w:rsid w:val="0062302B"/>
    <w:rsid w:val="006231DA"/>
    <w:rsid w:val="006232C2"/>
    <w:rsid w:val="0062346E"/>
    <w:rsid w:val="0062347C"/>
    <w:rsid w:val="00623964"/>
    <w:rsid w:val="00623B82"/>
    <w:rsid w:val="00623B87"/>
    <w:rsid w:val="00623C1F"/>
    <w:rsid w:val="00623D63"/>
    <w:rsid w:val="00624007"/>
    <w:rsid w:val="0062424F"/>
    <w:rsid w:val="0062429F"/>
    <w:rsid w:val="00624346"/>
    <w:rsid w:val="0062440E"/>
    <w:rsid w:val="006246FD"/>
    <w:rsid w:val="00624758"/>
    <w:rsid w:val="0062476A"/>
    <w:rsid w:val="00624A5B"/>
    <w:rsid w:val="00624B8B"/>
    <w:rsid w:val="00624C96"/>
    <w:rsid w:val="00624FD1"/>
    <w:rsid w:val="00624FE8"/>
    <w:rsid w:val="0062515F"/>
    <w:rsid w:val="006256EF"/>
    <w:rsid w:val="0062578A"/>
    <w:rsid w:val="00625A78"/>
    <w:rsid w:val="00625E2D"/>
    <w:rsid w:val="00625E75"/>
    <w:rsid w:val="006260B2"/>
    <w:rsid w:val="00626493"/>
    <w:rsid w:val="006265B7"/>
    <w:rsid w:val="006265BA"/>
    <w:rsid w:val="006268F6"/>
    <w:rsid w:val="00626B1C"/>
    <w:rsid w:val="00626DCC"/>
    <w:rsid w:val="0062730F"/>
    <w:rsid w:val="006275AF"/>
    <w:rsid w:val="006277E8"/>
    <w:rsid w:val="00627856"/>
    <w:rsid w:val="0062798C"/>
    <w:rsid w:val="006279BB"/>
    <w:rsid w:val="00627BBE"/>
    <w:rsid w:val="00627C68"/>
    <w:rsid w:val="00627CF4"/>
    <w:rsid w:val="00627D8E"/>
    <w:rsid w:val="00627EA0"/>
    <w:rsid w:val="00627F2F"/>
    <w:rsid w:val="00627F36"/>
    <w:rsid w:val="00627F4C"/>
    <w:rsid w:val="00630177"/>
    <w:rsid w:val="0063024A"/>
    <w:rsid w:val="006306BC"/>
    <w:rsid w:val="00630800"/>
    <w:rsid w:val="0063084E"/>
    <w:rsid w:val="006309AE"/>
    <w:rsid w:val="00630CF4"/>
    <w:rsid w:val="00630D7A"/>
    <w:rsid w:val="00630EBC"/>
    <w:rsid w:val="00630EC2"/>
    <w:rsid w:val="00630ED8"/>
    <w:rsid w:val="00631175"/>
    <w:rsid w:val="00631200"/>
    <w:rsid w:val="00631232"/>
    <w:rsid w:val="00631525"/>
    <w:rsid w:val="0063162F"/>
    <w:rsid w:val="00631637"/>
    <w:rsid w:val="00631994"/>
    <w:rsid w:val="00631A32"/>
    <w:rsid w:val="00631C03"/>
    <w:rsid w:val="0063209F"/>
    <w:rsid w:val="006320DC"/>
    <w:rsid w:val="00632176"/>
    <w:rsid w:val="006322D7"/>
    <w:rsid w:val="0063262B"/>
    <w:rsid w:val="006326D6"/>
    <w:rsid w:val="00632981"/>
    <w:rsid w:val="00632A19"/>
    <w:rsid w:val="00632ABB"/>
    <w:rsid w:val="00632BA6"/>
    <w:rsid w:val="00632C58"/>
    <w:rsid w:val="00632DAE"/>
    <w:rsid w:val="0063329E"/>
    <w:rsid w:val="0063330C"/>
    <w:rsid w:val="006334EF"/>
    <w:rsid w:val="006334F5"/>
    <w:rsid w:val="0063363F"/>
    <w:rsid w:val="0063371D"/>
    <w:rsid w:val="00633949"/>
    <w:rsid w:val="00633982"/>
    <w:rsid w:val="006339E0"/>
    <w:rsid w:val="00633A7F"/>
    <w:rsid w:val="00633AEF"/>
    <w:rsid w:val="00633D0D"/>
    <w:rsid w:val="00633E5D"/>
    <w:rsid w:val="00634075"/>
    <w:rsid w:val="00634349"/>
    <w:rsid w:val="00634466"/>
    <w:rsid w:val="0063446F"/>
    <w:rsid w:val="006344A0"/>
    <w:rsid w:val="006344B3"/>
    <w:rsid w:val="00634538"/>
    <w:rsid w:val="006345E7"/>
    <w:rsid w:val="006347BD"/>
    <w:rsid w:val="006347FE"/>
    <w:rsid w:val="006348EC"/>
    <w:rsid w:val="00634982"/>
    <w:rsid w:val="00634B74"/>
    <w:rsid w:val="00634B7B"/>
    <w:rsid w:val="00634C09"/>
    <w:rsid w:val="00634D20"/>
    <w:rsid w:val="00634D2C"/>
    <w:rsid w:val="00634DBB"/>
    <w:rsid w:val="006350BD"/>
    <w:rsid w:val="0063510D"/>
    <w:rsid w:val="006351A9"/>
    <w:rsid w:val="0063549D"/>
    <w:rsid w:val="006356A9"/>
    <w:rsid w:val="006357D6"/>
    <w:rsid w:val="006358A8"/>
    <w:rsid w:val="006359D7"/>
    <w:rsid w:val="00635BA1"/>
    <w:rsid w:val="00635C54"/>
    <w:rsid w:val="00635E66"/>
    <w:rsid w:val="00635E6D"/>
    <w:rsid w:val="00635E9A"/>
    <w:rsid w:val="00635EF3"/>
    <w:rsid w:val="00635FAA"/>
    <w:rsid w:val="0063609F"/>
    <w:rsid w:val="00636281"/>
    <w:rsid w:val="006362B9"/>
    <w:rsid w:val="00636486"/>
    <w:rsid w:val="006364FA"/>
    <w:rsid w:val="00636537"/>
    <w:rsid w:val="0063658B"/>
    <w:rsid w:val="00636812"/>
    <w:rsid w:val="00636909"/>
    <w:rsid w:val="006369C6"/>
    <w:rsid w:val="00636C85"/>
    <w:rsid w:val="00636E32"/>
    <w:rsid w:val="00636ECE"/>
    <w:rsid w:val="00636F73"/>
    <w:rsid w:val="00636F75"/>
    <w:rsid w:val="00637620"/>
    <w:rsid w:val="0063769B"/>
    <w:rsid w:val="006376DF"/>
    <w:rsid w:val="00637981"/>
    <w:rsid w:val="00637BE9"/>
    <w:rsid w:val="00637CCF"/>
    <w:rsid w:val="00637D37"/>
    <w:rsid w:val="00637EAB"/>
    <w:rsid w:val="00637EF0"/>
    <w:rsid w:val="00637FD4"/>
    <w:rsid w:val="00637FDA"/>
    <w:rsid w:val="006400FE"/>
    <w:rsid w:val="006402C7"/>
    <w:rsid w:val="006403DF"/>
    <w:rsid w:val="0064043B"/>
    <w:rsid w:val="0064043F"/>
    <w:rsid w:val="00640576"/>
    <w:rsid w:val="00640777"/>
    <w:rsid w:val="0064077E"/>
    <w:rsid w:val="006407D9"/>
    <w:rsid w:val="006408C1"/>
    <w:rsid w:val="006408FC"/>
    <w:rsid w:val="00640ADB"/>
    <w:rsid w:val="00640AE5"/>
    <w:rsid w:val="00640CF0"/>
    <w:rsid w:val="00640D02"/>
    <w:rsid w:val="00640D29"/>
    <w:rsid w:val="00640E84"/>
    <w:rsid w:val="00640F85"/>
    <w:rsid w:val="00641062"/>
    <w:rsid w:val="0064117A"/>
    <w:rsid w:val="0064125C"/>
    <w:rsid w:val="00641402"/>
    <w:rsid w:val="0064146A"/>
    <w:rsid w:val="00641682"/>
    <w:rsid w:val="006416F1"/>
    <w:rsid w:val="00641734"/>
    <w:rsid w:val="00641796"/>
    <w:rsid w:val="006418E1"/>
    <w:rsid w:val="00641B68"/>
    <w:rsid w:val="00641B69"/>
    <w:rsid w:val="00641BAF"/>
    <w:rsid w:val="00641E5E"/>
    <w:rsid w:val="00641E68"/>
    <w:rsid w:val="006422C7"/>
    <w:rsid w:val="006424E9"/>
    <w:rsid w:val="006425F3"/>
    <w:rsid w:val="00642644"/>
    <w:rsid w:val="00642682"/>
    <w:rsid w:val="006426F6"/>
    <w:rsid w:val="0064272E"/>
    <w:rsid w:val="00642B13"/>
    <w:rsid w:val="00643019"/>
    <w:rsid w:val="006430DB"/>
    <w:rsid w:val="00643195"/>
    <w:rsid w:val="006431CA"/>
    <w:rsid w:val="0064321B"/>
    <w:rsid w:val="006433D6"/>
    <w:rsid w:val="006436A2"/>
    <w:rsid w:val="00643769"/>
    <w:rsid w:val="00643FE7"/>
    <w:rsid w:val="00644125"/>
    <w:rsid w:val="0064418C"/>
    <w:rsid w:val="00644383"/>
    <w:rsid w:val="0064438A"/>
    <w:rsid w:val="006443AE"/>
    <w:rsid w:val="006443E9"/>
    <w:rsid w:val="00644496"/>
    <w:rsid w:val="006444A6"/>
    <w:rsid w:val="006446C0"/>
    <w:rsid w:val="006447EA"/>
    <w:rsid w:val="00644AB6"/>
    <w:rsid w:val="00644BF0"/>
    <w:rsid w:val="00644CB1"/>
    <w:rsid w:val="00644F7C"/>
    <w:rsid w:val="0064513C"/>
    <w:rsid w:val="0064541B"/>
    <w:rsid w:val="006456BF"/>
    <w:rsid w:val="00645811"/>
    <w:rsid w:val="00645987"/>
    <w:rsid w:val="00645A3B"/>
    <w:rsid w:val="00645AB8"/>
    <w:rsid w:val="00645D53"/>
    <w:rsid w:val="00645D56"/>
    <w:rsid w:val="006461DA"/>
    <w:rsid w:val="006463DB"/>
    <w:rsid w:val="00646510"/>
    <w:rsid w:val="006466BD"/>
    <w:rsid w:val="00646721"/>
    <w:rsid w:val="0064679B"/>
    <w:rsid w:val="00646802"/>
    <w:rsid w:val="00646B37"/>
    <w:rsid w:val="00646B9B"/>
    <w:rsid w:val="00646BC5"/>
    <w:rsid w:val="00646BEB"/>
    <w:rsid w:val="00646C47"/>
    <w:rsid w:val="00646F3C"/>
    <w:rsid w:val="00646FDB"/>
    <w:rsid w:val="006474E5"/>
    <w:rsid w:val="00647783"/>
    <w:rsid w:val="006478EC"/>
    <w:rsid w:val="00647C42"/>
    <w:rsid w:val="00647C5A"/>
    <w:rsid w:val="00647D33"/>
    <w:rsid w:val="00647F83"/>
    <w:rsid w:val="00647F90"/>
    <w:rsid w:val="006502B7"/>
    <w:rsid w:val="006503A6"/>
    <w:rsid w:val="00650416"/>
    <w:rsid w:val="0065052C"/>
    <w:rsid w:val="006507DA"/>
    <w:rsid w:val="00650933"/>
    <w:rsid w:val="00650A52"/>
    <w:rsid w:val="00650AE8"/>
    <w:rsid w:val="00650E45"/>
    <w:rsid w:val="00650EB2"/>
    <w:rsid w:val="00650F68"/>
    <w:rsid w:val="006512D8"/>
    <w:rsid w:val="00651617"/>
    <w:rsid w:val="00651712"/>
    <w:rsid w:val="0065172F"/>
    <w:rsid w:val="00651750"/>
    <w:rsid w:val="0065175B"/>
    <w:rsid w:val="006518AC"/>
    <w:rsid w:val="006518D5"/>
    <w:rsid w:val="00651963"/>
    <w:rsid w:val="00651A1D"/>
    <w:rsid w:val="00651DC6"/>
    <w:rsid w:val="00651EA0"/>
    <w:rsid w:val="00652087"/>
    <w:rsid w:val="0065236B"/>
    <w:rsid w:val="00652456"/>
    <w:rsid w:val="00652602"/>
    <w:rsid w:val="006528F0"/>
    <w:rsid w:val="0065298F"/>
    <w:rsid w:val="006529C1"/>
    <w:rsid w:val="00652A60"/>
    <w:rsid w:val="00652F48"/>
    <w:rsid w:val="006530A3"/>
    <w:rsid w:val="00653315"/>
    <w:rsid w:val="006533FF"/>
    <w:rsid w:val="0065384A"/>
    <w:rsid w:val="0065384B"/>
    <w:rsid w:val="00653C99"/>
    <w:rsid w:val="0065405E"/>
    <w:rsid w:val="006540B0"/>
    <w:rsid w:val="0065431D"/>
    <w:rsid w:val="00654349"/>
    <w:rsid w:val="00654376"/>
    <w:rsid w:val="006545A5"/>
    <w:rsid w:val="00654655"/>
    <w:rsid w:val="006546C2"/>
    <w:rsid w:val="0065482B"/>
    <w:rsid w:val="006548AD"/>
    <w:rsid w:val="00654C24"/>
    <w:rsid w:val="00654DEA"/>
    <w:rsid w:val="00655285"/>
    <w:rsid w:val="00655342"/>
    <w:rsid w:val="00655396"/>
    <w:rsid w:val="006554D9"/>
    <w:rsid w:val="0065560F"/>
    <w:rsid w:val="0065591E"/>
    <w:rsid w:val="00655B22"/>
    <w:rsid w:val="00655DFC"/>
    <w:rsid w:val="00655E26"/>
    <w:rsid w:val="00655F83"/>
    <w:rsid w:val="00655FB4"/>
    <w:rsid w:val="006560D2"/>
    <w:rsid w:val="00656208"/>
    <w:rsid w:val="00656219"/>
    <w:rsid w:val="00656415"/>
    <w:rsid w:val="00656462"/>
    <w:rsid w:val="0065664D"/>
    <w:rsid w:val="0065673A"/>
    <w:rsid w:val="006568AB"/>
    <w:rsid w:val="00656A29"/>
    <w:rsid w:val="00656E14"/>
    <w:rsid w:val="006571F8"/>
    <w:rsid w:val="006572EA"/>
    <w:rsid w:val="006573CB"/>
    <w:rsid w:val="0065765A"/>
    <w:rsid w:val="006578C6"/>
    <w:rsid w:val="00657B51"/>
    <w:rsid w:val="00657FD2"/>
    <w:rsid w:val="00660039"/>
    <w:rsid w:val="006600C7"/>
    <w:rsid w:val="00660134"/>
    <w:rsid w:val="00660356"/>
    <w:rsid w:val="0066079E"/>
    <w:rsid w:val="0066091A"/>
    <w:rsid w:val="00660A9B"/>
    <w:rsid w:val="00660DBF"/>
    <w:rsid w:val="00660E7C"/>
    <w:rsid w:val="00660E7D"/>
    <w:rsid w:val="00660E8A"/>
    <w:rsid w:val="00660F60"/>
    <w:rsid w:val="0066107D"/>
    <w:rsid w:val="006614A7"/>
    <w:rsid w:val="0066164E"/>
    <w:rsid w:val="006619A9"/>
    <w:rsid w:val="00661A3D"/>
    <w:rsid w:val="00661CE6"/>
    <w:rsid w:val="00661DD0"/>
    <w:rsid w:val="006620FA"/>
    <w:rsid w:val="006621F0"/>
    <w:rsid w:val="006622F0"/>
    <w:rsid w:val="006626A2"/>
    <w:rsid w:val="0066299F"/>
    <w:rsid w:val="006629C7"/>
    <w:rsid w:val="00662A59"/>
    <w:rsid w:val="00662A61"/>
    <w:rsid w:val="00662AD2"/>
    <w:rsid w:val="00662B76"/>
    <w:rsid w:val="00662C8B"/>
    <w:rsid w:val="00662F4E"/>
    <w:rsid w:val="006634C0"/>
    <w:rsid w:val="0066357F"/>
    <w:rsid w:val="00663829"/>
    <w:rsid w:val="006638BA"/>
    <w:rsid w:val="00663C25"/>
    <w:rsid w:val="00663DBA"/>
    <w:rsid w:val="00663F9C"/>
    <w:rsid w:val="0066434E"/>
    <w:rsid w:val="006644E5"/>
    <w:rsid w:val="00664573"/>
    <w:rsid w:val="0066458F"/>
    <w:rsid w:val="006647D8"/>
    <w:rsid w:val="00664834"/>
    <w:rsid w:val="0066493C"/>
    <w:rsid w:val="006649BC"/>
    <w:rsid w:val="006649D7"/>
    <w:rsid w:val="00664A1A"/>
    <w:rsid w:val="00664AAB"/>
    <w:rsid w:val="00664B50"/>
    <w:rsid w:val="00664CBF"/>
    <w:rsid w:val="00664E2E"/>
    <w:rsid w:val="0066501E"/>
    <w:rsid w:val="006651D1"/>
    <w:rsid w:val="00665201"/>
    <w:rsid w:val="006654D3"/>
    <w:rsid w:val="0066563D"/>
    <w:rsid w:val="00665825"/>
    <w:rsid w:val="00665AD2"/>
    <w:rsid w:val="00665B87"/>
    <w:rsid w:val="00665BC3"/>
    <w:rsid w:val="00665C62"/>
    <w:rsid w:val="00665DAD"/>
    <w:rsid w:val="00665DF6"/>
    <w:rsid w:val="00665F24"/>
    <w:rsid w:val="00666087"/>
    <w:rsid w:val="00666198"/>
    <w:rsid w:val="0066623B"/>
    <w:rsid w:val="0066650A"/>
    <w:rsid w:val="00666715"/>
    <w:rsid w:val="00666855"/>
    <w:rsid w:val="0066692C"/>
    <w:rsid w:val="00666DF9"/>
    <w:rsid w:val="00667252"/>
    <w:rsid w:val="00667257"/>
    <w:rsid w:val="006672F8"/>
    <w:rsid w:val="00667380"/>
    <w:rsid w:val="006673E7"/>
    <w:rsid w:val="00667408"/>
    <w:rsid w:val="006674D3"/>
    <w:rsid w:val="006674F2"/>
    <w:rsid w:val="00667753"/>
    <w:rsid w:val="00667849"/>
    <w:rsid w:val="00667A29"/>
    <w:rsid w:val="00667A73"/>
    <w:rsid w:val="00667BBB"/>
    <w:rsid w:val="00667C07"/>
    <w:rsid w:val="00667C92"/>
    <w:rsid w:val="00667E30"/>
    <w:rsid w:val="006701C6"/>
    <w:rsid w:val="0067022C"/>
    <w:rsid w:val="00670394"/>
    <w:rsid w:val="006703FC"/>
    <w:rsid w:val="006705B7"/>
    <w:rsid w:val="006706C4"/>
    <w:rsid w:val="0067071E"/>
    <w:rsid w:val="0067081E"/>
    <w:rsid w:val="00670847"/>
    <w:rsid w:val="00670A8C"/>
    <w:rsid w:val="00670C9F"/>
    <w:rsid w:val="00670EEC"/>
    <w:rsid w:val="00670FA2"/>
    <w:rsid w:val="0067131A"/>
    <w:rsid w:val="00671349"/>
    <w:rsid w:val="006716CE"/>
    <w:rsid w:val="00671AF5"/>
    <w:rsid w:val="00671C8B"/>
    <w:rsid w:val="00671D50"/>
    <w:rsid w:val="00671D58"/>
    <w:rsid w:val="00672078"/>
    <w:rsid w:val="00672306"/>
    <w:rsid w:val="0067251C"/>
    <w:rsid w:val="0067260C"/>
    <w:rsid w:val="006726FD"/>
    <w:rsid w:val="0067277E"/>
    <w:rsid w:val="00672BF3"/>
    <w:rsid w:val="00672CE1"/>
    <w:rsid w:val="00672F3C"/>
    <w:rsid w:val="00673024"/>
    <w:rsid w:val="006732EB"/>
    <w:rsid w:val="006734F8"/>
    <w:rsid w:val="0067370B"/>
    <w:rsid w:val="0067379D"/>
    <w:rsid w:val="00673924"/>
    <w:rsid w:val="00673A75"/>
    <w:rsid w:val="00673B29"/>
    <w:rsid w:val="00673F5C"/>
    <w:rsid w:val="006740E2"/>
    <w:rsid w:val="00674137"/>
    <w:rsid w:val="0067436C"/>
    <w:rsid w:val="00674ABD"/>
    <w:rsid w:val="00674B24"/>
    <w:rsid w:val="00674C6E"/>
    <w:rsid w:val="006753A5"/>
    <w:rsid w:val="0067552A"/>
    <w:rsid w:val="006755FE"/>
    <w:rsid w:val="006756C2"/>
    <w:rsid w:val="00675A92"/>
    <w:rsid w:val="00675B5D"/>
    <w:rsid w:val="00675BA4"/>
    <w:rsid w:val="00675CC5"/>
    <w:rsid w:val="00675CE2"/>
    <w:rsid w:val="00675DAF"/>
    <w:rsid w:val="00675E44"/>
    <w:rsid w:val="00676153"/>
    <w:rsid w:val="00676182"/>
    <w:rsid w:val="00676333"/>
    <w:rsid w:val="00676350"/>
    <w:rsid w:val="006763A6"/>
    <w:rsid w:val="0067651C"/>
    <w:rsid w:val="00676565"/>
    <w:rsid w:val="0067686E"/>
    <w:rsid w:val="00676B0A"/>
    <w:rsid w:val="00676C26"/>
    <w:rsid w:val="00676DD9"/>
    <w:rsid w:val="0067704C"/>
    <w:rsid w:val="00677099"/>
    <w:rsid w:val="0067709F"/>
    <w:rsid w:val="00677109"/>
    <w:rsid w:val="0067716B"/>
    <w:rsid w:val="006771E1"/>
    <w:rsid w:val="0067726E"/>
    <w:rsid w:val="006772A2"/>
    <w:rsid w:val="006773DE"/>
    <w:rsid w:val="006773E1"/>
    <w:rsid w:val="0067769A"/>
    <w:rsid w:val="0067770F"/>
    <w:rsid w:val="0067785E"/>
    <w:rsid w:val="0067796B"/>
    <w:rsid w:val="00677A10"/>
    <w:rsid w:val="00677A7F"/>
    <w:rsid w:val="00677BF4"/>
    <w:rsid w:val="00677CA8"/>
    <w:rsid w:val="00677CF7"/>
    <w:rsid w:val="00677D08"/>
    <w:rsid w:val="0068027C"/>
    <w:rsid w:val="006804B0"/>
    <w:rsid w:val="006804CE"/>
    <w:rsid w:val="0068050B"/>
    <w:rsid w:val="00680596"/>
    <w:rsid w:val="006805C2"/>
    <w:rsid w:val="006806C4"/>
    <w:rsid w:val="006808E2"/>
    <w:rsid w:val="00680943"/>
    <w:rsid w:val="006809AF"/>
    <w:rsid w:val="00680B65"/>
    <w:rsid w:val="00680BDE"/>
    <w:rsid w:val="00680C05"/>
    <w:rsid w:val="00680EB2"/>
    <w:rsid w:val="00680FE5"/>
    <w:rsid w:val="0068110A"/>
    <w:rsid w:val="0068136F"/>
    <w:rsid w:val="0068139D"/>
    <w:rsid w:val="006813F7"/>
    <w:rsid w:val="00681464"/>
    <w:rsid w:val="0068165E"/>
    <w:rsid w:val="00681803"/>
    <w:rsid w:val="00681948"/>
    <w:rsid w:val="0068199B"/>
    <w:rsid w:val="00681A25"/>
    <w:rsid w:val="00681A4B"/>
    <w:rsid w:val="00681A55"/>
    <w:rsid w:val="00681A9D"/>
    <w:rsid w:val="00681BE5"/>
    <w:rsid w:val="00681D19"/>
    <w:rsid w:val="00681DCD"/>
    <w:rsid w:val="00681DDE"/>
    <w:rsid w:val="00681F85"/>
    <w:rsid w:val="00682527"/>
    <w:rsid w:val="00682CA0"/>
    <w:rsid w:val="00682CF3"/>
    <w:rsid w:val="00682D3B"/>
    <w:rsid w:val="00682D76"/>
    <w:rsid w:val="00682DD2"/>
    <w:rsid w:val="00682ED5"/>
    <w:rsid w:val="00682FD6"/>
    <w:rsid w:val="00683000"/>
    <w:rsid w:val="00683030"/>
    <w:rsid w:val="0068304B"/>
    <w:rsid w:val="0068310E"/>
    <w:rsid w:val="006834E7"/>
    <w:rsid w:val="006836B3"/>
    <w:rsid w:val="006837DC"/>
    <w:rsid w:val="00683928"/>
    <w:rsid w:val="00683A00"/>
    <w:rsid w:val="00683AE8"/>
    <w:rsid w:val="00683B43"/>
    <w:rsid w:val="00683B72"/>
    <w:rsid w:val="00683BA8"/>
    <w:rsid w:val="00683D68"/>
    <w:rsid w:val="00683EDD"/>
    <w:rsid w:val="00683F2A"/>
    <w:rsid w:val="00683F60"/>
    <w:rsid w:val="00684033"/>
    <w:rsid w:val="00684091"/>
    <w:rsid w:val="006840B0"/>
    <w:rsid w:val="006840D7"/>
    <w:rsid w:val="006842B9"/>
    <w:rsid w:val="00684422"/>
    <w:rsid w:val="0068462D"/>
    <w:rsid w:val="006847DF"/>
    <w:rsid w:val="00684B26"/>
    <w:rsid w:val="00684D9A"/>
    <w:rsid w:val="00684F2D"/>
    <w:rsid w:val="0068518E"/>
    <w:rsid w:val="006851B7"/>
    <w:rsid w:val="0068527A"/>
    <w:rsid w:val="006854FC"/>
    <w:rsid w:val="00685622"/>
    <w:rsid w:val="00685740"/>
    <w:rsid w:val="00685785"/>
    <w:rsid w:val="006857DD"/>
    <w:rsid w:val="00685810"/>
    <w:rsid w:val="006858C8"/>
    <w:rsid w:val="006858EC"/>
    <w:rsid w:val="00685983"/>
    <w:rsid w:val="0068598B"/>
    <w:rsid w:val="006859C7"/>
    <w:rsid w:val="00685A76"/>
    <w:rsid w:val="00685AFD"/>
    <w:rsid w:val="00685BDD"/>
    <w:rsid w:val="00685CB6"/>
    <w:rsid w:val="00685D93"/>
    <w:rsid w:val="00685E56"/>
    <w:rsid w:val="00685F2B"/>
    <w:rsid w:val="00685F7C"/>
    <w:rsid w:val="00685F98"/>
    <w:rsid w:val="00685FE8"/>
    <w:rsid w:val="00686302"/>
    <w:rsid w:val="006863C4"/>
    <w:rsid w:val="0068688A"/>
    <w:rsid w:val="00686966"/>
    <w:rsid w:val="006869CB"/>
    <w:rsid w:val="00686C42"/>
    <w:rsid w:val="00686C9F"/>
    <w:rsid w:val="00686E6A"/>
    <w:rsid w:val="00686E80"/>
    <w:rsid w:val="0068708F"/>
    <w:rsid w:val="006876A0"/>
    <w:rsid w:val="0068779F"/>
    <w:rsid w:val="00687A2B"/>
    <w:rsid w:val="00687BC1"/>
    <w:rsid w:val="00687BDC"/>
    <w:rsid w:val="00687FDC"/>
    <w:rsid w:val="00687FEC"/>
    <w:rsid w:val="0069008C"/>
    <w:rsid w:val="006900E7"/>
    <w:rsid w:val="006902E6"/>
    <w:rsid w:val="006904C4"/>
    <w:rsid w:val="0069075A"/>
    <w:rsid w:val="0069076A"/>
    <w:rsid w:val="0069094A"/>
    <w:rsid w:val="0069098C"/>
    <w:rsid w:val="0069098F"/>
    <w:rsid w:val="00690ABA"/>
    <w:rsid w:val="00690C7F"/>
    <w:rsid w:val="00690CDE"/>
    <w:rsid w:val="00690D43"/>
    <w:rsid w:val="00690D53"/>
    <w:rsid w:val="00690DAA"/>
    <w:rsid w:val="00690E50"/>
    <w:rsid w:val="00690FCC"/>
    <w:rsid w:val="0069120D"/>
    <w:rsid w:val="006913B1"/>
    <w:rsid w:val="006913DD"/>
    <w:rsid w:val="006916AB"/>
    <w:rsid w:val="00691763"/>
    <w:rsid w:val="00691B37"/>
    <w:rsid w:val="0069200A"/>
    <w:rsid w:val="00692443"/>
    <w:rsid w:val="00692469"/>
    <w:rsid w:val="00692496"/>
    <w:rsid w:val="006928FD"/>
    <w:rsid w:val="00692AAB"/>
    <w:rsid w:val="00692ACA"/>
    <w:rsid w:val="00692B10"/>
    <w:rsid w:val="00692D5B"/>
    <w:rsid w:val="00693307"/>
    <w:rsid w:val="006934C5"/>
    <w:rsid w:val="00693543"/>
    <w:rsid w:val="00693568"/>
    <w:rsid w:val="006937A4"/>
    <w:rsid w:val="006937C3"/>
    <w:rsid w:val="00693B69"/>
    <w:rsid w:val="00693C3B"/>
    <w:rsid w:val="00693EEC"/>
    <w:rsid w:val="00693FA3"/>
    <w:rsid w:val="00694140"/>
    <w:rsid w:val="006941DF"/>
    <w:rsid w:val="00694253"/>
    <w:rsid w:val="006942DC"/>
    <w:rsid w:val="0069459B"/>
    <w:rsid w:val="006948C1"/>
    <w:rsid w:val="006948E3"/>
    <w:rsid w:val="00694BAF"/>
    <w:rsid w:val="00694BDE"/>
    <w:rsid w:val="00694C00"/>
    <w:rsid w:val="00694CBD"/>
    <w:rsid w:val="00694CC6"/>
    <w:rsid w:val="00694E9B"/>
    <w:rsid w:val="0069516C"/>
    <w:rsid w:val="00695313"/>
    <w:rsid w:val="0069535B"/>
    <w:rsid w:val="006953D3"/>
    <w:rsid w:val="0069570B"/>
    <w:rsid w:val="006959D4"/>
    <w:rsid w:val="006959D5"/>
    <w:rsid w:val="00695AB2"/>
    <w:rsid w:val="00695B05"/>
    <w:rsid w:val="00695DB2"/>
    <w:rsid w:val="00695F67"/>
    <w:rsid w:val="006962CA"/>
    <w:rsid w:val="006964D3"/>
    <w:rsid w:val="00696580"/>
    <w:rsid w:val="00696718"/>
    <w:rsid w:val="00696E11"/>
    <w:rsid w:val="00696F87"/>
    <w:rsid w:val="00696FB6"/>
    <w:rsid w:val="00697324"/>
    <w:rsid w:val="006975DC"/>
    <w:rsid w:val="0069761A"/>
    <w:rsid w:val="00697652"/>
    <w:rsid w:val="006976B9"/>
    <w:rsid w:val="006976D1"/>
    <w:rsid w:val="00697789"/>
    <w:rsid w:val="00697830"/>
    <w:rsid w:val="006978BD"/>
    <w:rsid w:val="006978C0"/>
    <w:rsid w:val="006978DC"/>
    <w:rsid w:val="00697949"/>
    <w:rsid w:val="00697994"/>
    <w:rsid w:val="006979AE"/>
    <w:rsid w:val="00697BDA"/>
    <w:rsid w:val="00697C65"/>
    <w:rsid w:val="00697D8D"/>
    <w:rsid w:val="00697DCF"/>
    <w:rsid w:val="00697E7D"/>
    <w:rsid w:val="00697EFD"/>
    <w:rsid w:val="006A0030"/>
    <w:rsid w:val="006A01B9"/>
    <w:rsid w:val="006A046E"/>
    <w:rsid w:val="006A070C"/>
    <w:rsid w:val="006A0772"/>
    <w:rsid w:val="006A08E2"/>
    <w:rsid w:val="006A096E"/>
    <w:rsid w:val="006A09E5"/>
    <w:rsid w:val="006A0B34"/>
    <w:rsid w:val="006A0B66"/>
    <w:rsid w:val="006A0B97"/>
    <w:rsid w:val="006A0BD3"/>
    <w:rsid w:val="006A0F87"/>
    <w:rsid w:val="006A1463"/>
    <w:rsid w:val="006A14D3"/>
    <w:rsid w:val="006A14D9"/>
    <w:rsid w:val="006A1620"/>
    <w:rsid w:val="006A1867"/>
    <w:rsid w:val="006A1898"/>
    <w:rsid w:val="006A18C4"/>
    <w:rsid w:val="006A1999"/>
    <w:rsid w:val="006A1A34"/>
    <w:rsid w:val="006A1B9E"/>
    <w:rsid w:val="006A1D79"/>
    <w:rsid w:val="006A1DFF"/>
    <w:rsid w:val="006A1E39"/>
    <w:rsid w:val="006A2163"/>
    <w:rsid w:val="006A21A5"/>
    <w:rsid w:val="006A21C4"/>
    <w:rsid w:val="006A22A1"/>
    <w:rsid w:val="006A26AF"/>
    <w:rsid w:val="006A2875"/>
    <w:rsid w:val="006A29E6"/>
    <w:rsid w:val="006A2A49"/>
    <w:rsid w:val="006A2DB6"/>
    <w:rsid w:val="006A2E45"/>
    <w:rsid w:val="006A2F71"/>
    <w:rsid w:val="006A323C"/>
    <w:rsid w:val="006A3336"/>
    <w:rsid w:val="006A337A"/>
    <w:rsid w:val="006A3427"/>
    <w:rsid w:val="006A3602"/>
    <w:rsid w:val="006A36DB"/>
    <w:rsid w:val="006A372C"/>
    <w:rsid w:val="006A3D67"/>
    <w:rsid w:val="006A3DCB"/>
    <w:rsid w:val="006A3E0E"/>
    <w:rsid w:val="006A3F94"/>
    <w:rsid w:val="006A3F9E"/>
    <w:rsid w:val="006A40DC"/>
    <w:rsid w:val="006A418F"/>
    <w:rsid w:val="006A4212"/>
    <w:rsid w:val="006A43AB"/>
    <w:rsid w:val="006A454C"/>
    <w:rsid w:val="006A4580"/>
    <w:rsid w:val="006A4769"/>
    <w:rsid w:val="006A47EE"/>
    <w:rsid w:val="006A4823"/>
    <w:rsid w:val="006A4B5A"/>
    <w:rsid w:val="006A4B79"/>
    <w:rsid w:val="006A4BBE"/>
    <w:rsid w:val="006A4D0C"/>
    <w:rsid w:val="006A4DF9"/>
    <w:rsid w:val="006A4FA0"/>
    <w:rsid w:val="006A5098"/>
    <w:rsid w:val="006A519B"/>
    <w:rsid w:val="006A523D"/>
    <w:rsid w:val="006A5321"/>
    <w:rsid w:val="006A5337"/>
    <w:rsid w:val="006A534D"/>
    <w:rsid w:val="006A54BA"/>
    <w:rsid w:val="006A54DA"/>
    <w:rsid w:val="006A5569"/>
    <w:rsid w:val="006A556C"/>
    <w:rsid w:val="006A5665"/>
    <w:rsid w:val="006A581B"/>
    <w:rsid w:val="006A5872"/>
    <w:rsid w:val="006A5C71"/>
    <w:rsid w:val="006A5CC9"/>
    <w:rsid w:val="006A5E3C"/>
    <w:rsid w:val="006A5E77"/>
    <w:rsid w:val="006A5EB1"/>
    <w:rsid w:val="006A5F35"/>
    <w:rsid w:val="006A5FE8"/>
    <w:rsid w:val="006A60BD"/>
    <w:rsid w:val="006A6391"/>
    <w:rsid w:val="006A63A5"/>
    <w:rsid w:val="006A6A06"/>
    <w:rsid w:val="006A6F1F"/>
    <w:rsid w:val="006A74FC"/>
    <w:rsid w:val="006A75C6"/>
    <w:rsid w:val="006A7657"/>
    <w:rsid w:val="006A76F4"/>
    <w:rsid w:val="006A77D5"/>
    <w:rsid w:val="006A7845"/>
    <w:rsid w:val="006A7BDA"/>
    <w:rsid w:val="006A7C99"/>
    <w:rsid w:val="006A7D8D"/>
    <w:rsid w:val="006A7DEF"/>
    <w:rsid w:val="006B0069"/>
    <w:rsid w:val="006B00EF"/>
    <w:rsid w:val="006B03FA"/>
    <w:rsid w:val="006B08A5"/>
    <w:rsid w:val="006B09D0"/>
    <w:rsid w:val="006B0AF9"/>
    <w:rsid w:val="006B0E29"/>
    <w:rsid w:val="006B124A"/>
    <w:rsid w:val="006B12E8"/>
    <w:rsid w:val="006B1471"/>
    <w:rsid w:val="006B1663"/>
    <w:rsid w:val="006B173F"/>
    <w:rsid w:val="006B177E"/>
    <w:rsid w:val="006B18F1"/>
    <w:rsid w:val="006B19A8"/>
    <w:rsid w:val="006B1A1F"/>
    <w:rsid w:val="006B1A6C"/>
    <w:rsid w:val="006B1C78"/>
    <w:rsid w:val="006B1D56"/>
    <w:rsid w:val="006B2018"/>
    <w:rsid w:val="006B2127"/>
    <w:rsid w:val="006B226C"/>
    <w:rsid w:val="006B228B"/>
    <w:rsid w:val="006B2624"/>
    <w:rsid w:val="006B26A9"/>
    <w:rsid w:val="006B278A"/>
    <w:rsid w:val="006B2833"/>
    <w:rsid w:val="006B298E"/>
    <w:rsid w:val="006B2B47"/>
    <w:rsid w:val="006B2B6E"/>
    <w:rsid w:val="006B2B9C"/>
    <w:rsid w:val="006B2CA2"/>
    <w:rsid w:val="006B2E85"/>
    <w:rsid w:val="006B2EE4"/>
    <w:rsid w:val="006B324A"/>
    <w:rsid w:val="006B3369"/>
    <w:rsid w:val="006B336E"/>
    <w:rsid w:val="006B3390"/>
    <w:rsid w:val="006B3454"/>
    <w:rsid w:val="006B3637"/>
    <w:rsid w:val="006B3825"/>
    <w:rsid w:val="006B3A46"/>
    <w:rsid w:val="006B3A4A"/>
    <w:rsid w:val="006B3B9A"/>
    <w:rsid w:val="006B40E0"/>
    <w:rsid w:val="006B4293"/>
    <w:rsid w:val="006B43A1"/>
    <w:rsid w:val="006B43A7"/>
    <w:rsid w:val="006B4441"/>
    <w:rsid w:val="006B4606"/>
    <w:rsid w:val="006B462B"/>
    <w:rsid w:val="006B4720"/>
    <w:rsid w:val="006B475D"/>
    <w:rsid w:val="006B48E2"/>
    <w:rsid w:val="006B4965"/>
    <w:rsid w:val="006B49B6"/>
    <w:rsid w:val="006B4B7B"/>
    <w:rsid w:val="006B4CAA"/>
    <w:rsid w:val="006B4CE4"/>
    <w:rsid w:val="006B4D5A"/>
    <w:rsid w:val="006B4EFF"/>
    <w:rsid w:val="006B4FEF"/>
    <w:rsid w:val="006B525E"/>
    <w:rsid w:val="006B52F2"/>
    <w:rsid w:val="006B534C"/>
    <w:rsid w:val="006B544B"/>
    <w:rsid w:val="006B5522"/>
    <w:rsid w:val="006B5571"/>
    <w:rsid w:val="006B560B"/>
    <w:rsid w:val="006B562F"/>
    <w:rsid w:val="006B572E"/>
    <w:rsid w:val="006B5A26"/>
    <w:rsid w:val="006B5B9C"/>
    <w:rsid w:val="006B5CEA"/>
    <w:rsid w:val="006B5DA8"/>
    <w:rsid w:val="006B5F97"/>
    <w:rsid w:val="006B5FAA"/>
    <w:rsid w:val="006B605B"/>
    <w:rsid w:val="006B60E5"/>
    <w:rsid w:val="006B628E"/>
    <w:rsid w:val="006B64BB"/>
    <w:rsid w:val="006B691D"/>
    <w:rsid w:val="006B6CD2"/>
    <w:rsid w:val="006B6CE1"/>
    <w:rsid w:val="006B75A2"/>
    <w:rsid w:val="006B761D"/>
    <w:rsid w:val="006B764F"/>
    <w:rsid w:val="006B778C"/>
    <w:rsid w:val="006B781E"/>
    <w:rsid w:val="006B7917"/>
    <w:rsid w:val="006B79DC"/>
    <w:rsid w:val="006B7BA4"/>
    <w:rsid w:val="006B7BB5"/>
    <w:rsid w:val="006B7C76"/>
    <w:rsid w:val="006B7F47"/>
    <w:rsid w:val="006C0390"/>
    <w:rsid w:val="006C0487"/>
    <w:rsid w:val="006C0525"/>
    <w:rsid w:val="006C0841"/>
    <w:rsid w:val="006C0BA7"/>
    <w:rsid w:val="006C0BFC"/>
    <w:rsid w:val="006C0D28"/>
    <w:rsid w:val="006C0EE1"/>
    <w:rsid w:val="006C0F9A"/>
    <w:rsid w:val="006C0FDF"/>
    <w:rsid w:val="006C1016"/>
    <w:rsid w:val="006C10F8"/>
    <w:rsid w:val="006C14AB"/>
    <w:rsid w:val="006C14CA"/>
    <w:rsid w:val="006C159A"/>
    <w:rsid w:val="006C1741"/>
    <w:rsid w:val="006C178D"/>
    <w:rsid w:val="006C18CF"/>
    <w:rsid w:val="006C1ABD"/>
    <w:rsid w:val="006C1B62"/>
    <w:rsid w:val="006C1B83"/>
    <w:rsid w:val="006C1C84"/>
    <w:rsid w:val="006C1E08"/>
    <w:rsid w:val="006C1E1A"/>
    <w:rsid w:val="006C1EB8"/>
    <w:rsid w:val="006C1F99"/>
    <w:rsid w:val="006C200E"/>
    <w:rsid w:val="006C22C8"/>
    <w:rsid w:val="006C2562"/>
    <w:rsid w:val="006C25EC"/>
    <w:rsid w:val="006C2609"/>
    <w:rsid w:val="006C277B"/>
    <w:rsid w:val="006C291E"/>
    <w:rsid w:val="006C2A92"/>
    <w:rsid w:val="006C2C04"/>
    <w:rsid w:val="006C2CEB"/>
    <w:rsid w:val="006C2DFF"/>
    <w:rsid w:val="006C2EDC"/>
    <w:rsid w:val="006C2F07"/>
    <w:rsid w:val="006C2F5E"/>
    <w:rsid w:val="006C2FF5"/>
    <w:rsid w:val="006C30AE"/>
    <w:rsid w:val="006C3388"/>
    <w:rsid w:val="006C33AE"/>
    <w:rsid w:val="006C3425"/>
    <w:rsid w:val="006C3428"/>
    <w:rsid w:val="006C36B5"/>
    <w:rsid w:val="006C36ED"/>
    <w:rsid w:val="006C3798"/>
    <w:rsid w:val="006C383B"/>
    <w:rsid w:val="006C3856"/>
    <w:rsid w:val="006C3CA7"/>
    <w:rsid w:val="006C3CF2"/>
    <w:rsid w:val="006C3F7E"/>
    <w:rsid w:val="006C3FF1"/>
    <w:rsid w:val="006C4035"/>
    <w:rsid w:val="006C4047"/>
    <w:rsid w:val="006C40A7"/>
    <w:rsid w:val="006C42C6"/>
    <w:rsid w:val="006C4572"/>
    <w:rsid w:val="006C4801"/>
    <w:rsid w:val="006C48E9"/>
    <w:rsid w:val="006C491D"/>
    <w:rsid w:val="006C4A7D"/>
    <w:rsid w:val="006C4C8F"/>
    <w:rsid w:val="006C4CAC"/>
    <w:rsid w:val="006C4D19"/>
    <w:rsid w:val="006C4D22"/>
    <w:rsid w:val="006C4D6A"/>
    <w:rsid w:val="006C4E14"/>
    <w:rsid w:val="006C4FDF"/>
    <w:rsid w:val="006C5041"/>
    <w:rsid w:val="006C53D5"/>
    <w:rsid w:val="006C54A2"/>
    <w:rsid w:val="006C5520"/>
    <w:rsid w:val="006C5713"/>
    <w:rsid w:val="006C5786"/>
    <w:rsid w:val="006C57CF"/>
    <w:rsid w:val="006C5982"/>
    <w:rsid w:val="006C59FB"/>
    <w:rsid w:val="006C5B26"/>
    <w:rsid w:val="006C5C48"/>
    <w:rsid w:val="006C5EA2"/>
    <w:rsid w:val="006C6230"/>
    <w:rsid w:val="006C64B7"/>
    <w:rsid w:val="006C64F7"/>
    <w:rsid w:val="006C6780"/>
    <w:rsid w:val="006C67C0"/>
    <w:rsid w:val="006C6815"/>
    <w:rsid w:val="006C6B74"/>
    <w:rsid w:val="006C6BA2"/>
    <w:rsid w:val="006C6BCC"/>
    <w:rsid w:val="006C6FD7"/>
    <w:rsid w:val="006C704A"/>
    <w:rsid w:val="006C71BF"/>
    <w:rsid w:val="006C737A"/>
    <w:rsid w:val="006C73EC"/>
    <w:rsid w:val="006C73F9"/>
    <w:rsid w:val="006C7515"/>
    <w:rsid w:val="006C7697"/>
    <w:rsid w:val="006C76B8"/>
    <w:rsid w:val="006C76BE"/>
    <w:rsid w:val="006C788C"/>
    <w:rsid w:val="006C799E"/>
    <w:rsid w:val="006C7A88"/>
    <w:rsid w:val="006C7C47"/>
    <w:rsid w:val="006C7EB2"/>
    <w:rsid w:val="006CA229"/>
    <w:rsid w:val="006D0020"/>
    <w:rsid w:val="006D00F3"/>
    <w:rsid w:val="006D068C"/>
    <w:rsid w:val="006D06E6"/>
    <w:rsid w:val="006D0779"/>
    <w:rsid w:val="006D08CF"/>
    <w:rsid w:val="006D0B2E"/>
    <w:rsid w:val="006D0D6B"/>
    <w:rsid w:val="006D0DBD"/>
    <w:rsid w:val="006D0E2C"/>
    <w:rsid w:val="006D0E3D"/>
    <w:rsid w:val="006D0FEC"/>
    <w:rsid w:val="006D10AC"/>
    <w:rsid w:val="006D11C7"/>
    <w:rsid w:val="006D11F0"/>
    <w:rsid w:val="006D14FC"/>
    <w:rsid w:val="006D1649"/>
    <w:rsid w:val="006D1651"/>
    <w:rsid w:val="006D16C9"/>
    <w:rsid w:val="006D18FB"/>
    <w:rsid w:val="006D1C1D"/>
    <w:rsid w:val="006D1C7B"/>
    <w:rsid w:val="006D1D51"/>
    <w:rsid w:val="006D1DC2"/>
    <w:rsid w:val="006D1ED1"/>
    <w:rsid w:val="006D1EDC"/>
    <w:rsid w:val="006D1FB3"/>
    <w:rsid w:val="006D2242"/>
    <w:rsid w:val="006D2276"/>
    <w:rsid w:val="006D22C0"/>
    <w:rsid w:val="006D23FF"/>
    <w:rsid w:val="006D2799"/>
    <w:rsid w:val="006D289C"/>
    <w:rsid w:val="006D2A67"/>
    <w:rsid w:val="006D2A77"/>
    <w:rsid w:val="006D2A84"/>
    <w:rsid w:val="006D2BA0"/>
    <w:rsid w:val="006D2D62"/>
    <w:rsid w:val="006D2EB7"/>
    <w:rsid w:val="006D2EF5"/>
    <w:rsid w:val="006D324B"/>
    <w:rsid w:val="006D3258"/>
    <w:rsid w:val="006D32D4"/>
    <w:rsid w:val="006D3655"/>
    <w:rsid w:val="006D3966"/>
    <w:rsid w:val="006D3A8F"/>
    <w:rsid w:val="006D3A9A"/>
    <w:rsid w:val="006D3B9B"/>
    <w:rsid w:val="006D3BC0"/>
    <w:rsid w:val="006D3C70"/>
    <w:rsid w:val="006D3CA9"/>
    <w:rsid w:val="006D3CC8"/>
    <w:rsid w:val="006D3D0F"/>
    <w:rsid w:val="006D3D3B"/>
    <w:rsid w:val="006D3FE5"/>
    <w:rsid w:val="006D3FE7"/>
    <w:rsid w:val="006D4292"/>
    <w:rsid w:val="006D43AA"/>
    <w:rsid w:val="006D4580"/>
    <w:rsid w:val="006D4651"/>
    <w:rsid w:val="006D466F"/>
    <w:rsid w:val="006D4676"/>
    <w:rsid w:val="006D4809"/>
    <w:rsid w:val="006D48D6"/>
    <w:rsid w:val="006D49BC"/>
    <w:rsid w:val="006D4C05"/>
    <w:rsid w:val="006D4D8E"/>
    <w:rsid w:val="006D4F93"/>
    <w:rsid w:val="006D52F6"/>
    <w:rsid w:val="006D5580"/>
    <w:rsid w:val="006D562C"/>
    <w:rsid w:val="006D575A"/>
    <w:rsid w:val="006D587E"/>
    <w:rsid w:val="006D59CE"/>
    <w:rsid w:val="006D5A7A"/>
    <w:rsid w:val="006D5C39"/>
    <w:rsid w:val="006D5C3B"/>
    <w:rsid w:val="006D5CC9"/>
    <w:rsid w:val="006D5CF0"/>
    <w:rsid w:val="006D5DD6"/>
    <w:rsid w:val="006D5DF5"/>
    <w:rsid w:val="006D602C"/>
    <w:rsid w:val="006D60D7"/>
    <w:rsid w:val="006D62A7"/>
    <w:rsid w:val="006D64C1"/>
    <w:rsid w:val="006D65CB"/>
    <w:rsid w:val="006D67D3"/>
    <w:rsid w:val="006D68D5"/>
    <w:rsid w:val="006D6BC2"/>
    <w:rsid w:val="006D6C29"/>
    <w:rsid w:val="006D6E17"/>
    <w:rsid w:val="006D6EF4"/>
    <w:rsid w:val="006D72B1"/>
    <w:rsid w:val="006D75B2"/>
    <w:rsid w:val="006D78B4"/>
    <w:rsid w:val="006D78C8"/>
    <w:rsid w:val="006D78D5"/>
    <w:rsid w:val="006D7E7E"/>
    <w:rsid w:val="006D7F13"/>
    <w:rsid w:val="006D7FCD"/>
    <w:rsid w:val="006E013A"/>
    <w:rsid w:val="006E0292"/>
    <w:rsid w:val="006E02C3"/>
    <w:rsid w:val="006E02DC"/>
    <w:rsid w:val="006E04B0"/>
    <w:rsid w:val="006E0510"/>
    <w:rsid w:val="006E0625"/>
    <w:rsid w:val="006E07B6"/>
    <w:rsid w:val="006E0959"/>
    <w:rsid w:val="006E09CF"/>
    <w:rsid w:val="006E0D5C"/>
    <w:rsid w:val="006E0D99"/>
    <w:rsid w:val="006E0D9C"/>
    <w:rsid w:val="006E0FBA"/>
    <w:rsid w:val="006E1360"/>
    <w:rsid w:val="006E1372"/>
    <w:rsid w:val="006E143C"/>
    <w:rsid w:val="006E17C8"/>
    <w:rsid w:val="006E17DD"/>
    <w:rsid w:val="006E1970"/>
    <w:rsid w:val="006E1A6F"/>
    <w:rsid w:val="006E1B5D"/>
    <w:rsid w:val="006E1BDF"/>
    <w:rsid w:val="006E1C56"/>
    <w:rsid w:val="006E1C81"/>
    <w:rsid w:val="006E1D3D"/>
    <w:rsid w:val="006E1F94"/>
    <w:rsid w:val="006E2083"/>
    <w:rsid w:val="006E211C"/>
    <w:rsid w:val="006E24C7"/>
    <w:rsid w:val="006E261A"/>
    <w:rsid w:val="006E26AB"/>
    <w:rsid w:val="006E276D"/>
    <w:rsid w:val="006E2A0F"/>
    <w:rsid w:val="006E2A2D"/>
    <w:rsid w:val="006E2CE3"/>
    <w:rsid w:val="006E2E77"/>
    <w:rsid w:val="006E3194"/>
    <w:rsid w:val="006E345B"/>
    <w:rsid w:val="006E37C5"/>
    <w:rsid w:val="006E3825"/>
    <w:rsid w:val="006E38CA"/>
    <w:rsid w:val="006E3B3F"/>
    <w:rsid w:val="006E3E2F"/>
    <w:rsid w:val="006E3E36"/>
    <w:rsid w:val="006E3E3B"/>
    <w:rsid w:val="006E3F8A"/>
    <w:rsid w:val="006E4033"/>
    <w:rsid w:val="006E41A1"/>
    <w:rsid w:val="006E41DE"/>
    <w:rsid w:val="006E4477"/>
    <w:rsid w:val="006E448B"/>
    <w:rsid w:val="006E4628"/>
    <w:rsid w:val="006E4674"/>
    <w:rsid w:val="006E48D5"/>
    <w:rsid w:val="006E4948"/>
    <w:rsid w:val="006E4A02"/>
    <w:rsid w:val="006E4B9F"/>
    <w:rsid w:val="006E4D3F"/>
    <w:rsid w:val="006E4E65"/>
    <w:rsid w:val="006E4EE4"/>
    <w:rsid w:val="006E4F01"/>
    <w:rsid w:val="006E535A"/>
    <w:rsid w:val="006E5386"/>
    <w:rsid w:val="006E5407"/>
    <w:rsid w:val="006E56F3"/>
    <w:rsid w:val="006E5A4B"/>
    <w:rsid w:val="006E5E8D"/>
    <w:rsid w:val="006E5F6C"/>
    <w:rsid w:val="006E6143"/>
    <w:rsid w:val="006E6164"/>
    <w:rsid w:val="006E6279"/>
    <w:rsid w:val="006E631A"/>
    <w:rsid w:val="006E6345"/>
    <w:rsid w:val="006E63A2"/>
    <w:rsid w:val="006E6413"/>
    <w:rsid w:val="006E649C"/>
    <w:rsid w:val="006E65EF"/>
    <w:rsid w:val="006E6666"/>
    <w:rsid w:val="006E677F"/>
    <w:rsid w:val="006E6B73"/>
    <w:rsid w:val="006E6C66"/>
    <w:rsid w:val="006E6C8A"/>
    <w:rsid w:val="006E6CD0"/>
    <w:rsid w:val="006E6F55"/>
    <w:rsid w:val="006E70CA"/>
    <w:rsid w:val="006E734C"/>
    <w:rsid w:val="006E735B"/>
    <w:rsid w:val="006E738F"/>
    <w:rsid w:val="006E73B6"/>
    <w:rsid w:val="006E76BA"/>
    <w:rsid w:val="006E7898"/>
    <w:rsid w:val="006F004E"/>
    <w:rsid w:val="006F01CB"/>
    <w:rsid w:val="006F0330"/>
    <w:rsid w:val="006F03C4"/>
    <w:rsid w:val="006F04EB"/>
    <w:rsid w:val="006F05F3"/>
    <w:rsid w:val="006F07EC"/>
    <w:rsid w:val="006F08C3"/>
    <w:rsid w:val="006F0B57"/>
    <w:rsid w:val="006F0B6A"/>
    <w:rsid w:val="006F0C02"/>
    <w:rsid w:val="006F0EEA"/>
    <w:rsid w:val="006F0EF5"/>
    <w:rsid w:val="006F1163"/>
    <w:rsid w:val="006F129B"/>
    <w:rsid w:val="006F132F"/>
    <w:rsid w:val="006F139D"/>
    <w:rsid w:val="006F1456"/>
    <w:rsid w:val="006F1557"/>
    <w:rsid w:val="006F1584"/>
    <w:rsid w:val="006F15E8"/>
    <w:rsid w:val="006F1611"/>
    <w:rsid w:val="006F17DD"/>
    <w:rsid w:val="006F1DDD"/>
    <w:rsid w:val="006F1DE8"/>
    <w:rsid w:val="006F1E2F"/>
    <w:rsid w:val="006F2019"/>
    <w:rsid w:val="006F22F0"/>
    <w:rsid w:val="006F24BD"/>
    <w:rsid w:val="006F26C7"/>
    <w:rsid w:val="006F2726"/>
    <w:rsid w:val="006F2807"/>
    <w:rsid w:val="006F2897"/>
    <w:rsid w:val="006F2992"/>
    <w:rsid w:val="006F2CA6"/>
    <w:rsid w:val="006F2DCF"/>
    <w:rsid w:val="006F2DE3"/>
    <w:rsid w:val="006F2DEE"/>
    <w:rsid w:val="006F2E0A"/>
    <w:rsid w:val="006F3281"/>
    <w:rsid w:val="006F346E"/>
    <w:rsid w:val="006F3484"/>
    <w:rsid w:val="006F34ED"/>
    <w:rsid w:val="006F3B65"/>
    <w:rsid w:val="006F3D03"/>
    <w:rsid w:val="006F3DA6"/>
    <w:rsid w:val="006F3E07"/>
    <w:rsid w:val="006F3E0E"/>
    <w:rsid w:val="006F3FF0"/>
    <w:rsid w:val="006F405B"/>
    <w:rsid w:val="006F4284"/>
    <w:rsid w:val="006F4531"/>
    <w:rsid w:val="006F4536"/>
    <w:rsid w:val="006F46DA"/>
    <w:rsid w:val="006F4772"/>
    <w:rsid w:val="006F47F8"/>
    <w:rsid w:val="006F4948"/>
    <w:rsid w:val="006F499E"/>
    <w:rsid w:val="006F4A5E"/>
    <w:rsid w:val="006F4AE6"/>
    <w:rsid w:val="006F4AF1"/>
    <w:rsid w:val="006F4BA3"/>
    <w:rsid w:val="006F4C6B"/>
    <w:rsid w:val="006F4D84"/>
    <w:rsid w:val="006F4DB9"/>
    <w:rsid w:val="006F4E0D"/>
    <w:rsid w:val="006F5145"/>
    <w:rsid w:val="006F51DF"/>
    <w:rsid w:val="006F5588"/>
    <w:rsid w:val="006F5AAF"/>
    <w:rsid w:val="006F5DA6"/>
    <w:rsid w:val="006F5EE0"/>
    <w:rsid w:val="006F620B"/>
    <w:rsid w:val="006F622B"/>
    <w:rsid w:val="006F63BF"/>
    <w:rsid w:val="006F654A"/>
    <w:rsid w:val="006F68A6"/>
    <w:rsid w:val="006F6ACC"/>
    <w:rsid w:val="006F6BBB"/>
    <w:rsid w:val="006F6BE5"/>
    <w:rsid w:val="006F6FDE"/>
    <w:rsid w:val="006F7002"/>
    <w:rsid w:val="006F71B7"/>
    <w:rsid w:val="006F7309"/>
    <w:rsid w:val="006F75FE"/>
    <w:rsid w:val="006F7731"/>
    <w:rsid w:val="006F78D7"/>
    <w:rsid w:val="006F7A13"/>
    <w:rsid w:val="006F7BD5"/>
    <w:rsid w:val="006F7CD2"/>
    <w:rsid w:val="006F7D97"/>
    <w:rsid w:val="006F7F85"/>
    <w:rsid w:val="00700060"/>
    <w:rsid w:val="0070019D"/>
    <w:rsid w:val="007001E3"/>
    <w:rsid w:val="00700279"/>
    <w:rsid w:val="00700412"/>
    <w:rsid w:val="0070047C"/>
    <w:rsid w:val="007004FA"/>
    <w:rsid w:val="00700597"/>
    <w:rsid w:val="00700809"/>
    <w:rsid w:val="00700835"/>
    <w:rsid w:val="007009F2"/>
    <w:rsid w:val="00700D41"/>
    <w:rsid w:val="00700E9B"/>
    <w:rsid w:val="00700EFA"/>
    <w:rsid w:val="00701264"/>
    <w:rsid w:val="00701433"/>
    <w:rsid w:val="007015C2"/>
    <w:rsid w:val="00701788"/>
    <w:rsid w:val="007018F4"/>
    <w:rsid w:val="00701C17"/>
    <w:rsid w:val="00701EB1"/>
    <w:rsid w:val="007021C0"/>
    <w:rsid w:val="00702255"/>
    <w:rsid w:val="00702288"/>
    <w:rsid w:val="007022FB"/>
    <w:rsid w:val="0070289D"/>
    <w:rsid w:val="00702AA8"/>
    <w:rsid w:val="00702D99"/>
    <w:rsid w:val="00702F20"/>
    <w:rsid w:val="007030B1"/>
    <w:rsid w:val="00703195"/>
    <w:rsid w:val="00703316"/>
    <w:rsid w:val="00703373"/>
    <w:rsid w:val="00703A2E"/>
    <w:rsid w:val="00703A43"/>
    <w:rsid w:val="00703D93"/>
    <w:rsid w:val="00703E32"/>
    <w:rsid w:val="00704174"/>
    <w:rsid w:val="00704307"/>
    <w:rsid w:val="0070441F"/>
    <w:rsid w:val="0070456E"/>
    <w:rsid w:val="00704B9E"/>
    <w:rsid w:val="00704BF9"/>
    <w:rsid w:val="00704E43"/>
    <w:rsid w:val="00704FCD"/>
    <w:rsid w:val="00704FE0"/>
    <w:rsid w:val="00705238"/>
    <w:rsid w:val="0070547E"/>
    <w:rsid w:val="007054E3"/>
    <w:rsid w:val="00705580"/>
    <w:rsid w:val="00705596"/>
    <w:rsid w:val="00705686"/>
    <w:rsid w:val="00705788"/>
    <w:rsid w:val="00705A54"/>
    <w:rsid w:val="00705E11"/>
    <w:rsid w:val="00705E8A"/>
    <w:rsid w:val="00705EB5"/>
    <w:rsid w:val="00705FD0"/>
    <w:rsid w:val="0070606F"/>
    <w:rsid w:val="0070613D"/>
    <w:rsid w:val="0070614F"/>
    <w:rsid w:val="0070657A"/>
    <w:rsid w:val="00706634"/>
    <w:rsid w:val="00706663"/>
    <w:rsid w:val="007066DD"/>
    <w:rsid w:val="00706786"/>
    <w:rsid w:val="00706BA0"/>
    <w:rsid w:val="00706D65"/>
    <w:rsid w:val="00706DB6"/>
    <w:rsid w:val="00706DB9"/>
    <w:rsid w:val="00706EFB"/>
    <w:rsid w:val="00707023"/>
    <w:rsid w:val="007070A1"/>
    <w:rsid w:val="00707A83"/>
    <w:rsid w:val="00707A89"/>
    <w:rsid w:val="00707AE9"/>
    <w:rsid w:val="00707B8F"/>
    <w:rsid w:val="00707BF6"/>
    <w:rsid w:val="00707BFC"/>
    <w:rsid w:val="00707F43"/>
    <w:rsid w:val="007101A0"/>
    <w:rsid w:val="00710289"/>
    <w:rsid w:val="00710302"/>
    <w:rsid w:val="00710420"/>
    <w:rsid w:val="00710631"/>
    <w:rsid w:val="0071063E"/>
    <w:rsid w:val="0071064E"/>
    <w:rsid w:val="007106DF"/>
    <w:rsid w:val="00710754"/>
    <w:rsid w:val="00710819"/>
    <w:rsid w:val="007108FD"/>
    <w:rsid w:val="00710970"/>
    <w:rsid w:val="00710A54"/>
    <w:rsid w:val="00710BBC"/>
    <w:rsid w:val="00710BEB"/>
    <w:rsid w:val="00710C62"/>
    <w:rsid w:val="00710E24"/>
    <w:rsid w:val="00711031"/>
    <w:rsid w:val="0071113C"/>
    <w:rsid w:val="0071126A"/>
    <w:rsid w:val="0071139F"/>
    <w:rsid w:val="00711605"/>
    <w:rsid w:val="00711641"/>
    <w:rsid w:val="007119F3"/>
    <w:rsid w:val="00711A23"/>
    <w:rsid w:val="00711A24"/>
    <w:rsid w:val="00711AE1"/>
    <w:rsid w:val="00711B2B"/>
    <w:rsid w:val="00711E9E"/>
    <w:rsid w:val="00711EDD"/>
    <w:rsid w:val="00711F7B"/>
    <w:rsid w:val="0071204A"/>
    <w:rsid w:val="00712051"/>
    <w:rsid w:val="0071220C"/>
    <w:rsid w:val="0071222E"/>
    <w:rsid w:val="007122E9"/>
    <w:rsid w:val="007123CF"/>
    <w:rsid w:val="00712408"/>
    <w:rsid w:val="0071254B"/>
    <w:rsid w:val="0071263D"/>
    <w:rsid w:val="00712821"/>
    <w:rsid w:val="007128B9"/>
    <w:rsid w:val="007129F7"/>
    <w:rsid w:val="00712A48"/>
    <w:rsid w:val="00712BFA"/>
    <w:rsid w:val="00712FFC"/>
    <w:rsid w:val="0071321C"/>
    <w:rsid w:val="007135D9"/>
    <w:rsid w:val="00713698"/>
    <w:rsid w:val="007136D8"/>
    <w:rsid w:val="0071382B"/>
    <w:rsid w:val="00713911"/>
    <w:rsid w:val="007139BF"/>
    <w:rsid w:val="007139E5"/>
    <w:rsid w:val="00713BFC"/>
    <w:rsid w:val="00713CE1"/>
    <w:rsid w:val="00713D00"/>
    <w:rsid w:val="00713FD3"/>
    <w:rsid w:val="00714082"/>
    <w:rsid w:val="00714213"/>
    <w:rsid w:val="00714359"/>
    <w:rsid w:val="007143CA"/>
    <w:rsid w:val="0071451F"/>
    <w:rsid w:val="00714682"/>
    <w:rsid w:val="00714742"/>
    <w:rsid w:val="0071478D"/>
    <w:rsid w:val="00714928"/>
    <w:rsid w:val="0071499F"/>
    <w:rsid w:val="00714C36"/>
    <w:rsid w:val="00714CB0"/>
    <w:rsid w:val="00714E40"/>
    <w:rsid w:val="00714ED0"/>
    <w:rsid w:val="00714F1F"/>
    <w:rsid w:val="00714F27"/>
    <w:rsid w:val="00715205"/>
    <w:rsid w:val="007152C2"/>
    <w:rsid w:val="00715311"/>
    <w:rsid w:val="007156A2"/>
    <w:rsid w:val="00715747"/>
    <w:rsid w:val="007157A1"/>
    <w:rsid w:val="0071589A"/>
    <w:rsid w:val="007159F1"/>
    <w:rsid w:val="00715A60"/>
    <w:rsid w:val="00715CB3"/>
    <w:rsid w:val="00715E71"/>
    <w:rsid w:val="0071616B"/>
    <w:rsid w:val="00716314"/>
    <w:rsid w:val="00716384"/>
    <w:rsid w:val="007163F8"/>
    <w:rsid w:val="00716473"/>
    <w:rsid w:val="007164B8"/>
    <w:rsid w:val="00716514"/>
    <w:rsid w:val="00716529"/>
    <w:rsid w:val="00716AEE"/>
    <w:rsid w:val="00716B0A"/>
    <w:rsid w:val="00716B5E"/>
    <w:rsid w:val="00716B9F"/>
    <w:rsid w:val="00716C12"/>
    <w:rsid w:val="00716C92"/>
    <w:rsid w:val="00716DEC"/>
    <w:rsid w:val="00716DF0"/>
    <w:rsid w:val="00716DFA"/>
    <w:rsid w:val="00716E1D"/>
    <w:rsid w:val="00716FC9"/>
    <w:rsid w:val="00716FE2"/>
    <w:rsid w:val="007170BB"/>
    <w:rsid w:val="007171D9"/>
    <w:rsid w:val="00717262"/>
    <w:rsid w:val="0071751B"/>
    <w:rsid w:val="007175BE"/>
    <w:rsid w:val="00717604"/>
    <w:rsid w:val="007179EB"/>
    <w:rsid w:val="00717A46"/>
    <w:rsid w:val="00717A64"/>
    <w:rsid w:val="00717D75"/>
    <w:rsid w:val="00717EF5"/>
    <w:rsid w:val="00717F65"/>
    <w:rsid w:val="007206C3"/>
    <w:rsid w:val="0072071C"/>
    <w:rsid w:val="00720B0E"/>
    <w:rsid w:val="00720BA4"/>
    <w:rsid w:val="00720D09"/>
    <w:rsid w:val="00720E0D"/>
    <w:rsid w:val="00721483"/>
    <w:rsid w:val="0072198D"/>
    <w:rsid w:val="00721A0E"/>
    <w:rsid w:val="00721D85"/>
    <w:rsid w:val="00721F0E"/>
    <w:rsid w:val="00722130"/>
    <w:rsid w:val="00722134"/>
    <w:rsid w:val="00722228"/>
    <w:rsid w:val="00722287"/>
    <w:rsid w:val="00722295"/>
    <w:rsid w:val="00722394"/>
    <w:rsid w:val="007225BE"/>
    <w:rsid w:val="0072278C"/>
    <w:rsid w:val="00722825"/>
    <w:rsid w:val="00722CC7"/>
    <w:rsid w:val="00722DA3"/>
    <w:rsid w:val="00722EA1"/>
    <w:rsid w:val="00722F65"/>
    <w:rsid w:val="0072301C"/>
    <w:rsid w:val="00723421"/>
    <w:rsid w:val="00723543"/>
    <w:rsid w:val="00723579"/>
    <w:rsid w:val="007238F4"/>
    <w:rsid w:val="00723A92"/>
    <w:rsid w:val="00723C35"/>
    <w:rsid w:val="00723F64"/>
    <w:rsid w:val="00723FF5"/>
    <w:rsid w:val="00724320"/>
    <w:rsid w:val="00724349"/>
    <w:rsid w:val="007249A2"/>
    <w:rsid w:val="00724A47"/>
    <w:rsid w:val="00724A85"/>
    <w:rsid w:val="00724C55"/>
    <w:rsid w:val="00724F18"/>
    <w:rsid w:val="0072502C"/>
    <w:rsid w:val="00725199"/>
    <w:rsid w:val="0072519D"/>
    <w:rsid w:val="007253C4"/>
    <w:rsid w:val="00725520"/>
    <w:rsid w:val="007255C9"/>
    <w:rsid w:val="00725656"/>
    <w:rsid w:val="007258CE"/>
    <w:rsid w:val="00725A89"/>
    <w:rsid w:val="00725B6E"/>
    <w:rsid w:val="00725C47"/>
    <w:rsid w:val="00725CD7"/>
    <w:rsid w:val="00725D32"/>
    <w:rsid w:val="00726043"/>
    <w:rsid w:val="007260E5"/>
    <w:rsid w:val="007261C1"/>
    <w:rsid w:val="0072637F"/>
    <w:rsid w:val="007263D0"/>
    <w:rsid w:val="007265CD"/>
    <w:rsid w:val="007265CE"/>
    <w:rsid w:val="0072677B"/>
    <w:rsid w:val="007267A7"/>
    <w:rsid w:val="007267E1"/>
    <w:rsid w:val="00726952"/>
    <w:rsid w:val="00726A82"/>
    <w:rsid w:val="00726C35"/>
    <w:rsid w:val="00726D00"/>
    <w:rsid w:val="00726D4E"/>
    <w:rsid w:val="00726DBE"/>
    <w:rsid w:val="00726EBA"/>
    <w:rsid w:val="00727015"/>
    <w:rsid w:val="00727144"/>
    <w:rsid w:val="0072724A"/>
    <w:rsid w:val="007273C8"/>
    <w:rsid w:val="007275C2"/>
    <w:rsid w:val="007276FA"/>
    <w:rsid w:val="00727732"/>
    <w:rsid w:val="0072779E"/>
    <w:rsid w:val="00727849"/>
    <w:rsid w:val="0072785B"/>
    <w:rsid w:val="0072788F"/>
    <w:rsid w:val="00727912"/>
    <w:rsid w:val="00727C6E"/>
    <w:rsid w:val="00727FE7"/>
    <w:rsid w:val="00730014"/>
    <w:rsid w:val="0073016E"/>
    <w:rsid w:val="0073079E"/>
    <w:rsid w:val="007308BB"/>
    <w:rsid w:val="007309DB"/>
    <w:rsid w:val="00730BB2"/>
    <w:rsid w:val="00730D5C"/>
    <w:rsid w:val="00730F27"/>
    <w:rsid w:val="0073100B"/>
    <w:rsid w:val="00731059"/>
    <w:rsid w:val="007311DC"/>
    <w:rsid w:val="00731225"/>
    <w:rsid w:val="00731289"/>
    <w:rsid w:val="00731335"/>
    <w:rsid w:val="00731503"/>
    <w:rsid w:val="00731A0D"/>
    <w:rsid w:val="00731AAC"/>
    <w:rsid w:val="00731B34"/>
    <w:rsid w:val="00731C36"/>
    <w:rsid w:val="00731CC3"/>
    <w:rsid w:val="00731D8A"/>
    <w:rsid w:val="007321E8"/>
    <w:rsid w:val="00732447"/>
    <w:rsid w:val="00732665"/>
    <w:rsid w:val="007326B6"/>
    <w:rsid w:val="007327D0"/>
    <w:rsid w:val="0073295F"/>
    <w:rsid w:val="00732B8A"/>
    <w:rsid w:val="00732C3F"/>
    <w:rsid w:val="00732C51"/>
    <w:rsid w:val="00732D45"/>
    <w:rsid w:val="00732D56"/>
    <w:rsid w:val="00732DE7"/>
    <w:rsid w:val="00732EAF"/>
    <w:rsid w:val="00732EDB"/>
    <w:rsid w:val="0073309A"/>
    <w:rsid w:val="007330BE"/>
    <w:rsid w:val="00733379"/>
    <w:rsid w:val="00733383"/>
    <w:rsid w:val="00733399"/>
    <w:rsid w:val="007335D2"/>
    <w:rsid w:val="00733743"/>
    <w:rsid w:val="007338E5"/>
    <w:rsid w:val="00733BC5"/>
    <w:rsid w:val="00733C82"/>
    <w:rsid w:val="00733CDE"/>
    <w:rsid w:val="00734366"/>
    <w:rsid w:val="00734370"/>
    <w:rsid w:val="00734479"/>
    <w:rsid w:val="0073457F"/>
    <w:rsid w:val="00734625"/>
    <w:rsid w:val="00734992"/>
    <w:rsid w:val="00734B82"/>
    <w:rsid w:val="00734C40"/>
    <w:rsid w:val="00734D40"/>
    <w:rsid w:val="00734E27"/>
    <w:rsid w:val="0073514F"/>
    <w:rsid w:val="007352C4"/>
    <w:rsid w:val="007353E1"/>
    <w:rsid w:val="00735991"/>
    <w:rsid w:val="007359EB"/>
    <w:rsid w:val="00735A3F"/>
    <w:rsid w:val="00735D2D"/>
    <w:rsid w:val="00735E1F"/>
    <w:rsid w:val="00736142"/>
    <w:rsid w:val="007364EC"/>
    <w:rsid w:val="00736532"/>
    <w:rsid w:val="007365AB"/>
    <w:rsid w:val="007366B1"/>
    <w:rsid w:val="00736755"/>
    <w:rsid w:val="00736812"/>
    <w:rsid w:val="00736873"/>
    <w:rsid w:val="007368C3"/>
    <w:rsid w:val="00736949"/>
    <w:rsid w:val="00736ED5"/>
    <w:rsid w:val="00736F02"/>
    <w:rsid w:val="007371B9"/>
    <w:rsid w:val="007377E4"/>
    <w:rsid w:val="0073781D"/>
    <w:rsid w:val="00737A4E"/>
    <w:rsid w:val="00737AFD"/>
    <w:rsid w:val="00737B8A"/>
    <w:rsid w:val="00737C17"/>
    <w:rsid w:val="00737FE9"/>
    <w:rsid w:val="00740259"/>
    <w:rsid w:val="00740283"/>
    <w:rsid w:val="007403BC"/>
    <w:rsid w:val="00740632"/>
    <w:rsid w:val="00740711"/>
    <w:rsid w:val="00740740"/>
    <w:rsid w:val="007409F1"/>
    <w:rsid w:val="00740B44"/>
    <w:rsid w:val="00740B85"/>
    <w:rsid w:val="00740EF8"/>
    <w:rsid w:val="007411C8"/>
    <w:rsid w:val="00741456"/>
    <w:rsid w:val="007415E0"/>
    <w:rsid w:val="00741643"/>
    <w:rsid w:val="00741870"/>
    <w:rsid w:val="007419FD"/>
    <w:rsid w:val="00741A7A"/>
    <w:rsid w:val="00741AC0"/>
    <w:rsid w:val="00741B92"/>
    <w:rsid w:val="00741BDD"/>
    <w:rsid w:val="00741D28"/>
    <w:rsid w:val="00741E0B"/>
    <w:rsid w:val="00741E31"/>
    <w:rsid w:val="00741FB5"/>
    <w:rsid w:val="00741FD7"/>
    <w:rsid w:val="007420F4"/>
    <w:rsid w:val="007421AE"/>
    <w:rsid w:val="00742478"/>
    <w:rsid w:val="00742513"/>
    <w:rsid w:val="0074272F"/>
    <w:rsid w:val="00742B36"/>
    <w:rsid w:val="00742EC3"/>
    <w:rsid w:val="00743009"/>
    <w:rsid w:val="00743095"/>
    <w:rsid w:val="007430B8"/>
    <w:rsid w:val="0074310C"/>
    <w:rsid w:val="00743350"/>
    <w:rsid w:val="007433C9"/>
    <w:rsid w:val="007434D9"/>
    <w:rsid w:val="007435E4"/>
    <w:rsid w:val="0074378F"/>
    <w:rsid w:val="00743844"/>
    <w:rsid w:val="00743A2A"/>
    <w:rsid w:val="00743B39"/>
    <w:rsid w:val="00743CB4"/>
    <w:rsid w:val="00743E14"/>
    <w:rsid w:val="00743E23"/>
    <w:rsid w:val="00743EA8"/>
    <w:rsid w:val="007442BD"/>
    <w:rsid w:val="00744621"/>
    <w:rsid w:val="00744639"/>
    <w:rsid w:val="007446F8"/>
    <w:rsid w:val="007448B5"/>
    <w:rsid w:val="00744B1B"/>
    <w:rsid w:val="00744C9B"/>
    <w:rsid w:val="00744DA2"/>
    <w:rsid w:val="00744E41"/>
    <w:rsid w:val="00744EFC"/>
    <w:rsid w:val="00744FE2"/>
    <w:rsid w:val="007450E3"/>
    <w:rsid w:val="00745114"/>
    <w:rsid w:val="0074518B"/>
    <w:rsid w:val="0074531D"/>
    <w:rsid w:val="007453A4"/>
    <w:rsid w:val="00745452"/>
    <w:rsid w:val="007455CB"/>
    <w:rsid w:val="0074562B"/>
    <w:rsid w:val="007456BD"/>
    <w:rsid w:val="007458AF"/>
    <w:rsid w:val="0074592E"/>
    <w:rsid w:val="00745A7C"/>
    <w:rsid w:val="00745A94"/>
    <w:rsid w:val="00745DDB"/>
    <w:rsid w:val="00745DF8"/>
    <w:rsid w:val="00745E13"/>
    <w:rsid w:val="007460A4"/>
    <w:rsid w:val="007461C3"/>
    <w:rsid w:val="007462EE"/>
    <w:rsid w:val="00746457"/>
    <w:rsid w:val="00746574"/>
    <w:rsid w:val="007466D8"/>
    <w:rsid w:val="007469C0"/>
    <w:rsid w:val="00746B02"/>
    <w:rsid w:val="00746D38"/>
    <w:rsid w:val="00746D87"/>
    <w:rsid w:val="00746E92"/>
    <w:rsid w:val="0074728B"/>
    <w:rsid w:val="007473BF"/>
    <w:rsid w:val="007473ED"/>
    <w:rsid w:val="00747522"/>
    <w:rsid w:val="00747536"/>
    <w:rsid w:val="00747571"/>
    <w:rsid w:val="00747C21"/>
    <w:rsid w:val="00747D5A"/>
    <w:rsid w:val="00747D7E"/>
    <w:rsid w:val="00747FB0"/>
    <w:rsid w:val="0075004F"/>
    <w:rsid w:val="00750163"/>
    <w:rsid w:val="00750510"/>
    <w:rsid w:val="00750D5C"/>
    <w:rsid w:val="00750E0C"/>
    <w:rsid w:val="0075113F"/>
    <w:rsid w:val="00751361"/>
    <w:rsid w:val="007516F9"/>
    <w:rsid w:val="0075171A"/>
    <w:rsid w:val="00751863"/>
    <w:rsid w:val="00751AA5"/>
    <w:rsid w:val="00751BCA"/>
    <w:rsid w:val="00751BE1"/>
    <w:rsid w:val="00751C23"/>
    <w:rsid w:val="00751C3D"/>
    <w:rsid w:val="00751FF6"/>
    <w:rsid w:val="007520AC"/>
    <w:rsid w:val="0075219B"/>
    <w:rsid w:val="00752227"/>
    <w:rsid w:val="00752296"/>
    <w:rsid w:val="007523D6"/>
    <w:rsid w:val="0075240B"/>
    <w:rsid w:val="0075241A"/>
    <w:rsid w:val="007524A5"/>
    <w:rsid w:val="007524FA"/>
    <w:rsid w:val="0075290E"/>
    <w:rsid w:val="00752983"/>
    <w:rsid w:val="00752B8C"/>
    <w:rsid w:val="00752C02"/>
    <w:rsid w:val="00752E91"/>
    <w:rsid w:val="00752F54"/>
    <w:rsid w:val="00753095"/>
    <w:rsid w:val="0075316B"/>
    <w:rsid w:val="007531A4"/>
    <w:rsid w:val="00753A9C"/>
    <w:rsid w:val="00753ACA"/>
    <w:rsid w:val="00753E52"/>
    <w:rsid w:val="00753E84"/>
    <w:rsid w:val="00753F8C"/>
    <w:rsid w:val="00754114"/>
    <w:rsid w:val="00754216"/>
    <w:rsid w:val="0075431B"/>
    <w:rsid w:val="00754338"/>
    <w:rsid w:val="007543BE"/>
    <w:rsid w:val="007543DF"/>
    <w:rsid w:val="0075456C"/>
    <w:rsid w:val="00754792"/>
    <w:rsid w:val="00754908"/>
    <w:rsid w:val="00754C59"/>
    <w:rsid w:val="00755026"/>
    <w:rsid w:val="007552DB"/>
    <w:rsid w:val="007552E7"/>
    <w:rsid w:val="007552E8"/>
    <w:rsid w:val="00755514"/>
    <w:rsid w:val="0075554C"/>
    <w:rsid w:val="007555C9"/>
    <w:rsid w:val="00755666"/>
    <w:rsid w:val="0075566F"/>
    <w:rsid w:val="0075571E"/>
    <w:rsid w:val="00755863"/>
    <w:rsid w:val="00755A78"/>
    <w:rsid w:val="00755B18"/>
    <w:rsid w:val="00755E76"/>
    <w:rsid w:val="00755EA3"/>
    <w:rsid w:val="00755EE4"/>
    <w:rsid w:val="007561CB"/>
    <w:rsid w:val="007561E3"/>
    <w:rsid w:val="0075623D"/>
    <w:rsid w:val="007568BF"/>
    <w:rsid w:val="007568E0"/>
    <w:rsid w:val="00756936"/>
    <w:rsid w:val="00756AF5"/>
    <w:rsid w:val="00756C1B"/>
    <w:rsid w:val="00756CE9"/>
    <w:rsid w:val="00756E33"/>
    <w:rsid w:val="00756F7F"/>
    <w:rsid w:val="00757055"/>
    <w:rsid w:val="0075729C"/>
    <w:rsid w:val="00757314"/>
    <w:rsid w:val="00757518"/>
    <w:rsid w:val="007575F6"/>
    <w:rsid w:val="0075769C"/>
    <w:rsid w:val="0075773A"/>
    <w:rsid w:val="0075773C"/>
    <w:rsid w:val="007577E6"/>
    <w:rsid w:val="00757875"/>
    <w:rsid w:val="007579D7"/>
    <w:rsid w:val="00757B6E"/>
    <w:rsid w:val="00757BA7"/>
    <w:rsid w:val="00757C14"/>
    <w:rsid w:val="00757F72"/>
    <w:rsid w:val="0076008C"/>
    <w:rsid w:val="007601C0"/>
    <w:rsid w:val="0076023C"/>
    <w:rsid w:val="0076049F"/>
    <w:rsid w:val="00760516"/>
    <w:rsid w:val="00760704"/>
    <w:rsid w:val="007608FD"/>
    <w:rsid w:val="00760A05"/>
    <w:rsid w:val="00760C6E"/>
    <w:rsid w:val="00760D84"/>
    <w:rsid w:val="00760F76"/>
    <w:rsid w:val="0076110E"/>
    <w:rsid w:val="00761260"/>
    <w:rsid w:val="00761336"/>
    <w:rsid w:val="0076138F"/>
    <w:rsid w:val="00761673"/>
    <w:rsid w:val="0076186F"/>
    <w:rsid w:val="00761949"/>
    <w:rsid w:val="00761F19"/>
    <w:rsid w:val="00761FA8"/>
    <w:rsid w:val="00761FDB"/>
    <w:rsid w:val="00761FDC"/>
    <w:rsid w:val="00761FF3"/>
    <w:rsid w:val="0076202B"/>
    <w:rsid w:val="007621CA"/>
    <w:rsid w:val="0076224A"/>
    <w:rsid w:val="007625E2"/>
    <w:rsid w:val="00762652"/>
    <w:rsid w:val="00762871"/>
    <w:rsid w:val="007628BC"/>
    <w:rsid w:val="0076299C"/>
    <w:rsid w:val="007629B7"/>
    <w:rsid w:val="00762AFF"/>
    <w:rsid w:val="00762C7A"/>
    <w:rsid w:val="00763188"/>
    <w:rsid w:val="0076322F"/>
    <w:rsid w:val="0076324E"/>
    <w:rsid w:val="0076346D"/>
    <w:rsid w:val="007635A9"/>
    <w:rsid w:val="007636B7"/>
    <w:rsid w:val="007637F4"/>
    <w:rsid w:val="0076386E"/>
    <w:rsid w:val="00763A49"/>
    <w:rsid w:val="00763A61"/>
    <w:rsid w:val="00763A67"/>
    <w:rsid w:val="00763A90"/>
    <w:rsid w:val="00763B7A"/>
    <w:rsid w:val="00763C8B"/>
    <w:rsid w:val="00763C8E"/>
    <w:rsid w:val="00763FCD"/>
    <w:rsid w:val="007640CE"/>
    <w:rsid w:val="00764371"/>
    <w:rsid w:val="007646A4"/>
    <w:rsid w:val="007647D9"/>
    <w:rsid w:val="007647EE"/>
    <w:rsid w:val="00764860"/>
    <w:rsid w:val="00764FC5"/>
    <w:rsid w:val="00765049"/>
    <w:rsid w:val="00765082"/>
    <w:rsid w:val="00765186"/>
    <w:rsid w:val="007652B3"/>
    <w:rsid w:val="00765353"/>
    <w:rsid w:val="0076550D"/>
    <w:rsid w:val="0076562A"/>
    <w:rsid w:val="0076564C"/>
    <w:rsid w:val="0076588D"/>
    <w:rsid w:val="00765C1B"/>
    <w:rsid w:val="00765CF6"/>
    <w:rsid w:val="00765D68"/>
    <w:rsid w:val="00765DB5"/>
    <w:rsid w:val="00765DC8"/>
    <w:rsid w:val="00765E00"/>
    <w:rsid w:val="00765E08"/>
    <w:rsid w:val="00765E5D"/>
    <w:rsid w:val="00765E7E"/>
    <w:rsid w:val="00765F4E"/>
    <w:rsid w:val="00765F82"/>
    <w:rsid w:val="00766046"/>
    <w:rsid w:val="00766169"/>
    <w:rsid w:val="007662FD"/>
    <w:rsid w:val="007667CA"/>
    <w:rsid w:val="00766988"/>
    <w:rsid w:val="00766A5A"/>
    <w:rsid w:val="00766ADE"/>
    <w:rsid w:val="00766AE1"/>
    <w:rsid w:val="00766D2E"/>
    <w:rsid w:val="00766E93"/>
    <w:rsid w:val="00766FF6"/>
    <w:rsid w:val="007672D8"/>
    <w:rsid w:val="0076739C"/>
    <w:rsid w:val="007674BD"/>
    <w:rsid w:val="007675A0"/>
    <w:rsid w:val="00767603"/>
    <w:rsid w:val="00767B0F"/>
    <w:rsid w:val="00767C7A"/>
    <w:rsid w:val="00767D22"/>
    <w:rsid w:val="00767F14"/>
    <w:rsid w:val="00767FE7"/>
    <w:rsid w:val="00770186"/>
    <w:rsid w:val="0077023D"/>
    <w:rsid w:val="007702EF"/>
    <w:rsid w:val="00770355"/>
    <w:rsid w:val="007703E4"/>
    <w:rsid w:val="007706D7"/>
    <w:rsid w:val="00770AAE"/>
    <w:rsid w:val="00770B6A"/>
    <w:rsid w:val="00770DF0"/>
    <w:rsid w:val="00770F73"/>
    <w:rsid w:val="007712AB"/>
    <w:rsid w:val="00771321"/>
    <w:rsid w:val="007713A3"/>
    <w:rsid w:val="007714A5"/>
    <w:rsid w:val="00771689"/>
    <w:rsid w:val="00771740"/>
    <w:rsid w:val="0077184F"/>
    <w:rsid w:val="007718FB"/>
    <w:rsid w:val="0077192B"/>
    <w:rsid w:val="00771999"/>
    <w:rsid w:val="00771A63"/>
    <w:rsid w:val="00771AD4"/>
    <w:rsid w:val="00771AFE"/>
    <w:rsid w:val="00771FD1"/>
    <w:rsid w:val="007721B4"/>
    <w:rsid w:val="00772270"/>
    <w:rsid w:val="00772349"/>
    <w:rsid w:val="00772446"/>
    <w:rsid w:val="0077248C"/>
    <w:rsid w:val="007724AD"/>
    <w:rsid w:val="00772535"/>
    <w:rsid w:val="00772834"/>
    <w:rsid w:val="0077284A"/>
    <w:rsid w:val="007728E9"/>
    <w:rsid w:val="00772EBF"/>
    <w:rsid w:val="007730C0"/>
    <w:rsid w:val="00773221"/>
    <w:rsid w:val="0077325C"/>
    <w:rsid w:val="00773460"/>
    <w:rsid w:val="0077350E"/>
    <w:rsid w:val="00773990"/>
    <w:rsid w:val="00773B12"/>
    <w:rsid w:val="00773E94"/>
    <w:rsid w:val="00774268"/>
    <w:rsid w:val="00774273"/>
    <w:rsid w:val="0077440C"/>
    <w:rsid w:val="00774604"/>
    <w:rsid w:val="007747EE"/>
    <w:rsid w:val="00774AE3"/>
    <w:rsid w:val="00774B18"/>
    <w:rsid w:val="00774C0D"/>
    <w:rsid w:val="00774DE1"/>
    <w:rsid w:val="00774EAA"/>
    <w:rsid w:val="00774EB3"/>
    <w:rsid w:val="00774F48"/>
    <w:rsid w:val="007754AE"/>
    <w:rsid w:val="0077575A"/>
    <w:rsid w:val="007758F8"/>
    <w:rsid w:val="00775CEB"/>
    <w:rsid w:val="00775D81"/>
    <w:rsid w:val="00775E7A"/>
    <w:rsid w:val="0077608C"/>
    <w:rsid w:val="007762B7"/>
    <w:rsid w:val="0077640A"/>
    <w:rsid w:val="007765CC"/>
    <w:rsid w:val="00776699"/>
    <w:rsid w:val="0077676D"/>
    <w:rsid w:val="007767FC"/>
    <w:rsid w:val="00776873"/>
    <w:rsid w:val="00776945"/>
    <w:rsid w:val="007769BC"/>
    <w:rsid w:val="00776B6C"/>
    <w:rsid w:val="00776C6A"/>
    <w:rsid w:val="00776C6E"/>
    <w:rsid w:val="00776D9F"/>
    <w:rsid w:val="00776F5C"/>
    <w:rsid w:val="00777063"/>
    <w:rsid w:val="0077708F"/>
    <w:rsid w:val="007770D8"/>
    <w:rsid w:val="00777141"/>
    <w:rsid w:val="0077732E"/>
    <w:rsid w:val="00777545"/>
    <w:rsid w:val="00777653"/>
    <w:rsid w:val="00777768"/>
    <w:rsid w:val="00777A5D"/>
    <w:rsid w:val="00777C36"/>
    <w:rsid w:val="00777C47"/>
    <w:rsid w:val="00777CD7"/>
    <w:rsid w:val="00777FD2"/>
    <w:rsid w:val="00780527"/>
    <w:rsid w:val="00780747"/>
    <w:rsid w:val="0078079D"/>
    <w:rsid w:val="00780883"/>
    <w:rsid w:val="00780951"/>
    <w:rsid w:val="00780A4A"/>
    <w:rsid w:val="00780F02"/>
    <w:rsid w:val="00781045"/>
    <w:rsid w:val="007810F2"/>
    <w:rsid w:val="00781143"/>
    <w:rsid w:val="0078130F"/>
    <w:rsid w:val="0078133C"/>
    <w:rsid w:val="00781389"/>
    <w:rsid w:val="00781866"/>
    <w:rsid w:val="00781993"/>
    <w:rsid w:val="007819DC"/>
    <w:rsid w:val="00781A44"/>
    <w:rsid w:val="00781C1B"/>
    <w:rsid w:val="00781C51"/>
    <w:rsid w:val="007820C0"/>
    <w:rsid w:val="00782102"/>
    <w:rsid w:val="00782113"/>
    <w:rsid w:val="00782119"/>
    <w:rsid w:val="007827A2"/>
    <w:rsid w:val="00782866"/>
    <w:rsid w:val="007828F4"/>
    <w:rsid w:val="00782909"/>
    <w:rsid w:val="00782AB6"/>
    <w:rsid w:val="00782BDD"/>
    <w:rsid w:val="00782C21"/>
    <w:rsid w:val="00782D32"/>
    <w:rsid w:val="00782E78"/>
    <w:rsid w:val="00782F46"/>
    <w:rsid w:val="00782FB1"/>
    <w:rsid w:val="00783284"/>
    <w:rsid w:val="00783371"/>
    <w:rsid w:val="007833C0"/>
    <w:rsid w:val="0078340B"/>
    <w:rsid w:val="0078345B"/>
    <w:rsid w:val="0078376F"/>
    <w:rsid w:val="0078395B"/>
    <w:rsid w:val="007839CF"/>
    <w:rsid w:val="007839D0"/>
    <w:rsid w:val="007839DA"/>
    <w:rsid w:val="00783E42"/>
    <w:rsid w:val="00783E4D"/>
    <w:rsid w:val="0078415B"/>
    <w:rsid w:val="007841CC"/>
    <w:rsid w:val="007842AB"/>
    <w:rsid w:val="007844CD"/>
    <w:rsid w:val="007844D2"/>
    <w:rsid w:val="007845ED"/>
    <w:rsid w:val="0078469B"/>
    <w:rsid w:val="0078479E"/>
    <w:rsid w:val="00784857"/>
    <w:rsid w:val="007849AC"/>
    <w:rsid w:val="007849DB"/>
    <w:rsid w:val="00784A62"/>
    <w:rsid w:val="00784F01"/>
    <w:rsid w:val="00785029"/>
    <w:rsid w:val="0078524C"/>
    <w:rsid w:val="007853DE"/>
    <w:rsid w:val="007855A8"/>
    <w:rsid w:val="00785924"/>
    <w:rsid w:val="00785975"/>
    <w:rsid w:val="007859B2"/>
    <w:rsid w:val="007859C1"/>
    <w:rsid w:val="00785B7A"/>
    <w:rsid w:val="00785C67"/>
    <w:rsid w:val="00785EE1"/>
    <w:rsid w:val="00785F68"/>
    <w:rsid w:val="0078602C"/>
    <w:rsid w:val="007860FA"/>
    <w:rsid w:val="00786102"/>
    <w:rsid w:val="007861C9"/>
    <w:rsid w:val="0078620A"/>
    <w:rsid w:val="00786266"/>
    <w:rsid w:val="00786442"/>
    <w:rsid w:val="0078660E"/>
    <w:rsid w:val="007866AB"/>
    <w:rsid w:val="007867D5"/>
    <w:rsid w:val="00786A47"/>
    <w:rsid w:val="00786BC2"/>
    <w:rsid w:val="00786BED"/>
    <w:rsid w:val="00786DE1"/>
    <w:rsid w:val="00786E11"/>
    <w:rsid w:val="00786E63"/>
    <w:rsid w:val="00786E95"/>
    <w:rsid w:val="00786EA2"/>
    <w:rsid w:val="00786F2B"/>
    <w:rsid w:val="0078712C"/>
    <w:rsid w:val="0078715B"/>
    <w:rsid w:val="00787214"/>
    <w:rsid w:val="00787302"/>
    <w:rsid w:val="0078752C"/>
    <w:rsid w:val="007875DD"/>
    <w:rsid w:val="0078769F"/>
    <w:rsid w:val="007876D7"/>
    <w:rsid w:val="00787865"/>
    <w:rsid w:val="00787987"/>
    <w:rsid w:val="00787A0A"/>
    <w:rsid w:val="00787A44"/>
    <w:rsid w:val="00787AC8"/>
    <w:rsid w:val="00787B6F"/>
    <w:rsid w:val="00787BBD"/>
    <w:rsid w:val="00787D85"/>
    <w:rsid w:val="00787EB1"/>
    <w:rsid w:val="00787FB5"/>
    <w:rsid w:val="007900E3"/>
    <w:rsid w:val="007901B0"/>
    <w:rsid w:val="007903FC"/>
    <w:rsid w:val="00790657"/>
    <w:rsid w:val="00790930"/>
    <w:rsid w:val="007909B0"/>
    <w:rsid w:val="007909FD"/>
    <w:rsid w:val="00790A50"/>
    <w:rsid w:val="00790AC7"/>
    <w:rsid w:val="00790BE2"/>
    <w:rsid w:val="00790DD1"/>
    <w:rsid w:val="00790FE0"/>
    <w:rsid w:val="00791114"/>
    <w:rsid w:val="00791321"/>
    <w:rsid w:val="0079179B"/>
    <w:rsid w:val="0079184B"/>
    <w:rsid w:val="00791C62"/>
    <w:rsid w:val="00791D11"/>
    <w:rsid w:val="00791D88"/>
    <w:rsid w:val="00791E94"/>
    <w:rsid w:val="00792110"/>
    <w:rsid w:val="007923FB"/>
    <w:rsid w:val="007923FD"/>
    <w:rsid w:val="00792460"/>
    <w:rsid w:val="00792679"/>
    <w:rsid w:val="007927DA"/>
    <w:rsid w:val="00792920"/>
    <w:rsid w:val="00792B44"/>
    <w:rsid w:val="00792DA0"/>
    <w:rsid w:val="00792E12"/>
    <w:rsid w:val="00792E4B"/>
    <w:rsid w:val="00792ED6"/>
    <w:rsid w:val="0079346E"/>
    <w:rsid w:val="007935A1"/>
    <w:rsid w:val="0079369D"/>
    <w:rsid w:val="00793871"/>
    <w:rsid w:val="00793A71"/>
    <w:rsid w:val="00793AC4"/>
    <w:rsid w:val="00793B38"/>
    <w:rsid w:val="00793C40"/>
    <w:rsid w:val="00793DCA"/>
    <w:rsid w:val="00793EA4"/>
    <w:rsid w:val="0079408A"/>
    <w:rsid w:val="00794117"/>
    <w:rsid w:val="0079423E"/>
    <w:rsid w:val="007943C9"/>
    <w:rsid w:val="007944D1"/>
    <w:rsid w:val="00794591"/>
    <w:rsid w:val="007946AA"/>
    <w:rsid w:val="00794859"/>
    <w:rsid w:val="00794ACB"/>
    <w:rsid w:val="00794BAA"/>
    <w:rsid w:val="00794BC3"/>
    <w:rsid w:val="00794D61"/>
    <w:rsid w:val="00795374"/>
    <w:rsid w:val="0079546A"/>
    <w:rsid w:val="00795570"/>
    <w:rsid w:val="00795590"/>
    <w:rsid w:val="007955DE"/>
    <w:rsid w:val="00795678"/>
    <w:rsid w:val="007956E9"/>
    <w:rsid w:val="00795A87"/>
    <w:rsid w:val="00795C6C"/>
    <w:rsid w:val="00795DBC"/>
    <w:rsid w:val="00796213"/>
    <w:rsid w:val="00796499"/>
    <w:rsid w:val="00796AFF"/>
    <w:rsid w:val="00796B04"/>
    <w:rsid w:val="00796B2E"/>
    <w:rsid w:val="00796C07"/>
    <w:rsid w:val="00796E99"/>
    <w:rsid w:val="00796F1F"/>
    <w:rsid w:val="00796F58"/>
    <w:rsid w:val="007970B5"/>
    <w:rsid w:val="007971F7"/>
    <w:rsid w:val="00797262"/>
    <w:rsid w:val="007972A1"/>
    <w:rsid w:val="0079736F"/>
    <w:rsid w:val="007975A1"/>
    <w:rsid w:val="00797630"/>
    <w:rsid w:val="00797776"/>
    <w:rsid w:val="00797846"/>
    <w:rsid w:val="007979D3"/>
    <w:rsid w:val="00797B70"/>
    <w:rsid w:val="00797BFE"/>
    <w:rsid w:val="00797CE7"/>
    <w:rsid w:val="00797D31"/>
    <w:rsid w:val="00797E89"/>
    <w:rsid w:val="00797F5C"/>
    <w:rsid w:val="007A013F"/>
    <w:rsid w:val="007A01A9"/>
    <w:rsid w:val="007A04D7"/>
    <w:rsid w:val="007A0550"/>
    <w:rsid w:val="007A070B"/>
    <w:rsid w:val="007A0760"/>
    <w:rsid w:val="007A0BB5"/>
    <w:rsid w:val="007A10AD"/>
    <w:rsid w:val="007A1236"/>
    <w:rsid w:val="007A12AE"/>
    <w:rsid w:val="007A1471"/>
    <w:rsid w:val="007A15F9"/>
    <w:rsid w:val="007A1677"/>
    <w:rsid w:val="007A1A7F"/>
    <w:rsid w:val="007A1AA0"/>
    <w:rsid w:val="007A1AFF"/>
    <w:rsid w:val="007A1BD2"/>
    <w:rsid w:val="007A1C26"/>
    <w:rsid w:val="007A1D47"/>
    <w:rsid w:val="007A1E9A"/>
    <w:rsid w:val="007A1EFC"/>
    <w:rsid w:val="007A2193"/>
    <w:rsid w:val="007A21D4"/>
    <w:rsid w:val="007A249D"/>
    <w:rsid w:val="007A24F4"/>
    <w:rsid w:val="007A24FC"/>
    <w:rsid w:val="007A263A"/>
    <w:rsid w:val="007A277E"/>
    <w:rsid w:val="007A2859"/>
    <w:rsid w:val="007A28F2"/>
    <w:rsid w:val="007A2B5F"/>
    <w:rsid w:val="007A2E96"/>
    <w:rsid w:val="007A2F6B"/>
    <w:rsid w:val="007A302C"/>
    <w:rsid w:val="007A3065"/>
    <w:rsid w:val="007A30E0"/>
    <w:rsid w:val="007A312D"/>
    <w:rsid w:val="007A3256"/>
    <w:rsid w:val="007A32C2"/>
    <w:rsid w:val="007A3566"/>
    <w:rsid w:val="007A362B"/>
    <w:rsid w:val="007A37A1"/>
    <w:rsid w:val="007A39C6"/>
    <w:rsid w:val="007A3A40"/>
    <w:rsid w:val="007A3A6B"/>
    <w:rsid w:val="007A3CD2"/>
    <w:rsid w:val="007A3DD5"/>
    <w:rsid w:val="007A3FD7"/>
    <w:rsid w:val="007A3FD9"/>
    <w:rsid w:val="007A3FDA"/>
    <w:rsid w:val="007A4103"/>
    <w:rsid w:val="007A41F9"/>
    <w:rsid w:val="007A4202"/>
    <w:rsid w:val="007A44C6"/>
    <w:rsid w:val="007A46D8"/>
    <w:rsid w:val="007A4CB7"/>
    <w:rsid w:val="007A4D12"/>
    <w:rsid w:val="007A4D2D"/>
    <w:rsid w:val="007A4D51"/>
    <w:rsid w:val="007A549C"/>
    <w:rsid w:val="007A570A"/>
    <w:rsid w:val="007A57BC"/>
    <w:rsid w:val="007A5870"/>
    <w:rsid w:val="007A591E"/>
    <w:rsid w:val="007A592D"/>
    <w:rsid w:val="007A5B8D"/>
    <w:rsid w:val="007A5C26"/>
    <w:rsid w:val="007A5D26"/>
    <w:rsid w:val="007A5F20"/>
    <w:rsid w:val="007A5F7C"/>
    <w:rsid w:val="007A605D"/>
    <w:rsid w:val="007A6063"/>
    <w:rsid w:val="007A608B"/>
    <w:rsid w:val="007A611D"/>
    <w:rsid w:val="007A6299"/>
    <w:rsid w:val="007A63D0"/>
    <w:rsid w:val="007A648C"/>
    <w:rsid w:val="007A68BC"/>
    <w:rsid w:val="007A69A0"/>
    <w:rsid w:val="007A6A40"/>
    <w:rsid w:val="007A6B44"/>
    <w:rsid w:val="007A6E61"/>
    <w:rsid w:val="007A71F5"/>
    <w:rsid w:val="007A7293"/>
    <w:rsid w:val="007A7592"/>
    <w:rsid w:val="007A763A"/>
    <w:rsid w:val="007A765B"/>
    <w:rsid w:val="007A76B4"/>
    <w:rsid w:val="007A76D1"/>
    <w:rsid w:val="007A78D9"/>
    <w:rsid w:val="007A7957"/>
    <w:rsid w:val="007A798B"/>
    <w:rsid w:val="007A7BB9"/>
    <w:rsid w:val="007A7C74"/>
    <w:rsid w:val="007A7D79"/>
    <w:rsid w:val="007A7E2C"/>
    <w:rsid w:val="007A7E3E"/>
    <w:rsid w:val="007A7ED6"/>
    <w:rsid w:val="007A7F13"/>
    <w:rsid w:val="007B019D"/>
    <w:rsid w:val="007B0396"/>
    <w:rsid w:val="007B05C3"/>
    <w:rsid w:val="007B066B"/>
    <w:rsid w:val="007B0AD0"/>
    <w:rsid w:val="007B0BD3"/>
    <w:rsid w:val="007B0E60"/>
    <w:rsid w:val="007B0EE0"/>
    <w:rsid w:val="007B0FC9"/>
    <w:rsid w:val="007B101D"/>
    <w:rsid w:val="007B1092"/>
    <w:rsid w:val="007B11C4"/>
    <w:rsid w:val="007B124B"/>
    <w:rsid w:val="007B1253"/>
    <w:rsid w:val="007B16DC"/>
    <w:rsid w:val="007B1CB2"/>
    <w:rsid w:val="007B1DA5"/>
    <w:rsid w:val="007B1E2A"/>
    <w:rsid w:val="007B1F0C"/>
    <w:rsid w:val="007B1FE0"/>
    <w:rsid w:val="007B20A5"/>
    <w:rsid w:val="007B245E"/>
    <w:rsid w:val="007B25EC"/>
    <w:rsid w:val="007B2656"/>
    <w:rsid w:val="007B2691"/>
    <w:rsid w:val="007B27C3"/>
    <w:rsid w:val="007B2A44"/>
    <w:rsid w:val="007B2D4A"/>
    <w:rsid w:val="007B2DF7"/>
    <w:rsid w:val="007B2E20"/>
    <w:rsid w:val="007B2F7B"/>
    <w:rsid w:val="007B2FB0"/>
    <w:rsid w:val="007B3065"/>
    <w:rsid w:val="007B3355"/>
    <w:rsid w:val="007B349C"/>
    <w:rsid w:val="007B34FC"/>
    <w:rsid w:val="007B35DB"/>
    <w:rsid w:val="007B35DC"/>
    <w:rsid w:val="007B36B6"/>
    <w:rsid w:val="007B36F4"/>
    <w:rsid w:val="007B377D"/>
    <w:rsid w:val="007B3784"/>
    <w:rsid w:val="007B38D9"/>
    <w:rsid w:val="007B39D5"/>
    <w:rsid w:val="007B3BD7"/>
    <w:rsid w:val="007B3C27"/>
    <w:rsid w:val="007B3E2F"/>
    <w:rsid w:val="007B4155"/>
    <w:rsid w:val="007B441C"/>
    <w:rsid w:val="007B4466"/>
    <w:rsid w:val="007B4524"/>
    <w:rsid w:val="007B48A3"/>
    <w:rsid w:val="007B48FD"/>
    <w:rsid w:val="007B492A"/>
    <w:rsid w:val="007B4B44"/>
    <w:rsid w:val="007B4EF7"/>
    <w:rsid w:val="007B5111"/>
    <w:rsid w:val="007B53D6"/>
    <w:rsid w:val="007B5478"/>
    <w:rsid w:val="007B5500"/>
    <w:rsid w:val="007B5779"/>
    <w:rsid w:val="007B57C1"/>
    <w:rsid w:val="007B5920"/>
    <w:rsid w:val="007B5B52"/>
    <w:rsid w:val="007B5BE0"/>
    <w:rsid w:val="007B5CA0"/>
    <w:rsid w:val="007B6265"/>
    <w:rsid w:val="007B63CC"/>
    <w:rsid w:val="007B6509"/>
    <w:rsid w:val="007B6806"/>
    <w:rsid w:val="007B6936"/>
    <w:rsid w:val="007B6976"/>
    <w:rsid w:val="007B6AAE"/>
    <w:rsid w:val="007B6C9C"/>
    <w:rsid w:val="007B6D0C"/>
    <w:rsid w:val="007B7029"/>
    <w:rsid w:val="007B70FD"/>
    <w:rsid w:val="007B75A9"/>
    <w:rsid w:val="007B7691"/>
    <w:rsid w:val="007B76E9"/>
    <w:rsid w:val="007B7776"/>
    <w:rsid w:val="007B7AD0"/>
    <w:rsid w:val="007B7C37"/>
    <w:rsid w:val="007C0185"/>
    <w:rsid w:val="007C02B9"/>
    <w:rsid w:val="007C030D"/>
    <w:rsid w:val="007C0342"/>
    <w:rsid w:val="007C03D4"/>
    <w:rsid w:val="007C07B1"/>
    <w:rsid w:val="007C085D"/>
    <w:rsid w:val="007C0962"/>
    <w:rsid w:val="007C0A5A"/>
    <w:rsid w:val="007C0B5E"/>
    <w:rsid w:val="007C0B7E"/>
    <w:rsid w:val="007C0CD6"/>
    <w:rsid w:val="007C10F4"/>
    <w:rsid w:val="007C12CE"/>
    <w:rsid w:val="007C12F7"/>
    <w:rsid w:val="007C131E"/>
    <w:rsid w:val="007C13C1"/>
    <w:rsid w:val="007C15FB"/>
    <w:rsid w:val="007C1750"/>
    <w:rsid w:val="007C1889"/>
    <w:rsid w:val="007C1BDE"/>
    <w:rsid w:val="007C1DA6"/>
    <w:rsid w:val="007C1DFD"/>
    <w:rsid w:val="007C200F"/>
    <w:rsid w:val="007C20F1"/>
    <w:rsid w:val="007C224D"/>
    <w:rsid w:val="007C23EE"/>
    <w:rsid w:val="007C240E"/>
    <w:rsid w:val="007C257E"/>
    <w:rsid w:val="007C2677"/>
    <w:rsid w:val="007C2AED"/>
    <w:rsid w:val="007C2B30"/>
    <w:rsid w:val="007C2BF9"/>
    <w:rsid w:val="007C2C61"/>
    <w:rsid w:val="007C2CE1"/>
    <w:rsid w:val="007C2DAD"/>
    <w:rsid w:val="007C2DF1"/>
    <w:rsid w:val="007C2E99"/>
    <w:rsid w:val="007C2F69"/>
    <w:rsid w:val="007C2FD8"/>
    <w:rsid w:val="007C3030"/>
    <w:rsid w:val="007C325C"/>
    <w:rsid w:val="007C35D8"/>
    <w:rsid w:val="007C35DF"/>
    <w:rsid w:val="007C3686"/>
    <w:rsid w:val="007C38F7"/>
    <w:rsid w:val="007C3909"/>
    <w:rsid w:val="007C3A78"/>
    <w:rsid w:val="007C3D19"/>
    <w:rsid w:val="007C3DF9"/>
    <w:rsid w:val="007C405A"/>
    <w:rsid w:val="007C41A9"/>
    <w:rsid w:val="007C4214"/>
    <w:rsid w:val="007C42D4"/>
    <w:rsid w:val="007C43CF"/>
    <w:rsid w:val="007C4448"/>
    <w:rsid w:val="007C492C"/>
    <w:rsid w:val="007C497E"/>
    <w:rsid w:val="007C4A17"/>
    <w:rsid w:val="007C4B43"/>
    <w:rsid w:val="007C4B88"/>
    <w:rsid w:val="007C4BD6"/>
    <w:rsid w:val="007C4BF7"/>
    <w:rsid w:val="007C4C87"/>
    <w:rsid w:val="007C4F51"/>
    <w:rsid w:val="007C5252"/>
    <w:rsid w:val="007C5280"/>
    <w:rsid w:val="007C5540"/>
    <w:rsid w:val="007C561C"/>
    <w:rsid w:val="007C562B"/>
    <w:rsid w:val="007C58BA"/>
    <w:rsid w:val="007C5941"/>
    <w:rsid w:val="007C59C0"/>
    <w:rsid w:val="007C5AF2"/>
    <w:rsid w:val="007C5C4E"/>
    <w:rsid w:val="007C5E6E"/>
    <w:rsid w:val="007C5EAA"/>
    <w:rsid w:val="007C5FD1"/>
    <w:rsid w:val="007C61B7"/>
    <w:rsid w:val="007C632A"/>
    <w:rsid w:val="007C65E5"/>
    <w:rsid w:val="007C6695"/>
    <w:rsid w:val="007C66E0"/>
    <w:rsid w:val="007C68E7"/>
    <w:rsid w:val="007C6938"/>
    <w:rsid w:val="007C6C25"/>
    <w:rsid w:val="007C6D06"/>
    <w:rsid w:val="007C6ED1"/>
    <w:rsid w:val="007C706D"/>
    <w:rsid w:val="007C70C2"/>
    <w:rsid w:val="007C710B"/>
    <w:rsid w:val="007C7249"/>
    <w:rsid w:val="007C7371"/>
    <w:rsid w:val="007C73AD"/>
    <w:rsid w:val="007C74C1"/>
    <w:rsid w:val="007C7866"/>
    <w:rsid w:val="007C79E4"/>
    <w:rsid w:val="007C7A5D"/>
    <w:rsid w:val="007C7A9F"/>
    <w:rsid w:val="007C7ECD"/>
    <w:rsid w:val="007D04B6"/>
    <w:rsid w:val="007D0532"/>
    <w:rsid w:val="007D055F"/>
    <w:rsid w:val="007D071A"/>
    <w:rsid w:val="007D075C"/>
    <w:rsid w:val="007D07C4"/>
    <w:rsid w:val="007D08B9"/>
    <w:rsid w:val="007D0A8A"/>
    <w:rsid w:val="007D0B93"/>
    <w:rsid w:val="007D0C3E"/>
    <w:rsid w:val="007D0E98"/>
    <w:rsid w:val="007D0EC1"/>
    <w:rsid w:val="007D0FA7"/>
    <w:rsid w:val="007D1064"/>
    <w:rsid w:val="007D11A9"/>
    <w:rsid w:val="007D138E"/>
    <w:rsid w:val="007D16CC"/>
    <w:rsid w:val="007D1C13"/>
    <w:rsid w:val="007D2191"/>
    <w:rsid w:val="007D21B7"/>
    <w:rsid w:val="007D2A1B"/>
    <w:rsid w:val="007D2D42"/>
    <w:rsid w:val="007D2EAD"/>
    <w:rsid w:val="007D300C"/>
    <w:rsid w:val="007D3396"/>
    <w:rsid w:val="007D35EB"/>
    <w:rsid w:val="007D374C"/>
    <w:rsid w:val="007D3818"/>
    <w:rsid w:val="007D399A"/>
    <w:rsid w:val="007D39AB"/>
    <w:rsid w:val="007D3A0F"/>
    <w:rsid w:val="007D3A13"/>
    <w:rsid w:val="007D4014"/>
    <w:rsid w:val="007D408F"/>
    <w:rsid w:val="007D41DB"/>
    <w:rsid w:val="007D4230"/>
    <w:rsid w:val="007D4242"/>
    <w:rsid w:val="007D425E"/>
    <w:rsid w:val="007D43ED"/>
    <w:rsid w:val="007D44EA"/>
    <w:rsid w:val="007D44F8"/>
    <w:rsid w:val="007D4593"/>
    <w:rsid w:val="007D4633"/>
    <w:rsid w:val="007D46B5"/>
    <w:rsid w:val="007D47C4"/>
    <w:rsid w:val="007D4836"/>
    <w:rsid w:val="007D48C3"/>
    <w:rsid w:val="007D49B4"/>
    <w:rsid w:val="007D4A36"/>
    <w:rsid w:val="007D4AB8"/>
    <w:rsid w:val="007D4C8F"/>
    <w:rsid w:val="007D4DC7"/>
    <w:rsid w:val="007D517B"/>
    <w:rsid w:val="007D5212"/>
    <w:rsid w:val="007D5291"/>
    <w:rsid w:val="007D5507"/>
    <w:rsid w:val="007D55F6"/>
    <w:rsid w:val="007D5A31"/>
    <w:rsid w:val="007D5A99"/>
    <w:rsid w:val="007D5AE2"/>
    <w:rsid w:val="007D5C2A"/>
    <w:rsid w:val="007D5CFB"/>
    <w:rsid w:val="007D5E32"/>
    <w:rsid w:val="007D608A"/>
    <w:rsid w:val="007D6158"/>
    <w:rsid w:val="007D61EF"/>
    <w:rsid w:val="007D620B"/>
    <w:rsid w:val="007D62A9"/>
    <w:rsid w:val="007D63A8"/>
    <w:rsid w:val="007D649D"/>
    <w:rsid w:val="007D64B4"/>
    <w:rsid w:val="007D6504"/>
    <w:rsid w:val="007D653C"/>
    <w:rsid w:val="007D658B"/>
    <w:rsid w:val="007D6B09"/>
    <w:rsid w:val="007D6C0A"/>
    <w:rsid w:val="007D6D29"/>
    <w:rsid w:val="007D70D2"/>
    <w:rsid w:val="007D7177"/>
    <w:rsid w:val="007D7201"/>
    <w:rsid w:val="007D7226"/>
    <w:rsid w:val="007D722E"/>
    <w:rsid w:val="007D72B1"/>
    <w:rsid w:val="007D72F5"/>
    <w:rsid w:val="007D751A"/>
    <w:rsid w:val="007D757D"/>
    <w:rsid w:val="007D75A9"/>
    <w:rsid w:val="007D777B"/>
    <w:rsid w:val="007D7AC8"/>
    <w:rsid w:val="007D7B42"/>
    <w:rsid w:val="007D7BD4"/>
    <w:rsid w:val="007D7E14"/>
    <w:rsid w:val="007D7F6D"/>
    <w:rsid w:val="007DAB40"/>
    <w:rsid w:val="007E01FA"/>
    <w:rsid w:val="007E0254"/>
    <w:rsid w:val="007E03F4"/>
    <w:rsid w:val="007E0588"/>
    <w:rsid w:val="007E0748"/>
    <w:rsid w:val="007E0766"/>
    <w:rsid w:val="007E08B0"/>
    <w:rsid w:val="007E08F6"/>
    <w:rsid w:val="007E09EC"/>
    <w:rsid w:val="007E0F03"/>
    <w:rsid w:val="007E1325"/>
    <w:rsid w:val="007E15C6"/>
    <w:rsid w:val="007E1627"/>
    <w:rsid w:val="007E178A"/>
    <w:rsid w:val="007E1AF7"/>
    <w:rsid w:val="007E1C1C"/>
    <w:rsid w:val="007E1CB2"/>
    <w:rsid w:val="007E1E91"/>
    <w:rsid w:val="007E235F"/>
    <w:rsid w:val="007E2442"/>
    <w:rsid w:val="007E250C"/>
    <w:rsid w:val="007E25B8"/>
    <w:rsid w:val="007E28CA"/>
    <w:rsid w:val="007E28CB"/>
    <w:rsid w:val="007E2936"/>
    <w:rsid w:val="007E2A1F"/>
    <w:rsid w:val="007E2C5C"/>
    <w:rsid w:val="007E2C87"/>
    <w:rsid w:val="007E2D65"/>
    <w:rsid w:val="007E2DAB"/>
    <w:rsid w:val="007E2E8C"/>
    <w:rsid w:val="007E3296"/>
    <w:rsid w:val="007E3585"/>
    <w:rsid w:val="007E363D"/>
    <w:rsid w:val="007E38EC"/>
    <w:rsid w:val="007E3A30"/>
    <w:rsid w:val="007E3A8F"/>
    <w:rsid w:val="007E3BCB"/>
    <w:rsid w:val="007E3D0D"/>
    <w:rsid w:val="007E3D4E"/>
    <w:rsid w:val="007E3DE2"/>
    <w:rsid w:val="007E3F95"/>
    <w:rsid w:val="007E3F9C"/>
    <w:rsid w:val="007E421F"/>
    <w:rsid w:val="007E4954"/>
    <w:rsid w:val="007E4B8E"/>
    <w:rsid w:val="007E4BB5"/>
    <w:rsid w:val="007E5053"/>
    <w:rsid w:val="007E5057"/>
    <w:rsid w:val="007E5118"/>
    <w:rsid w:val="007E5221"/>
    <w:rsid w:val="007E522F"/>
    <w:rsid w:val="007E53EA"/>
    <w:rsid w:val="007E5492"/>
    <w:rsid w:val="007E55F7"/>
    <w:rsid w:val="007E5610"/>
    <w:rsid w:val="007E572D"/>
    <w:rsid w:val="007E5732"/>
    <w:rsid w:val="007E598E"/>
    <w:rsid w:val="007E59E3"/>
    <w:rsid w:val="007E5A70"/>
    <w:rsid w:val="007E5A9C"/>
    <w:rsid w:val="007E5C42"/>
    <w:rsid w:val="007E5CD9"/>
    <w:rsid w:val="007E5E2E"/>
    <w:rsid w:val="007E5EFC"/>
    <w:rsid w:val="007E632A"/>
    <w:rsid w:val="007E6575"/>
    <w:rsid w:val="007E66AF"/>
    <w:rsid w:val="007E6771"/>
    <w:rsid w:val="007E6AA3"/>
    <w:rsid w:val="007E6B01"/>
    <w:rsid w:val="007E6B44"/>
    <w:rsid w:val="007E6B45"/>
    <w:rsid w:val="007E6C03"/>
    <w:rsid w:val="007E6C44"/>
    <w:rsid w:val="007E6F1E"/>
    <w:rsid w:val="007E70DE"/>
    <w:rsid w:val="007E72F1"/>
    <w:rsid w:val="007E7551"/>
    <w:rsid w:val="007E760A"/>
    <w:rsid w:val="007E770A"/>
    <w:rsid w:val="007E77C6"/>
    <w:rsid w:val="007E7800"/>
    <w:rsid w:val="007E7880"/>
    <w:rsid w:val="007E798F"/>
    <w:rsid w:val="007E799B"/>
    <w:rsid w:val="007E7A8A"/>
    <w:rsid w:val="007F0138"/>
    <w:rsid w:val="007F04FA"/>
    <w:rsid w:val="007F0606"/>
    <w:rsid w:val="007F0879"/>
    <w:rsid w:val="007F0997"/>
    <w:rsid w:val="007F09D1"/>
    <w:rsid w:val="007F0A35"/>
    <w:rsid w:val="007F0C00"/>
    <w:rsid w:val="007F0D43"/>
    <w:rsid w:val="007F0E1F"/>
    <w:rsid w:val="007F11BA"/>
    <w:rsid w:val="007F1226"/>
    <w:rsid w:val="007F122D"/>
    <w:rsid w:val="007F12EA"/>
    <w:rsid w:val="007F14D7"/>
    <w:rsid w:val="007F1601"/>
    <w:rsid w:val="007F1715"/>
    <w:rsid w:val="007F18B3"/>
    <w:rsid w:val="007F1AEC"/>
    <w:rsid w:val="007F1CAC"/>
    <w:rsid w:val="007F1DD5"/>
    <w:rsid w:val="007F1EEA"/>
    <w:rsid w:val="007F20C3"/>
    <w:rsid w:val="007F2150"/>
    <w:rsid w:val="007F238E"/>
    <w:rsid w:val="007F2538"/>
    <w:rsid w:val="007F28B8"/>
    <w:rsid w:val="007F28E7"/>
    <w:rsid w:val="007F296E"/>
    <w:rsid w:val="007F29A0"/>
    <w:rsid w:val="007F2A52"/>
    <w:rsid w:val="007F2E59"/>
    <w:rsid w:val="007F2F21"/>
    <w:rsid w:val="007F30BA"/>
    <w:rsid w:val="007F318A"/>
    <w:rsid w:val="007F31B6"/>
    <w:rsid w:val="007F334D"/>
    <w:rsid w:val="007F3386"/>
    <w:rsid w:val="007F349A"/>
    <w:rsid w:val="007F39A5"/>
    <w:rsid w:val="007F39D3"/>
    <w:rsid w:val="007F3AB7"/>
    <w:rsid w:val="007F3AEA"/>
    <w:rsid w:val="007F3BB2"/>
    <w:rsid w:val="007F3BC0"/>
    <w:rsid w:val="007F3E01"/>
    <w:rsid w:val="007F3F5B"/>
    <w:rsid w:val="007F4177"/>
    <w:rsid w:val="007F423C"/>
    <w:rsid w:val="007F428F"/>
    <w:rsid w:val="007F449A"/>
    <w:rsid w:val="007F45B6"/>
    <w:rsid w:val="007F4622"/>
    <w:rsid w:val="007F49FD"/>
    <w:rsid w:val="007F4AAA"/>
    <w:rsid w:val="007F4B05"/>
    <w:rsid w:val="007F4B70"/>
    <w:rsid w:val="007F4BA8"/>
    <w:rsid w:val="007F4BDD"/>
    <w:rsid w:val="007F4E98"/>
    <w:rsid w:val="007F4F45"/>
    <w:rsid w:val="007F541E"/>
    <w:rsid w:val="007F546C"/>
    <w:rsid w:val="007F54D4"/>
    <w:rsid w:val="007F565D"/>
    <w:rsid w:val="007F5770"/>
    <w:rsid w:val="007F580E"/>
    <w:rsid w:val="007F5822"/>
    <w:rsid w:val="007F5886"/>
    <w:rsid w:val="007F5D66"/>
    <w:rsid w:val="007F5E2F"/>
    <w:rsid w:val="007F6030"/>
    <w:rsid w:val="007F6108"/>
    <w:rsid w:val="007F6142"/>
    <w:rsid w:val="007F6606"/>
    <w:rsid w:val="007F6AC2"/>
    <w:rsid w:val="007F6D0C"/>
    <w:rsid w:val="007F6E0D"/>
    <w:rsid w:val="007F6F3D"/>
    <w:rsid w:val="007F71C0"/>
    <w:rsid w:val="007F789F"/>
    <w:rsid w:val="007F7AF5"/>
    <w:rsid w:val="0080021B"/>
    <w:rsid w:val="0080023D"/>
    <w:rsid w:val="008002AA"/>
    <w:rsid w:val="00800307"/>
    <w:rsid w:val="00800360"/>
    <w:rsid w:val="0080046A"/>
    <w:rsid w:val="0080049A"/>
    <w:rsid w:val="00800694"/>
    <w:rsid w:val="00800803"/>
    <w:rsid w:val="00800825"/>
    <w:rsid w:val="0080088D"/>
    <w:rsid w:val="00800991"/>
    <w:rsid w:val="00800B0B"/>
    <w:rsid w:val="00800B26"/>
    <w:rsid w:val="00800FF3"/>
    <w:rsid w:val="008010F1"/>
    <w:rsid w:val="008012A2"/>
    <w:rsid w:val="00801456"/>
    <w:rsid w:val="00801485"/>
    <w:rsid w:val="00801785"/>
    <w:rsid w:val="00801951"/>
    <w:rsid w:val="00801968"/>
    <w:rsid w:val="00801AC1"/>
    <w:rsid w:val="00801C0B"/>
    <w:rsid w:val="00801C34"/>
    <w:rsid w:val="00801E27"/>
    <w:rsid w:val="008022AC"/>
    <w:rsid w:val="00802598"/>
    <w:rsid w:val="008026CF"/>
    <w:rsid w:val="00802741"/>
    <w:rsid w:val="0080286B"/>
    <w:rsid w:val="00802B96"/>
    <w:rsid w:val="00802C50"/>
    <w:rsid w:val="00802C7E"/>
    <w:rsid w:val="00803067"/>
    <w:rsid w:val="0080309D"/>
    <w:rsid w:val="00803144"/>
    <w:rsid w:val="0080316A"/>
    <w:rsid w:val="008031A6"/>
    <w:rsid w:val="008031EB"/>
    <w:rsid w:val="00803563"/>
    <w:rsid w:val="0080363A"/>
    <w:rsid w:val="0080364E"/>
    <w:rsid w:val="008036D8"/>
    <w:rsid w:val="008039D6"/>
    <w:rsid w:val="00803D21"/>
    <w:rsid w:val="00803F87"/>
    <w:rsid w:val="00803FBF"/>
    <w:rsid w:val="008040B6"/>
    <w:rsid w:val="00804122"/>
    <w:rsid w:val="0080447A"/>
    <w:rsid w:val="00804621"/>
    <w:rsid w:val="00804A95"/>
    <w:rsid w:val="00804B3A"/>
    <w:rsid w:val="00804B54"/>
    <w:rsid w:val="00804C5E"/>
    <w:rsid w:val="00804CB4"/>
    <w:rsid w:val="00804E8A"/>
    <w:rsid w:val="00804E90"/>
    <w:rsid w:val="00804F0E"/>
    <w:rsid w:val="00804FD4"/>
    <w:rsid w:val="00804FE8"/>
    <w:rsid w:val="0080506B"/>
    <w:rsid w:val="0080517E"/>
    <w:rsid w:val="008051B9"/>
    <w:rsid w:val="008051C2"/>
    <w:rsid w:val="00805253"/>
    <w:rsid w:val="008052BC"/>
    <w:rsid w:val="0080541B"/>
    <w:rsid w:val="00805790"/>
    <w:rsid w:val="00805851"/>
    <w:rsid w:val="0080585E"/>
    <w:rsid w:val="0080599D"/>
    <w:rsid w:val="00805B76"/>
    <w:rsid w:val="00805F32"/>
    <w:rsid w:val="00805FAA"/>
    <w:rsid w:val="008060B2"/>
    <w:rsid w:val="0080619F"/>
    <w:rsid w:val="0080657E"/>
    <w:rsid w:val="008065E5"/>
    <w:rsid w:val="008066D4"/>
    <w:rsid w:val="00806A6F"/>
    <w:rsid w:val="00806DD2"/>
    <w:rsid w:val="00806EBB"/>
    <w:rsid w:val="00806F58"/>
    <w:rsid w:val="00806F85"/>
    <w:rsid w:val="008070AD"/>
    <w:rsid w:val="0080713A"/>
    <w:rsid w:val="008074C7"/>
    <w:rsid w:val="00807541"/>
    <w:rsid w:val="00807568"/>
    <w:rsid w:val="008075C2"/>
    <w:rsid w:val="00807770"/>
    <w:rsid w:val="008077AC"/>
    <w:rsid w:val="008078B9"/>
    <w:rsid w:val="0080799E"/>
    <w:rsid w:val="008079F6"/>
    <w:rsid w:val="00807AB3"/>
    <w:rsid w:val="00807B8E"/>
    <w:rsid w:val="00807C57"/>
    <w:rsid w:val="00807D80"/>
    <w:rsid w:val="00807DEA"/>
    <w:rsid w:val="00810036"/>
    <w:rsid w:val="008100FB"/>
    <w:rsid w:val="00810136"/>
    <w:rsid w:val="0081082F"/>
    <w:rsid w:val="0081092D"/>
    <w:rsid w:val="00810A18"/>
    <w:rsid w:val="00810A7D"/>
    <w:rsid w:val="00810A9E"/>
    <w:rsid w:val="00810BF3"/>
    <w:rsid w:val="00811186"/>
    <w:rsid w:val="00811200"/>
    <w:rsid w:val="00811253"/>
    <w:rsid w:val="008113CF"/>
    <w:rsid w:val="008116DB"/>
    <w:rsid w:val="008116E1"/>
    <w:rsid w:val="0081178D"/>
    <w:rsid w:val="00811997"/>
    <w:rsid w:val="008119FD"/>
    <w:rsid w:val="00811D6A"/>
    <w:rsid w:val="00811F64"/>
    <w:rsid w:val="00812008"/>
    <w:rsid w:val="00812027"/>
    <w:rsid w:val="00812158"/>
    <w:rsid w:val="0081215A"/>
    <w:rsid w:val="008121E1"/>
    <w:rsid w:val="008124E0"/>
    <w:rsid w:val="0081252E"/>
    <w:rsid w:val="008126DB"/>
    <w:rsid w:val="008126DD"/>
    <w:rsid w:val="008126F7"/>
    <w:rsid w:val="00812900"/>
    <w:rsid w:val="00812A5C"/>
    <w:rsid w:val="00812C15"/>
    <w:rsid w:val="00812C32"/>
    <w:rsid w:val="00812E75"/>
    <w:rsid w:val="00812FBF"/>
    <w:rsid w:val="008130C5"/>
    <w:rsid w:val="00813317"/>
    <w:rsid w:val="0081339C"/>
    <w:rsid w:val="008135FB"/>
    <w:rsid w:val="0081390E"/>
    <w:rsid w:val="0081390F"/>
    <w:rsid w:val="00813C24"/>
    <w:rsid w:val="00813DA1"/>
    <w:rsid w:val="00813E1E"/>
    <w:rsid w:val="00813E98"/>
    <w:rsid w:val="00813F6F"/>
    <w:rsid w:val="00813F99"/>
    <w:rsid w:val="008140A5"/>
    <w:rsid w:val="00814109"/>
    <w:rsid w:val="00814166"/>
    <w:rsid w:val="008141E0"/>
    <w:rsid w:val="00814310"/>
    <w:rsid w:val="008144D6"/>
    <w:rsid w:val="0081450F"/>
    <w:rsid w:val="008149C3"/>
    <w:rsid w:val="00814B0A"/>
    <w:rsid w:val="00814C8A"/>
    <w:rsid w:val="00814D04"/>
    <w:rsid w:val="00814DBB"/>
    <w:rsid w:val="00814F4E"/>
    <w:rsid w:val="00814F8F"/>
    <w:rsid w:val="0081509C"/>
    <w:rsid w:val="00815304"/>
    <w:rsid w:val="0081547A"/>
    <w:rsid w:val="00815521"/>
    <w:rsid w:val="0081572A"/>
    <w:rsid w:val="008157E9"/>
    <w:rsid w:val="00815811"/>
    <w:rsid w:val="0081598C"/>
    <w:rsid w:val="00815BFF"/>
    <w:rsid w:val="00815D96"/>
    <w:rsid w:val="00815EC5"/>
    <w:rsid w:val="00816037"/>
    <w:rsid w:val="008160B0"/>
    <w:rsid w:val="008161C8"/>
    <w:rsid w:val="00816294"/>
    <w:rsid w:val="0081638E"/>
    <w:rsid w:val="00816414"/>
    <w:rsid w:val="0081654B"/>
    <w:rsid w:val="00816599"/>
    <w:rsid w:val="00816752"/>
    <w:rsid w:val="00816790"/>
    <w:rsid w:val="00816929"/>
    <w:rsid w:val="00816B6E"/>
    <w:rsid w:val="00816CB1"/>
    <w:rsid w:val="00816D20"/>
    <w:rsid w:val="00817596"/>
    <w:rsid w:val="008178B7"/>
    <w:rsid w:val="00817941"/>
    <w:rsid w:val="00817A07"/>
    <w:rsid w:val="00817BD8"/>
    <w:rsid w:val="00817CEB"/>
    <w:rsid w:val="00817D6D"/>
    <w:rsid w:val="00817D98"/>
    <w:rsid w:val="00817DA8"/>
    <w:rsid w:val="00817DE5"/>
    <w:rsid w:val="00817FB0"/>
    <w:rsid w:val="00820220"/>
    <w:rsid w:val="00820244"/>
    <w:rsid w:val="0082033F"/>
    <w:rsid w:val="008203CE"/>
    <w:rsid w:val="0082057C"/>
    <w:rsid w:val="008206D3"/>
    <w:rsid w:val="008206FE"/>
    <w:rsid w:val="00820A81"/>
    <w:rsid w:val="00820B16"/>
    <w:rsid w:val="00820FA5"/>
    <w:rsid w:val="008210AE"/>
    <w:rsid w:val="008210D2"/>
    <w:rsid w:val="00821104"/>
    <w:rsid w:val="008213EC"/>
    <w:rsid w:val="00821488"/>
    <w:rsid w:val="008214C2"/>
    <w:rsid w:val="00821535"/>
    <w:rsid w:val="00821558"/>
    <w:rsid w:val="0082178D"/>
    <w:rsid w:val="00821925"/>
    <w:rsid w:val="0082193B"/>
    <w:rsid w:val="00821A99"/>
    <w:rsid w:val="00821AA6"/>
    <w:rsid w:val="00821C8F"/>
    <w:rsid w:val="00821D8C"/>
    <w:rsid w:val="00821F07"/>
    <w:rsid w:val="00821F89"/>
    <w:rsid w:val="008220A0"/>
    <w:rsid w:val="008221E9"/>
    <w:rsid w:val="0082224A"/>
    <w:rsid w:val="00822382"/>
    <w:rsid w:val="008223E3"/>
    <w:rsid w:val="00822707"/>
    <w:rsid w:val="00822761"/>
    <w:rsid w:val="00822CA4"/>
    <w:rsid w:val="00822D47"/>
    <w:rsid w:val="00822E93"/>
    <w:rsid w:val="00822EDE"/>
    <w:rsid w:val="00822FA7"/>
    <w:rsid w:val="0082304B"/>
    <w:rsid w:val="00823127"/>
    <w:rsid w:val="008231C8"/>
    <w:rsid w:val="008231F3"/>
    <w:rsid w:val="0082338B"/>
    <w:rsid w:val="008235D6"/>
    <w:rsid w:val="0082360C"/>
    <w:rsid w:val="008239DF"/>
    <w:rsid w:val="00823EA4"/>
    <w:rsid w:val="00823EE4"/>
    <w:rsid w:val="008246B5"/>
    <w:rsid w:val="00824778"/>
    <w:rsid w:val="008247B6"/>
    <w:rsid w:val="00824A36"/>
    <w:rsid w:val="00825009"/>
    <w:rsid w:val="00825305"/>
    <w:rsid w:val="008253E2"/>
    <w:rsid w:val="00825450"/>
    <w:rsid w:val="00825481"/>
    <w:rsid w:val="00825610"/>
    <w:rsid w:val="00825A7B"/>
    <w:rsid w:val="00825C0A"/>
    <w:rsid w:val="00825C44"/>
    <w:rsid w:val="00825C51"/>
    <w:rsid w:val="00825ECB"/>
    <w:rsid w:val="008261DD"/>
    <w:rsid w:val="0082630B"/>
    <w:rsid w:val="00826333"/>
    <w:rsid w:val="008266CB"/>
    <w:rsid w:val="00826700"/>
    <w:rsid w:val="008267A5"/>
    <w:rsid w:val="00826A4B"/>
    <w:rsid w:val="00826B7D"/>
    <w:rsid w:val="00826FF7"/>
    <w:rsid w:val="00827035"/>
    <w:rsid w:val="00827058"/>
    <w:rsid w:val="00827121"/>
    <w:rsid w:val="008271D6"/>
    <w:rsid w:val="0082747B"/>
    <w:rsid w:val="008274C6"/>
    <w:rsid w:val="008276DF"/>
    <w:rsid w:val="0082775A"/>
    <w:rsid w:val="00827800"/>
    <w:rsid w:val="00827A53"/>
    <w:rsid w:val="00827BD0"/>
    <w:rsid w:val="00827C48"/>
    <w:rsid w:val="00827C74"/>
    <w:rsid w:val="00827E05"/>
    <w:rsid w:val="00830040"/>
    <w:rsid w:val="00830280"/>
    <w:rsid w:val="0083028D"/>
    <w:rsid w:val="008302DB"/>
    <w:rsid w:val="00830433"/>
    <w:rsid w:val="008305DB"/>
    <w:rsid w:val="008306A9"/>
    <w:rsid w:val="00830822"/>
    <w:rsid w:val="0083082F"/>
    <w:rsid w:val="00830892"/>
    <w:rsid w:val="0083092D"/>
    <w:rsid w:val="008309B0"/>
    <w:rsid w:val="00830A46"/>
    <w:rsid w:val="00830D1A"/>
    <w:rsid w:val="00830D5C"/>
    <w:rsid w:val="008310DF"/>
    <w:rsid w:val="008311EC"/>
    <w:rsid w:val="008312B5"/>
    <w:rsid w:val="00831314"/>
    <w:rsid w:val="008314C8"/>
    <w:rsid w:val="008315EC"/>
    <w:rsid w:val="00831881"/>
    <w:rsid w:val="0083193F"/>
    <w:rsid w:val="00831960"/>
    <w:rsid w:val="00831B6B"/>
    <w:rsid w:val="00831C9B"/>
    <w:rsid w:val="00831DE7"/>
    <w:rsid w:val="00831E11"/>
    <w:rsid w:val="00831E99"/>
    <w:rsid w:val="0083231C"/>
    <w:rsid w:val="00832447"/>
    <w:rsid w:val="00832558"/>
    <w:rsid w:val="0083281C"/>
    <w:rsid w:val="00832ADF"/>
    <w:rsid w:val="00832F48"/>
    <w:rsid w:val="00833144"/>
    <w:rsid w:val="008331C7"/>
    <w:rsid w:val="00833202"/>
    <w:rsid w:val="00833363"/>
    <w:rsid w:val="00833378"/>
    <w:rsid w:val="008336F8"/>
    <w:rsid w:val="00833911"/>
    <w:rsid w:val="00833B40"/>
    <w:rsid w:val="00833C3E"/>
    <w:rsid w:val="00833D69"/>
    <w:rsid w:val="00833E09"/>
    <w:rsid w:val="00833ED2"/>
    <w:rsid w:val="00833F3E"/>
    <w:rsid w:val="00833FB7"/>
    <w:rsid w:val="0083404E"/>
    <w:rsid w:val="00834173"/>
    <w:rsid w:val="0083452E"/>
    <w:rsid w:val="00834601"/>
    <w:rsid w:val="0083475A"/>
    <w:rsid w:val="00834800"/>
    <w:rsid w:val="00834883"/>
    <w:rsid w:val="00834A05"/>
    <w:rsid w:val="00834B46"/>
    <w:rsid w:val="00834C07"/>
    <w:rsid w:val="00834C8E"/>
    <w:rsid w:val="00834D60"/>
    <w:rsid w:val="00834DD2"/>
    <w:rsid w:val="00834F40"/>
    <w:rsid w:val="008351F5"/>
    <w:rsid w:val="00835216"/>
    <w:rsid w:val="0083565E"/>
    <w:rsid w:val="008357AA"/>
    <w:rsid w:val="00835A14"/>
    <w:rsid w:val="00835CB7"/>
    <w:rsid w:val="00835D0C"/>
    <w:rsid w:val="00835DFB"/>
    <w:rsid w:val="00835EDA"/>
    <w:rsid w:val="00835F66"/>
    <w:rsid w:val="00835F77"/>
    <w:rsid w:val="00836078"/>
    <w:rsid w:val="008360B4"/>
    <w:rsid w:val="00836283"/>
    <w:rsid w:val="0083628F"/>
    <w:rsid w:val="00836316"/>
    <w:rsid w:val="00836333"/>
    <w:rsid w:val="00836525"/>
    <w:rsid w:val="00836598"/>
    <w:rsid w:val="00836718"/>
    <w:rsid w:val="0083674F"/>
    <w:rsid w:val="008367BA"/>
    <w:rsid w:val="00836891"/>
    <w:rsid w:val="00836AE6"/>
    <w:rsid w:val="00836C2B"/>
    <w:rsid w:val="00836CA7"/>
    <w:rsid w:val="00836D82"/>
    <w:rsid w:val="008371AE"/>
    <w:rsid w:val="008372EF"/>
    <w:rsid w:val="00837309"/>
    <w:rsid w:val="00837430"/>
    <w:rsid w:val="008375BB"/>
    <w:rsid w:val="008375E4"/>
    <w:rsid w:val="00837720"/>
    <w:rsid w:val="008379C9"/>
    <w:rsid w:val="00837EC1"/>
    <w:rsid w:val="00837FA1"/>
    <w:rsid w:val="00840019"/>
    <w:rsid w:val="0084009F"/>
    <w:rsid w:val="0084026A"/>
    <w:rsid w:val="00840325"/>
    <w:rsid w:val="008403CB"/>
    <w:rsid w:val="008403CC"/>
    <w:rsid w:val="008403E7"/>
    <w:rsid w:val="0084051A"/>
    <w:rsid w:val="00840593"/>
    <w:rsid w:val="008405FC"/>
    <w:rsid w:val="008408C7"/>
    <w:rsid w:val="00840915"/>
    <w:rsid w:val="00840973"/>
    <w:rsid w:val="00840A33"/>
    <w:rsid w:val="00840B3C"/>
    <w:rsid w:val="00840BB8"/>
    <w:rsid w:val="00840C1C"/>
    <w:rsid w:val="00840C62"/>
    <w:rsid w:val="00840D39"/>
    <w:rsid w:val="008410A4"/>
    <w:rsid w:val="00841140"/>
    <w:rsid w:val="008411C9"/>
    <w:rsid w:val="0084123F"/>
    <w:rsid w:val="008412D6"/>
    <w:rsid w:val="008415E3"/>
    <w:rsid w:val="00841A55"/>
    <w:rsid w:val="00841B46"/>
    <w:rsid w:val="00841CFD"/>
    <w:rsid w:val="00841D33"/>
    <w:rsid w:val="00841D95"/>
    <w:rsid w:val="00841DD1"/>
    <w:rsid w:val="00841EF0"/>
    <w:rsid w:val="0084203C"/>
    <w:rsid w:val="0084206C"/>
    <w:rsid w:val="008421AE"/>
    <w:rsid w:val="00842292"/>
    <w:rsid w:val="00842295"/>
    <w:rsid w:val="0084234D"/>
    <w:rsid w:val="008423D9"/>
    <w:rsid w:val="008424E5"/>
    <w:rsid w:val="0084255D"/>
    <w:rsid w:val="0084282D"/>
    <w:rsid w:val="00842A14"/>
    <w:rsid w:val="00842CDD"/>
    <w:rsid w:val="00842D9B"/>
    <w:rsid w:val="00842F0B"/>
    <w:rsid w:val="008432BE"/>
    <w:rsid w:val="008434E1"/>
    <w:rsid w:val="00843713"/>
    <w:rsid w:val="00843807"/>
    <w:rsid w:val="008438A2"/>
    <w:rsid w:val="008439B2"/>
    <w:rsid w:val="00843BBC"/>
    <w:rsid w:val="00843C31"/>
    <w:rsid w:val="00843C53"/>
    <w:rsid w:val="00843FDC"/>
    <w:rsid w:val="00844097"/>
    <w:rsid w:val="008440B1"/>
    <w:rsid w:val="0084412D"/>
    <w:rsid w:val="00844251"/>
    <w:rsid w:val="00844490"/>
    <w:rsid w:val="0084449B"/>
    <w:rsid w:val="00844511"/>
    <w:rsid w:val="00844547"/>
    <w:rsid w:val="008445D0"/>
    <w:rsid w:val="00844609"/>
    <w:rsid w:val="0084466E"/>
    <w:rsid w:val="00844684"/>
    <w:rsid w:val="00844693"/>
    <w:rsid w:val="00844787"/>
    <w:rsid w:val="008449EA"/>
    <w:rsid w:val="00844A66"/>
    <w:rsid w:val="00844E17"/>
    <w:rsid w:val="00844E41"/>
    <w:rsid w:val="00844EB3"/>
    <w:rsid w:val="008450AA"/>
    <w:rsid w:val="008452B3"/>
    <w:rsid w:val="008453DA"/>
    <w:rsid w:val="00845430"/>
    <w:rsid w:val="00845523"/>
    <w:rsid w:val="0084555C"/>
    <w:rsid w:val="00845700"/>
    <w:rsid w:val="00845856"/>
    <w:rsid w:val="008459B2"/>
    <w:rsid w:val="00845C5E"/>
    <w:rsid w:val="008462D5"/>
    <w:rsid w:val="008463ED"/>
    <w:rsid w:val="0084671E"/>
    <w:rsid w:val="00846875"/>
    <w:rsid w:val="008468A9"/>
    <w:rsid w:val="0084697C"/>
    <w:rsid w:val="008469BA"/>
    <w:rsid w:val="00846A9B"/>
    <w:rsid w:val="00846DC7"/>
    <w:rsid w:val="00846EFF"/>
    <w:rsid w:val="00847051"/>
    <w:rsid w:val="00847076"/>
    <w:rsid w:val="008471D8"/>
    <w:rsid w:val="00847290"/>
    <w:rsid w:val="008474C5"/>
    <w:rsid w:val="008478A8"/>
    <w:rsid w:val="00847A91"/>
    <w:rsid w:val="00847BF7"/>
    <w:rsid w:val="00847D3E"/>
    <w:rsid w:val="00847EDC"/>
    <w:rsid w:val="00847F23"/>
    <w:rsid w:val="00847F41"/>
    <w:rsid w:val="00847F7A"/>
    <w:rsid w:val="00850020"/>
    <w:rsid w:val="00850126"/>
    <w:rsid w:val="00850191"/>
    <w:rsid w:val="00850306"/>
    <w:rsid w:val="0085039E"/>
    <w:rsid w:val="008505A1"/>
    <w:rsid w:val="0085071B"/>
    <w:rsid w:val="00850777"/>
    <w:rsid w:val="008507FE"/>
    <w:rsid w:val="0085098E"/>
    <w:rsid w:val="008509CC"/>
    <w:rsid w:val="00850C74"/>
    <w:rsid w:val="008510D6"/>
    <w:rsid w:val="008510F3"/>
    <w:rsid w:val="0085167C"/>
    <w:rsid w:val="00851764"/>
    <w:rsid w:val="00851A24"/>
    <w:rsid w:val="00851BFD"/>
    <w:rsid w:val="00851D89"/>
    <w:rsid w:val="00851E65"/>
    <w:rsid w:val="00851EDC"/>
    <w:rsid w:val="00851F6D"/>
    <w:rsid w:val="0085217E"/>
    <w:rsid w:val="0085220B"/>
    <w:rsid w:val="00852404"/>
    <w:rsid w:val="0085257C"/>
    <w:rsid w:val="0085272D"/>
    <w:rsid w:val="00852888"/>
    <w:rsid w:val="00852A00"/>
    <w:rsid w:val="00852C23"/>
    <w:rsid w:val="00852D0C"/>
    <w:rsid w:val="00852D63"/>
    <w:rsid w:val="00852DB9"/>
    <w:rsid w:val="00852E4E"/>
    <w:rsid w:val="00853034"/>
    <w:rsid w:val="0085326C"/>
    <w:rsid w:val="0085327B"/>
    <w:rsid w:val="008532BA"/>
    <w:rsid w:val="008534D8"/>
    <w:rsid w:val="0085381C"/>
    <w:rsid w:val="00853CA3"/>
    <w:rsid w:val="00853CF4"/>
    <w:rsid w:val="00853D58"/>
    <w:rsid w:val="00853D79"/>
    <w:rsid w:val="00853EA6"/>
    <w:rsid w:val="00853F16"/>
    <w:rsid w:val="008543A4"/>
    <w:rsid w:val="00854405"/>
    <w:rsid w:val="00854426"/>
    <w:rsid w:val="0085482D"/>
    <w:rsid w:val="008548E4"/>
    <w:rsid w:val="00854D71"/>
    <w:rsid w:val="00854F98"/>
    <w:rsid w:val="0085501D"/>
    <w:rsid w:val="0085519D"/>
    <w:rsid w:val="00855238"/>
    <w:rsid w:val="008552E9"/>
    <w:rsid w:val="008553EC"/>
    <w:rsid w:val="008555BD"/>
    <w:rsid w:val="008555D7"/>
    <w:rsid w:val="00855729"/>
    <w:rsid w:val="0085572B"/>
    <w:rsid w:val="00855881"/>
    <w:rsid w:val="0085591B"/>
    <w:rsid w:val="00855B85"/>
    <w:rsid w:val="00855D46"/>
    <w:rsid w:val="00855E0C"/>
    <w:rsid w:val="00855FB7"/>
    <w:rsid w:val="00855FCA"/>
    <w:rsid w:val="00856024"/>
    <w:rsid w:val="0085638E"/>
    <w:rsid w:val="00856395"/>
    <w:rsid w:val="008563E5"/>
    <w:rsid w:val="0085643A"/>
    <w:rsid w:val="00856455"/>
    <w:rsid w:val="008564B3"/>
    <w:rsid w:val="008567CE"/>
    <w:rsid w:val="0085683A"/>
    <w:rsid w:val="008569A5"/>
    <w:rsid w:val="00856D21"/>
    <w:rsid w:val="00857306"/>
    <w:rsid w:val="00857394"/>
    <w:rsid w:val="0085742C"/>
    <w:rsid w:val="008575AC"/>
    <w:rsid w:val="0085779D"/>
    <w:rsid w:val="00857B25"/>
    <w:rsid w:val="00857BC8"/>
    <w:rsid w:val="00857C1B"/>
    <w:rsid w:val="00857EA4"/>
    <w:rsid w:val="00860209"/>
    <w:rsid w:val="008606D9"/>
    <w:rsid w:val="00860709"/>
    <w:rsid w:val="00860786"/>
    <w:rsid w:val="008607B3"/>
    <w:rsid w:val="0086091E"/>
    <w:rsid w:val="00860B92"/>
    <w:rsid w:val="00860C6F"/>
    <w:rsid w:val="00860ED4"/>
    <w:rsid w:val="00860ED8"/>
    <w:rsid w:val="00861003"/>
    <w:rsid w:val="00861021"/>
    <w:rsid w:val="008610FA"/>
    <w:rsid w:val="008612C7"/>
    <w:rsid w:val="008612F7"/>
    <w:rsid w:val="00861575"/>
    <w:rsid w:val="0086167F"/>
    <w:rsid w:val="0086179E"/>
    <w:rsid w:val="00861979"/>
    <w:rsid w:val="00861B6D"/>
    <w:rsid w:val="00861DA1"/>
    <w:rsid w:val="00861E2E"/>
    <w:rsid w:val="00861E4E"/>
    <w:rsid w:val="008624E9"/>
    <w:rsid w:val="00862512"/>
    <w:rsid w:val="008625A5"/>
    <w:rsid w:val="008625BB"/>
    <w:rsid w:val="00862754"/>
    <w:rsid w:val="0086279A"/>
    <w:rsid w:val="00862882"/>
    <w:rsid w:val="00862AC8"/>
    <w:rsid w:val="00862B07"/>
    <w:rsid w:val="00862CCE"/>
    <w:rsid w:val="00862E04"/>
    <w:rsid w:val="00862E85"/>
    <w:rsid w:val="00862F76"/>
    <w:rsid w:val="00862FBD"/>
    <w:rsid w:val="0086323D"/>
    <w:rsid w:val="008632C0"/>
    <w:rsid w:val="008636CE"/>
    <w:rsid w:val="00863751"/>
    <w:rsid w:val="008639AC"/>
    <w:rsid w:val="00863BBE"/>
    <w:rsid w:val="00863BCB"/>
    <w:rsid w:val="00863BCF"/>
    <w:rsid w:val="00863BF9"/>
    <w:rsid w:val="00863EDB"/>
    <w:rsid w:val="00863EE1"/>
    <w:rsid w:val="00863FD5"/>
    <w:rsid w:val="00864265"/>
    <w:rsid w:val="008642BA"/>
    <w:rsid w:val="00864535"/>
    <w:rsid w:val="00864728"/>
    <w:rsid w:val="00864855"/>
    <w:rsid w:val="00864C7B"/>
    <w:rsid w:val="00864F58"/>
    <w:rsid w:val="00865019"/>
    <w:rsid w:val="008651B0"/>
    <w:rsid w:val="008652FC"/>
    <w:rsid w:val="0086546D"/>
    <w:rsid w:val="0086586E"/>
    <w:rsid w:val="008659C5"/>
    <w:rsid w:val="00865ACD"/>
    <w:rsid w:val="00865AED"/>
    <w:rsid w:val="00865C61"/>
    <w:rsid w:val="00865D52"/>
    <w:rsid w:val="00865E82"/>
    <w:rsid w:val="00865EC7"/>
    <w:rsid w:val="00865F68"/>
    <w:rsid w:val="00866287"/>
    <w:rsid w:val="00866292"/>
    <w:rsid w:val="00866319"/>
    <w:rsid w:val="0086652F"/>
    <w:rsid w:val="0086666A"/>
    <w:rsid w:val="00866777"/>
    <w:rsid w:val="008668FD"/>
    <w:rsid w:val="00866B13"/>
    <w:rsid w:val="00866D29"/>
    <w:rsid w:val="00867113"/>
    <w:rsid w:val="008674C9"/>
    <w:rsid w:val="008677B1"/>
    <w:rsid w:val="00867863"/>
    <w:rsid w:val="00867933"/>
    <w:rsid w:val="00867990"/>
    <w:rsid w:val="00867AE7"/>
    <w:rsid w:val="00867CF0"/>
    <w:rsid w:val="008700CB"/>
    <w:rsid w:val="00870126"/>
    <w:rsid w:val="00870361"/>
    <w:rsid w:val="00870594"/>
    <w:rsid w:val="00870B8E"/>
    <w:rsid w:val="00870CC3"/>
    <w:rsid w:val="00870D44"/>
    <w:rsid w:val="00870DE2"/>
    <w:rsid w:val="00870E64"/>
    <w:rsid w:val="00870EBC"/>
    <w:rsid w:val="00870F42"/>
    <w:rsid w:val="00871022"/>
    <w:rsid w:val="008710B5"/>
    <w:rsid w:val="00871148"/>
    <w:rsid w:val="00871305"/>
    <w:rsid w:val="0087135B"/>
    <w:rsid w:val="00871549"/>
    <w:rsid w:val="00871597"/>
    <w:rsid w:val="008715BC"/>
    <w:rsid w:val="00871738"/>
    <w:rsid w:val="0087178B"/>
    <w:rsid w:val="00871A6B"/>
    <w:rsid w:val="00871A6F"/>
    <w:rsid w:val="00871CBD"/>
    <w:rsid w:val="00871D89"/>
    <w:rsid w:val="00871DED"/>
    <w:rsid w:val="00871E07"/>
    <w:rsid w:val="00871E59"/>
    <w:rsid w:val="00871F4D"/>
    <w:rsid w:val="008720D6"/>
    <w:rsid w:val="008723EA"/>
    <w:rsid w:val="00872401"/>
    <w:rsid w:val="00872678"/>
    <w:rsid w:val="0087272C"/>
    <w:rsid w:val="0087272D"/>
    <w:rsid w:val="00872A05"/>
    <w:rsid w:val="00872AC4"/>
    <w:rsid w:val="00872B48"/>
    <w:rsid w:val="00872BE5"/>
    <w:rsid w:val="00872F6E"/>
    <w:rsid w:val="00872FD6"/>
    <w:rsid w:val="00873055"/>
    <w:rsid w:val="0087305B"/>
    <w:rsid w:val="0087307A"/>
    <w:rsid w:val="00873428"/>
    <w:rsid w:val="00873495"/>
    <w:rsid w:val="008734A9"/>
    <w:rsid w:val="00873676"/>
    <w:rsid w:val="0087405A"/>
    <w:rsid w:val="008745E2"/>
    <w:rsid w:val="0087467D"/>
    <w:rsid w:val="008746D6"/>
    <w:rsid w:val="008748B5"/>
    <w:rsid w:val="00874BF5"/>
    <w:rsid w:val="00874CC7"/>
    <w:rsid w:val="00874D71"/>
    <w:rsid w:val="00875257"/>
    <w:rsid w:val="008752A6"/>
    <w:rsid w:val="00875380"/>
    <w:rsid w:val="00875668"/>
    <w:rsid w:val="008756C3"/>
    <w:rsid w:val="0087595C"/>
    <w:rsid w:val="00875AB0"/>
    <w:rsid w:val="00875B6C"/>
    <w:rsid w:val="00875C40"/>
    <w:rsid w:val="0087605C"/>
    <w:rsid w:val="008760DE"/>
    <w:rsid w:val="008761CC"/>
    <w:rsid w:val="00876376"/>
    <w:rsid w:val="008763E9"/>
    <w:rsid w:val="00876410"/>
    <w:rsid w:val="00876415"/>
    <w:rsid w:val="008764D5"/>
    <w:rsid w:val="00876598"/>
    <w:rsid w:val="008765A9"/>
    <w:rsid w:val="00876600"/>
    <w:rsid w:val="00876617"/>
    <w:rsid w:val="0087662A"/>
    <w:rsid w:val="0087664D"/>
    <w:rsid w:val="008766EF"/>
    <w:rsid w:val="00876810"/>
    <w:rsid w:val="00876900"/>
    <w:rsid w:val="008769C3"/>
    <w:rsid w:val="00876AC1"/>
    <w:rsid w:val="00876BA1"/>
    <w:rsid w:val="00876CB5"/>
    <w:rsid w:val="00876FD5"/>
    <w:rsid w:val="0087727E"/>
    <w:rsid w:val="00877315"/>
    <w:rsid w:val="0087741D"/>
    <w:rsid w:val="008776B0"/>
    <w:rsid w:val="00877782"/>
    <w:rsid w:val="0087796F"/>
    <w:rsid w:val="00877D8B"/>
    <w:rsid w:val="00877FA0"/>
    <w:rsid w:val="0088003B"/>
    <w:rsid w:val="008801B3"/>
    <w:rsid w:val="00880441"/>
    <w:rsid w:val="00880492"/>
    <w:rsid w:val="00880BA9"/>
    <w:rsid w:val="00880CE0"/>
    <w:rsid w:val="0088112D"/>
    <w:rsid w:val="00881289"/>
    <w:rsid w:val="0088140F"/>
    <w:rsid w:val="008814AB"/>
    <w:rsid w:val="0088152C"/>
    <w:rsid w:val="00881571"/>
    <w:rsid w:val="0088157E"/>
    <w:rsid w:val="00881629"/>
    <w:rsid w:val="0088162C"/>
    <w:rsid w:val="008816C7"/>
    <w:rsid w:val="00881951"/>
    <w:rsid w:val="00881A62"/>
    <w:rsid w:val="00881B2E"/>
    <w:rsid w:val="00881DD2"/>
    <w:rsid w:val="00881FA6"/>
    <w:rsid w:val="00882322"/>
    <w:rsid w:val="00882465"/>
    <w:rsid w:val="00882485"/>
    <w:rsid w:val="0088267B"/>
    <w:rsid w:val="00882787"/>
    <w:rsid w:val="008828D0"/>
    <w:rsid w:val="00882A60"/>
    <w:rsid w:val="00882C83"/>
    <w:rsid w:val="00882D73"/>
    <w:rsid w:val="00882DE4"/>
    <w:rsid w:val="00882F28"/>
    <w:rsid w:val="00882F5D"/>
    <w:rsid w:val="00882F92"/>
    <w:rsid w:val="00883393"/>
    <w:rsid w:val="00883497"/>
    <w:rsid w:val="0088356F"/>
    <w:rsid w:val="0088367B"/>
    <w:rsid w:val="0088392A"/>
    <w:rsid w:val="00883C09"/>
    <w:rsid w:val="00883C3C"/>
    <w:rsid w:val="00883CD6"/>
    <w:rsid w:val="00883CF7"/>
    <w:rsid w:val="00883EA2"/>
    <w:rsid w:val="00883EE0"/>
    <w:rsid w:val="008842AC"/>
    <w:rsid w:val="00884437"/>
    <w:rsid w:val="0088475A"/>
    <w:rsid w:val="008848FF"/>
    <w:rsid w:val="0088494C"/>
    <w:rsid w:val="00884C02"/>
    <w:rsid w:val="00884C07"/>
    <w:rsid w:val="00884EE2"/>
    <w:rsid w:val="00884FB7"/>
    <w:rsid w:val="008851C1"/>
    <w:rsid w:val="008851F2"/>
    <w:rsid w:val="008852E6"/>
    <w:rsid w:val="008853CE"/>
    <w:rsid w:val="0088545B"/>
    <w:rsid w:val="0088545E"/>
    <w:rsid w:val="0088560F"/>
    <w:rsid w:val="008856E8"/>
    <w:rsid w:val="008858EB"/>
    <w:rsid w:val="00885AF2"/>
    <w:rsid w:val="00885B77"/>
    <w:rsid w:val="00885E1B"/>
    <w:rsid w:val="00885EAE"/>
    <w:rsid w:val="00885EC3"/>
    <w:rsid w:val="00886199"/>
    <w:rsid w:val="008861DD"/>
    <w:rsid w:val="00886291"/>
    <w:rsid w:val="00886332"/>
    <w:rsid w:val="00886445"/>
    <w:rsid w:val="00886498"/>
    <w:rsid w:val="008865D1"/>
    <w:rsid w:val="0088660E"/>
    <w:rsid w:val="008867A1"/>
    <w:rsid w:val="008868BA"/>
    <w:rsid w:val="00886904"/>
    <w:rsid w:val="00886C22"/>
    <w:rsid w:val="00886C98"/>
    <w:rsid w:val="00886D02"/>
    <w:rsid w:val="00886E02"/>
    <w:rsid w:val="00886FA8"/>
    <w:rsid w:val="00887083"/>
    <w:rsid w:val="00887222"/>
    <w:rsid w:val="00887243"/>
    <w:rsid w:val="0088727F"/>
    <w:rsid w:val="00887608"/>
    <w:rsid w:val="0088782F"/>
    <w:rsid w:val="00887840"/>
    <w:rsid w:val="00887858"/>
    <w:rsid w:val="008878EB"/>
    <w:rsid w:val="00887903"/>
    <w:rsid w:val="00887935"/>
    <w:rsid w:val="00887A8A"/>
    <w:rsid w:val="00887A9C"/>
    <w:rsid w:val="00887C8A"/>
    <w:rsid w:val="00887E3C"/>
    <w:rsid w:val="008900C4"/>
    <w:rsid w:val="0089019E"/>
    <w:rsid w:val="00890230"/>
    <w:rsid w:val="008903BB"/>
    <w:rsid w:val="008906B5"/>
    <w:rsid w:val="0089085D"/>
    <w:rsid w:val="00890A92"/>
    <w:rsid w:val="00890DF6"/>
    <w:rsid w:val="00890E4D"/>
    <w:rsid w:val="00890FC8"/>
    <w:rsid w:val="008910CB"/>
    <w:rsid w:val="00891326"/>
    <w:rsid w:val="00891330"/>
    <w:rsid w:val="0089148B"/>
    <w:rsid w:val="008914B6"/>
    <w:rsid w:val="0089154F"/>
    <w:rsid w:val="0089158E"/>
    <w:rsid w:val="00891623"/>
    <w:rsid w:val="00891643"/>
    <w:rsid w:val="00891766"/>
    <w:rsid w:val="0089177F"/>
    <w:rsid w:val="00891794"/>
    <w:rsid w:val="00891902"/>
    <w:rsid w:val="00891AD9"/>
    <w:rsid w:val="00891B04"/>
    <w:rsid w:val="00891CDA"/>
    <w:rsid w:val="00891DC9"/>
    <w:rsid w:val="0089206D"/>
    <w:rsid w:val="00892273"/>
    <w:rsid w:val="0089238D"/>
    <w:rsid w:val="008925B6"/>
    <w:rsid w:val="008925C7"/>
    <w:rsid w:val="008925CD"/>
    <w:rsid w:val="008926FD"/>
    <w:rsid w:val="008928B0"/>
    <w:rsid w:val="008928EB"/>
    <w:rsid w:val="00892A62"/>
    <w:rsid w:val="00892D32"/>
    <w:rsid w:val="00892D70"/>
    <w:rsid w:val="00892EFD"/>
    <w:rsid w:val="0089301C"/>
    <w:rsid w:val="0089339A"/>
    <w:rsid w:val="008933D8"/>
    <w:rsid w:val="00893515"/>
    <w:rsid w:val="00893744"/>
    <w:rsid w:val="00893817"/>
    <w:rsid w:val="00893A4B"/>
    <w:rsid w:val="00893F44"/>
    <w:rsid w:val="00893F5A"/>
    <w:rsid w:val="00893F8A"/>
    <w:rsid w:val="0089418C"/>
    <w:rsid w:val="00894308"/>
    <w:rsid w:val="0089434B"/>
    <w:rsid w:val="008944D2"/>
    <w:rsid w:val="0089473F"/>
    <w:rsid w:val="0089480E"/>
    <w:rsid w:val="00894936"/>
    <w:rsid w:val="008949AE"/>
    <w:rsid w:val="00894ABC"/>
    <w:rsid w:val="00894ACE"/>
    <w:rsid w:val="00894C5B"/>
    <w:rsid w:val="00894D31"/>
    <w:rsid w:val="008953ED"/>
    <w:rsid w:val="00895603"/>
    <w:rsid w:val="008956A2"/>
    <w:rsid w:val="008958AD"/>
    <w:rsid w:val="008958EF"/>
    <w:rsid w:val="00895971"/>
    <w:rsid w:val="00895AC3"/>
    <w:rsid w:val="00895E8C"/>
    <w:rsid w:val="00895EB1"/>
    <w:rsid w:val="00895EF4"/>
    <w:rsid w:val="00895F6F"/>
    <w:rsid w:val="00895FF2"/>
    <w:rsid w:val="00896082"/>
    <w:rsid w:val="0089612F"/>
    <w:rsid w:val="00896162"/>
    <w:rsid w:val="00896248"/>
    <w:rsid w:val="00896497"/>
    <w:rsid w:val="0089652E"/>
    <w:rsid w:val="00896545"/>
    <w:rsid w:val="00896669"/>
    <w:rsid w:val="0089680E"/>
    <w:rsid w:val="0089681E"/>
    <w:rsid w:val="008969B9"/>
    <w:rsid w:val="00896D16"/>
    <w:rsid w:val="00896EF3"/>
    <w:rsid w:val="00896F8E"/>
    <w:rsid w:val="008970C5"/>
    <w:rsid w:val="0089717C"/>
    <w:rsid w:val="008971D5"/>
    <w:rsid w:val="00897228"/>
    <w:rsid w:val="00897356"/>
    <w:rsid w:val="00897845"/>
    <w:rsid w:val="00897F13"/>
    <w:rsid w:val="008A0002"/>
    <w:rsid w:val="008A0015"/>
    <w:rsid w:val="008A00C4"/>
    <w:rsid w:val="008A04CC"/>
    <w:rsid w:val="008A053D"/>
    <w:rsid w:val="008A0583"/>
    <w:rsid w:val="008A0864"/>
    <w:rsid w:val="008A0CCE"/>
    <w:rsid w:val="008A0E9B"/>
    <w:rsid w:val="008A111E"/>
    <w:rsid w:val="008A1508"/>
    <w:rsid w:val="008A168E"/>
    <w:rsid w:val="008A1C38"/>
    <w:rsid w:val="008A1CA8"/>
    <w:rsid w:val="008A1DC0"/>
    <w:rsid w:val="008A1DD0"/>
    <w:rsid w:val="008A1DF2"/>
    <w:rsid w:val="008A1F18"/>
    <w:rsid w:val="008A1F45"/>
    <w:rsid w:val="008A228A"/>
    <w:rsid w:val="008A234E"/>
    <w:rsid w:val="008A25F1"/>
    <w:rsid w:val="008A2940"/>
    <w:rsid w:val="008A29F1"/>
    <w:rsid w:val="008A2A0A"/>
    <w:rsid w:val="008A2B1F"/>
    <w:rsid w:val="008A3081"/>
    <w:rsid w:val="008A30C5"/>
    <w:rsid w:val="008A356F"/>
    <w:rsid w:val="008A3799"/>
    <w:rsid w:val="008A4186"/>
    <w:rsid w:val="008A41FD"/>
    <w:rsid w:val="008A4215"/>
    <w:rsid w:val="008A44BF"/>
    <w:rsid w:val="008A45B4"/>
    <w:rsid w:val="008A489F"/>
    <w:rsid w:val="008A4E16"/>
    <w:rsid w:val="008A507F"/>
    <w:rsid w:val="008A52B0"/>
    <w:rsid w:val="008A5350"/>
    <w:rsid w:val="008A56C9"/>
    <w:rsid w:val="008A56D8"/>
    <w:rsid w:val="008A579A"/>
    <w:rsid w:val="008A59A1"/>
    <w:rsid w:val="008A59F0"/>
    <w:rsid w:val="008A5A88"/>
    <w:rsid w:val="008A5B6D"/>
    <w:rsid w:val="008A5D8B"/>
    <w:rsid w:val="008A5DFF"/>
    <w:rsid w:val="008A603C"/>
    <w:rsid w:val="008A60BF"/>
    <w:rsid w:val="008A6101"/>
    <w:rsid w:val="008A62E9"/>
    <w:rsid w:val="008A64E0"/>
    <w:rsid w:val="008A655D"/>
    <w:rsid w:val="008A6665"/>
    <w:rsid w:val="008A66F7"/>
    <w:rsid w:val="008A68A2"/>
    <w:rsid w:val="008A6AF3"/>
    <w:rsid w:val="008A6EBE"/>
    <w:rsid w:val="008A6F61"/>
    <w:rsid w:val="008A707A"/>
    <w:rsid w:val="008A721B"/>
    <w:rsid w:val="008A7387"/>
    <w:rsid w:val="008A73FD"/>
    <w:rsid w:val="008A77AC"/>
    <w:rsid w:val="008A7ABF"/>
    <w:rsid w:val="008A7B01"/>
    <w:rsid w:val="008A7C9E"/>
    <w:rsid w:val="008B0048"/>
    <w:rsid w:val="008B0073"/>
    <w:rsid w:val="008B01CE"/>
    <w:rsid w:val="008B0353"/>
    <w:rsid w:val="008B0387"/>
    <w:rsid w:val="008B0729"/>
    <w:rsid w:val="008B07E8"/>
    <w:rsid w:val="008B08B7"/>
    <w:rsid w:val="008B0AA5"/>
    <w:rsid w:val="008B1188"/>
    <w:rsid w:val="008B19D3"/>
    <w:rsid w:val="008B1D97"/>
    <w:rsid w:val="008B1EF0"/>
    <w:rsid w:val="008B2029"/>
    <w:rsid w:val="008B20D3"/>
    <w:rsid w:val="008B2118"/>
    <w:rsid w:val="008B220E"/>
    <w:rsid w:val="008B2351"/>
    <w:rsid w:val="008B2365"/>
    <w:rsid w:val="008B2419"/>
    <w:rsid w:val="008B2480"/>
    <w:rsid w:val="008B24C1"/>
    <w:rsid w:val="008B24E4"/>
    <w:rsid w:val="008B26AF"/>
    <w:rsid w:val="008B27B3"/>
    <w:rsid w:val="008B28F9"/>
    <w:rsid w:val="008B2950"/>
    <w:rsid w:val="008B2BCC"/>
    <w:rsid w:val="008B2D90"/>
    <w:rsid w:val="008B2D9D"/>
    <w:rsid w:val="008B2F0C"/>
    <w:rsid w:val="008B2F29"/>
    <w:rsid w:val="008B319C"/>
    <w:rsid w:val="008B32AA"/>
    <w:rsid w:val="008B3327"/>
    <w:rsid w:val="008B344B"/>
    <w:rsid w:val="008B3512"/>
    <w:rsid w:val="008B35FB"/>
    <w:rsid w:val="008B3D1B"/>
    <w:rsid w:val="008B3D35"/>
    <w:rsid w:val="008B3D40"/>
    <w:rsid w:val="008B3E14"/>
    <w:rsid w:val="008B433B"/>
    <w:rsid w:val="008B44CE"/>
    <w:rsid w:val="008B467F"/>
    <w:rsid w:val="008B4817"/>
    <w:rsid w:val="008B4831"/>
    <w:rsid w:val="008B48EE"/>
    <w:rsid w:val="008B493B"/>
    <w:rsid w:val="008B4BDD"/>
    <w:rsid w:val="008B4D44"/>
    <w:rsid w:val="008B4D5B"/>
    <w:rsid w:val="008B4E17"/>
    <w:rsid w:val="008B4E8F"/>
    <w:rsid w:val="008B4FE0"/>
    <w:rsid w:val="008B52AD"/>
    <w:rsid w:val="008B546A"/>
    <w:rsid w:val="008B56F9"/>
    <w:rsid w:val="008B5880"/>
    <w:rsid w:val="008B5A0A"/>
    <w:rsid w:val="008B5A51"/>
    <w:rsid w:val="008B5A99"/>
    <w:rsid w:val="008B5B1E"/>
    <w:rsid w:val="008B5BE4"/>
    <w:rsid w:val="008B5EC8"/>
    <w:rsid w:val="008B5F20"/>
    <w:rsid w:val="008B5F30"/>
    <w:rsid w:val="008B6011"/>
    <w:rsid w:val="008B631A"/>
    <w:rsid w:val="008B63B8"/>
    <w:rsid w:val="008B63DA"/>
    <w:rsid w:val="008B64A3"/>
    <w:rsid w:val="008B65C6"/>
    <w:rsid w:val="008B6632"/>
    <w:rsid w:val="008B675D"/>
    <w:rsid w:val="008B6839"/>
    <w:rsid w:val="008B68A6"/>
    <w:rsid w:val="008B69E6"/>
    <w:rsid w:val="008B6BA1"/>
    <w:rsid w:val="008B6C6B"/>
    <w:rsid w:val="008B6CEE"/>
    <w:rsid w:val="008B6CF6"/>
    <w:rsid w:val="008B6D68"/>
    <w:rsid w:val="008B6D6C"/>
    <w:rsid w:val="008B6DBE"/>
    <w:rsid w:val="008B70EE"/>
    <w:rsid w:val="008B7167"/>
    <w:rsid w:val="008B73E3"/>
    <w:rsid w:val="008B749A"/>
    <w:rsid w:val="008B7603"/>
    <w:rsid w:val="008B77AA"/>
    <w:rsid w:val="008B78FE"/>
    <w:rsid w:val="008B7AE2"/>
    <w:rsid w:val="008B7CDC"/>
    <w:rsid w:val="008B7CE2"/>
    <w:rsid w:val="008B7E25"/>
    <w:rsid w:val="008C0102"/>
    <w:rsid w:val="008C023E"/>
    <w:rsid w:val="008C0549"/>
    <w:rsid w:val="008C067C"/>
    <w:rsid w:val="008C07E6"/>
    <w:rsid w:val="008C0912"/>
    <w:rsid w:val="008C0A4B"/>
    <w:rsid w:val="008C0AC7"/>
    <w:rsid w:val="008C0E2F"/>
    <w:rsid w:val="008C0F8B"/>
    <w:rsid w:val="008C1009"/>
    <w:rsid w:val="008C119D"/>
    <w:rsid w:val="008C1202"/>
    <w:rsid w:val="008C146D"/>
    <w:rsid w:val="008C173F"/>
    <w:rsid w:val="008C17D3"/>
    <w:rsid w:val="008C17EC"/>
    <w:rsid w:val="008C185C"/>
    <w:rsid w:val="008C18CD"/>
    <w:rsid w:val="008C19C9"/>
    <w:rsid w:val="008C1EA6"/>
    <w:rsid w:val="008C1FBC"/>
    <w:rsid w:val="008C22EC"/>
    <w:rsid w:val="008C2309"/>
    <w:rsid w:val="008C23D5"/>
    <w:rsid w:val="008C2400"/>
    <w:rsid w:val="008C2464"/>
    <w:rsid w:val="008C257E"/>
    <w:rsid w:val="008C2719"/>
    <w:rsid w:val="008C282D"/>
    <w:rsid w:val="008C2874"/>
    <w:rsid w:val="008C2CCA"/>
    <w:rsid w:val="008C2FCB"/>
    <w:rsid w:val="008C3160"/>
    <w:rsid w:val="008C31C2"/>
    <w:rsid w:val="008C3318"/>
    <w:rsid w:val="008C3385"/>
    <w:rsid w:val="008C3466"/>
    <w:rsid w:val="008C350C"/>
    <w:rsid w:val="008C35F3"/>
    <w:rsid w:val="008C35FF"/>
    <w:rsid w:val="008C3A7F"/>
    <w:rsid w:val="008C3BDD"/>
    <w:rsid w:val="008C3C4E"/>
    <w:rsid w:val="008C3C82"/>
    <w:rsid w:val="008C3D23"/>
    <w:rsid w:val="008C3DE8"/>
    <w:rsid w:val="008C4241"/>
    <w:rsid w:val="008C429F"/>
    <w:rsid w:val="008C483C"/>
    <w:rsid w:val="008C496F"/>
    <w:rsid w:val="008C4AB8"/>
    <w:rsid w:val="008C4B1D"/>
    <w:rsid w:val="008C4C13"/>
    <w:rsid w:val="008C4C34"/>
    <w:rsid w:val="008C4F3F"/>
    <w:rsid w:val="008C4FC8"/>
    <w:rsid w:val="008C4FF2"/>
    <w:rsid w:val="008C50D7"/>
    <w:rsid w:val="008C51A7"/>
    <w:rsid w:val="008C53E6"/>
    <w:rsid w:val="008C548F"/>
    <w:rsid w:val="008C5564"/>
    <w:rsid w:val="008C56D4"/>
    <w:rsid w:val="008C5AC6"/>
    <w:rsid w:val="008C5B27"/>
    <w:rsid w:val="008C5C2C"/>
    <w:rsid w:val="008C5EE0"/>
    <w:rsid w:val="008C60A2"/>
    <w:rsid w:val="008C60CF"/>
    <w:rsid w:val="008C6148"/>
    <w:rsid w:val="008C6298"/>
    <w:rsid w:val="008C62E7"/>
    <w:rsid w:val="008C63C3"/>
    <w:rsid w:val="008C6672"/>
    <w:rsid w:val="008C682E"/>
    <w:rsid w:val="008C6934"/>
    <w:rsid w:val="008C6935"/>
    <w:rsid w:val="008C6D94"/>
    <w:rsid w:val="008C6DCE"/>
    <w:rsid w:val="008C6E8A"/>
    <w:rsid w:val="008C70D7"/>
    <w:rsid w:val="008C716C"/>
    <w:rsid w:val="008C72C9"/>
    <w:rsid w:val="008C745F"/>
    <w:rsid w:val="008C75D4"/>
    <w:rsid w:val="008C779F"/>
    <w:rsid w:val="008C795B"/>
    <w:rsid w:val="008C79C1"/>
    <w:rsid w:val="008C79DB"/>
    <w:rsid w:val="008C7B5D"/>
    <w:rsid w:val="008C7B8B"/>
    <w:rsid w:val="008C7D40"/>
    <w:rsid w:val="008C7D45"/>
    <w:rsid w:val="008C7D5A"/>
    <w:rsid w:val="008C7D8C"/>
    <w:rsid w:val="008C7F3A"/>
    <w:rsid w:val="008D0055"/>
    <w:rsid w:val="008D0198"/>
    <w:rsid w:val="008D02D1"/>
    <w:rsid w:val="008D0441"/>
    <w:rsid w:val="008D0642"/>
    <w:rsid w:val="008D068D"/>
    <w:rsid w:val="008D06BF"/>
    <w:rsid w:val="008D06CF"/>
    <w:rsid w:val="008D0ADF"/>
    <w:rsid w:val="008D0AEF"/>
    <w:rsid w:val="008D0B31"/>
    <w:rsid w:val="008D0F75"/>
    <w:rsid w:val="008D112A"/>
    <w:rsid w:val="008D11CB"/>
    <w:rsid w:val="008D1223"/>
    <w:rsid w:val="008D132F"/>
    <w:rsid w:val="008D13D9"/>
    <w:rsid w:val="008D14B3"/>
    <w:rsid w:val="008D15D4"/>
    <w:rsid w:val="008D160B"/>
    <w:rsid w:val="008D1652"/>
    <w:rsid w:val="008D165C"/>
    <w:rsid w:val="008D1759"/>
    <w:rsid w:val="008D178D"/>
    <w:rsid w:val="008D1803"/>
    <w:rsid w:val="008D1C7B"/>
    <w:rsid w:val="008D1D2A"/>
    <w:rsid w:val="008D1EE8"/>
    <w:rsid w:val="008D1EF2"/>
    <w:rsid w:val="008D2088"/>
    <w:rsid w:val="008D2098"/>
    <w:rsid w:val="008D21A7"/>
    <w:rsid w:val="008D230D"/>
    <w:rsid w:val="008D2317"/>
    <w:rsid w:val="008D2361"/>
    <w:rsid w:val="008D249B"/>
    <w:rsid w:val="008D24A8"/>
    <w:rsid w:val="008D255D"/>
    <w:rsid w:val="008D26C4"/>
    <w:rsid w:val="008D2701"/>
    <w:rsid w:val="008D275F"/>
    <w:rsid w:val="008D29B0"/>
    <w:rsid w:val="008D2B9C"/>
    <w:rsid w:val="008D2B9E"/>
    <w:rsid w:val="008D2C28"/>
    <w:rsid w:val="008D2DB5"/>
    <w:rsid w:val="008D3095"/>
    <w:rsid w:val="008D3119"/>
    <w:rsid w:val="008D31DA"/>
    <w:rsid w:val="008D333B"/>
    <w:rsid w:val="008D33F4"/>
    <w:rsid w:val="008D35E2"/>
    <w:rsid w:val="008D3B96"/>
    <w:rsid w:val="008D3BB8"/>
    <w:rsid w:val="008D3F11"/>
    <w:rsid w:val="008D40AC"/>
    <w:rsid w:val="008D40C3"/>
    <w:rsid w:val="008D4272"/>
    <w:rsid w:val="008D4323"/>
    <w:rsid w:val="008D4730"/>
    <w:rsid w:val="008D48F6"/>
    <w:rsid w:val="008D4AC8"/>
    <w:rsid w:val="008D4D36"/>
    <w:rsid w:val="008D4E0E"/>
    <w:rsid w:val="008D5196"/>
    <w:rsid w:val="008D51AC"/>
    <w:rsid w:val="008D51EE"/>
    <w:rsid w:val="008D5235"/>
    <w:rsid w:val="008D5386"/>
    <w:rsid w:val="008D54F7"/>
    <w:rsid w:val="008D5789"/>
    <w:rsid w:val="008D580C"/>
    <w:rsid w:val="008D5AFB"/>
    <w:rsid w:val="008D5C6C"/>
    <w:rsid w:val="008D5CA9"/>
    <w:rsid w:val="008D5D03"/>
    <w:rsid w:val="008D5EF2"/>
    <w:rsid w:val="008D609B"/>
    <w:rsid w:val="008D610B"/>
    <w:rsid w:val="008D61EE"/>
    <w:rsid w:val="008D64CA"/>
    <w:rsid w:val="008D6C8C"/>
    <w:rsid w:val="008D6DD9"/>
    <w:rsid w:val="008D6DF0"/>
    <w:rsid w:val="008D7024"/>
    <w:rsid w:val="008D7194"/>
    <w:rsid w:val="008D71A2"/>
    <w:rsid w:val="008D7255"/>
    <w:rsid w:val="008D7432"/>
    <w:rsid w:val="008D75A7"/>
    <w:rsid w:val="008D7786"/>
    <w:rsid w:val="008D79BA"/>
    <w:rsid w:val="008D7A9C"/>
    <w:rsid w:val="008D7B90"/>
    <w:rsid w:val="008D7EE7"/>
    <w:rsid w:val="008E0015"/>
    <w:rsid w:val="008E002A"/>
    <w:rsid w:val="008E00E2"/>
    <w:rsid w:val="008E0429"/>
    <w:rsid w:val="008E0892"/>
    <w:rsid w:val="008E0AA4"/>
    <w:rsid w:val="008E0B2E"/>
    <w:rsid w:val="008E0D24"/>
    <w:rsid w:val="008E0DFF"/>
    <w:rsid w:val="008E0EFD"/>
    <w:rsid w:val="008E12E6"/>
    <w:rsid w:val="008E14F8"/>
    <w:rsid w:val="008E1681"/>
    <w:rsid w:val="008E16D8"/>
    <w:rsid w:val="008E174D"/>
    <w:rsid w:val="008E1790"/>
    <w:rsid w:val="008E1A5D"/>
    <w:rsid w:val="008E1AA9"/>
    <w:rsid w:val="008E1B5E"/>
    <w:rsid w:val="008E1BC7"/>
    <w:rsid w:val="008E200E"/>
    <w:rsid w:val="008E2169"/>
    <w:rsid w:val="008E222F"/>
    <w:rsid w:val="008E22BB"/>
    <w:rsid w:val="008E23EE"/>
    <w:rsid w:val="008E241F"/>
    <w:rsid w:val="008E2481"/>
    <w:rsid w:val="008E2678"/>
    <w:rsid w:val="008E27C2"/>
    <w:rsid w:val="008E27F2"/>
    <w:rsid w:val="008E28F6"/>
    <w:rsid w:val="008E293D"/>
    <w:rsid w:val="008E2979"/>
    <w:rsid w:val="008E298C"/>
    <w:rsid w:val="008E2B6D"/>
    <w:rsid w:val="008E2EF8"/>
    <w:rsid w:val="008E32B5"/>
    <w:rsid w:val="008E3314"/>
    <w:rsid w:val="008E3357"/>
    <w:rsid w:val="008E335B"/>
    <w:rsid w:val="008E3395"/>
    <w:rsid w:val="008E346E"/>
    <w:rsid w:val="008E3591"/>
    <w:rsid w:val="008E3648"/>
    <w:rsid w:val="008E3663"/>
    <w:rsid w:val="008E3803"/>
    <w:rsid w:val="008E3872"/>
    <w:rsid w:val="008E3C26"/>
    <w:rsid w:val="008E3D28"/>
    <w:rsid w:val="008E3D8F"/>
    <w:rsid w:val="008E3D92"/>
    <w:rsid w:val="008E3ECA"/>
    <w:rsid w:val="008E3EFE"/>
    <w:rsid w:val="008E46D6"/>
    <w:rsid w:val="008E4734"/>
    <w:rsid w:val="008E4DCA"/>
    <w:rsid w:val="008E4E2A"/>
    <w:rsid w:val="008E4E43"/>
    <w:rsid w:val="008E4FDE"/>
    <w:rsid w:val="008E50F7"/>
    <w:rsid w:val="008E5114"/>
    <w:rsid w:val="008E5173"/>
    <w:rsid w:val="008E549D"/>
    <w:rsid w:val="008E559D"/>
    <w:rsid w:val="008E55ED"/>
    <w:rsid w:val="008E5882"/>
    <w:rsid w:val="008E5938"/>
    <w:rsid w:val="008E5975"/>
    <w:rsid w:val="008E5B43"/>
    <w:rsid w:val="008E5D9C"/>
    <w:rsid w:val="008E6442"/>
    <w:rsid w:val="008E64E7"/>
    <w:rsid w:val="008E653A"/>
    <w:rsid w:val="008E657C"/>
    <w:rsid w:val="008E68A6"/>
    <w:rsid w:val="008E68F4"/>
    <w:rsid w:val="008E6958"/>
    <w:rsid w:val="008E6E75"/>
    <w:rsid w:val="008E6ED3"/>
    <w:rsid w:val="008E70A6"/>
    <w:rsid w:val="008E70F0"/>
    <w:rsid w:val="008E7210"/>
    <w:rsid w:val="008E7545"/>
    <w:rsid w:val="008E7743"/>
    <w:rsid w:val="008E7845"/>
    <w:rsid w:val="008E7BC3"/>
    <w:rsid w:val="008E7D4B"/>
    <w:rsid w:val="008E7D98"/>
    <w:rsid w:val="008E7DA9"/>
    <w:rsid w:val="008E7F05"/>
    <w:rsid w:val="008E7F84"/>
    <w:rsid w:val="008E7F97"/>
    <w:rsid w:val="008E7FE8"/>
    <w:rsid w:val="008F0127"/>
    <w:rsid w:val="008F0177"/>
    <w:rsid w:val="008F01E8"/>
    <w:rsid w:val="008F0338"/>
    <w:rsid w:val="008F0935"/>
    <w:rsid w:val="008F0C07"/>
    <w:rsid w:val="008F0CD1"/>
    <w:rsid w:val="008F0D45"/>
    <w:rsid w:val="008F0E42"/>
    <w:rsid w:val="008F0EA4"/>
    <w:rsid w:val="008F1004"/>
    <w:rsid w:val="008F1082"/>
    <w:rsid w:val="008F1468"/>
    <w:rsid w:val="008F1536"/>
    <w:rsid w:val="008F1940"/>
    <w:rsid w:val="008F1D59"/>
    <w:rsid w:val="008F22C2"/>
    <w:rsid w:val="008F25B6"/>
    <w:rsid w:val="008F2646"/>
    <w:rsid w:val="008F273F"/>
    <w:rsid w:val="008F2A00"/>
    <w:rsid w:val="008F2A2A"/>
    <w:rsid w:val="008F2A35"/>
    <w:rsid w:val="008F2D26"/>
    <w:rsid w:val="008F2D32"/>
    <w:rsid w:val="008F2D4C"/>
    <w:rsid w:val="008F2E81"/>
    <w:rsid w:val="008F3095"/>
    <w:rsid w:val="008F30AE"/>
    <w:rsid w:val="008F30B6"/>
    <w:rsid w:val="008F31E8"/>
    <w:rsid w:val="008F33A6"/>
    <w:rsid w:val="008F346A"/>
    <w:rsid w:val="008F36AF"/>
    <w:rsid w:val="008F36CB"/>
    <w:rsid w:val="008F36EF"/>
    <w:rsid w:val="008F37AE"/>
    <w:rsid w:val="008F3903"/>
    <w:rsid w:val="008F3BE9"/>
    <w:rsid w:val="008F3C4C"/>
    <w:rsid w:val="008F3DAE"/>
    <w:rsid w:val="008F3F40"/>
    <w:rsid w:val="008F4053"/>
    <w:rsid w:val="008F43A1"/>
    <w:rsid w:val="008F44C0"/>
    <w:rsid w:val="008F44F2"/>
    <w:rsid w:val="008F4793"/>
    <w:rsid w:val="008F4849"/>
    <w:rsid w:val="008F484A"/>
    <w:rsid w:val="008F4ACC"/>
    <w:rsid w:val="008F4C7A"/>
    <w:rsid w:val="008F4D2C"/>
    <w:rsid w:val="008F5232"/>
    <w:rsid w:val="008F526C"/>
    <w:rsid w:val="008F52BB"/>
    <w:rsid w:val="008F53E2"/>
    <w:rsid w:val="008F5534"/>
    <w:rsid w:val="008F56E7"/>
    <w:rsid w:val="008F58A0"/>
    <w:rsid w:val="008F5940"/>
    <w:rsid w:val="008F5963"/>
    <w:rsid w:val="008F5A04"/>
    <w:rsid w:val="008F5A3F"/>
    <w:rsid w:val="008F5C08"/>
    <w:rsid w:val="008F5DEC"/>
    <w:rsid w:val="008F5FC9"/>
    <w:rsid w:val="008F60DE"/>
    <w:rsid w:val="008F65EF"/>
    <w:rsid w:val="008F6673"/>
    <w:rsid w:val="008F67CF"/>
    <w:rsid w:val="008F687B"/>
    <w:rsid w:val="008F68B9"/>
    <w:rsid w:val="008F6977"/>
    <w:rsid w:val="008F6A36"/>
    <w:rsid w:val="008F6AC9"/>
    <w:rsid w:val="008F6CC0"/>
    <w:rsid w:val="008F6E15"/>
    <w:rsid w:val="008F73FE"/>
    <w:rsid w:val="008F747A"/>
    <w:rsid w:val="008F7496"/>
    <w:rsid w:val="008F763D"/>
    <w:rsid w:val="008F77D2"/>
    <w:rsid w:val="008F7D06"/>
    <w:rsid w:val="008F7D89"/>
    <w:rsid w:val="008F7F88"/>
    <w:rsid w:val="0090001A"/>
    <w:rsid w:val="00900147"/>
    <w:rsid w:val="00900158"/>
    <w:rsid w:val="00900178"/>
    <w:rsid w:val="009001A8"/>
    <w:rsid w:val="00900227"/>
    <w:rsid w:val="009006C9"/>
    <w:rsid w:val="009007A7"/>
    <w:rsid w:val="0090080F"/>
    <w:rsid w:val="009009D3"/>
    <w:rsid w:val="00900A72"/>
    <w:rsid w:val="00900E8D"/>
    <w:rsid w:val="00900E98"/>
    <w:rsid w:val="00901140"/>
    <w:rsid w:val="00901365"/>
    <w:rsid w:val="0090143C"/>
    <w:rsid w:val="009015D5"/>
    <w:rsid w:val="009017A6"/>
    <w:rsid w:val="009017A8"/>
    <w:rsid w:val="0090194C"/>
    <w:rsid w:val="00901A93"/>
    <w:rsid w:val="00901C7C"/>
    <w:rsid w:val="00902057"/>
    <w:rsid w:val="0090237F"/>
    <w:rsid w:val="009023A3"/>
    <w:rsid w:val="00902415"/>
    <w:rsid w:val="009028C3"/>
    <w:rsid w:val="00902973"/>
    <w:rsid w:val="0090299F"/>
    <w:rsid w:val="00902A63"/>
    <w:rsid w:val="00903002"/>
    <w:rsid w:val="009030B6"/>
    <w:rsid w:val="00903164"/>
    <w:rsid w:val="0090327B"/>
    <w:rsid w:val="0090353B"/>
    <w:rsid w:val="0090370D"/>
    <w:rsid w:val="00903789"/>
    <w:rsid w:val="00903BF4"/>
    <w:rsid w:val="00903C60"/>
    <w:rsid w:val="00903D46"/>
    <w:rsid w:val="00903DEB"/>
    <w:rsid w:val="00903F86"/>
    <w:rsid w:val="0090421A"/>
    <w:rsid w:val="00904375"/>
    <w:rsid w:val="0090441B"/>
    <w:rsid w:val="009044F7"/>
    <w:rsid w:val="00904932"/>
    <w:rsid w:val="00904D26"/>
    <w:rsid w:val="00904EA1"/>
    <w:rsid w:val="00905134"/>
    <w:rsid w:val="0090516A"/>
    <w:rsid w:val="00905401"/>
    <w:rsid w:val="00905434"/>
    <w:rsid w:val="00905486"/>
    <w:rsid w:val="00905730"/>
    <w:rsid w:val="0090586E"/>
    <w:rsid w:val="0090597E"/>
    <w:rsid w:val="00905CA1"/>
    <w:rsid w:val="00905E35"/>
    <w:rsid w:val="00905EAF"/>
    <w:rsid w:val="0090601C"/>
    <w:rsid w:val="00906072"/>
    <w:rsid w:val="00906101"/>
    <w:rsid w:val="0090610F"/>
    <w:rsid w:val="0090623E"/>
    <w:rsid w:val="0090628F"/>
    <w:rsid w:val="009062FC"/>
    <w:rsid w:val="009064F3"/>
    <w:rsid w:val="0090687D"/>
    <w:rsid w:val="00906A88"/>
    <w:rsid w:val="00906B8F"/>
    <w:rsid w:val="00906CDC"/>
    <w:rsid w:val="00906FD2"/>
    <w:rsid w:val="009070DD"/>
    <w:rsid w:val="009071C9"/>
    <w:rsid w:val="00907284"/>
    <w:rsid w:val="009076BB"/>
    <w:rsid w:val="00907766"/>
    <w:rsid w:val="00907784"/>
    <w:rsid w:val="009077F1"/>
    <w:rsid w:val="00907813"/>
    <w:rsid w:val="0090788F"/>
    <w:rsid w:val="00907C61"/>
    <w:rsid w:val="00907EC7"/>
    <w:rsid w:val="00907F71"/>
    <w:rsid w:val="00910233"/>
    <w:rsid w:val="00910344"/>
    <w:rsid w:val="0091053C"/>
    <w:rsid w:val="009106D1"/>
    <w:rsid w:val="0091075F"/>
    <w:rsid w:val="009108F8"/>
    <w:rsid w:val="00910A8F"/>
    <w:rsid w:val="00910A94"/>
    <w:rsid w:val="00910ADE"/>
    <w:rsid w:val="00910E63"/>
    <w:rsid w:val="00910F40"/>
    <w:rsid w:val="00911062"/>
    <w:rsid w:val="00911235"/>
    <w:rsid w:val="0091141D"/>
    <w:rsid w:val="00911442"/>
    <w:rsid w:val="0091154E"/>
    <w:rsid w:val="00911713"/>
    <w:rsid w:val="0091186C"/>
    <w:rsid w:val="009119CF"/>
    <w:rsid w:val="00911F0C"/>
    <w:rsid w:val="00911F72"/>
    <w:rsid w:val="00912107"/>
    <w:rsid w:val="00912312"/>
    <w:rsid w:val="00912627"/>
    <w:rsid w:val="00912664"/>
    <w:rsid w:val="0091268F"/>
    <w:rsid w:val="0091269A"/>
    <w:rsid w:val="009127B1"/>
    <w:rsid w:val="0091282E"/>
    <w:rsid w:val="0091299F"/>
    <w:rsid w:val="00912A19"/>
    <w:rsid w:val="00912A27"/>
    <w:rsid w:val="00912AF9"/>
    <w:rsid w:val="00912F99"/>
    <w:rsid w:val="009130CB"/>
    <w:rsid w:val="009131BC"/>
    <w:rsid w:val="00913309"/>
    <w:rsid w:val="00913575"/>
    <w:rsid w:val="00913599"/>
    <w:rsid w:val="009136DC"/>
    <w:rsid w:val="0091387B"/>
    <w:rsid w:val="00913A9E"/>
    <w:rsid w:val="00913ADC"/>
    <w:rsid w:val="00913C61"/>
    <w:rsid w:val="00913C62"/>
    <w:rsid w:val="00913CD2"/>
    <w:rsid w:val="00913DF5"/>
    <w:rsid w:val="00913E19"/>
    <w:rsid w:val="00913E44"/>
    <w:rsid w:val="009140BD"/>
    <w:rsid w:val="009140CC"/>
    <w:rsid w:val="0091421A"/>
    <w:rsid w:val="00914258"/>
    <w:rsid w:val="00914292"/>
    <w:rsid w:val="0091455F"/>
    <w:rsid w:val="0091465C"/>
    <w:rsid w:val="0091487E"/>
    <w:rsid w:val="00914980"/>
    <w:rsid w:val="00914D06"/>
    <w:rsid w:val="009152F9"/>
    <w:rsid w:val="00915452"/>
    <w:rsid w:val="0091547F"/>
    <w:rsid w:val="009156E0"/>
    <w:rsid w:val="00915701"/>
    <w:rsid w:val="00915822"/>
    <w:rsid w:val="00915870"/>
    <w:rsid w:val="009158AD"/>
    <w:rsid w:val="009158E5"/>
    <w:rsid w:val="009159C7"/>
    <w:rsid w:val="00915A22"/>
    <w:rsid w:val="00915BEF"/>
    <w:rsid w:val="00915D83"/>
    <w:rsid w:val="0091611E"/>
    <w:rsid w:val="0091623C"/>
    <w:rsid w:val="0091641E"/>
    <w:rsid w:val="00916462"/>
    <w:rsid w:val="009164E9"/>
    <w:rsid w:val="00916660"/>
    <w:rsid w:val="00916776"/>
    <w:rsid w:val="009167F7"/>
    <w:rsid w:val="0091685A"/>
    <w:rsid w:val="009169DB"/>
    <w:rsid w:val="00916A68"/>
    <w:rsid w:val="00916B1A"/>
    <w:rsid w:val="00916BAD"/>
    <w:rsid w:val="00916D02"/>
    <w:rsid w:val="00916D2C"/>
    <w:rsid w:val="00916E37"/>
    <w:rsid w:val="00916F93"/>
    <w:rsid w:val="00917083"/>
    <w:rsid w:val="0091718E"/>
    <w:rsid w:val="00917267"/>
    <w:rsid w:val="00917342"/>
    <w:rsid w:val="00917438"/>
    <w:rsid w:val="009174C8"/>
    <w:rsid w:val="00917899"/>
    <w:rsid w:val="009178F1"/>
    <w:rsid w:val="009179AC"/>
    <w:rsid w:val="00917A8A"/>
    <w:rsid w:val="00917E23"/>
    <w:rsid w:val="00917E32"/>
    <w:rsid w:val="00917FB2"/>
    <w:rsid w:val="00920243"/>
    <w:rsid w:val="00920317"/>
    <w:rsid w:val="00920405"/>
    <w:rsid w:val="0092050B"/>
    <w:rsid w:val="00920541"/>
    <w:rsid w:val="00920779"/>
    <w:rsid w:val="009207C7"/>
    <w:rsid w:val="0092097E"/>
    <w:rsid w:val="00920A5A"/>
    <w:rsid w:val="00920B7A"/>
    <w:rsid w:val="00920BC0"/>
    <w:rsid w:val="00920CE9"/>
    <w:rsid w:val="00920D50"/>
    <w:rsid w:val="00920E53"/>
    <w:rsid w:val="00920F05"/>
    <w:rsid w:val="0092105F"/>
    <w:rsid w:val="00921183"/>
    <w:rsid w:val="009215A0"/>
    <w:rsid w:val="009216A7"/>
    <w:rsid w:val="009216C5"/>
    <w:rsid w:val="00921810"/>
    <w:rsid w:val="0092185E"/>
    <w:rsid w:val="009218DB"/>
    <w:rsid w:val="009218DE"/>
    <w:rsid w:val="00921990"/>
    <w:rsid w:val="00921BDE"/>
    <w:rsid w:val="00921D26"/>
    <w:rsid w:val="00921E91"/>
    <w:rsid w:val="00921EA5"/>
    <w:rsid w:val="00922610"/>
    <w:rsid w:val="00922634"/>
    <w:rsid w:val="0092273C"/>
    <w:rsid w:val="009227A3"/>
    <w:rsid w:val="009227F9"/>
    <w:rsid w:val="00922B26"/>
    <w:rsid w:val="00922C40"/>
    <w:rsid w:val="00922C54"/>
    <w:rsid w:val="00922E6D"/>
    <w:rsid w:val="00922F64"/>
    <w:rsid w:val="009231F3"/>
    <w:rsid w:val="009232F8"/>
    <w:rsid w:val="009236E3"/>
    <w:rsid w:val="00923888"/>
    <w:rsid w:val="009238AB"/>
    <w:rsid w:val="009239E3"/>
    <w:rsid w:val="00923AFB"/>
    <w:rsid w:val="00923BEB"/>
    <w:rsid w:val="00923FF3"/>
    <w:rsid w:val="00924094"/>
    <w:rsid w:val="0092412F"/>
    <w:rsid w:val="00924321"/>
    <w:rsid w:val="009244A3"/>
    <w:rsid w:val="009249C6"/>
    <w:rsid w:val="00924A39"/>
    <w:rsid w:val="00924A4E"/>
    <w:rsid w:val="00924A9D"/>
    <w:rsid w:val="00924BC6"/>
    <w:rsid w:val="00924C69"/>
    <w:rsid w:val="00924F03"/>
    <w:rsid w:val="00924F79"/>
    <w:rsid w:val="00924FC7"/>
    <w:rsid w:val="009256C0"/>
    <w:rsid w:val="00925824"/>
    <w:rsid w:val="00925833"/>
    <w:rsid w:val="009258C1"/>
    <w:rsid w:val="0092597A"/>
    <w:rsid w:val="00925DC7"/>
    <w:rsid w:val="00925F2A"/>
    <w:rsid w:val="00925FD0"/>
    <w:rsid w:val="00926128"/>
    <w:rsid w:val="0092617F"/>
    <w:rsid w:val="009262D8"/>
    <w:rsid w:val="0092644C"/>
    <w:rsid w:val="00926571"/>
    <w:rsid w:val="009265DA"/>
    <w:rsid w:val="00926661"/>
    <w:rsid w:val="0092682A"/>
    <w:rsid w:val="009269C2"/>
    <w:rsid w:val="00926FA9"/>
    <w:rsid w:val="009270A5"/>
    <w:rsid w:val="00927241"/>
    <w:rsid w:val="0092737D"/>
    <w:rsid w:val="0092751C"/>
    <w:rsid w:val="009277EB"/>
    <w:rsid w:val="00927A16"/>
    <w:rsid w:val="00927BD3"/>
    <w:rsid w:val="00927DEF"/>
    <w:rsid w:val="009302F0"/>
    <w:rsid w:val="00930405"/>
    <w:rsid w:val="0093044C"/>
    <w:rsid w:val="009305C6"/>
    <w:rsid w:val="009306C5"/>
    <w:rsid w:val="00930A1D"/>
    <w:rsid w:val="00930B81"/>
    <w:rsid w:val="00930C87"/>
    <w:rsid w:val="00930D19"/>
    <w:rsid w:val="00930EEE"/>
    <w:rsid w:val="00930F3B"/>
    <w:rsid w:val="00931114"/>
    <w:rsid w:val="00931136"/>
    <w:rsid w:val="009311E9"/>
    <w:rsid w:val="009313B2"/>
    <w:rsid w:val="00931485"/>
    <w:rsid w:val="009316DA"/>
    <w:rsid w:val="0093175E"/>
    <w:rsid w:val="00931787"/>
    <w:rsid w:val="00931AE6"/>
    <w:rsid w:val="00931CDC"/>
    <w:rsid w:val="00931DAC"/>
    <w:rsid w:val="00931E3C"/>
    <w:rsid w:val="00932072"/>
    <w:rsid w:val="009321B3"/>
    <w:rsid w:val="0093242E"/>
    <w:rsid w:val="00932678"/>
    <w:rsid w:val="00932956"/>
    <w:rsid w:val="00932C67"/>
    <w:rsid w:val="00932C9D"/>
    <w:rsid w:val="00932CC8"/>
    <w:rsid w:val="00932E3E"/>
    <w:rsid w:val="00932EB0"/>
    <w:rsid w:val="00932EC5"/>
    <w:rsid w:val="00932F4D"/>
    <w:rsid w:val="009331ED"/>
    <w:rsid w:val="009333EC"/>
    <w:rsid w:val="00933699"/>
    <w:rsid w:val="009336F4"/>
    <w:rsid w:val="00933868"/>
    <w:rsid w:val="009338C3"/>
    <w:rsid w:val="00933A1A"/>
    <w:rsid w:val="00933B6C"/>
    <w:rsid w:val="00933C6C"/>
    <w:rsid w:val="00933D2E"/>
    <w:rsid w:val="00933E61"/>
    <w:rsid w:val="00933EF1"/>
    <w:rsid w:val="0093419F"/>
    <w:rsid w:val="00934287"/>
    <w:rsid w:val="0093430D"/>
    <w:rsid w:val="00934348"/>
    <w:rsid w:val="009344D8"/>
    <w:rsid w:val="00934674"/>
    <w:rsid w:val="0093468A"/>
    <w:rsid w:val="009348ED"/>
    <w:rsid w:val="00934935"/>
    <w:rsid w:val="00934C56"/>
    <w:rsid w:val="0093524F"/>
    <w:rsid w:val="00935493"/>
    <w:rsid w:val="009354CF"/>
    <w:rsid w:val="009358AF"/>
    <w:rsid w:val="009359CF"/>
    <w:rsid w:val="00935AED"/>
    <w:rsid w:val="00935B80"/>
    <w:rsid w:val="00935CD3"/>
    <w:rsid w:val="00935EC1"/>
    <w:rsid w:val="00936332"/>
    <w:rsid w:val="009365F1"/>
    <w:rsid w:val="00936748"/>
    <w:rsid w:val="009368D7"/>
    <w:rsid w:val="00936A7F"/>
    <w:rsid w:val="00936DF4"/>
    <w:rsid w:val="00936E24"/>
    <w:rsid w:val="009371E1"/>
    <w:rsid w:val="009372AF"/>
    <w:rsid w:val="009373A3"/>
    <w:rsid w:val="009376EC"/>
    <w:rsid w:val="00937784"/>
    <w:rsid w:val="009377E5"/>
    <w:rsid w:val="00937AC5"/>
    <w:rsid w:val="00937AD3"/>
    <w:rsid w:val="00937C31"/>
    <w:rsid w:val="00937CB4"/>
    <w:rsid w:val="00937D30"/>
    <w:rsid w:val="00937E52"/>
    <w:rsid w:val="00937F2F"/>
    <w:rsid w:val="00937FD9"/>
    <w:rsid w:val="00937FEC"/>
    <w:rsid w:val="009401D3"/>
    <w:rsid w:val="009401DF"/>
    <w:rsid w:val="0094041A"/>
    <w:rsid w:val="00940A24"/>
    <w:rsid w:val="00940A77"/>
    <w:rsid w:val="00940B52"/>
    <w:rsid w:val="00940C34"/>
    <w:rsid w:val="00940D1B"/>
    <w:rsid w:val="00940D6D"/>
    <w:rsid w:val="00940D93"/>
    <w:rsid w:val="00940DB5"/>
    <w:rsid w:val="00940F84"/>
    <w:rsid w:val="0094117A"/>
    <w:rsid w:val="009411E7"/>
    <w:rsid w:val="00941349"/>
    <w:rsid w:val="00941409"/>
    <w:rsid w:val="00941480"/>
    <w:rsid w:val="009414D5"/>
    <w:rsid w:val="009415BE"/>
    <w:rsid w:val="009416ED"/>
    <w:rsid w:val="0094171E"/>
    <w:rsid w:val="0094172F"/>
    <w:rsid w:val="0094193B"/>
    <w:rsid w:val="00941A3E"/>
    <w:rsid w:val="00941AFD"/>
    <w:rsid w:val="00941BB4"/>
    <w:rsid w:val="00941BBF"/>
    <w:rsid w:val="00941CCA"/>
    <w:rsid w:val="00941CFF"/>
    <w:rsid w:val="00941D7F"/>
    <w:rsid w:val="00942103"/>
    <w:rsid w:val="0094224E"/>
    <w:rsid w:val="009422A0"/>
    <w:rsid w:val="0094232A"/>
    <w:rsid w:val="00942630"/>
    <w:rsid w:val="009428F7"/>
    <w:rsid w:val="00942CBC"/>
    <w:rsid w:val="00942FB0"/>
    <w:rsid w:val="0094311A"/>
    <w:rsid w:val="00943212"/>
    <w:rsid w:val="00943305"/>
    <w:rsid w:val="0094335C"/>
    <w:rsid w:val="00943469"/>
    <w:rsid w:val="00943650"/>
    <w:rsid w:val="00943783"/>
    <w:rsid w:val="009438F6"/>
    <w:rsid w:val="00943A67"/>
    <w:rsid w:val="00943AEA"/>
    <w:rsid w:val="00943AF0"/>
    <w:rsid w:val="00943D00"/>
    <w:rsid w:val="00943F89"/>
    <w:rsid w:val="0094408A"/>
    <w:rsid w:val="00944355"/>
    <w:rsid w:val="0094467A"/>
    <w:rsid w:val="00944937"/>
    <w:rsid w:val="00944B28"/>
    <w:rsid w:val="00944B5B"/>
    <w:rsid w:val="00944BBD"/>
    <w:rsid w:val="00944BF6"/>
    <w:rsid w:val="00944C57"/>
    <w:rsid w:val="00944D01"/>
    <w:rsid w:val="00944E88"/>
    <w:rsid w:val="00944F69"/>
    <w:rsid w:val="009450B4"/>
    <w:rsid w:val="009451CF"/>
    <w:rsid w:val="009451E9"/>
    <w:rsid w:val="009451EA"/>
    <w:rsid w:val="0094540A"/>
    <w:rsid w:val="00945446"/>
    <w:rsid w:val="00945694"/>
    <w:rsid w:val="00945710"/>
    <w:rsid w:val="0094571A"/>
    <w:rsid w:val="00945920"/>
    <w:rsid w:val="00945A17"/>
    <w:rsid w:val="00945B7B"/>
    <w:rsid w:val="00945BD2"/>
    <w:rsid w:val="00945CB6"/>
    <w:rsid w:val="00945ECC"/>
    <w:rsid w:val="00946184"/>
    <w:rsid w:val="00946203"/>
    <w:rsid w:val="0094681A"/>
    <w:rsid w:val="00946A72"/>
    <w:rsid w:val="00946D45"/>
    <w:rsid w:val="009470C5"/>
    <w:rsid w:val="009470F4"/>
    <w:rsid w:val="009473D0"/>
    <w:rsid w:val="00947428"/>
    <w:rsid w:val="00947600"/>
    <w:rsid w:val="00947666"/>
    <w:rsid w:val="00947697"/>
    <w:rsid w:val="009476FB"/>
    <w:rsid w:val="00947761"/>
    <w:rsid w:val="009477A3"/>
    <w:rsid w:val="00947AE3"/>
    <w:rsid w:val="00947D0A"/>
    <w:rsid w:val="00947F23"/>
    <w:rsid w:val="00950119"/>
    <w:rsid w:val="00950323"/>
    <w:rsid w:val="00950547"/>
    <w:rsid w:val="00950A25"/>
    <w:rsid w:val="00950A42"/>
    <w:rsid w:val="00950DB4"/>
    <w:rsid w:val="00950F44"/>
    <w:rsid w:val="00950F66"/>
    <w:rsid w:val="00951088"/>
    <w:rsid w:val="00951294"/>
    <w:rsid w:val="009512D1"/>
    <w:rsid w:val="0095158A"/>
    <w:rsid w:val="009515CC"/>
    <w:rsid w:val="0095168C"/>
    <w:rsid w:val="009517EE"/>
    <w:rsid w:val="00951EB7"/>
    <w:rsid w:val="00951FBB"/>
    <w:rsid w:val="00952036"/>
    <w:rsid w:val="009520F1"/>
    <w:rsid w:val="009522A9"/>
    <w:rsid w:val="009522AE"/>
    <w:rsid w:val="00952436"/>
    <w:rsid w:val="00952558"/>
    <w:rsid w:val="00952657"/>
    <w:rsid w:val="009526E1"/>
    <w:rsid w:val="009526F1"/>
    <w:rsid w:val="009528B2"/>
    <w:rsid w:val="00952B40"/>
    <w:rsid w:val="00952BB9"/>
    <w:rsid w:val="00952EC8"/>
    <w:rsid w:val="00952EDE"/>
    <w:rsid w:val="0095319B"/>
    <w:rsid w:val="009531DA"/>
    <w:rsid w:val="00953379"/>
    <w:rsid w:val="0095356F"/>
    <w:rsid w:val="0095377A"/>
    <w:rsid w:val="009537F1"/>
    <w:rsid w:val="00953841"/>
    <w:rsid w:val="00953859"/>
    <w:rsid w:val="009539FD"/>
    <w:rsid w:val="00953ABB"/>
    <w:rsid w:val="00953BDB"/>
    <w:rsid w:val="00953CB2"/>
    <w:rsid w:val="00953CD4"/>
    <w:rsid w:val="00953CE5"/>
    <w:rsid w:val="00953D87"/>
    <w:rsid w:val="00953FB9"/>
    <w:rsid w:val="00953FFF"/>
    <w:rsid w:val="0095475A"/>
    <w:rsid w:val="009548DD"/>
    <w:rsid w:val="00954BB5"/>
    <w:rsid w:val="00954CC8"/>
    <w:rsid w:val="00954CD6"/>
    <w:rsid w:val="00954E2D"/>
    <w:rsid w:val="00954EA3"/>
    <w:rsid w:val="00954FB5"/>
    <w:rsid w:val="009550AD"/>
    <w:rsid w:val="009550F3"/>
    <w:rsid w:val="00955186"/>
    <w:rsid w:val="00955587"/>
    <w:rsid w:val="009555E0"/>
    <w:rsid w:val="00955664"/>
    <w:rsid w:val="0095582A"/>
    <w:rsid w:val="009558A1"/>
    <w:rsid w:val="00955A15"/>
    <w:rsid w:val="00955AA7"/>
    <w:rsid w:val="00955C09"/>
    <w:rsid w:val="00955DA4"/>
    <w:rsid w:val="00955E5E"/>
    <w:rsid w:val="00955F67"/>
    <w:rsid w:val="00955FC3"/>
    <w:rsid w:val="00955FDD"/>
    <w:rsid w:val="00956051"/>
    <w:rsid w:val="00956203"/>
    <w:rsid w:val="00956494"/>
    <w:rsid w:val="0095649C"/>
    <w:rsid w:val="009565A3"/>
    <w:rsid w:val="009566CD"/>
    <w:rsid w:val="009567AA"/>
    <w:rsid w:val="009567E0"/>
    <w:rsid w:val="009567EB"/>
    <w:rsid w:val="00956A9E"/>
    <w:rsid w:val="00956AAE"/>
    <w:rsid w:val="00956AC6"/>
    <w:rsid w:val="00956AC7"/>
    <w:rsid w:val="00956AD5"/>
    <w:rsid w:val="00956C03"/>
    <w:rsid w:val="00956F60"/>
    <w:rsid w:val="009570CF"/>
    <w:rsid w:val="0095710D"/>
    <w:rsid w:val="0095727B"/>
    <w:rsid w:val="00957332"/>
    <w:rsid w:val="00957536"/>
    <w:rsid w:val="00957634"/>
    <w:rsid w:val="00957A69"/>
    <w:rsid w:val="00957B9A"/>
    <w:rsid w:val="00957E04"/>
    <w:rsid w:val="00957E11"/>
    <w:rsid w:val="00957EE1"/>
    <w:rsid w:val="00957FDF"/>
    <w:rsid w:val="00960232"/>
    <w:rsid w:val="009602FF"/>
    <w:rsid w:val="00960398"/>
    <w:rsid w:val="009603B3"/>
    <w:rsid w:val="009603C4"/>
    <w:rsid w:val="00960940"/>
    <w:rsid w:val="00960B36"/>
    <w:rsid w:val="00960C2E"/>
    <w:rsid w:val="00960C6A"/>
    <w:rsid w:val="00961046"/>
    <w:rsid w:val="0096148A"/>
    <w:rsid w:val="009618D1"/>
    <w:rsid w:val="00961905"/>
    <w:rsid w:val="00961A7B"/>
    <w:rsid w:val="00961ABA"/>
    <w:rsid w:val="00961BEC"/>
    <w:rsid w:val="009621DF"/>
    <w:rsid w:val="00962218"/>
    <w:rsid w:val="00962569"/>
    <w:rsid w:val="009627B5"/>
    <w:rsid w:val="00962863"/>
    <w:rsid w:val="00962953"/>
    <w:rsid w:val="00962B78"/>
    <w:rsid w:val="00962DCC"/>
    <w:rsid w:val="00962F7B"/>
    <w:rsid w:val="00962FA7"/>
    <w:rsid w:val="0096309D"/>
    <w:rsid w:val="00963172"/>
    <w:rsid w:val="009631BF"/>
    <w:rsid w:val="009632A3"/>
    <w:rsid w:val="009633E8"/>
    <w:rsid w:val="009636D5"/>
    <w:rsid w:val="00963921"/>
    <w:rsid w:val="00963AEE"/>
    <w:rsid w:val="00963D61"/>
    <w:rsid w:val="00963E0B"/>
    <w:rsid w:val="00963E18"/>
    <w:rsid w:val="00963E92"/>
    <w:rsid w:val="00964035"/>
    <w:rsid w:val="00964090"/>
    <w:rsid w:val="009640A5"/>
    <w:rsid w:val="00964301"/>
    <w:rsid w:val="00964330"/>
    <w:rsid w:val="00964356"/>
    <w:rsid w:val="00964361"/>
    <w:rsid w:val="0096440E"/>
    <w:rsid w:val="0096444C"/>
    <w:rsid w:val="00964630"/>
    <w:rsid w:val="00964679"/>
    <w:rsid w:val="009646A4"/>
    <w:rsid w:val="009646C4"/>
    <w:rsid w:val="009649A6"/>
    <w:rsid w:val="00964B67"/>
    <w:rsid w:val="00964BD6"/>
    <w:rsid w:val="00964C19"/>
    <w:rsid w:val="00964CE7"/>
    <w:rsid w:val="00964D99"/>
    <w:rsid w:val="00964E60"/>
    <w:rsid w:val="00964F3D"/>
    <w:rsid w:val="00964FC6"/>
    <w:rsid w:val="0096507A"/>
    <w:rsid w:val="009658FF"/>
    <w:rsid w:val="00965960"/>
    <w:rsid w:val="0096599E"/>
    <w:rsid w:val="009659A4"/>
    <w:rsid w:val="00965AD5"/>
    <w:rsid w:val="00965B43"/>
    <w:rsid w:val="00965D09"/>
    <w:rsid w:val="0096612A"/>
    <w:rsid w:val="009663AF"/>
    <w:rsid w:val="0096663B"/>
    <w:rsid w:val="0096674D"/>
    <w:rsid w:val="0096679B"/>
    <w:rsid w:val="009667E9"/>
    <w:rsid w:val="00966878"/>
    <w:rsid w:val="00966A80"/>
    <w:rsid w:val="00966ABA"/>
    <w:rsid w:val="00966AEC"/>
    <w:rsid w:val="00966C8C"/>
    <w:rsid w:val="00966D1D"/>
    <w:rsid w:val="00966D62"/>
    <w:rsid w:val="00966EFA"/>
    <w:rsid w:val="00967018"/>
    <w:rsid w:val="00967116"/>
    <w:rsid w:val="00967187"/>
    <w:rsid w:val="009671C6"/>
    <w:rsid w:val="0096724B"/>
    <w:rsid w:val="009672A9"/>
    <w:rsid w:val="0096746C"/>
    <w:rsid w:val="009674CA"/>
    <w:rsid w:val="0096751A"/>
    <w:rsid w:val="00967697"/>
    <w:rsid w:val="0096772E"/>
    <w:rsid w:val="00967748"/>
    <w:rsid w:val="00967A37"/>
    <w:rsid w:val="00967B36"/>
    <w:rsid w:val="00970138"/>
    <w:rsid w:val="0097018E"/>
    <w:rsid w:val="0097018F"/>
    <w:rsid w:val="00970224"/>
    <w:rsid w:val="00970263"/>
    <w:rsid w:val="009703E6"/>
    <w:rsid w:val="0097049D"/>
    <w:rsid w:val="0097068D"/>
    <w:rsid w:val="0097079F"/>
    <w:rsid w:val="00970B3C"/>
    <w:rsid w:val="00970C28"/>
    <w:rsid w:val="00970CAD"/>
    <w:rsid w:val="00970D08"/>
    <w:rsid w:val="00970FB1"/>
    <w:rsid w:val="00971037"/>
    <w:rsid w:val="00971038"/>
    <w:rsid w:val="0097106D"/>
    <w:rsid w:val="009710DC"/>
    <w:rsid w:val="00971160"/>
    <w:rsid w:val="00971185"/>
    <w:rsid w:val="00971239"/>
    <w:rsid w:val="00971454"/>
    <w:rsid w:val="0097146E"/>
    <w:rsid w:val="009714CF"/>
    <w:rsid w:val="0097178C"/>
    <w:rsid w:val="00971B7C"/>
    <w:rsid w:val="00971E17"/>
    <w:rsid w:val="00971EB1"/>
    <w:rsid w:val="009720D3"/>
    <w:rsid w:val="009726B8"/>
    <w:rsid w:val="00972811"/>
    <w:rsid w:val="00972847"/>
    <w:rsid w:val="00972DE2"/>
    <w:rsid w:val="009731E6"/>
    <w:rsid w:val="009732C3"/>
    <w:rsid w:val="00973378"/>
    <w:rsid w:val="00973527"/>
    <w:rsid w:val="0097360C"/>
    <w:rsid w:val="00973632"/>
    <w:rsid w:val="00973913"/>
    <w:rsid w:val="009739A0"/>
    <w:rsid w:val="00973A4B"/>
    <w:rsid w:val="00973B25"/>
    <w:rsid w:val="00973DD8"/>
    <w:rsid w:val="00974256"/>
    <w:rsid w:val="009743BF"/>
    <w:rsid w:val="009745CB"/>
    <w:rsid w:val="00974614"/>
    <w:rsid w:val="00974864"/>
    <w:rsid w:val="009749D2"/>
    <w:rsid w:val="00974A62"/>
    <w:rsid w:val="00974A75"/>
    <w:rsid w:val="00974B20"/>
    <w:rsid w:val="00974BC3"/>
    <w:rsid w:val="00974D13"/>
    <w:rsid w:val="00974E25"/>
    <w:rsid w:val="00975233"/>
    <w:rsid w:val="00975368"/>
    <w:rsid w:val="00975460"/>
    <w:rsid w:val="009754E8"/>
    <w:rsid w:val="009759B2"/>
    <w:rsid w:val="00975AD4"/>
    <w:rsid w:val="00975ECE"/>
    <w:rsid w:val="00975F6F"/>
    <w:rsid w:val="009764CF"/>
    <w:rsid w:val="009764D6"/>
    <w:rsid w:val="00976686"/>
    <w:rsid w:val="009767A0"/>
    <w:rsid w:val="009769B8"/>
    <w:rsid w:val="00976A58"/>
    <w:rsid w:val="00976B1F"/>
    <w:rsid w:val="00976C1A"/>
    <w:rsid w:val="00976E79"/>
    <w:rsid w:val="009774AB"/>
    <w:rsid w:val="00977518"/>
    <w:rsid w:val="00977580"/>
    <w:rsid w:val="00977777"/>
    <w:rsid w:val="009777DE"/>
    <w:rsid w:val="009778D6"/>
    <w:rsid w:val="00977A8F"/>
    <w:rsid w:val="00977ADF"/>
    <w:rsid w:val="00977AE1"/>
    <w:rsid w:val="00977B25"/>
    <w:rsid w:val="00977FE3"/>
    <w:rsid w:val="0098022F"/>
    <w:rsid w:val="00980399"/>
    <w:rsid w:val="0098045C"/>
    <w:rsid w:val="009804F8"/>
    <w:rsid w:val="00980674"/>
    <w:rsid w:val="009806A3"/>
    <w:rsid w:val="00980794"/>
    <w:rsid w:val="009809CA"/>
    <w:rsid w:val="00980B6D"/>
    <w:rsid w:val="00980CD1"/>
    <w:rsid w:val="00980D17"/>
    <w:rsid w:val="00980ED8"/>
    <w:rsid w:val="0098105E"/>
    <w:rsid w:val="0098112B"/>
    <w:rsid w:val="00981376"/>
    <w:rsid w:val="00981558"/>
    <w:rsid w:val="009815E9"/>
    <w:rsid w:val="00981863"/>
    <w:rsid w:val="00981BA6"/>
    <w:rsid w:val="00981BBC"/>
    <w:rsid w:val="00981D0F"/>
    <w:rsid w:val="00982143"/>
    <w:rsid w:val="00982287"/>
    <w:rsid w:val="0098258D"/>
    <w:rsid w:val="009825F5"/>
    <w:rsid w:val="00982909"/>
    <w:rsid w:val="00982A4A"/>
    <w:rsid w:val="00982BCA"/>
    <w:rsid w:val="00982C58"/>
    <w:rsid w:val="00982CE8"/>
    <w:rsid w:val="00982EC0"/>
    <w:rsid w:val="009831AC"/>
    <w:rsid w:val="009831B3"/>
    <w:rsid w:val="009833E0"/>
    <w:rsid w:val="009834F4"/>
    <w:rsid w:val="0098352E"/>
    <w:rsid w:val="0098357F"/>
    <w:rsid w:val="009835CA"/>
    <w:rsid w:val="009836B9"/>
    <w:rsid w:val="009837E4"/>
    <w:rsid w:val="00983801"/>
    <w:rsid w:val="00983997"/>
    <w:rsid w:val="00983A57"/>
    <w:rsid w:val="00983C1C"/>
    <w:rsid w:val="00983C49"/>
    <w:rsid w:val="00983D5E"/>
    <w:rsid w:val="00983E80"/>
    <w:rsid w:val="0098411B"/>
    <w:rsid w:val="0098428A"/>
    <w:rsid w:val="0098466C"/>
    <w:rsid w:val="00984751"/>
    <w:rsid w:val="0098483A"/>
    <w:rsid w:val="00984849"/>
    <w:rsid w:val="009848CC"/>
    <w:rsid w:val="009849B6"/>
    <w:rsid w:val="00984D67"/>
    <w:rsid w:val="00984E0B"/>
    <w:rsid w:val="00984E26"/>
    <w:rsid w:val="00984F06"/>
    <w:rsid w:val="00984F2C"/>
    <w:rsid w:val="00985110"/>
    <w:rsid w:val="009851DD"/>
    <w:rsid w:val="009852B7"/>
    <w:rsid w:val="009855AF"/>
    <w:rsid w:val="00985656"/>
    <w:rsid w:val="00985848"/>
    <w:rsid w:val="00985996"/>
    <w:rsid w:val="00985C1A"/>
    <w:rsid w:val="00985CA2"/>
    <w:rsid w:val="00985E5C"/>
    <w:rsid w:val="00985E93"/>
    <w:rsid w:val="00985EFF"/>
    <w:rsid w:val="00985F6D"/>
    <w:rsid w:val="00986184"/>
    <w:rsid w:val="009864B8"/>
    <w:rsid w:val="0098673C"/>
    <w:rsid w:val="00986765"/>
    <w:rsid w:val="009867BE"/>
    <w:rsid w:val="0098698B"/>
    <w:rsid w:val="00986D21"/>
    <w:rsid w:val="00986EBF"/>
    <w:rsid w:val="00986F5F"/>
    <w:rsid w:val="009870C5"/>
    <w:rsid w:val="009871FB"/>
    <w:rsid w:val="00987500"/>
    <w:rsid w:val="009876F9"/>
    <w:rsid w:val="00987807"/>
    <w:rsid w:val="00987A0C"/>
    <w:rsid w:val="00987D1A"/>
    <w:rsid w:val="00987DB8"/>
    <w:rsid w:val="00987DC8"/>
    <w:rsid w:val="00987E41"/>
    <w:rsid w:val="00987E71"/>
    <w:rsid w:val="00990140"/>
    <w:rsid w:val="00990202"/>
    <w:rsid w:val="009905AC"/>
    <w:rsid w:val="009909D7"/>
    <w:rsid w:val="00990A65"/>
    <w:rsid w:val="00990ADA"/>
    <w:rsid w:val="00990B63"/>
    <w:rsid w:val="00990C0F"/>
    <w:rsid w:val="00990C74"/>
    <w:rsid w:val="00990CCE"/>
    <w:rsid w:val="00990FA1"/>
    <w:rsid w:val="00991011"/>
    <w:rsid w:val="009912A9"/>
    <w:rsid w:val="009912F6"/>
    <w:rsid w:val="00991487"/>
    <w:rsid w:val="0099157D"/>
    <w:rsid w:val="0099158C"/>
    <w:rsid w:val="0099177D"/>
    <w:rsid w:val="009919D2"/>
    <w:rsid w:val="00991A38"/>
    <w:rsid w:val="00991C13"/>
    <w:rsid w:val="00991F93"/>
    <w:rsid w:val="00991FC1"/>
    <w:rsid w:val="0099244F"/>
    <w:rsid w:val="00992546"/>
    <w:rsid w:val="00992615"/>
    <w:rsid w:val="009926FB"/>
    <w:rsid w:val="009927CD"/>
    <w:rsid w:val="009927E2"/>
    <w:rsid w:val="00992870"/>
    <w:rsid w:val="00992BA7"/>
    <w:rsid w:val="00992C3B"/>
    <w:rsid w:val="00992CDA"/>
    <w:rsid w:val="00992F3D"/>
    <w:rsid w:val="00993027"/>
    <w:rsid w:val="0099309C"/>
    <w:rsid w:val="0099337C"/>
    <w:rsid w:val="0099352A"/>
    <w:rsid w:val="00993662"/>
    <w:rsid w:val="0099366B"/>
    <w:rsid w:val="00993692"/>
    <w:rsid w:val="009936DD"/>
    <w:rsid w:val="00993702"/>
    <w:rsid w:val="009937A5"/>
    <w:rsid w:val="009938B1"/>
    <w:rsid w:val="00993A09"/>
    <w:rsid w:val="00993A5D"/>
    <w:rsid w:val="00993AD2"/>
    <w:rsid w:val="00993B36"/>
    <w:rsid w:val="0099416B"/>
    <w:rsid w:val="009941EB"/>
    <w:rsid w:val="009942D4"/>
    <w:rsid w:val="009942DC"/>
    <w:rsid w:val="009944A3"/>
    <w:rsid w:val="009945B1"/>
    <w:rsid w:val="009945B5"/>
    <w:rsid w:val="0099486E"/>
    <w:rsid w:val="009948C9"/>
    <w:rsid w:val="00994913"/>
    <w:rsid w:val="009949C4"/>
    <w:rsid w:val="009949FA"/>
    <w:rsid w:val="0099509D"/>
    <w:rsid w:val="009951A5"/>
    <w:rsid w:val="00995434"/>
    <w:rsid w:val="009954D5"/>
    <w:rsid w:val="009956A5"/>
    <w:rsid w:val="00995749"/>
    <w:rsid w:val="00995803"/>
    <w:rsid w:val="009958F1"/>
    <w:rsid w:val="00995F46"/>
    <w:rsid w:val="00995FD2"/>
    <w:rsid w:val="009960C7"/>
    <w:rsid w:val="00996172"/>
    <w:rsid w:val="0099625D"/>
    <w:rsid w:val="00996407"/>
    <w:rsid w:val="0099649A"/>
    <w:rsid w:val="009968F7"/>
    <w:rsid w:val="00996E32"/>
    <w:rsid w:val="00996E70"/>
    <w:rsid w:val="00996ECE"/>
    <w:rsid w:val="00997133"/>
    <w:rsid w:val="009975F0"/>
    <w:rsid w:val="0099762D"/>
    <w:rsid w:val="009977F8"/>
    <w:rsid w:val="00997979"/>
    <w:rsid w:val="00997A58"/>
    <w:rsid w:val="00997B47"/>
    <w:rsid w:val="00997C5D"/>
    <w:rsid w:val="00997D2F"/>
    <w:rsid w:val="009A0036"/>
    <w:rsid w:val="009A081F"/>
    <w:rsid w:val="009A08FA"/>
    <w:rsid w:val="009A0948"/>
    <w:rsid w:val="009A0950"/>
    <w:rsid w:val="009A0CC9"/>
    <w:rsid w:val="009A0D57"/>
    <w:rsid w:val="009A10A8"/>
    <w:rsid w:val="009A10BE"/>
    <w:rsid w:val="009A113A"/>
    <w:rsid w:val="009A137B"/>
    <w:rsid w:val="009A1626"/>
    <w:rsid w:val="009A1925"/>
    <w:rsid w:val="009A19E8"/>
    <w:rsid w:val="009A1C4A"/>
    <w:rsid w:val="009A1D35"/>
    <w:rsid w:val="009A1DE1"/>
    <w:rsid w:val="009A20E4"/>
    <w:rsid w:val="009A2126"/>
    <w:rsid w:val="009A221D"/>
    <w:rsid w:val="009A24C1"/>
    <w:rsid w:val="009A24E2"/>
    <w:rsid w:val="009A2799"/>
    <w:rsid w:val="009A2A0A"/>
    <w:rsid w:val="009A2A46"/>
    <w:rsid w:val="009A2AAB"/>
    <w:rsid w:val="009A2AE7"/>
    <w:rsid w:val="009A2B39"/>
    <w:rsid w:val="009A2D06"/>
    <w:rsid w:val="009A2D38"/>
    <w:rsid w:val="009A2F86"/>
    <w:rsid w:val="009A2FA7"/>
    <w:rsid w:val="009A3129"/>
    <w:rsid w:val="009A31E8"/>
    <w:rsid w:val="009A328D"/>
    <w:rsid w:val="009A349D"/>
    <w:rsid w:val="009A361B"/>
    <w:rsid w:val="009A36C0"/>
    <w:rsid w:val="009A376E"/>
    <w:rsid w:val="009A39E5"/>
    <w:rsid w:val="009A3A85"/>
    <w:rsid w:val="009A3DA7"/>
    <w:rsid w:val="009A3E93"/>
    <w:rsid w:val="009A43B5"/>
    <w:rsid w:val="009A4573"/>
    <w:rsid w:val="009A4624"/>
    <w:rsid w:val="009A473D"/>
    <w:rsid w:val="009A4809"/>
    <w:rsid w:val="009A4AF7"/>
    <w:rsid w:val="009A4CA7"/>
    <w:rsid w:val="009A4D5A"/>
    <w:rsid w:val="009A5164"/>
    <w:rsid w:val="009A51E1"/>
    <w:rsid w:val="009A52C8"/>
    <w:rsid w:val="009A5402"/>
    <w:rsid w:val="009A5464"/>
    <w:rsid w:val="009A5596"/>
    <w:rsid w:val="009A581E"/>
    <w:rsid w:val="009A583A"/>
    <w:rsid w:val="009A5F11"/>
    <w:rsid w:val="009A5F83"/>
    <w:rsid w:val="009A6014"/>
    <w:rsid w:val="009A6034"/>
    <w:rsid w:val="009A6067"/>
    <w:rsid w:val="009A62BC"/>
    <w:rsid w:val="009A639A"/>
    <w:rsid w:val="009A640D"/>
    <w:rsid w:val="009A670F"/>
    <w:rsid w:val="009A6855"/>
    <w:rsid w:val="009A6B55"/>
    <w:rsid w:val="009A6B8E"/>
    <w:rsid w:val="009A6BA4"/>
    <w:rsid w:val="009A6BC9"/>
    <w:rsid w:val="009A6C76"/>
    <w:rsid w:val="009A6DEB"/>
    <w:rsid w:val="009A6E00"/>
    <w:rsid w:val="009A719A"/>
    <w:rsid w:val="009A71AF"/>
    <w:rsid w:val="009A7301"/>
    <w:rsid w:val="009A7483"/>
    <w:rsid w:val="009A7598"/>
    <w:rsid w:val="009A766C"/>
    <w:rsid w:val="009A76A1"/>
    <w:rsid w:val="009A79FE"/>
    <w:rsid w:val="009A7A01"/>
    <w:rsid w:val="009A7AF4"/>
    <w:rsid w:val="009A7C55"/>
    <w:rsid w:val="009A7CEA"/>
    <w:rsid w:val="009A7DDC"/>
    <w:rsid w:val="009A7EB2"/>
    <w:rsid w:val="009A7F24"/>
    <w:rsid w:val="009B01F4"/>
    <w:rsid w:val="009B03D7"/>
    <w:rsid w:val="009B0643"/>
    <w:rsid w:val="009B069F"/>
    <w:rsid w:val="009B06B6"/>
    <w:rsid w:val="009B0B21"/>
    <w:rsid w:val="009B0B56"/>
    <w:rsid w:val="009B0BE3"/>
    <w:rsid w:val="009B0C62"/>
    <w:rsid w:val="009B0C93"/>
    <w:rsid w:val="009B0F22"/>
    <w:rsid w:val="009B0F65"/>
    <w:rsid w:val="009B0F73"/>
    <w:rsid w:val="009B1120"/>
    <w:rsid w:val="009B1293"/>
    <w:rsid w:val="009B145B"/>
    <w:rsid w:val="009B16CC"/>
    <w:rsid w:val="009B1D99"/>
    <w:rsid w:val="009B2062"/>
    <w:rsid w:val="009B225A"/>
    <w:rsid w:val="009B22DE"/>
    <w:rsid w:val="009B232C"/>
    <w:rsid w:val="009B2345"/>
    <w:rsid w:val="009B24E0"/>
    <w:rsid w:val="009B257D"/>
    <w:rsid w:val="009B26F8"/>
    <w:rsid w:val="009B288A"/>
    <w:rsid w:val="009B28E3"/>
    <w:rsid w:val="009B2A0A"/>
    <w:rsid w:val="009B2BA5"/>
    <w:rsid w:val="009B2BE4"/>
    <w:rsid w:val="009B2C11"/>
    <w:rsid w:val="009B2F20"/>
    <w:rsid w:val="009B305A"/>
    <w:rsid w:val="009B309A"/>
    <w:rsid w:val="009B30A4"/>
    <w:rsid w:val="009B3321"/>
    <w:rsid w:val="009B34FF"/>
    <w:rsid w:val="009B37EC"/>
    <w:rsid w:val="009B3841"/>
    <w:rsid w:val="009B38A7"/>
    <w:rsid w:val="009B3990"/>
    <w:rsid w:val="009B417B"/>
    <w:rsid w:val="009B430D"/>
    <w:rsid w:val="009B43CD"/>
    <w:rsid w:val="009B45A1"/>
    <w:rsid w:val="009B47E2"/>
    <w:rsid w:val="009B4806"/>
    <w:rsid w:val="009B4956"/>
    <w:rsid w:val="009B4A7E"/>
    <w:rsid w:val="009B4ADC"/>
    <w:rsid w:val="009B4DEB"/>
    <w:rsid w:val="009B4FA5"/>
    <w:rsid w:val="009B4FD4"/>
    <w:rsid w:val="009B50BD"/>
    <w:rsid w:val="009B50CB"/>
    <w:rsid w:val="009B560A"/>
    <w:rsid w:val="009B5623"/>
    <w:rsid w:val="009B56B7"/>
    <w:rsid w:val="009B5881"/>
    <w:rsid w:val="009B5934"/>
    <w:rsid w:val="009B59DE"/>
    <w:rsid w:val="009B5A3C"/>
    <w:rsid w:val="009B5A48"/>
    <w:rsid w:val="009B5DAC"/>
    <w:rsid w:val="009B5DFE"/>
    <w:rsid w:val="009B6044"/>
    <w:rsid w:val="009B625F"/>
    <w:rsid w:val="009B64ED"/>
    <w:rsid w:val="009B6589"/>
    <w:rsid w:val="009B6641"/>
    <w:rsid w:val="009B6828"/>
    <w:rsid w:val="009B6884"/>
    <w:rsid w:val="009B69B2"/>
    <w:rsid w:val="009B6A2A"/>
    <w:rsid w:val="009B6C3F"/>
    <w:rsid w:val="009B6E47"/>
    <w:rsid w:val="009B7029"/>
    <w:rsid w:val="009B7057"/>
    <w:rsid w:val="009B70A1"/>
    <w:rsid w:val="009B74FC"/>
    <w:rsid w:val="009B76DC"/>
    <w:rsid w:val="009B7AB3"/>
    <w:rsid w:val="009B7B31"/>
    <w:rsid w:val="009B7C6A"/>
    <w:rsid w:val="009B7DCB"/>
    <w:rsid w:val="009B7E5F"/>
    <w:rsid w:val="009B7FA8"/>
    <w:rsid w:val="009B7FF6"/>
    <w:rsid w:val="009C004A"/>
    <w:rsid w:val="009C00FE"/>
    <w:rsid w:val="009C0151"/>
    <w:rsid w:val="009C045E"/>
    <w:rsid w:val="009C0575"/>
    <w:rsid w:val="009C0670"/>
    <w:rsid w:val="009C08A6"/>
    <w:rsid w:val="009C0983"/>
    <w:rsid w:val="009C09CC"/>
    <w:rsid w:val="009C0A93"/>
    <w:rsid w:val="009C0AD9"/>
    <w:rsid w:val="009C0B23"/>
    <w:rsid w:val="009C0BDF"/>
    <w:rsid w:val="009C0CA0"/>
    <w:rsid w:val="009C0E3E"/>
    <w:rsid w:val="009C0EDF"/>
    <w:rsid w:val="009C0EEF"/>
    <w:rsid w:val="009C0F94"/>
    <w:rsid w:val="009C102A"/>
    <w:rsid w:val="009C10AA"/>
    <w:rsid w:val="009C150B"/>
    <w:rsid w:val="009C160A"/>
    <w:rsid w:val="009C1B99"/>
    <w:rsid w:val="009C1D28"/>
    <w:rsid w:val="009C1F8F"/>
    <w:rsid w:val="009C1FE4"/>
    <w:rsid w:val="009C202F"/>
    <w:rsid w:val="009C2043"/>
    <w:rsid w:val="009C2171"/>
    <w:rsid w:val="009C2254"/>
    <w:rsid w:val="009C233B"/>
    <w:rsid w:val="009C23BA"/>
    <w:rsid w:val="009C2423"/>
    <w:rsid w:val="009C25E2"/>
    <w:rsid w:val="009C2666"/>
    <w:rsid w:val="009C2988"/>
    <w:rsid w:val="009C2A02"/>
    <w:rsid w:val="009C2A4D"/>
    <w:rsid w:val="009C2BA2"/>
    <w:rsid w:val="009C2DAD"/>
    <w:rsid w:val="009C31FD"/>
    <w:rsid w:val="009C3337"/>
    <w:rsid w:val="009C3552"/>
    <w:rsid w:val="009C3628"/>
    <w:rsid w:val="009C37CE"/>
    <w:rsid w:val="009C3850"/>
    <w:rsid w:val="009C39C7"/>
    <w:rsid w:val="009C3AAB"/>
    <w:rsid w:val="009C3AAD"/>
    <w:rsid w:val="009C3B0C"/>
    <w:rsid w:val="009C3B82"/>
    <w:rsid w:val="009C3BDE"/>
    <w:rsid w:val="009C3F97"/>
    <w:rsid w:val="009C4030"/>
    <w:rsid w:val="009C40BB"/>
    <w:rsid w:val="009C438E"/>
    <w:rsid w:val="009C44A5"/>
    <w:rsid w:val="009C45FF"/>
    <w:rsid w:val="009C4760"/>
    <w:rsid w:val="009C476C"/>
    <w:rsid w:val="009C4A7A"/>
    <w:rsid w:val="009C4B6E"/>
    <w:rsid w:val="009C4C84"/>
    <w:rsid w:val="009C4E2D"/>
    <w:rsid w:val="009C4F4D"/>
    <w:rsid w:val="009C5097"/>
    <w:rsid w:val="009C515B"/>
    <w:rsid w:val="009C51B3"/>
    <w:rsid w:val="009C527F"/>
    <w:rsid w:val="009C54D1"/>
    <w:rsid w:val="009C551E"/>
    <w:rsid w:val="009C5590"/>
    <w:rsid w:val="009C5659"/>
    <w:rsid w:val="009C575E"/>
    <w:rsid w:val="009C5A29"/>
    <w:rsid w:val="009C5C1A"/>
    <w:rsid w:val="009C5DA8"/>
    <w:rsid w:val="009C60D4"/>
    <w:rsid w:val="009C6166"/>
    <w:rsid w:val="009C61FE"/>
    <w:rsid w:val="009C635A"/>
    <w:rsid w:val="009C63E0"/>
    <w:rsid w:val="009C6686"/>
    <w:rsid w:val="009C6697"/>
    <w:rsid w:val="009C67B8"/>
    <w:rsid w:val="009C6874"/>
    <w:rsid w:val="009C68E6"/>
    <w:rsid w:val="009C6990"/>
    <w:rsid w:val="009C6B1F"/>
    <w:rsid w:val="009C6B2D"/>
    <w:rsid w:val="009C6BC1"/>
    <w:rsid w:val="009C6EA8"/>
    <w:rsid w:val="009C702B"/>
    <w:rsid w:val="009C708D"/>
    <w:rsid w:val="009C70BD"/>
    <w:rsid w:val="009C715F"/>
    <w:rsid w:val="009C7196"/>
    <w:rsid w:val="009C72B5"/>
    <w:rsid w:val="009C72FB"/>
    <w:rsid w:val="009C7356"/>
    <w:rsid w:val="009C741F"/>
    <w:rsid w:val="009C7731"/>
    <w:rsid w:val="009C7D18"/>
    <w:rsid w:val="009C7D5D"/>
    <w:rsid w:val="009C7EAA"/>
    <w:rsid w:val="009D0035"/>
    <w:rsid w:val="009D01D3"/>
    <w:rsid w:val="009D0230"/>
    <w:rsid w:val="009D0325"/>
    <w:rsid w:val="009D0365"/>
    <w:rsid w:val="009D0528"/>
    <w:rsid w:val="009D06C5"/>
    <w:rsid w:val="009D07AD"/>
    <w:rsid w:val="009D07C5"/>
    <w:rsid w:val="009D0E9E"/>
    <w:rsid w:val="009D0EE9"/>
    <w:rsid w:val="009D0F30"/>
    <w:rsid w:val="009D0FC3"/>
    <w:rsid w:val="009D0FE8"/>
    <w:rsid w:val="009D11DF"/>
    <w:rsid w:val="009D1222"/>
    <w:rsid w:val="009D1283"/>
    <w:rsid w:val="009D1295"/>
    <w:rsid w:val="009D14FA"/>
    <w:rsid w:val="009D16D1"/>
    <w:rsid w:val="009D16DF"/>
    <w:rsid w:val="009D1861"/>
    <w:rsid w:val="009D198E"/>
    <w:rsid w:val="009D1996"/>
    <w:rsid w:val="009D1A4C"/>
    <w:rsid w:val="009D2043"/>
    <w:rsid w:val="009D20BD"/>
    <w:rsid w:val="009D214D"/>
    <w:rsid w:val="009D234B"/>
    <w:rsid w:val="009D29F8"/>
    <w:rsid w:val="009D2A30"/>
    <w:rsid w:val="009D2BE8"/>
    <w:rsid w:val="009D2E02"/>
    <w:rsid w:val="009D2EE6"/>
    <w:rsid w:val="009D307A"/>
    <w:rsid w:val="009D30C2"/>
    <w:rsid w:val="009D3299"/>
    <w:rsid w:val="009D33E6"/>
    <w:rsid w:val="009D33FB"/>
    <w:rsid w:val="009D35CE"/>
    <w:rsid w:val="009D3CA8"/>
    <w:rsid w:val="009D3D32"/>
    <w:rsid w:val="009D3F42"/>
    <w:rsid w:val="009D41EA"/>
    <w:rsid w:val="009D4264"/>
    <w:rsid w:val="009D42C7"/>
    <w:rsid w:val="009D44CA"/>
    <w:rsid w:val="009D45BE"/>
    <w:rsid w:val="009D4614"/>
    <w:rsid w:val="009D464B"/>
    <w:rsid w:val="009D476F"/>
    <w:rsid w:val="009D4865"/>
    <w:rsid w:val="009D48AC"/>
    <w:rsid w:val="009D494C"/>
    <w:rsid w:val="009D4A50"/>
    <w:rsid w:val="009D4B47"/>
    <w:rsid w:val="009D514D"/>
    <w:rsid w:val="009D516C"/>
    <w:rsid w:val="009D54C2"/>
    <w:rsid w:val="009D55F7"/>
    <w:rsid w:val="009D5617"/>
    <w:rsid w:val="009D5638"/>
    <w:rsid w:val="009D58E1"/>
    <w:rsid w:val="009D5AA9"/>
    <w:rsid w:val="009D5B40"/>
    <w:rsid w:val="009D5C85"/>
    <w:rsid w:val="009D5E74"/>
    <w:rsid w:val="009D5FEB"/>
    <w:rsid w:val="009D60A5"/>
    <w:rsid w:val="009D614F"/>
    <w:rsid w:val="009D6174"/>
    <w:rsid w:val="009D62A3"/>
    <w:rsid w:val="009D63F8"/>
    <w:rsid w:val="009D6401"/>
    <w:rsid w:val="009D64A1"/>
    <w:rsid w:val="009D6538"/>
    <w:rsid w:val="009D656B"/>
    <w:rsid w:val="009D673D"/>
    <w:rsid w:val="009D697B"/>
    <w:rsid w:val="009D6B4D"/>
    <w:rsid w:val="009D6C4D"/>
    <w:rsid w:val="009D6D5D"/>
    <w:rsid w:val="009D7008"/>
    <w:rsid w:val="009D71A2"/>
    <w:rsid w:val="009D735F"/>
    <w:rsid w:val="009D737A"/>
    <w:rsid w:val="009D750E"/>
    <w:rsid w:val="009D7975"/>
    <w:rsid w:val="009D79ED"/>
    <w:rsid w:val="009D7B78"/>
    <w:rsid w:val="009D7C6D"/>
    <w:rsid w:val="009D7C76"/>
    <w:rsid w:val="009D7CA3"/>
    <w:rsid w:val="009D7E57"/>
    <w:rsid w:val="009D7F13"/>
    <w:rsid w:val="009E02AF"/>
    <w:rsid w:val="009E0371"/>
    <w:rsid w:val="009E0547"/>
    <w:rsid w:val="009E056D"/>
    <w:rsid w:val="009E0570"/>
    <w:rsid w:val="009E0704"/>
    <w:rsid w:val="009E07A2"/>
    <w:rsid w:val="009E09D9"/>
    <w:rsid w:val="009E0C94"/>
    <w:rsid w:val="009E0D4C"/>
    <w:rsid w:val="009E0D83"/>
    <w:rsid w:val="009E1004"/>
    <w:rsid w:val="009E1110"/>
    <w:rsid w:val="009E11DB"/>
    <w:rsid w:val="009E121C"/>
    <w:rsid w:val="009E142E"/>
    <w:rsid w:val="009E1502"/>
    <w:rsid w:val="009E16A7"/>
    <w:rsid w:val="009E179D"/>
    <w:rsid w:val="009E1C98"/>
    <w:rsid w:val="009E1F89"/>
    <w:rsid w:val="009E2084"/>
    <w:rsid w:val="009E20C1"/>
    <w:rsid w:val="009E20D0"/>
    <w:rsid w:val="009E2417"/>
    <w:rsid w:val="009E2677"/>
    <w:rsid w:val="009E26FF"/>
    <w:rsid w:val="009E27B8"/>
    <w:rsid w:val="009E296A"/>
    <w:rsid w:val="009E2A88"/>
    <w:rsid w:val="009E2B00"/>
    <w:rsid w:val="009E2D67"/>
    <w:rsid w:val="009E2ECC"/>
    <w:rsid w:val="009E3288"/>
    <w:rsid w:val="009E32A5"/>
    <w:rsid w:val="009E32FF"/>
    <w:rsid w:val="009E340D"/>
    <w:rsid w:val="009E349C"/>
    <w:rsid w:val="009E34BF"/>
    <w:rsid w:val="009E34C1"/>
    <w:rsid w:val="009E366B"/>
    <w:rsid w:val="009E368B"/>
    <w:rsid w:val="009E3810"/>
    <w:rsid w:val="009E398D"/>
    <w:rsid w:val="009E3BEA"/>
    <w:rsid w:val="009E3D2C"/>
    <w:rsid w:val="009E3D3F"/>
    <w:rsid w:val="009E3EFF"/>
    <w:rsid w:val="009E423F"/>
    <w:rsid w:val="009E4458"/>
    <w:rsid w:val="009E44BE"/>
    <w:rsid w:val="009E45D8"/>
    <w:rsid w:val="009E462A"/>
    <w:rsid w:val="009E4866"/>
    <w:rsid w:val="009E48BE"/>
    <w:rsid w:val="009E4900"/>
    <w:rsid w:val="009E4A98"/>
    <w:rsid w:val="009E4AC2"/>
    <w:rsid w:val="009E4CC4"/>
    <w:rsid w:val="009E4D4C"/>
    <w:rsid w:val="009E4EF2"/>
    <w:rsid w:val="009E4FE4"/>
    <w:rsid w:val="009E50F0"/>
    <w:rsid w:val="009E5136"/>
    <w:rsid w:val="009E51A1"/>
    <w:rsid w:val="009E522A"/>
    <w:rsid w:val="009E52BD"/>
    <w:rsid w:val="009E5473"/>
    <w:rsid w:val="009E54B4"/>
    <w:rsid w:val="009E563C"/>
    <w:rsid w:val="009E5A0D"/>
    <w:rsid w:val="009E5A63"/>
    <w:rsid w:val="009E5AAB"/>
    <w:rsid w:val="009E5BBE"/>
    <w:rsid w:val="009E5BD5"/>
    <w:rsid w:val="009E5E06"/>
    <w:rsid w:val="009E5FA5"/>
    <w:rsid w:val="009E609C"/>
    <w:rsid w:val="009E60FC"/>
    <w:rsid w:val="009E61D1"/>
    <w:rsid w:val="009E6481"/>
    <w:rsid w:val="009E64F4"/>
    <w:rsid w:val="009E658A"/>
    <w:rsid w:val="009E67CC"/>
    <w:rsid w:val="009E67D0"/>
    <w:rsid w:val="009E69E3"/>
    <w:rsid w:val="009E6DE4"/>
    <w:rsid w:val="009E6EC2"/>
    <w:rsid w:val="009E6F15"/>
    <w:rsid w:val="009E706A"/>
    <w:rsid w:val="009E73D7"/>
    <w:rsid w:val="009E73FC"/>
    <w:rsid w:val="009E752B"/>
    <w:rsid w:val="009E757E"/>
    <w:rsid w:val="009E7709"/>
    <w:rsid w:val="009E7785"/>
    <w:rsid w:val="009E77F2"/>
    <w:rsid w:val="009E7901"/>
    <w:rsid w:val="009E7AE2"/>
    <w:rsid w:val="009E7BDD"/>
    <w:rsid w:val="009E7BDF"/>
    <w:rsid w:val="009E7F0E"/>
    <w:rsid w:val="009E7FE7"/>
    <w:rsid w:val="009F01DC"/>
    <w:rsid w:val="009F02DC"/>
    <w:rsid w:val="009F0CB2"/>
    <w:rsid w:val="009F0D2B"/>
    <w:rsid w:val="009F0D8B"/>
    <w:rsid w:val="009F0DD7"/>
    <w:rsid w:val="009F0EEF"/>
    <w:rsid w:val="009F1133"/>
    <w:rsid w:val="009F11D9"/>
    <w:rsid w:val="009F1283"/>
    <w:rsid w:val="009F12F8"/>
    <w:rsid w:val="009F1866"/>
    <w:rsid w:val="009F1884"/>
    <w:rsid w:val="009F18AE"/>
    <w:rsid w:val="009F19A7"/>
    <w:rsid w:val="009F24EB"/>
    <w:rsid w:val="009F2804"/>
    <w:rsid w:val="009F2813"/>
    <w:rsid w:val="009F28AC"/>
    <w:rsid w:val="009F2914"/>
    <w:rsid w:val="009F2A8C"/>
    <w:rsid w:val="009F2A98"/>
    <w:rsid w:val="009F2BB4"/>
    <w:rsid w:val="009F2DBB"/>
    <w:rsid w:val="009F2DC8"/>
    <w:rsid w:val="009F2FD8"/>
    <w:rsid w:val="009F3143"/>
    <w:rsid w:val="009F3288"/>
    <w:rsid w:val="009F35C0"/>
    <w:rsid w:val="009F37B1"/>
    <w:rsid w:val="009F38FB"/>
    <w:rsid w:val="009F3946"/>
    <w:rsid w:val="009F3A3F"/>
    <w:rsid w:val="009F3A81"/>
    <w:rsid w:val="009F3C26"/>
    <w:rsid w:val="009F3E93"/>
    <w:rsid w:val="009F4093"/>
    <w:rsid w:val="009F4123"/>
    <w:rsid w:val="009F42DA"/>
    <w:rsid w:val="009F4483"/>
    <w:rsid w:val="009F44ED"/>
    <w:rsid w:val="009F4A62"/>
    <w:rsid w:val="009F4B15"/>
    <w:rsid w:val="009F4D7F"/>
    <w:rsid w:val="009F4E9D"/>
    <w:rsid w:val="009F50BD"/>
    <w:rsid w:val="009F516A"/>
    <w:rsid w:val="009F5174"/>
    <w:rsid w:val="009F5293"/>
    <w:rsid w:val="009F544B"/>
    <w:rsid w:val="009F55DA"/>
    <w:rsid w:val="009F58E6"/>
    <w:rsid w:val="009F5924"/>
    <w:rsid w:val="009F5976"/>
    <w:rsid w:val="009F59D0"/>
    <w:rsid w:val="009F5ADD"/>
    <w:rsid w:val="009F5B4B"/>
    <w:rsid w:val="009F5B77"/>
    <w:rsid w:val="009F5B85"/>
    <w:rsid w:val="009F5E42"/>
    <w:rsid w:val="009F5EE5"/>
    <w:rsid w:val="009F5F5A"/>
    <w:rsid w:val="009F5FA0"/>
    <w:rsid w:val="009F5FF2"/>
    <w:rsid w:val="009F61B7"/>
    <w:rsid w:val="009F6239"/>
    <w:rsid w:val="009F6307"/>
    <w:rsid w:val="009F6CEC"/>
    <w:rsid w:val="009F6D7A"/>
    <w:rsid w:val="009F7147"/>
    <w:rsid w:val="009F718A"/>
    <w:rsid w:val="009F71A3"/>
    <w:rsid w:val="009F71A4"/>
    <w:rsid w:val="009F75CE"/>
    <w:rsid w:val="009F75EF"/>
    <w:rsid w:val="009F78E3"/>
    <w:rsid w:val="009F79A0"/>
    <w:rsid w:val="009F7B59"/>
    <w:rsid w:val="009F7D6E"/>
    <w:rsid w:val="009F7DA4"/>
    <w:rsid w:val="00A0026A"/>
    <w:rsid w:val="00A00281"/>
    <w:rsid w:val="00A003D0"/>
    <w:rsid w:val="00A00412"/>
    <w:rsid w:val="00A005F0"/>
    <w:rsid w:val="00A00716"/>
    <w:rsid w:val="00A00F41"/>
    <w:rsid w:val="00A01018"/>
    <w:rsid w:val="00A013D0"/>
    <w:rsid w:val="00A0140E"/>
    <w:rsid w:val="00A0143D"/>
    <w:rsid w:val="00A015FA"/>
    <w:rsid w:val="00A01709"/>
    <w:rsid w:val="00A01731"/>
    <w:rsid w:val="00A01991"/>
    <w:rsid w:val="00A01CFC"/>
    <w:rsid w:val="00A0210B"/>
    <w:rsid w:val="00A02120"/>
    <w:rsid w:val="00A02228"/>
    <w:rsid w:val="00A02566"/>
    <w:rsid w:val="00A02587"/>
    <w:rsid w:val="00A02615"/>
    <w:rsid w:val="00A028A0"/>
    <w:rsid w:val="00A02D3A"/>
    <w:rsid w:val="00A02E13"/>
    <w:rsid w:val="00A030FF"/>
    <w:rsid w:val="00A035F4"/>
    <w:rsid w:val="00A03A0E"/>
    <w:rsid w:val="00A03A61"/>
    <w:rsid w:val="00A03DA7"/>
    <w:rsid w:val="00A03F28"/>
    <w:rsid w:val="00A03F6C"/>
    <w:rsid w:val="00A03FA2"/>
    <w:rsid w:val="00A03FCC"/>
    <w:rsid w:val="00A04048"/>
    <w:rsid w:val="00A04086"/>
    <w:rsid w:val="00A045DB"/>
    <w:rsid w:val="00A046A8"/>
    <w:rsid w:val="00A04754"/>
    <w:rsid w:val="00A04913"/>
    <w:rsid w:val="00A04B86"/>
    <w:rsid w:val="00A04B9B"/>
    <w:rsid w:val="00A04D1C"/>
    <w:rsid w:val="00A04EBD"/>
    <w:rsid w:val="00A05020"/>
    <w:rsid w:val="00A0504E"/>
    <w:rsid w:val="00A05168"/>
    <w:rsid w:val="00A05215"/>
    <w:rsid w:val="00A05561"/>
    <w:rsid w:val="00A056E8"/>
    <w:rsid w:val="00A0571B"/>
    <w:rsid w:val="00A05778"/>
    <w:rsid w:val="00A05784"/>
    <w:rsid w:val="00A057AB"/>
    <w:rsid w:val="00A0580B"/>
    <w:rsid w:val="00A05CAD"/>
    <w:rsid w:val="00A05D5D"/>
    <w:rsid w:val="00A05EE7"/>
    <w:rsid w:val="00A06082"/>
    <w:rsid w:val="00A060D5"/>
    <w:rsid w:val="00A06243"/>
    <w:rsid w:val="00A0631B"/>
    <w:rsid w:val="00A06656"/>
    <w:rsid w:val="00A0666B"/>
    <w:rsid w:val="00A06736"/>
    <w:rsid w:val="00A06B33"/>
    <w:rsid w:val="00A06D7C"/>
    <w:rsid w:val="00A06E36"/>
    <w:rsid w:val="00A06E62"/>
    <w:rsid w:val="00A071B5"/>
    <w:rsid w:val="00A074C6"/>
    <w:rsid w:val="00A07636"/>
    <w:rsid w:val="00A07738"/>
    <w:rsid w:val="00A0793F"/>
    <w:rsid w:val="00A07996"/>
    <w:rsid w:val="00A0799B"/>
    <w:rsid w:val="00A07A6C"/>
    <w:rsid w:val="00A07B35"/>
    <w:rsid w:val="00A07BD7"/>
    <w:rsid w:val="00A07D99"/>
    <w:rsid w:val="00A07DC7"/>
    <w:rsid w:val="00A07F73"/>
    <w:rsid w:val="00A10145"/>
    <w:rsid w:val="00A1079D"/>
    <w:rsid w:val="00A108AA"/>
    <w:rsid w:val="00A109B6"/>
    <w:rsid w:val="00A109C0"/>
    <w:rsid w:val="00A10A43"/>
    <w:rsid w:val="00A10CC5"/>
    <w:rsid w:val="00A10CF3"/>
    <w:rsid w:val="00A111DE"/>
    <w:rsid w:val="00A11516"/>
    <w:rsid w:val="00A11560"/>
    <w:rsid w:val="00A1162C"/>
    <w:rsid w:val="00A11A3F"/>
    <w:rsid w:val="00A11B51"/>
    <w:rsid w:val="00A11C20"/>
    <w:rsid w:val="00A11C34"/>
    <w:rsid w:val="00A11D8B"/>
    <w:rsid w:val="00A11F35"/>
    <w:rsid w:val="00A11F3D"/>
    <w:rsid w:val="00A11F57"/>
    <w:rsid w:val="00A11F77"/>
    <w:rsid w:val="00A11FDE"/>
    <w:rsid w:val="00A12051"/>
    <w:rsid w:val="00A12234"/>
    <w:rsid w:val="00A12619"/>
    <w:rsid w:val="00A126B0"/>
    <w:rsid w:val="00A127FB"/>
    <w:rsid w:val="00A1298C"/>
    <w:rsid w:val="00A12A10"/>
    <w:rsid w:val="00A12ACD"/>
    <w:rsid w:val="00A12C4A"/>
    <w:rsid w:val="00A12D1F"/>
    <w:rsid w:val="00A12D29"/>
    <w:rsid w:val="00A12D5E"/>
    <w:rsid w:val="00A12DEA"/>
    <w:rsid w:val="00A131E2"/>
    <w:rsid w:val="00A132C3"/>
    <w:rsid w:val="00A133AF"/>
    <w:rsid w:val="00A13557"/>
    <w:rsid w:val="00A135B5"/>
    <w:rsid w:val="00A137DB"/>
    <w:rsid w:val="00A137F4"/>
    <w:rsid w:val="00A1389B"/>
    <w:rsid w:val="00A1395B"/>
    <w:rsid w:val="00A13D40"/>
    <w:rsid w:val="00A13D91"/>
    <w:rsid w:val="00A1410B"/>
    <w:rsid w:val="00A14198"/>
    <w:rsid w:val="00A14388"/>
    <w:rsid w:val="00A14517"/>
    <w:rsid w:val="00A148AB"/>
    <w:rsid w:val="00A1493C"/>
    <w:rsid w:val="00A14A86"/>
    <w:rsid w:val="00A14D20"/>
    <w:rsid w:val="00A14F1C"/>
    <w:rsid w:val="00A15050"/>
    <w:rsid w:val="00A151F5"/>
    <w:rsid w:val="00A152D6"/>
    <w:rsid w:val="00A152F9"/>
    <w:rsid w:val="00A15359"/>
    <w:rsid w:val="00A154AC"/>
    <w:rsid w:val="00A1558F"/>
    <w:rsid w:val="00A155B2"/>
    <w:rsid w:val="00A156A5"/>
    <w:rsid w:val="00A15788"/>
    <w:rsid w:val="00A159BE"/>
    <w:rsid w:val="00A15A0B"/>
    <w:rsid w:val="00A15BB0"/>
    <w:rsid w:val="00A15BE4"/>
    <w:rsid w:val="00A15C46"/>
    <w:rsid w:val="00A15C78"/>
    <w:rsid w:val="00A15D23"/>
    <w:rsid w:val="00A15DD7"/>
    <w:rsid w:val="00A15E0F"/>
    <w:rsid w:val="00A15E3D"/>
    <w:rsid w:val="00A15EB8"/>
    <w:rsid w:val="00A160B4"/>
    <w:rsid w:val="00A161EC"/>
    <w:rsid w:val="00A161FC"/>
    <w:rsid w:val="00A16241"/>
    <w:rsid w:val="00A1642C"/>
    <w:rsid w:val="00A16682"/>
    <w:rsid w:val="00A16A69"/>
    <w:rsid w:val="00A16EBC"/>
    <w:rsid w:val="00A16EEA"/>
    <w:rsid w:val="00A17186"/>
    <w:rsid w:val="00A171BB"/>
    <w:rsid w:val="00A171D9"/>
    <w:rsid w:val="00A17223"/>
    <w:rsid w:val="00A173B4"/>
    <w:rsid w:val="00A173F3"/>
    <w:rsid w:val="00A17450"/>
    <w:rsid w:val="00A175B0"/>
    <w:rsid w:val="00A175C2"/>
    <w:rsid w:val="00A175CD"/>
    <w:rsid w:val="00A1790F"/>
    <w:rsid w:val="00A17A00"/>
    <w:rsid w:val="00A17ABE"/>
    <w:rsid w:val="00A17AF6"/>
    <w:rsid w:val="00A17F34"/>
    <w:rsid w:val="00A202F7"/>
    <w:rsid w:val="00A2044A"/>
    <w:rsid w:val="00A204AE"/>
    <w:rsid w:val="00A20502"/>
    <w:rsid w:val="00A205F7"/>
    <w:rsid w:val="00A205FF"/>
    <w:rsid w:val="00A2062D"/>
    <w:rsid w:val="00A206AF"/>
    <w:rsid w:val="00A207C5"/>
    <w:rsid w:val="00A208C1"/>
    <w:rsid w:val="00A20A37"/>
    <w:rsid w:val="00A20AAF"/>
    <w:rsid w:val="00A20B1F"/>
    <w:rsid w:val="00A20C1B"/>
    <w:rsid w:val="00A210F6"/>
    <w:rsid w:val="00A21259"/>
    <w:rsid w:val="00A2151A"/>
    <w:rsid w:val="00A21A81"/>
    <w:rsid w:val="00A21AA1"/>
    <w:rsid w:val="00A21C50"/>
    <w:rsid w:val="00A21DC3"/>
    <w:rsid w:val="00A21F7C"/>
    <w:rsid w:val="00A2210D"/>
    <w:rsid w:val="00A2221D"/>
    <w:rsid w:val="00A223C0"/>
    <w:rsid w:val="00A227D7"/>
    <w:rsid w:val="00A22843"/>
    <w:rsid w:val="00A228F5"/>
    <w:rsid w:val="00A229C3"/>
    <w:rsid w:val="00A22AE6"/>
    <w:rsid w:val="00A22DAD"/>
    <w:rsid w:val="00A2313B"/>
    <w:rsid w:val="00A2342C"/>
    <w:rsid w:val="00A234C8"/>
    <w:rsid w:val="00A23571"/>
    <w:rsid w:val="00A23754"/>
    <w:rsid w:val="00A2392C"/>
    <w:rsid w:val="00A239D5"/>
    <w:rsid w:val="00A239EE"/>
    <w:rsid w:val="00A23B29"/>
    <w:rsid w:val="00A23C6E"/>
    <w:rsid w:val="00A23D29"/>
    <w:rsid w:val="00A23E28"/>
    <w:rsid w:val="00A23E37"/>
    <w:rsid w:val="00A23F44"/>
    <w:rsid w:val="00A240B5"/>
    <w:rsid w:val="00A24153"/>
    <w:rsid w:val="00A241EE"/>
    <w:rsid w:val="00A241F4"/>
    <w:rsid w:val="00A24279"/>
    <w:rsid w:val="00A24390"/>
    <w:rsid w:val="00A2439D"/>
    <w:rsid w:val="00A2443B"/>
    <w:rsid w:val="00A24517"/>
    <w:rsid w:val="00A247E4"/>
    <w:rsid w:val="00A24812"/>
    <w:rsid w:val="00A248E9"/>
    <w:rsid w:val="00A24A15"/>
    <w:rsid w:val="00A24A41"/>
    <w:rsid w:val="00A24BB1"/>
    <w:rsid w:val="00A24C07"/>
    <w:rsid w:val="00A24D71"/>
    <w:rsid w:val="00A24E1C"/>
    <w:rsid w:val="00A24E4F"/>
    <w:rsid w:val="00A25354"/>
    <w:rsid w:val="00A25538"/>
    <w:rsid w:val="00A256C6"/>
    <w:rsid w:val="00A256D6"/>
    <w:rsid w:val="00A257FD"/>
    <w:rsid w:val="00A258B6"/>
    <w:rsid w:val="00A25940"/>
    <w:rsid w:val="00A25974"/>
    <w:rsid w:val="00A25B9B"/>
    <w:rsid w:val="00A25BD8"/>
    <w:rsid w:val="00A25CF8"/>
    <w:rsid w:val="00A25D0A"/>
    <w:rsid w:val="00A25DB9"/>
    <w:rsid w:val="00A25F87"/>
    <w:rsid w:val="00A2606A"/>
    <w:rsid w:val="00A2618C"/>
    <w:rsid w:val="00A2635A"/>
    <w:rsid w:val="00A26753"/>
    <w:rsid w:val="00A26980"/>
    <w:rsid w:val="00A26988"/>
    <w:rsid w:val="00A26C6A"/>
    <w:rsid w:val="00A26DAC"/>
    <w:rsid w:val="00A26E86"/>
    <w:rsid w:val="00A270B5"/>
    <w:rsid w:val="00A271E7"/>
    <w:rsid w:val="00A2720E"/>
    <w:rsid w:val="00A2722E"/>
    <w:rsid w:val="00A27388"/>
    <w:rsid w:val="00A273AE"/>
    <w:rsid w:val="00A274F0"/>
    <w:rsid w:val="00A276B8"/>
    <w:rsid w:val="00A276BB"/>
    <w:rsid w:val="00A2789B"/>
    <w:rsid w:val="00A27904"/>
    <w:rsid w:val="00A27B5B"/>
    <w:rsid w:val="00A27ED5"/>
    <w:rsid w:val="00A300C9"/>
    <w:rsid w:val="00A30183"/>
    <w:rsid w:val="00A30261"/>
    <w:rsid w:val="00A30298"/>
    <w:rsid w:val="00A302B3"/>
    <w:rsid w:val="00A30309"/>
    <w:rsid w:val="00A3041F"/>
    <w:rsid w:val="00A3053C"/>
    <w:rsid w:val="00A309BD"/>
    <w:rsid w:val="00A30AFF"/>
    <w:rsid w:val="00A30B8E"/>
    <w:rsid w:val="00A30CA7"/>
    <w:rsid w:val="00A30DAF"/>
    <w:rsid w:val="00A30E3D"/>
    <w:rsid w:val="00A30F40"/>
    <w:rsid w:val="00A30F45"/>
    <w:rsid w:val="00A30FF9"/>
    <w:rsid w:val="00A3111F"/>
    <w:rsid w:val="00A31293"/>
    <w:rsid w:val="00A313F9"/>
    <w:rsid w:val="00A31556"/>
    <w:rsid w:val="00A317B4"/>
    <w:rsid w:val="00A31828"/>
    <w:rsid w:val="00A31903"/>
    <w:rsid w:val="00A31BD2"/>
    <w:rsid w:val="00A31F1F"/>
    <w:rsid w:val="00A32241"/>
    <w:rsid w:val="00A322F1"/>
    <w:rsid w:val="00A32378"/>
    <w:rsid w:val="00A3271F"/>
    <w:rsid w:val="00A327AB"/>
    <w:rsid w:val="00A3299E"/>
    <w:rsid w:val="00A32B13"/>
    <w:rsid w:val="00A32E84"/>
    <w:rsid w:val="00A32F08"/>
    <w:rsid w:val="00A3310A"/>
    <w:rsid w:val="00A3326C"/>
    <w:rsid w:val="00A332C9"/>
    <w:rsid w:val="00A3352F"/>
    <w:rsid w:val="00A3376E"/>
    <w:rsid w:val="00A3385D"/>
    <w:rsid w:val="00A33B02"/>
    <w:rsid w:val="00A33D98"/>
    <w:rsid w:val="00A33DB4"/>
    <w:rsid w:val="00A3401A"/>
    <w:rsid w:val="00A34053"/>
    <w:rsid w:val="00A34081"/>
    <w:rsid w:val="00A340F9"/>
    <w:rsid w:val="00A343CA"/>
    <w:rsid w:val="00A34475"/>
    <w:rsid w:val="00A34506"/>
    <w:rsid w:val="00A3459D"/>
    <w:rsid w:val="00A3481A"/>
    <w:rsid w:val="00A34DCE"/>
    <w:rsid w:val="00A351C0"/>
    <w:rsid w:val="00A35279"/>
    <w:rsid w:val="00A3528D"/>
    <w:rsid w:val="00A3543B"/>
    <w:rsid w:val="00A3554F"/>
    <w:rsid w:val="00A35795"/>
    <w:rsid w:val="00A3582D"/>
    <w:rsid w:val="00A3584C"/>
    <w:rsid w:val="00A35B41"/>
    <w:rsid w:val="00A35B5F"/>
    <w:rsid w:val="00A35BE1"/>
    <w:rsid w:val="00A36325"/>
    <w:rsid w:val="00A3634F"/>
    <w:rsid w:val="00A3640A"/>
    <w:rsid w:val="00A36480"/>
    <w:rsid w:val="00A36574"/>
    <w:rsid w:val="00A36826"/>
    <w:rsid w:val="00A368F1"/>
    <w:rsid w:val="00A368FB"/>
    <w:rsid w:val="00A36953"/>
    <w:rsid w:val="00A369DF"/>
    <w:rsid w:val="00A369F9"/>
    <w:rsid w:val="00A36AC3"/>
    <w:rsid w:val="00A36B8B"/>
    <w:rsid w:val="00A36C51"/>
    <w:rsid w:val="00A36D25"/>
    <w:rsid w:val="00A36DD9"/>
    <w:rsid w:val="00A36E1D"/>
    <w:rsid w:val="00A36F07"/>
    <w:rsid w:val="00A36FA7"/>
    <w:rsid w:val="00A36FF3"/>
    <w:rsid w:val="00A37090"/>
    <w:rsid w:val="00A37143"/>
    <w:rsid w:val="00A371BB"/>
    <w:rsid w:val="00A37356"/>
    <w:rsid w:val="00A375BD"/>
    <w:rsid w:val="00A3767F"/>
    <w:rsid w:val="00A3781F"/>
    <w:rsid w:val="00A378AE"/>
    <w:rsid w:val="00A37A8D"/>
    <w:rsid w:val="00A37B1B"/>
    <w:rsid w:val="00A37B1C"/>
    <w:rsid w:val="00A37B91"/>
    <w:rsid w:val="00A37BF8"/>
    <w:rsid w:val="00A37C17"/>
    <w:rsid w:val="00A37C2E"/>
    <w:rsid w:val="00A37D23"/>
    <w:rsid w:val="00A37E81"/>
    <w:rsid w:val="00A4005A"/>
    <w:rsid w:val="00A4012B"/>
    <w:rsid w:val="00A4038E"/>
    <w:rsid w:val="00A40A7C"/>
    <w:rsid w:val="00A40B6F"/>
    <w:rsid w:val="00A40D71"/>
    <w:rsid w:val="00A40F35"/>
    <w:rsid w:val="00A41064"/>
    <w:rsid w:val="00A41103"/>
    <w:rsid w:val="00A41410"/>
    <w:rsid w:val="00A41435"/>
    <w:rsid w:val="00A41517"/>
    <w:rsid w:val="00A4155E"/>
    <w:rsid w:val="00A41707"/>
    <w:rsid w:val="00A4186A"/>
    <w:rsid w:val="00A419D3"/>
    <w:rsid w:val="00A419FA"/>
    <w:rsid w:val="00A41B04"/>
    <w:rsid w:val="00A41B86"/>
    <w:rsid w:val="00A41BF2"/>
    <w:rsid w:val="00A41E4C"/>
    <w:rsid w:val="00A41F5F"/>
    <w:rsid w:val="00A41FAF"/>
    <w:rsid w:val="00A41FC3"/>
    <w:rsid w:val="00A420AF"/>
    <w:rsid w:val="00A42118"/>
    <w:rsid w:val="00A422C9"/>
    <w:rsid w:val="00A4245D"/>
    <w:rsid w:val="00A42477"/>
    <w:rsid w:val="00A4258E"/>
    <w:rsid w:val="00A42663"/>
    <w:rsid w:val="00A426B1"/>
    <w:rsid w:val="00A428B5"/>
    <w:rsid w:val="00A42DE8"/>
    <w:rsid w:val="00A42E16"/>
    <w:rsid w:val="00A42F59"/>
    <w:rsid w:val="00A42FAA"/>
    <w:rsid w:val="00A42FB6"/>
    <w:rsid w:val="00A42FBF"/>
    <w:rsid w:val="00A42FCC"/>
    <w:rsid w:val="00A4306E"/>
    <w:rsid w:val="00A430F3"/>
    <w:rsid w:val="00A431C7"/>
    <w:rsid w:val="00A433B4"/>
    <w:rsid w:val="00A4375E"/>
    <w:rsid w:val="00A43879"/>
    <w:rsid w:val="00A43895"/>
    <w:rsid w:val="00A4390C"/>
    <w:rsid w:val="00A43981"/>
    <w:rsid w:val="00A43A09"/>
    <w:rsid w:val="00A43B58"/>
    <w:rsid w:val="00A43C96"/>
    <w:rsid w:val="00A43D0D"/>
    <w:rsid w:val="00A44047"/>
    <w:rsid w:val="00A44224"/>
    <w:rsid w:val="00A44266"/>
    <w:rsid w:val="00A442CF"/>
    <w:rsid w:val="00A443E7"/>
    <w:rsid w:val="00A4471A"/>
    <w:rsid w:val="00A44892"/>
    <w:rsid w:val="00A44A6B"/>
    <w:rsid w:val="00A44B8C"/>
    <w:rsid w:val="00A44EEF"/>
    <w:rsid w:val="00A450A2"/>
    <w:rsid w:val="00A450A4"/>
    <w:rsid w:val="00A4520B"/>
    <w:rsid w:val="00A453A4"/>
    <w:rsid w:val="00A454A2"/>
    <w:rsid w:val="00A45543"/>
    <w:rsid w:val="00A456C4"/>
    <w:rsid w:val="00A45742"/>
    <w:rsid w:val="00A4583B"/>
    <w:rsid w:val="00A45A50"/>
    <w:rsid w:val="00A45B14"/>
    <w:rsid w:val="00A45D93"/>
    <w:rsid w:val="00A45DA6"/>
    <w:rsid w:val="00A45F0B"/>
    <w:rsid w:val="00A46183"/>
    <w:rsid w:val="00A46249"/>
    <w:rsid w:val="00A462A8"/>
    <w:rsid w:val="00A4637B"/>
    <w:rsid w:val="00A46478"/>
    <w:rsid w:val="00A46754"/>
    <w:rsid w:val="00A46815"/>
    <w:rsid w:val="00A46883"/>
    <w:rsid w:val="00A468B7"/>
    <w:rsid w:val="00A468FD"/>
    <w:rsid w:val="00A4691A"/>
    <w:rsid w:val="00A469B7"/>
    <w:rsid w:val="00A46F03"/>
    <w:rsid w:val="00A4733C"/>
    <w:rsid w:val="00A474DB"/>
    <w:rsid w:val="00A47547"/>
    <w:rsid w:val="00A47550"/>
    <w:rsid w:val="00A47551"/>
    <w:rsid w:val="00A47633"/>
    <w:rsid w:val="00A47820"/>
    <w:rsid w:val="00A479E9"/>
    <w:rsid w:val="00A479ED"/>
    <w:rsid w:val="00A47B4D"/>
    <w:rsid w:val="00A47DCC"/>
    <w:rsid w:val="00A47F7A"/>
    <w:rsid w:val="00A47FB3"/>
    <w:rsid w:val="00A50109"/>
    <w:rsid w:val="00A50218"/>
    <w:rsid w:val="00A50311"/>
    <w:rsid w:val="00A504A2"/>
    <w:rsid w:val="00A50737"/>
    <w:rsid w:val="00A50754"/>
    <w:rsid w:val="00A50812"/>
    <w:rsid w:val="00A5097A"/>
    <w:rsid w:val="00A50A96"/>
    <w:rsid w:val="00A50AD5"/>
    <w:rsid w:val="00A50B54"/>
    <w:rsid w:val="00A50CA1"/>
    <w:rsid w:val="00A50DBF"/>
    <w:rsid w:val="00A510E9"/>
    <w:rsid w:val="00A51177"/>
    <w:rsid w:val="00A5117E"/>
    <w:rsid w:val="00A5128D"/>
    <w:rsid w:val="00A51446"/>
    <w:rsid w:val="00A5173B"/>
    <w:rsid w:val="00A517C1"/>
    <w:rsid w:val="00A51A0A"/>
    <w:rsid w:val="00A51ACD"/>
    <w:rsid w:val="00A51BC1"/>
    <w:rsid w:val="00A51BDF"/>
    <w:rsid w:val="00A51CAF"/>
    <w:rsid w:val="00A52050"/>
    <w:rsid w:val="00A520F8"/>
    <w:rsid w:val="00A5218B"/>
    <w:rsid w:val="00A52217"/>
    <w:rsid w:val="00A52251"/>
    <w:rsid w:val="00A52455"/>
    <w:rsid w:val="00A528BA"/>
    <w:rsid w:val="00A528DF"/>
    <w:rsid w:val="00A52E50"/>
    <w:rsid w:val="00A52E6F"/>
    <w:rsid w:val="00A5319D"/>
    <w:rsid w:val="00A532DC"/>
    <w:rsid w:val="00A53403"/>
    <w:rsid w:val="00A5342B"/>
    <w:rsid w:val="00A5344A"/>
    <w:rsid w:val="00A535B5"/>
    <w:rsid w:val="00A535DC"/>
    <w:rsid w:val="00A535E8"/>
    <w:rsid w:val="00A536EF"/>
    <w:rsid w:val="00A53760"/>
    <w:rsid w:val="00A538AE"/>
    <w:rsid w:val="00A53AA2"/>
    <w:rsid w:val="00A53ABE"/>
    <w:rsid w:val="00A53CE9"/>
    <w:rsid w:val="00A53D3E"/>
    <w:rsid w:val="00A53DFE"/>
    <w:rsid w:val="00A53FC3"/>
    <w:rsid w:val="00A54020"/>
    <w:rsid w:val="00A54056"/>
    <w:rsid w:val="00A54172"/>
    <w:rsid w:val="00A54199"/>
    <w:rsid w:val="00A54323"/>
    <w:rsid w:val="00A54568"/>
    <w:rsid w:val="00A54621"/>
    <w:rsid w:val="00A547B8"/>
    <w:rsid w:val="00A54832"/>
    <w:rsid w:val="00A548BC"/>
    <w:rsid w:val="00A54A8C"/>
    <w:rsid w:val="00A54DB4"/>
    <w:rsid w:val="00A54FD3"/>
    <w:rsid w:val="00A553D6"/>
    <w:rsid w:val="00A556BA"/>
    <w:rsid w:val="00A55741"/>
    <w:rsid w:val="00A5576A"/>
    <w:rsid w:val="00A557FF"/>
    <w:rsid w:val="00A5586B"/>
    <w:rsid w:val="00A55B77"/>
    <w:rsid w:val="00A55C8B"/>
    <w:rsid w:val="00A5615C"/>
    <w:rsid w:val="00A5643D"/>
    <w:rsid w:val="00A56450"/>
    <w:rsid w:val="00A565F8"/>
    <w:rsid w:val="00A56687"/>
    <w:rsid w:val="00A56768"/>
    <w:rsid w:val="00A56885"/>
    <w:rsid w:val="00A56B6A"/>
    <w:rsid w:val="00A56B91"/>
    <w:rsid w:val="00A56C46"/>
    <w:rsid w:val="00A56EB0"/>
    <w:rsid w:val="00A56FF8"/>
    <w:rsid w:val="00A5700C"/>
    <w:rsid w:val="00A570A1"/>
    <w:rsid w:val="00A5739F"/>
    <w:rsid w:val="00A5747A"/>
    <w:rsid w:val="00A575B0"/>
    <w:rsid w:val="00A577B1"/>
    <w:rsid w:val="00A579FF"/>
    <w:rsid w:val="00A57BC1"/>
    <w:rsid w:val="00A57E04"/>
    <w:rsid w:val="00A57ED2"/>
    <w:rsid w:val="00A57ED3"/>
    <w:rsid w:val="00A60087"/>
    <w:rsid w:val="00A60161"/>
    <w:rsid w:val="00A603B1"/>
    <w:rsid w:val="00A6086B"/>
    <w:rsid w:val="00A60A23"/>
    <w:rsid w:val="00A60D1F"/>
    <w:rsid w:val="00A60E9B"/>
    <w:rsid w:val="00A60F32"/>
    <w:rsid w:val="00A60F6F"/>
    <w:rsid w:val="00A610F1"/>
    <w:rsid w:val="00A61130"/>
    <w:rsid w:val="00A6125D"/>
    <w:rsid w:val="00A61297"/>
    <w:rsid w:val="00A612F1"/>
    <w:rsid w:val="00A612F2"/>
    <w:rsid w:val="00A61389"/>
    <w:rsid w:val="00A613EE"/>
    <w:rsid w:val="00A616EB"/>
    <w:rsid w:val="00A61810"/>
    <w:rsid w:val="00A61DC5"/>
    <w:rsid w:val="00A61DCC"/>
    <w:rsid w:val="00A61E8A"/>
    <w:rsid w:val="00A61E96"/>
    <w:rsid w:val="00A62016"/>
    <w:rsid w:val="00A6209D"/>
    <w:rsid w:val="00A62208"/>
    <w:rsid w:val="00A622F2"/>
    <w:rsid w:val="00A623FF"/>
    <w:rsid w:val="00A62515"/>
    <w:rsid w:val="00A626C0"/>
    <w:rsid w:val="00A628FF"/>
    <w:rsid w:val="00A6297D"/>
    <w:rsid w:val="00A62AEF"/>
    <w:rsid w:val="00A62AF5"/>
    <w:rsid w:val="00A62B84"/>
    <w:rsid w:val="00A62C64"/>
    <w:rsid w:val="00A62EAC"/>
    <w:rsid w:val="00A62F62"/>
    <w:rsid w:val="00A62F98"/>
    <w:rsid w:val="00A62FCC"/>
    <w:rsid w:val="00A63046"/>
    <w:rsid w:val="00A632F1"/>
    <w:rsid w:val="00A63389"/>
    <w:rsid w:val="00A633DC"/>
    <w:rsid w:val="00A6356C"/>
    <w:rsid w:val="00A635B5"/>
    <w:rsid w:val="00A63700"/>
    <w:rsid w:val="00A63831"/>
    <w:rsid w:val="00A63AD8"/>
    <w:rsid w:val="00A63AF6"/>
    <w:rsid w:val="00A63DBB"/>
    <w:rsid w:val="00A63E0D"/>
    <w:rsid w:val="00A63E25"/>
    <w:rsid w:val="00A63EA5"/>
    <w:rsid w:val="00A6409D"/>
    <w:rsid w:val="00A640F3"/>
    <w:rsid w:val="00A64273"/>
    <w:rsid w:val="00A64283"/>
    <w:rsid w:val="00A645DF"/>
    <w:rsid w:val="00A6477A"/>
    <w:rsid w:val="00A64806"/>
    <w:rsid w:val="00A64882"/>
    <w:rsid w:val="00A648BB"/>
    <w:rsid w:val="00A64960"/>
    <w:rsid w:val="00A64972"/>
    <w:rsid w:val="00A64A04"/>
    <w:rsid w:val="00A64ADA"/>
    <w:rsid w:val="00A64C1C"/>
    <w:rsid w:val="00A64E02"/>
    <w:rsid w:val="00A64EDB"/>
    <w:rsid w:val="00A650A8"/>
    <w:rsid w:val="00A65102"/>
    <w:rsid w:val="00A65142"/>
    <w:rsid w:val="00A651A6"/>
    <w:rsid w:val="00A65247"/>
    <w:rsid w:val="00A65373"/>
    <w:rsid w:val="00A65542"/>
    <w:rsid w:val="00A658B2"/>
    <w:rsid w:val="00A659D8"/>
    <w:rsid w:val="00A65A5E"/>
    <w:rsid w:val="00A65AD2"/>
    <w:rsid w:val="00A65B09"/>
    <w:rsid w:val="00A65C22"/>
    <w:rsid w:val="00A65C7C"/>
    <w:rsid w:val="00A65D59"/>
    <w:rsid w:val="00A65EC5"/>
    <w:rsid w:val="00A6634C"/>
    <w:rsid w:val="00A6651F"/>
    <w:rsid w:val="00A66537"/>
    <w:rsid w:val="00A6653F"/>
    <w:rsid w:val="00A668EC"/>
    <w:rsid w:val="00A66976"/>
    <w:rsid w:val="00A66A95"/>
    <w:rsid w:val="00A66C24"/>
    <w:rsid w:val="00A66C3A"/>
    <w:rsid w:val="00A66CD4"/>
    <w:rsid w:val="00A66E4D"/>
    <w:rsid w:val="00A66EAB"/>
    <w:rsid w:val="00A66FCD"/>
    <w:rsid w:val="00A66FFC"/>
    <w:rsid w:val="00A67009"/>
    <w:rsid w:val="00A670BE"/>
    <w:rsid w:val="00A6720D"/>
    <w:rsid w:val="00A6725F"/>
    <w:rsid w:val="00A672A3"/>
    <w:rsid w:val="00A672C5"/>
    <w:rsid w:val="00A67417"/>
    <w:rsid w:val="00A674F4"/>
    <w:rsid w:val="00A6753A"/>
    <w:rsid w:val="00A67547"/>
    <w:rsid w:val="00A67597"/>
    <w:rsid w:val="00A678AB"/>
    <w:rsid w:val="00A67993"/>
    <w:rsid w:val="00A67A3C"/>
    <w:rsid w:val="00A704F1"/>
    <w:rsid w:val="00A70626"/>
    <w:rsid w:val="00A706F7"/>
    <w:rsid w:val="00A70703"/>
    <w:rsid w:val="00A707CB"/>
    <w:rsid w:val="00A70ACF"/>
    <w:rsid w:val="00A70B2C"/>
    <w:rsid w:val="00A70F47"/>
    <w:rsid w:val="00A71027"/>
    <w:rsid w:val="00A71032"/>
    <w:rsid w:val="00A7107B"/>
    <w:rsid w:val="00A7111B"/>
    <w:rsid w:val="00A71136"/>
    <w:rsid w:val="00A71179"/>
    <w:rsid w:val="00A7123D"/>
    <w:rsid w:val="00A7153D"/>
    <w:rsid w:val="00A71699"/>
    <w:rsid w:val="00A71AD4"/>
    <w:rsid w:val="00A71B2E"/>
    <w:rsid w:val="00A71C57"/>
    <w:rsid w:val="00A71D99"/>
    <w:rsid w:val="00A71F45"/>
    <w:rsid w:val="00A720C3"/>
    <w:rsid w:val="00A7218C"/>
    <w:rsid w:val="00A72212"/>
    <w:rsid w:val="00A722BA"/>
    <w:rsid w:val="00A72317"/>
    <w:rsid w:val="00A724EA"/>
    <w:rsid w:val="00A72537"/>
    <w:rsid w:val="00A72629"/>
    <w:rsid w:val="00A726C4"/>
    <w:rsid w:val="00A7270D"/>
    <w:rsid w:val="00A7274D"/>
    <w:rsid w:val="00A728A8"/>
    <w:rsid w:val="00A7297C"/>
    <w:rsid w:val="00A72982"/>
    <w:rsid w:val="00A72B02"/>
    <w:rsid w:val="00A72B30"/>
    <w:rsid w:val="00A7309A"/>
    <w:rsid w:val="00A732F4"/>
    <w:rsid w:val="00A732F7"/>
    <w:rsid w:val="00A73661"/>
    <w:rsid w:val="00A7368B"/>
    <w:rsid w:val="00A736F3"/>
    <w:rsid w:val="00A73750"/>
    <w:rsid w:val="00A738A4"/>
    <w:rsid w:val="00A7396B"/>
    <w:rsid w:val="00A73AF7"/>
    <w:rsid w:val="00A73B6A"/>
    <w:rsid w:val="00A73B72"/>
    <w:rsid w:val="00A73CF8"/>
    <w:rsid w:val="00A73D5C"/>
    <w:rsid w:val="00A73D75"/>
    <w:rsid w:val="00A73FC4"/>
    <w:rsid w:val="00A74207"/>
    <w:rsid w:val="00A7460B"/>
    <w:rsid w:val="00A7464C"/>
    <w:rsid w:val="00A7468A"/>
    <w:rsid w:val="00A749BA"/>
    <w:rsid w:val="00A74A79"/>
    <w:rsid w:val="00A74AC0"/>
    <w:rsid w:val="00A74AC5"/>
    <w:rsid w:val="00A74B77"/>
    <w:rsid w:val="00A74C31"/>
    <w:rsid w:val="00A74F84"/>
    <w:rsid w:val="00A7503F"/>
    <w:rsid w:val="00A75153"/>
    <w:rsid w:val="00A75185"/>
    <w:rsid w:val="00A756CE"/>
    <w:rsid w:val="00A757CC"/>
    <w:rsid w:val="00A758BB"/>
    <w:rsid w:val="00A75BC3"/>
    <w:rsid w:val="00A75EA7"/>
    <w:rsid w:val="00A75ECD"/>
    <w:rsid w:val="00A762DE"/>
    <w:rsid w:val="00A762FA"/>
    <w:rsid w:val="00A7637F"/>
    <w:rsid w:val="00A764D4"/>
    <w:rsid w:val="00A765B6"/>
    <w:rsid w:val="00A76797"/>
    <w:rsid w:val="00A76803"/>
    <w:rsid w:val="00A769F4"/>
    <w:rsid w:val="00A76A3B"/>
    <w:rsid w:val="00A76D00"/>
    <w:rsid w:val="00A77005"/>
    <w:rsid w:val="00A77031"/>
    <w:rsid w:val="00A770B1"/>
    <w:rsid w:val="00A77260"/>
    <w:rsid w:val="00A772C9"/>
    <w:rsid w:val="00A7733B"/>
    <w:rsid w:val="00A774BE"/>
    <w:rsid w:val="00A77545"/>
    <w:rsid w:val="00A775CE"/>
    <w:rsid w:val="00A777D7"/>
    <w:rsid w:val="00A778D2"/>
    <w:rsid w:val="00A77A73"/>
    <w:rsid w:val="00A77ADF"/>
    <w:rsid w:val="00A77EC3"/>
    <w:rsid w:val="00A77ECC"/>
    <w:rsid w:val="00A80079"/>
    <w:rsid w:val="00A805B5"/>
    <w:rsid w:val="00A806D6"/>
    <w:rsid w:val="00A80717"/>
    <w:rsid w:val="00A80849"/>
    <w:rsid w:val="00A808ED"/>
    <w:rsid w:val="00A80A87"/>
    <w:rsid w:val="00A80EFD"/>
    <w:rsid w:val="00A80EFF"/>
    <w:rsid w:val="00A80F19"/>
    <w:rsid w:val="00A81068"/>
    <w:rsid w:val="00A810C3"/>
    <w:rsid w:val="00A81188"/>
    <w:rsid w:val="00A8137F"/>
    <w:rsid w:val="00A8162F"/>
    <w:rsid w:val="00A8179A"/>
    <w:rsid w:val="00A817EC"/>
    <w:rsid w:val="00A81956"/>
    <w:rsid w:val="00A81B3A"/>
    <w:rsid w:val="00A81B65"/>
    <w:rsid w:val="00A81CFE"/>
    <w:rsid w:val="00A82033"/>
    <w:rsid w:val="00A82068"/>
    <w:rsid w:val="00A82207"/>
    <w:rsid w:val="00A824F4"/>
    <w:rsid w:val="00A82ABE"/>
    <w:rsid w:val="00A82AF0"/>
    <w:rsid w:val="00A82B83"/>
    <w:rsid w:val="00A82DF4"/>
    <w:rsid w:val="00A82E77"/>
    <w:rsid w:val="00A82FA1"/>
    <w:rsid w:val="00A82FB9"/>
    <w:rsid w:val="00A83504"/>
    <w:rsid w:val="00A83615"/>
    <w:rsid w:val="00A8388C"/>
    <w:rsid w:val="00A839BE"/>
    <w:rsid w:val="00A83B15"/>
    <w:rsid w:val="00A83C87"/>
    <w:rsid w:val="00A83D7F"/>
    <w:rsid w:val="00A83E34"/>
    <w:rsid w:val="00A83E97"/>
    <w:rsid w:val="00A83F01"/>
    <w:rsid w:val="00A83F71"/>
    <w:rsid w:val="00A84088"/>
    <w:rsid w:val="00A8408C"/>
    <w:rsid w:val="00A8471E"/>
    <w:rsid w:val="00A849A4"/>
    <w:rsid w:val="00A849E5"/>
    <w:rsid w:val="00A84A64"/>
    <w:rsid w:val="00A84B46"/>
    <w:rsid w:val="00A84B51"/>
    <w:rsid w:val="00A850E1"/>
    <w:rsid w:val="00A853AA"/>
    <w:rsid w:val="00A8555C"/>
    <w:rsid w:val="00A855A2"/>
    <w:rsid w:val="00A85910"/>
    <w:rsid w:val="00A859F4"/>
    <w:rsid w:val="00A85A44"/>
    <w:rsid w:val="00A85BE4"/>
    <w:rsid w:val="00A85DA9"/>
    <w:rsid w:val="00A85DC3"/>
    <w:rsid w:val="00A85DFF"/>
    <w:rsid w:val="00A8610F"/>
    <w:rsid w:val="00A86237"/>
    <w:rsid w:val="00A86343"/>
    <w:rsid w:val="00A864AA"/>
    <w:rsid w:val="00A864B8"/>
    <w:rsid w:val="00A86838"/>
    <w:rsid w:val="00A869CE"/>
    <w:rsid w:val="00A86B33"/>
    <w:rsid w:val="00A86B4F"/>
    <w:rsid w:val="00A86B66"/>
    <w:rsid w:val="00A86BC2"/>
    <w:rsid w:val="00A86C66"/>
    <w:rsid w:val="00A86FB1"/>
    <w:rsid w:val="00A86FD5"/>
    <w:rsid w:val="00A87254"/>
    <w:rsid w:val="00A8727C"/>
    <w:rsid w:val="00A872E0"/>
    <w:rsid w:val="00A873B2"/>
    <w:rsid w:val="00A87428"/>
    <w:rsid w:val="00A874C4"/>
    <w:rsid w:val="00A87552"/>
    <w:rsid w:val="00A876E6"/>
    <w:rsid w:val="00A87869"/>
    <w:rsid w:val="00A87968"/>
    <w:rsid w:val="00A8797D"/>
    <w:rsid w:val="00A879C1"/>
    <w:rsid w:val="00A87A50"/>
    <w:rsid w:val="00A87D7C"/>
    <w:rsid w:val="00A87DEF"/>
    <w:rsid w:val="00A87E19"/>
    <w:rsid w:val="00A87E90"/>
    <w:rsid w:val="00A90198"/>
    <w:rsid w:val="00A903E4"/>
    <w:rsid w:val="00A9091F"/>
    <w:rsid w:val="00A9099D"/>
    <w:rsid w:val="00A90B12"/>
    <w:rsid w:val="00A90E99"/>
    <w:rsid w:val="00A9115F"/>
    <w:rsid w:val="00A911B5"/>
    <w:rsid w:val="00A917F6"/>
    <w:rsid w:val="00A91A0D"/>
    <w:rsid w:val="00A91BB1"/>
    <w:rsid w:val="00A91D06"/>
    <w:rsid w:val="00A91DC2"/>
    <w:rsid w:val="00A91FFB"/>
    <w:rsid w:val="00A92010"/>
    <w:rsid w:val="00A92123"/>
    <w:rsid w:val="00A92159"/>
    <w:rsid w:val="00A92466"/>
    <w:rsid w:val="00A92679"/>
    <w:rsid w:val="00A9269B"/>
    <w:rsid w:val="00A927DF"/>
    <w:rsid w:val="00A92809"/>
    <w:rsid w:val="00A92B80"/>
    <w:rsid w:val="00A9300A"/>
    <w:rsid w:val="00A93129"/>
    <w:rsid w:val="00A932F7"/>
    <w:rsid w:val="00A933ED"/>
    <w:rsid w:val="00A9389C"/>
    <w:rsid w:val="00A939E7"/>
    <w:rsid w:val="00A93B18"/>
    <w:rsid w:val="00A93B5F"/>
    <w:rsid w:val="00A93C11"/>
    <w:rsid w:val="00A93CE6"/>
    <w:rsid w:val="00A93EF4"/>
    <w:rsid w:val="00A93F6D"/>
    <w:rsid w:val="00A93FE7"/>
    <w:rsid w:val="00A93FED"/>
    <w:rsid w:val="00A940F4"/>
    <w:rsid w:val="00A942E4"/>
    <w:rsid w:val="00A9444D"/>
    <w:rsid w:val="00A9463D"/>
    <w:rsid w:val="00A9464B"/>
    <w:rsid w:val="00A947CC"/>
    <w:rsid w:val="00A94860"/>
    <w:rsid w:val="00A94AC9"/>
    <w:rsid w:val="00A94B06"/>
    <w:rsid w:val="00A94BB8"/>
    <w:rsid w:val="00A94C9E"/>
    <w:rsid w:val="00A94DF5"/>
    <w:rsid w:val="00A94EFA"/>
    <w:rsid w:val="00A94F32"/>
    <w:rsid w:val="00A94F65"/>
    <w:rsid w:val="00A950F2"/>
    <w:rsid w:val="00A95184"/>
    <w:rsid w:val="00A951F0"/>
    <w:rsid w:val="00A95321"/>
    <w:rsid w:val="00A9540B"/>
    <w:rsid w:val="00A9543B"/>
    <w:rsid w:val="00A95450"/>
    <w:rsid w:val="00A957B4"/>
    <w:rsid w:val="00A957D1"/>
    <w:rsid w:val="00A958FC"/>
    <w:rsid w:val="00A95A6D"/>
    <w:rsid w:val="00A95DA1"/>
    <w:rsid w:val="00A96087"/>
    <w:rsid w:val="00A960F2"/>
    <w:rsid w:val="00A961ED"/>
    <w:rsid w:val="00A966A7"/>
    <w:rsid w:val="00A96BB2"/>
    <w:rsid w:val="00A96BBE"/>
    <w:rsid w:val="00A96CD6"/>
    <w:rsid w:val="00A96D07"/>
    <w:rsid w:val="00A96F54"/>
    <w:rsid w:val="00A96F63"/>
    <w:rsid w:val="00A970C9"/>
    <w:rsid w:val="00A973BB"/>
    <w:rsid w:val="00A974F9"/>
    <w:rsid w:val="00A9753E"/>
    <w:rsid w:val="00A97614"/>
    <w:rsid w:val="00A9775D"/>
    <w:rsid w:val="00A97776"/>
    <w:rsid w:val="00A977AC"/>
    <w:rsid w:val="00A978C0"/>
    <w:rsid w:val="00A97B48"/>
    <w:rsid w:val="00A97CA7"/>
    <w:rsid w:val="00A97D51"/>
    <w:rsid w:val="00A97E48"/>
    <w:rsid w:val="00A97EA0"/>
    <w:rsid w:val="00AA016D"/>
    <w:rsid w:val="00AA01B6"/>
    <w:rsid w:val="00AA01F2"/>
    <w:rsid w:val="00AA0229"/>
    <w:rsid w:val="00AA0491"/>
    <w:rsid w:val="00AA05C5"/>
    <w:rsid w:val="00AA0694"/>
    <w:rsid w:val="00AA076C"/>
    <w:rsid w:val="00AA07A4"/>
    <w:rsid w:val="00AA092A"/>
    <w:rsid w:val="00AA0A3A"/>
    <w:rsid w:val="00AA0AD7"/>
    <w:rsid w:val="00AA0B51"/>
    <w:rsid w:val="00AA0DF0"/>
    <w:rsid w:val="00AA1074"/>
    <w:rsid w:val="00AA1430"/>
    <w:rsid w:val="00AA149D"/>
    <w:rsid w:val="00AA1568"/>
    <w:rsid w:val="00AA1630"/>
    <w:rsid w:val="00AA1640"/>
    <w:rsid w:val="00AA1C6A"/>
    <w:rsid w:val="00AA1E6D"/>
    <w:rsid w:val="00AA206F"/>
    <w:rsid w:val="00AA2080"/>
    <w:rsid w:val="00AA20E8"/>
    <w:rsid w:val="00AA213F"/>
    <w:rsid w:val="00AA22EE"/>
    <w:rsid w:val="00AA2503"/>
    <w:rsid w:val="00AA253A"/>
    <w:rsid w:val="00AA25D8"/>
    <w:rsid w:val="00AA28D7"/>
    <w:rsid w:val="00AA2BC1"/>
    <w:rsid w:val="00AA2D05"/>
    <w:rsid w:val="00AA2D95"/>
    <w:rsid w:val="00AA2F07"/>
    <w:rsid w:val="00AA2F0C"/>
    <w:rsid w:val="00AA2F6D"/>
    <w:rsid w:val="00AA30AF"/>
    <w:rsid w:val="00AA31F7"/>
    <w:rsid w:val="00AA334E"/>
    <w:rsid w:val="00AA340F"/>
    <w:rsid w:val="00AA36E6"/>
    <w:rsid w:val="00AA3753"/>
    <w:rsid w:val="00AA3936"/>
    <w:rsid w:val="00AA398B"/>
    <w:rsid w:val="00AA3A85"/>
    <w:rsid w:val="00AA3AFC"/>
    <w:rsid w:val="00AA3B6A"/>
    <w:rsid w:val="00AA3B9E"/>
    <w:rsid w:val="00AA3BC1"/>
    <w:rsid w:val="00AA3C08"/>
    <w:rsid w:val="00AA41EC"/>
    <w:rsid w:val="00AA421D"/>
    <w:rsid w:val="00AA4375"/>
    <w:rsid w:val="00AA4535"/>
    <w:rsid w:val="00AA483E"/>
    <w:rsid w:val="00AA4A63"/>
    <w:rsid w:val="00AA4B77"/>
    <w:rsid w:val="00AA4C23"/>
    <w:rsid w:val="00AA4D91"/>
    <w:rsid w:val="00AA5297"/>
    <w:rsid w:val="00AA53D7"/>
    <w:rsid w:val="00AA53E9"/>
    <w:rsid w:val="00AA54F2"/>
    <w:rsid w:val="00AA5574"/>
    <w:rsid w:val="00AA55FD"/>
    <w:rsid w:val="00AA5862"/>
    <w:rsid w:val="00AA5AB2"/>
    <w:rsid w:val="00AA5ACC"/>
    <w:rsid w:val="00AA5B8B"/>
    <w:rsid w:val="00AA5C1B"/>
    <w:rsid w:val="00AA5C7E"/>
    <w:rsid w:val="00AA5F1F"/>
    <w:rsid w:val="00AA6062"/>
    <w:rsid w:val="00AA60F1"/>
    <w:rsid w:val="00AA62F4"/>
    <w:rsid w:val="00AA6308"/>
    <w:rsid w:val="00AA6332"/>
    <w:rsid w:val="00AA635C"/>
    <w:rsid w:val="00AA647E"/>
    <w:rsid w:val="00AA66F6"/>
    <w:rsid w:val="00AA6C85"/>
    <w:rsid w:val="00AA6F0A"/>
    <w:rsid w:val="00AA6F23"/>
    <w:rsid w:val="00AA74CC"/>
    <w:rsid w:val="00AA7889"/>
    <w:rsid w:val="00AA79CF"/>
    <w:rsid w:val="00AA7C75"/>
    <w:rsid w:val="00AA7CFE"/>
    <w:rsid w:val="00AB0339"/>
    <w:rsid w:val="00AB0388"/>
    <w:rsid w:val="00AB0448"/>
    <w:rsid w:val="00AB04F8"/>
    <w:rsid w:val="00AB0612"/>
    <w:rsid w:val="00AB06EE"/>
    <w:rsid w:val="00AB07AD"/>
    <w:rsid w:val="00AB07F5"/>
    <w:rsid w:val="00AB080E"/>
    <w:rsid w:val="00AB08C6"/>
    <w:rsid w:val="00AB08D2"/>
    <w:rsid w:val="00AB0AC4"/>
    <w:rsid w:val="00AB0C76"/>
    <w:rsid w:val="00AB0E34"/>
    <w:rsid w:val="00AB0E3D"/>
    <w:rsid w:val="00AB0EF7"/>
    <w:rsid w:val="00AB0F1F"/>
    <w:rsid w:val="00AB1003"/>
    <w:rsid w:val="00AB101F"/>
    <w:rsid w:val="00AB106A"/>
    <w:rsid w:val="00AB1090"/>
    <w:rsid w:val="00AB11FD"/>
    <w:rsid w:val="00AB131B"/>
    <w:rsid w:val="00AB1357"/>
    <w:rsid w:val="00AB15B8"/>
    <w:rsid w:val="00AB1624"/>
    <w:rsid w:val="00AB1641"/>
    <w:rsid w:val="00AB1878"/>
    <w:rsid w:val="00AB197B"/>
    <w:rsid w:val="00AB199C"/>
    <w:rsid w:val="00AB1AFF"/>
    <w:rsid w:val="00AB1DA7"/>
    <w:rsid w:val="00AB1E7F"/>
    <w:rsid w:val="00AB1EE4"/>
    <w:rsid w:val="00AB2165"/>
    <w:rsid w:val="00AB2289"/>
    <w:rsid w:val="00AB228C"/>
    <w:rsid w:val="00AB247E"/>
    <w:rsid w:val="00AB24DB"/>
    <w:rsid w:val="00AB2527"/>
    <w:rsid w:val="00AB274F"/>
    <w:rsid w:val="00AB2819"/>
    <w:rsid w:val="00AB2AD8"/>
    <w:rsid w:val="00AB2C2B"/>
    <w:rsid w:val="00AB2C31"/>
    <w:rsid w:val="00AB2D74"/>
    <w:rsid w:val="00AB30B0"/>
    <w:rsid w:val="00AB314D"/>
    <w:rsid w:val="00AB321B"/>
    <w:rsid w:val="00AB33F2"/>
    <w:rsid w:val="00AB34A3"/>
    <w:rsid w:val="00AB3613"/>
    <w:rsid w:val="00AB3707"/>
    <w:rsid w:val="00AB377B"/>
    <w:rsid w:val="00AB38FD"/>
    <w:rsid w:val="00AB39C3"/>
    <w:rsid w:val="00AB3E7A"/>
    <w:rsid w:val="00AB3FDF"/>
    <w:rsid w:val="00AB42CA"/>
    <w:rsid w:val="00AB45B9"/>
    <w:rsid w:val="00AB4632"/>
    <w:rsid w:val="00AB47A7"/>
    <w:rsid w:val="00AB489A"/>
    <w:rsid w:val="00AB4A92"/>
    <w:rsid w:val="00AB4ADD"/>
    <w:rsid w:val="00AB4BDA"/>
    <w:rsid w:val="00AB4CF5"/>
    <w:rsid w:val="00AB4F3F"/>
    <w:rsid w:val="00AB4F6D"/>
    <w:rsid w:val="00AB4FB9"/>
    <w:rsid w:val="00AB5022"/>
    <w:rsid w:val="00AB5238"/>
    <w:rsid w:val="00AB535B"/>
    <w:rsid w:val="00AB5367"/>
    <w:rsid w:val="00AB53A7"/>
    <w:rsid w:val="00AB5401"/>
    <w:rsid w:val="00AB54E0"/>
    <w:rsid w:val="00AB556B"/>
    <w:rsid w:val="00AB55C6"/>
    <w:rsid w:val="00AB567F"/>
    <w:rsid w:val="00AB57AA"/>
    <w:rsid w:val="00AB5813"/>
    <w:rsid w:val="00AB5876"/>
    <w:rsid w:val="00AB5A52"/>
    <w:rsid w:val="00AB5A97"/>
    <w:rsid w:val="00AB5AEF"/>
    <w:rsid w:val="00AB5C65"/>
    <w:rsid w:val="00AB5E1C"/>
    <w:rsid w:val="00AB5FB6"/>
    <w:rsid w:val="00AB61DB"/>
    <w:rsid w:val="00AB61EF"/>
    <w:rsid w:val="00AB632D"/>
    <w:rsid w:val="00AB6610"/>
    <w:rsid w:val="00AB66E9"/>
    <w:rsid w:val="00AB6A18"/>
    <w:rsid w:val="00AB6A63"/>
    <w:rsid w:val="00AB6B82"/>
    <w:rsid w:val="00AB6C24"/>
    <w:rsid w:val="00AB6CC2"/>
    <w:rsid w:val="00AB6CD1"/>
    <w:rsid w:val="00AB6DCC"/>
    <w:rsid w:val="00AB6FFC"/>
    <w:rsid w:val="00AB710D"/>
    <w:rsid w:val="00AB7165"/>
    <w:rsid w:val="00AB716F"/>
    <w:rsid w:val="00AB7531"/>
    <w:rsid w:val="00AB7717"/>
    <w:rsid w:val="00AB776D"/>
    <w:rsid w:val="00AB7913"/>
    <w:rsid w:val="00AB7ABD"/>
    <w:rsid w:val="00AB7B51"/>
    <w:rsid w:val="00AB7BE0"/>
    <w:rsid w:val="00AB7C4C"/>
    <w:rsid w:val="00AB7C54"/>
    <w:rsid w:val="00AC0445"/>
    <w:rsid w:val="00AC04D0"/>
    <w:rsid w:val="00AC0616"/>
    <w:rsid w:val="00AC0703"/>
    <w:rsid w:val="00AC0735"/>
    <w:rsid w:val="00AC087E"/>
    <w:rsid w:val="00AC09F9"/>
    <w:rsid w:val="00AC0B2F"/>
    <w:rsid w:val="00AC0C16"/>
    <w:rsid w:val="00AC0DB2"/>
    <w:rsid w:val="00AC0E15"/>
    <w:rsid w:val="00AC0EFD"/>
    <w:rsid w:val="00AC0F54"/>
    <w:rsid w:val="00AC0FAD"/>
    <w:rsid w:val="00AC0FD7"/>
    <w:rsid w:val="00AC10A6"/>
    <w:rsid w:val="00AC10B0"/>
    <w:rsid w:val="00AC1149"/>
    <w:rsid w:val="00AC11CD"/>
    <w:rsid w:val="00AC148B"/>
    <w:rsid w:val="00AC16A5"/>
    <w:rsid w:val="00AC16AC"/>
    <w:rsid w:val="00AC17A2"/>
    <w:rsid w:val="00AC1AE2"/>
    <w:rsid w:val="00AC1BA6"/>
    <w:rsid w:val="00AC1BD1"/>
    <w:rsid w:val="00AC1C2F"/>
    <w:rsid w:val="00AC1D5B"/>
    <w:rsid w:val="00AC1E84"/>
    <w:rsid w:val="00AC1FB6"/>
    <w:rsid w:val="00AC2054"/>
    <w:rsid w:val="00AC2092"/>
    <w:rsid w:val="00AC21DD"/>
    <w:rsid w:val="00AC22B5"/>
    <w:rsid w:val="00AC254A"/>
    <w:rsid w:val="00AC271B"/>
    <w:rsid w:val="00AC27F5"/>
    <w:rsid w:val="00AC28AC"/>
    <w:rsid w:val="00AC2A88"/>
    <w:rsid w:val="00AC2B95"/>
    <w:rsid w:val="00AC2BA3"/>
    <w:rsid w:val="00AC2C88"/>
    <w:rsid w:val="00AC2CAD"/>
    <w:rsid w:val="00AC2CB4"/>
    <w:rsid w:val="00AC2D62"/>
    <w:rsid w:val="00AC2D84"/>
    <w:rsid w:val="00AC3297"/>
    <w:rsid w:val="00AC32B2"/>
    <w:rsid w:val="00AC33A3"/>
    <w:rsid w:val="00AC3487"/>
    <w:rsid w:val="00AC3674"/>
    <w:rsid w:val="00AC36E6"/>
    <w:rsid w:val="00AC36FD"/>
    <w:rsid w:val="00AC370F"/>
    <w:rsid w:val="00AC37D1"/>
    <w:rsid w:val="00AC389E"/>
    <w:rsid w:val="00AC38E6"/>
    <w:rsid w:val="00AC3BA3"/>
    <w:rsid w:val="00AC3C68"/>
    <w:rsid w:val="00AC3C96"/>
    <w:rsid w:val="00AC3D96"/>
    <w:rsid w:val="00AC4251"/>
    <w:rsid w:val="00AC42D0"/>
    <w:rsid w:val="00AC461E"/>
    <w:rsid w:val="00AC4781"/>
    <w:rsid w:val="00AC47E4"/>
    <w:rsid w:val="00AC487F"/>
    <w:rsid w:val="00AC4A52"/>
    <w:rsid w:val="00AC4BA1"/>
    <w:rsid w:val="00AC4F59"/>
    <w:rsid w:val="00AC50F6"/>
    <w:rsid w:val="00AC51BE"/>
    <w:rsid w:val="00AC51E3"/>
    <w:rsid w:val="00AC524B"/>
    <w:rsid w:val="00AC527A"/>
    <w:rsid w:val="00AC533C"/>
    <w:rsid w:val="00AC5401"/>
    <w:rsid w:val="00AC57D7"/>
    <w:rsid w:val="00AC588E"/>
    <w:rsid w:val="00AC58FA"/>
    <w:rsid w:val="00AC5AE8"/>
    <w:rsid w:val="00AC5BD7"/>
    <w:rsid w:val="00AC637F"/>
    <w:rsid w:val="00AC63FF"/>
    <w:rsid w:val="00AC6445"/>
    <w:rsid w:val="00AC64A6"/>
    <w:rsid w:val="00AC6559"/>
    <w:rsid w:val="00AC6604"/>
    <w:rsid w:val="00AC6636"/>
    <w:rsid w:val="00AC6787"/>
    <w:rsid w:val="00AC6859"/>
    <w:rsid w:val="00AC6C68"/>
    <w:rsid w:val="00AC6C8D"/>
    <w:rsid w:val="00AC6CEB"/>
    <w:rsid w:val="00AC6DF6"/>
    <w:rsid w:val="00AC7496"/>
    <w:rsid w:val="00AC74D1"/>
    <w:rsid w:val="00AC75E7"/>
    <w:rsid w:val="00AC7824"/>
    <w:rsid w:val="00AC7A68"/>
    <w:rsid w:val="00AC7B99"/>
    <w:rsid w:val="00AC7BCA"/>
    <w:rsid w:val="00AC7E57"/>
    <w:rsid w:val="00AC7E9C"/>
    <w:rsid w:val="00AD0023"/>
    <w:rsid w:val="00AD0031"/>
    <w:rsid w:val="00AD00DA"/>
    <w:rsid w:val="00AD024C"/>
    <w:rsid w:val="00AD0294"/>
    <w:rsid w:val="00AD02CA"/>
    <w:rsid w:val="00AD03A1"/>
    <w:rsid w:val="00AD0425"/>
    <w:rsid w:val="00AD062D"/>
    <w:rsid w:val="00AD0657"/>
    <w:rsid w:val="00AD06C2"/>
    <w:rsid w:val="00AD06D4"/>
    <w:rsid w:val="00AD06E9"/>
    <w:rsid w:val="00AD0802"/>
    <w:rsid w:val="00AD0C70"/>
    <w:rsid w:val="00AD0DE2"/>
    <w:rsid w:val="00AD0DE4"/>
    <w:rsid w:val="00AD0E1C"/>
    <w:rsid w:val="00AD0E49"/>
    <w:rsid w:val="00AD1040"/>
    <w:rsid w:val="00AD17DB"/>
    <w:rsid w:val="00AD18DA"/>
    <w:rsid w:val="00AD1999"/>
    <w:rsid w:val="00AD1A29"/>
    <w:rsid w:val="00AD1DA7"/>
    <w:rsid w:val="00AD1DD6"/>
    <w:rsid w:val="00AD1F72"/>
    <w:rsid w:val="00AD1FFA"/>
    <w:rsid w:val="00AD2408"/>
    <w:rsid w:val="00AD2418"/>
    <w:rsid w:val="00AD2571"/>
    <w:rsid w:val="00AD2626"/>
    <w:rsid w:val="00AD26EF"/>
    <w:rsid w:val="00AD2899"/>
    <w:rsid w:val="00AD2967"/>
    <w:rsid w:val="00AD2BCF"/>
    <w:rsid w:val="00AD2D92"/>
    <w:rsid w:val="00AD2F92"/>
    <w:rsid w:val="00AD3033"/>
    <w:rsid w:val="00AD334F"/>
    <w:rsid w:val="00AD342A"/>
    <w:rsid w:val="00AD34EB"/>
    <w:rsid w:val="00AD35D1"/>
    <w:rsid w:val="00AD361E"/>
    <w:rsid w:val="00AD36CB"/>
    <w:rsid w:val="00AD3835"/>
    <w:rsid w:val="00AD389D"/>
    <w:rsid w:val="00AD3C32"/>
    <w:rsid w:val="00AD3C37"/>
    <w:rsid w:val="00AD3DFC"/>
    <w:rsid w:val="00AD4321"/>
    <w:rsid w:val="00AD4905"/>
    <w:rsid w:val="00AD4967"/>
    <w:rsid w:val="00AD4B23"/>
    <w:rsid w:val="00AD4D19"/>
    <w:rsid w:val="00AD4D4C"/>
    <w:rsid w:val="00AD4F51"/>
    <w:rsid w:val="00AD5043"/>
    <w:rsid w:val="00AD5254"/>
    <w:rsid w:val="00AD52A2"/>
    <w:rsid w:val="00AD537E"/>
    <w:rsid w:val="00AD5723"/>
    <w:rsid w:val="00AD5C8B"/>
    <w:rsid w:val="00AD5D7C"/>
    <w:rsid w:val="00AD60AF"/>
    <w:rsid w:val="00AD64C7"/>
    <w:rsid w:val="00AD6709"/>
    <w:rsid w:val="00AD67F9"/>
    <w:rsid w:val="00AD6895"/>
    <w:rsid w:val="00AD68BE"/>
    <w:rsid w:val="00AD68EA"/>
    <w:rsid w:val="00AD6914"/>
    <w:rsid w:val="00AD6A22"/>
    <w:rsid w:val="00AD6A5E"/>
    <w:rsid w:val="00AD6C88"/>
    <w:rsid w:val="00AD6CAB"/>
    <w:rsid w:val="00AD6DBE"/>
    <w:rsid w:val="00AD6DC5"/>
    <w:rsid w:val="00AD6ECC"/>
    <w:rsid w:val="00AD7018"/>
    <w:rsid w:val="00AD7048"/>
    <w:rsid w:val="00AD7328"/>
    <w:rsid w:val="00AD74DA"/>
    <w:rsid w:val="00AD7584"/>
    <w:rsid w:val="00AD7781"/>
    <w:rsid w:val="00AD789A"/>
    <w:rsid w:val="00AD7923"/>
    <w:rsid w:val="00AD7999"/>
    <w:rsid w:val="00AD7BE1"/>
    <w:rsid w:val="00AD7CB5"/>
    <w:rsid w:val="00AD7CFF"/>
    <w:rsid w:val="00AD7DFD"/>
    <w:rsid w:val="00AD7E13"/>
    <w:rsid w:val="00AD7F87"/>
    <w:rsid w:val="00AE028D"/>
    <w:rsid w:val="00AE034E"/>
    <w:rsid w:val="00AE0494"/>
    <w:rsid w:val="00AE04CF"/>
    <w:rsid w:val="00AE059C"/>
    <w:rsid w:val="00AE05BB"/>
    <w:rsid w:val="00AE0637"/>
    <w:rsid w:val="00AE080D"/>
    <w:rsid w:val="00AE0917"/>
    <w:rsid w:val="00AE0AB0"/>
    <w:rsid w:val="00AE0B5B"/>
    <w:rsid w:val="00AE0BA7"/>
    <w:rsid w:val="00AE0BB3"/>
    <w:rsid w:val="00AE0C19"/>
    <w:rsid w:val="00AE0CA9"/>
    <w:rsid w:val="00AE0CB3"/>
    <w:rsid w:val="00AE0DAA"/>
    <w:rsid w:val="00AE0F50"/>
    <w:rsid w:val="00AE0F8F"/>
    <w:rsid w:val="00AE0F99"/>
    <w:rsid w:val="00AE1094"/>
    <w:rsid w:val="00AE10C6"/>
    <w:rsid w:val="00AE11B5"/>
    <w:rsid w:val="00AE120A"/>
    <w:rsid w:val="00AE1277"/>
    <w:rsid w:val="00AE13FF"/>
    <w:rsid w:val="00AE1596"/>
    <w:rsid w:val="00AE15A0"/>
    <w:rsid w:val="00AE1738"/>
    <w:rsid w:val="00AE17A0"/>
    <w:rsid w:val="00AE1823"/>
    <w:rsid w:val="00AE1AF5"/>
    <w:rsid w:val="00AE1B2B"/>
    <w:rsid w:val="00AE1BD4"/>
    <w:rsid w:val="00AE2317"/>
    <w:rsid w:val="00AE237E"/>
    <w:rsid w:val="00AE2602"/>
    <w:rsid w:val="00AE265B"/>
    <w:rsid w:val="00AE27A4"/>
    <w:rsid w:val="00AE2AF2"/>
    <w:rsid w:val="00AE2DEA"/>
    <w:rsid w:val="00AE31DE"/>
    <w:rsid w:val="00AE35C7"/>
    <w:rsid w:val="00AE36F0"/>
    <w:rsid w:val="00AE3CE7"/>
    <w:rsid w:val="00AE3E58"/>
    <w:rsid w:val="00AE3FF0"/>
    <w:rsid w:val="00AE4025"/>
    <w:rsid w:val="00AE439E"/>
    <w:rsid w:val="00AE43AB"/>
    <w:rsid w:val="00AE467F"/>
    <w:rsid w:val="00AE4793"/>
    <w:rsid w:val="00AE48C9"/>
    <w:rsid w:val="00AE4A5A"/>
    <w:rsid w:val="00AE4ABE"/>
    <w:rsid w:val="00AE4AED"/>
    <w:rsid w:val="00AE4C3B"/>
    <w:rsid w:val="00AE4E4F"/>
    <w:rsid w:val="00AE4E93"/>
    <w:rsid w:val="00AE4E9F"/>
    <w:rsid w:val="00AE50A6"/>
    <w:rsid w:val="00AE528F"/>
    <w:rsid w:val="00AE52BD"/>
    <w:rsid w:val="00AE53EB"/>
    <w:rsid w:val="00AE550E"/>
    <w:rsid w:val="00AE56FA"/>
    <w:rsid w:val="00AE5A27"/>
    <w:rsid w:val="00AE5A65"/>
    <w:rsid w:val="00AE5F06"/>
    <w:rsid w:val="00AE5F3E"/>
    <w:rsid w:val="00AE6220"/>
    <w:rsid w:val="00AE627E"/>
    <w:rsid w:val="00AE656B"/>
    <w:rsid w:val="00AE66BF"/>
    <w:rsid w:val="00AE66C2"/>
    <w:rsid w:val="00AE6861"/>
    <w:rsid w:val="00AE6910"/>
    <w:rsid w:val="00AE693B"/>
    <w:rsid w:val="00AE6A16"/>
    <w:rsid w:val="00AE6AE7"/>
    <w:rsid w:val="00AE6C3C"/>
    <w:rsid w:val="00AE6C7A"/>
    <w:rsid w:val="00AE6CAE"/>
    <w:rsid w:val="00AE6DE0"/>
    <w:rsid w:val="00AE6F08"/>
    <w:rsid w:val="00AE6F13"/>
    <w:rsid w:val="00AE725F"/>
    <w:rsid w:val="00AE759B"/>
    <w:rsid w:val="00AE7B16"/>
    <w:rsid w:val="00AE7B86"/>
    <w:rsid w:val="00AE7E0E"/>
    <w:rsid w:val="00AF0601"/>
    <w:rsid w:val="00AF06F1"/>
    <w:rsid w:val="00AF073D"/>
    <w:rsid w:val="00AF0A2F"/>
    <w:rsid w:val="00AF0D09"/>
    <w:rsid w:val="00AF0D53"/>
    <w:rsid w:val="00AF0E15"/>
    <w:rsid w:val="00AF0E5C"/>
    <w:rsid w:val="00AF0E8A"/>
    <w:rsid w:val="00AF1181"/>
    <w:rsid w:val="00AF11FD"/>
    <w:rsid w:val="00AF12A3"/>
    <w:rsid w:val="00AF1720"/>
    <w:rsid w:val="00AF1722"/>
    <w:rsid w:val="00AF1A8F"/>
    <w:rsid w:val="00AF1A93"/>
    <w:rsid w:val="00AF1C26"/>
    <w:rsid w:val="00AF1C2F"/>
    <w:rsid w:val="00AF1DBD"/>
    <w:rsid w:val="00AF1E79"/>
    <w:rsid w:val="00AF1F09"/>
    <w:rsid w:val="00AF1F68"/>
    <w:rsid w:val="00AF1FBF"/>
    <w:rsid w:val="00AF2001"/>
    <w:rsid w:val="00AF2255"/>
    <w:rsid w:val="00AF23C8"/>
    <w:rsid w:val="00AF23DD"/>
    <w:rsid w:val="00AF2616"/>
    <w:rsid w:val="00AF283F"/>
    <w:rsid w:val="00AF294B"/>
    <w:rsid w:val="00AF29D7"/>
    <w:rsid w:val="00AF2BAC"/>
    <w:rsid w:val="00AF2CC2"/>
    <w:rsid w:val="00AF2D73"/>
    <w:rsid w:val="00AF2DA8"/>
    <w:rsid w:val="00AF2F33"/>
    <w:rsid w:val="00AF3047"/>
    <w:rsid w:val="00AF30F0"/>
    <w:rsid w:val="00AF31BE"/>
    <w:rsid w:val="00AF3291"/>
    <w:rsid w:val="00AF3505"/>
    <w:rsid w:val="00AF3702"/>
    <w:rsid w:val="00AF3708"/>
    <w:rsid w:val="00AF3800"/>
    <w:rsid w:val="00AF3801"/>
    <w:rsid w:val="00AF384A"/>
    <w:rsid w:val="00AF399E"/>
    <w:rsid w:val="00AF3CDF"/>
    <w:rsid w:val="00AF3E99"/>
    <w:rsid w:val="00AF3F77"/>
    <w:rsid w:val="00AF43D6"/>
    <w:rsid w:val="00AF445D"/>
    <w:rsid w:val="00AF44B6"/>
    <w:rsid w:val="00AF4574"/>
    <w:rsid w:val="00AF4778"/>
    <w:rsid w:val="00AF482A"/>
    <w:rsid w:val="00AF48C3"/>
    <w:rsid w:val="00AF4AD8"/>
    <w:rsid w:val="00AF4C4F"/>
    <w:rsid w:val="00AF4E92"/>
    <w:rsid w:val="00AF4E98"/>
    <w:rsid w:val="00AF4E9E"/>
    <w:rsid w:val="00AF4FAD"/>
    <w:rsid w:val="00AF5181"/>
    <w:rsid w:val="00AF536F"/>
    <w:rsid w:val="00AF5391"/>
    <w:rsid w:val="00AF53A0"/>
    <w:rsid w:val="00AF5553"/>
    <w:rsid w:val="00AF565B"/>
    <w:rsid w:val="00AF56F7"/>
    <w:rsid w:val="00AF580B"/>
    <w:rsid w:val="00AF5835"/>
    <w:rsid w:val="00AF5895"/>
    <w:rsid w:val="00AF5907"/>
    <w:rsid w:val="00AF5923"/>
    <w:rsid w:val="00AF5AB9"/>
    <w:rsid w:val="00AF609B"/>
    <w:rsid w:val="00AF60C3"/>
    <w:rsid w:val="00AF6840"/>
    <w:rsid w:val="00AF68B8"/>
    <w:rsid w:val="00AF69F8"/>
    <w:rsid w:val="00AF6B4B"/>
    <w:rsid w:val="00AF6C9D"/>
    <w:rsid w:val="00AF6CEC"/>
    <w:rsid w:val="00AF6E09"/>
    <w:rsid w:val="00AF70D0"/>
    <w:rsid w:val="00AF72A0"/>
    <w:rsid w:val="00AF72D3"/>
    <w:rsid w:val="00AF730D"/>
    <w:rsid w:val="00AF74B7"/>
    <w:rsid w:val="00AF75DB"/>
    <w:rsid w:val="00AF77C1"/>
    <w:rsid w:val="00AF7FDE"/>
    <w:rsid w:val="00B005EB"/>
    <w:rsid w:val="00B0076D"/>
    <w:rsid w:val="00B007B9"/>
    <w:rsid w:val="00B00981"/>
    <w:rsid w:val="00B00A95"/>
    <w:rsid w:val="00B00C1D"/>
    <w:rsid w:val="00B00C3B"/>
    <w:rsid w:val="00B00D62"/>
    <w:rsid w:val="00B00EBB"/>
    <w:rsid w:val="00B01365"/>
    <w:rsid w:val="00B014AB"/>
    <w:rsid w:val="00B0164F"/>
    <w:rsid w:val="00B01716"/>
    <w:rsid w:val="00B01845"/>
    <w:rsid w:val="00B018B0"/>
    <w:rsid w:val="00B01916"/>
    <w:rsid w:val="00B01B03"/>
    <w:rsid w:val="00B01C5D"/>
    <w:rsid w:val="00B01D52"/>
    <w:rsid w:val="00B02163"/>
    <w:rsid w:val="00B02222"/>
    <w:rsid w:val="00B022DD"/>
    <w:rsid w:val="00B023B1"/>
    <w:rsid w:val="00B0257A"/>
    <w:rsid w:val="00B026BB"/>
    <w:rsid w:val="00B026D5"/>
    <w:rsid w:val="00B02802"/>
    <w:rsid w:val="00B028C6"/>
    <w:rsid w:val="00B02AAC"/>
    <w:rsid w:val="00B02C06"/>
    <w:rsid w:val="00B02DC1"/>
    <w:rsid w:val="00B02E05"/>
    <w:rsid w:val="00B035B1"/>
    <w:rsid w:val="00B0361E"/>
    <w:rsid w:val="00B0363D"/>
    <w:rsid w:val="00B0397F"/>
    <w:rsid w:val="00B03A23"/>
    <w:rsid w:val="00B03A3F"/>
    <w:rsid w:val="00B03BA0"/>
    <w:rsid w:val="00B03EC5"/>
    <w:rsid w:val="00B04165"/>
    <w:rsid w:val="00B04308"/>
    <w:rsid w:val="00B0446F"/>
    <w:rsid w:val="00B04567"/>
    <w:rsid w:val="00B04606"/>
    <w:rsid w:val="00B0475D"/>
    <w:rsid w:val="00B0483D"/>
    <w:rsid w:val="00B04A96"/>
    <w:rsid w:val="00B04B57"/>
    <w:rsid w:val="00B04BC1"/>
    <w:rsid w:val="00B05066"/>
    <w:rsid w:val="00B053FF"/>
    <w:rsid w:val="00B0544E"/>
    <w:rsid w:val="00B055D0"/>
    <w:rsid w:val="00B05812"/>
    <w:rsid w:val="00B05963"/>
    <w:rsid w:val="00B05AC2"/>
    <w:rsid w:val="00B0616D"/>
    <w:rsid w:val="00B0618C"/>
    <w:rsid w:val="00B06240"/>
    <w:rsid w:val="00B064B1"/>
    <w:rsid w:val="00B06561"/>
    <w:rsid w:val="00B065AB"/>
    <w:rsid w:val="00B06619"/>
    <w:rsid w:val="00B067D3"/>
    <w:rsid w:val="00B0683C"/>
    <w:rsid w:val="00B068E5"/>
    <w:rsid w:val="00B0691A"/>
    <w:rsid w:val="00B06957"/>
    <w:rsid w:val="00B06CC8"/>
    <w:rsid w:val="00B06D8B"/>
    <w:rsid w:val="00B0723B"/>
    <w:rsid w:val="00B0754B"/>
    <w:rsid w:val="00B075E8"/>
    <w:rsid w:val="00B077E6"/>
    <w:rsid w:val="00B07A6A"/>
    <w:rsid w:val="00B07EF5"/>
    <w:rsid w:val="00B102EA"/>
    <w:rsid w:val="00B10434"/>
    <w:rsid w:val="00B105BC"/>
    <w:rsid w:val="00B1067E"/>
    <w:rsid w:val="00B106DC"/>
    <w:rsid w:val="00B10716"/>
    <w:rsid w:val="00B108A7"/>
    <w:rsid w:val="00B1091D"/>
    <w:rsid w:val="00B10AD3"/>
    <w:rsid w:val="00B10B7F"/>
    <w:rsid w:val="00B10C22"/>
    <w:rsid w:val="00B10C4D"/>
    <w:rsid w:val="00B10CFA"/>
    <w:rsid w:val="00B10D80"/>
    <w:rsid w:val="00B10FD9"/>
    <w:rsid w:val="00B1141D"/>
    <w:rsid w:val="00B11485"/>
    <w:rsid w:val="00B11556"/>
    <w:rsid w:val="00B11787"/>
    <w:rsid w:val="00B11885"/>
    <w:rsid w:val="00B1188B"/>
    <w:rsid w:val="00B1199D"/>
    <w:rsid w:val="00B11A11"/>
    <w:rsid w:val="00B11A17"/>
    <w:rsid w:val="00B11A75"/>
    <w:rsid w:val="00B11AFB"/>
    <w:rsid w:val="00B11C2E"/>
    <w:rsid w:val="00B11D10"/>
    <w:rsid w:val="00B11E10"/>
    <w:rsid w:val="00B11E28"/>
    <w:rsid w:val="00B11E55"/>
    <w:rsid w:val="00B11EC1"/>
    <w:rsid w:val="00B11FB0"/>
    <w:rsid w:val="00B12207"/>
    <w:rsid w:val="00B1227F"/>
    <w:rsid w:val="00B12323"/>
    <w:rsid w:val="00B1239F"/>
    <w:rsid w:val="00B12418"/>
    <w:rsid w:val="00B124AC"/>
    <w:rsid w:val="00B124F0"/>
    <w:rsid w:val="00B125C0"/>
    <w:rsid w:val="00B12642"/>
    <w:rsid w:val="00B12848"/>
    <w:rsid w:val="00B12C72"/>
    <w:rsid w:val="00B12CC1"/>
    <w:rsid w:val="00B12ED1"/>
    <w:rsid w:val="00B12F4F"/>
    <w:rsid w:val="00B12FC6"/>
    <w:rsid w:val="00B13147"/>
    <w:rsid w:val="00B131CC"/>
    <w:rsid w:val="00B1325F"/>
    <w:rsid w:val="00B13286"/>
    <w:rsid w:val="00B1328B"/>
    <w:rsid w:val="00B1336E"/>
    <w:rsid w:val="00B13653"/>
    <w:rsid w:val="00B1391D"/>
    <w:rsid w:val="00B13A61"/>
    <w:rsid w:val="00B13B0F"/>
    <w:rsid w:val="00B13B79"/>
    <w:rsid w:val="00B13C74"/>
    <w:rsid w:val="00B13C75"/>
    <w:rsid w:val="00B13E70"/>
    <w:rsid w:val="00B13EEB"/>
    <w:rsid w:val="00B141CD"/>
    <w:rsid w:val="00B142A4"/>
    <w:rsid w:val="00B143C3"/>
    <w:rsid w:val="00B147CF"/>
    <w:rsid w:val="00B148E1"/>
    <w:rsid w:val="00B14961"/>
    <w:rsid w:val="00B14AFE"/>
    <w:rsid w:val="00B14D82"/>
    <w:rsid w:val="00B14EA8"/>
    <w:rsid w:val="00B14F92"/>
    <w:rsid w:val="00B15004"/>
    <w:rsid w:val="00B1513A"/>
    <w:rsid w:val="00B15189"/>
    <w:rsid w:val="00B151CE"/>
    <w:rsid w:val="00B15377"/>
    <w:rsid w:val="00B1547E"/>
    <w:rsid w:val="00B15573"/>
    <w:rsid w:val="00B15627"/>
    <w:rsid w:val="00B157EC"/>
    <w:rsid w:val="00B15987"/>
    <w:rsid w:val="00B15BD9"/>
    <w:rsid w:val="00B15EF6"/>
    <w:rsid w:val="00B15F4B"/>
    <w:rsid w:val="00B15FCB"/>
    <w:rsid w:val="00B160B3"/>
    <w:rsid w:val="00B16131"/>
    <w:rsid w:val="00B162C7"/>
    <w:rsid w:val="00B1644F"/>
    <w:rsid w:val="00B16467"/>
    <w:rsid w:val="00B165F1"/>
    <w:rsid w:val="00B1669C"/>
    <w:rsid w:val="00B167FE"/>
    <w:rsid w:val="00B16893"/>
    <w:rsid w:val="00B16925"/>
    <w:rsid w:val="00B16AFD"/>
    <w:rsid w:val="00B16C60"/>
    <w:rsid w:val="00B16E62"/>
    <w:rsid w:val="00B1739A"/>
    <w:rsid w:val="00B173EE"/>
    <w:rsid w:val="00B17988"/>
    <w:rsid w:val="00B17A3F"/>
    <w:rsid w:val="00B17B00"/>
    <w:rsid w:val="00B17C82"/>
    <w:rsid w:val="00B17D93"/>
    <w:rsid w:val="00B17E3F"/>
    <w:rsid w:val="00B17F2A"/>
    <w:rsid w:val="00B20073"/>
    <w:rsid w:val="00B200A4"/>
    <w:rsid w:val="00B200FC"/>
    <w:rsid w:val="00B2041E"/>
    <w:rsid w:val="00B209AF"/>
    <w:rsid w:val="00B20ACA"/>
    <w:rsid w:val="00B20BC8"/>
    <w:rsid w:val="00B210AF"/>
    <w:rsid w:val="00B21117"/>
    <w:rsid w:val="00B21176"/>
    <w:rsid w:val="00B21355"/>
    <w:rsid w:val="00B214F4"/>
    <w:rsid w:val="00B2161D"/>
    <w:rsid w:val="00B2186F"/>
    <w:rsid w:val="00B21A4D"/>
    <w:rsid w:val="00B21A5E"/>
    <w:rsid w:val="00B21B5A"/>
    <w:rsid w:val="00B21C68"/>
    <w:rsid w:val="00B21E9A"/>
    <w:rsid w:val="00B21F9B"/>
    <w:rsid w:val="00B21FDC"/>
    <w:rsid w:val="00B2218B"/>
    <w:rsid w:val="00B221CB"/>
    <w:rsid w:val="00B22294"/>
    <w:rsid w:val="00B222DC"/>
    <w:rsid w:val="00B223B3"/>
    <w:rsid w:val="00B2245A"/>
    <w:rsid w:val="00B22673"/>
    <w:rsid w:val="00B226C0"/>
    <w:rsid w:val="00B226F1"/>
    <w:rsid w:val="00B22AF7"/>
    <w:rsid w:val="00B22C02"/>
    <w:rsid w:val="00B22DD8"/>
    <w:rsid w:val="00B22E23"/>
    <w:rsid w:val="00B22E6D"/>
    <w:rsid w:val="00B22E78"/>
    <w:rsid w:val="00B22ED3"/>
    <w:rsid w:val="00B22F6D"/>
    <w:rsid w:val="00B23002"/>
    <w:rsid w:val="00B23038"/>
    <w:rsid w:val="00B230F7"/>
    <w:rsid w:val="00B23226"/>
    <w:rsid w:val="00B232B1"/>
    <w:rsid w:val="00B2340A"/>
    <w:rsid w:val="00B23529"/>
    <w:rsid w:val="00B2352C"/>
    <w:rsid w:val="00B23573"/>
    <w:rsid w:val="00B235B2"/>
    <w:rsid w:val="00B237A6"/>
    <w:rsid w:val="00B23842"/>
    <w:rsid w:val="00B2391C"/>
    <w:rsid w:val="00B23AFA"/>
    <w:rsid w:val="00B23B6F"/>
    <w:rsid w:val="00B23B9C"/>
    <w:rsid w:val="00B23D08"/>
    <w:rsid w:val="00B23DE6"/>
    <w:rsid w:val="00B2403F"/>
    <w:rsid w:val="00B2404F"/>
    <w:rsid w:val="00B241B0"/>
    <w:rsid w:val="00B24229"/>
    <w:rsid w:val="00B24235"/>
    <w:rsid w:val="00B2423C"/>
    <w:rsid w:val="00B24390"/>
    <w:rsid w:val="00B2451E"/>
    <w:rsid w:val="00B24551"/>
    <w:rsid w:val="00B24555"/>
    <w:rsid w:val="00B24685"/>
    <w:rsid w:val="00B24749"/>
    <w:rsid w:val="00B247A2"/>
    <w:rsid w:val="00B24C02"/>
    <w:rsid w:val="00B24F1E"/>
    <w:rsid w:val="00B25019"/>
    <w:rsid w:val="00B25056"/>
    <w:rsid w:val="00B251A7"/>
    <w:rsid w:val="00B25231"/>
    <w:rsid w:val="00B2526B"/>
    <w:rsid w:val="00B252D6"/>
    <w:rsid w:val="00B253ED"/>
    <w:rsid w:val="00B25503"/>
    <w:rsid w:val="00B256F7"/>
    <w:rsid w:val="00B25853"/>
    <w:rsid w:val="00B258D6"/>
    <w:rsid w:val="00B25942"/>
    <w:rsid w:val="00B2599D"/>
    <w:rsid w:val="00B259C0"/>
    <w:rsid w:val="00B25D05"/>
    <w:rsid w:val="00B25D19"/>
    <w:rsid w:val="00B25D25"/>
    <w:rsid w:val="00B25EB7"/>
    <w:rsid w:val="00B25F38"/>
    <w:rsid w:val="00B25FF9"/>
    <w:rsid w:val="00B261A7"/>
    <w:rsid w:val="00B262C6"/>
    <w:rsid w:val="00B26363"/>
    <w:rsid w:val="00B263D0"/>
    <w:rsid w:val="00B263FB"/>
    <w:rsid w:val="00B26414"/>
    <w:rsid w:val="00B266BD"/>
    <w:rsid w:val="00B2695D"/>
    <w:rsid w:val="00B26D2C"/>
    <w:rsid w:val="00B271AF"/>
    <w:rsid w:val="00B2752A"/>
    <w:rsid w:val="00B27541"/>
    <w:rsid w:val="00B2762E"/>
    <w:rsid w:val="00B27716"/>
    <w:rsid w:val="00B27866"/>
    <w:rsid w:val="00B27AA2"/>
    <w:rsid w:val="00B27ADD"/>
    <w:rsid w:val="00B27B10"/>
    <w:rsid w:val="00B27CEF"/>
    <w:rsid w:val="00B27DAF"/>
    <w:rsid w:val="00B30249"/>
    <w:rsid w:val="00B30517"/>
    <w:rsid w:val="00B30575"/>
    <w:rsid w:val="00B3059C"/>
    <w:rsid w:val="00B3067F"/>
    <w:rsid w:val="00B307AA"/>
    <w:rsid w:val="00B308E1"/>
    <w:rsid w:val="00B3090B"/>
    <w:rsid w:val="00B30A05"/>
    <w:rsid w:val="00B30CCE"/>
    <w:rsid w:val="00B30DE5"/>
    <w:rsid w:val="00B30EE1"/>
    <w:rsid w:val="00B31112"/>
    <w:rsid w:val="00B311A6"/>
    <w:rsid w:val="00B312DD"/>
    <w:rsid w:val="00B31431"/>
    <w:rsid w:val="00B31494"/>
    <w:rsid w:val="00B3155A"/>
    <w:rsid w:val="00B315AD"/>
    <w:rsid w:val="00B31888"/>
    <w:rsid w:val="00B31A01"/>
    <w:rsid w:val="00B31B45"/>
    <w:rsid w:val="00B31E3D"/>
    <w:rsid w:val="00B31E69"/>
    <w:rsid w:val="00B3203D"/>
    <w:rsid w:val="00B32057"/>
    <w:rsid w:val="00B32077"/>
    <w:rsid w:val="00B321DB"/>
    <w:rsid w:val="00B32263"/>
    <w:rsid w:val="00B323FE"/>
    <w:rsid w:val="00B32574"/>
    <w:rsid w:val="00B326BE"/>
    <w:rsid w:val="00B3286C"/>
    <w:rsid w:val="00B32993"/>
    <w:rsid w:val="00B32A33"/>
    <w:rsid w:val="00B32A6A"/>
    <w:rsid w:val="00B32A7E"/>
    <w:rsid w:val="00B32CD2"/>
    <w:rsid w:val="00B32DA0"/>
    <w:rsid w:val="00B32EA3"/>
    <w:rsid w:val="00B3307D"/>
    <w:rsid w:val="00B3334B"/>
    <w:rsid w:val="00B335AD"/>
    <w:rsid w:val="00B335FF"/>
    <w:rsid w:val="00B3371F"/>
    <w:rsid w:val="00B337E1"/>
    <w:rsid w:val="00B338D2"/>
    <w:rsid w:val="00B33953"/>
    <w:rsid w:val="00B33D73"/>
    <w:rsid w:val="00B33E0B"/>
    <w:rsid w:val="00B33E5E"/>
    <w:rsid w:val="00B33FAC"/>
    <w:rsid w:val="00B34032"/>
    <w:rsid w:val="00B34112"/>
    <w:rsid w:val="00B3419A"/>
    <w:rsid w:val="00B34397"/>
    <w:rsid w:val="00B343D5"/>
    <w:rsid w:val="00B34403"/>
    <w:rsid w:val="00B34506"/>
    <w:rsid w:val="00B346CD"/>
    <w:rsid w:val="00B3482C"/>
    <w:rsid w:val="00B348EC"/>
    <w:rsid w:val="00B3490F"/>
    <w:rsid w:val="00B34A11"/>
    <w:rsid w:val="00B34B20"/>
    <w:rsid w:val="00B34BD9"/>
    <w:rsid w:val="00B34C78"/>
    <w:rsid w:val="00B34E03"/>
    <w:rsid w:val="00B34E64"/>
    <w:rsid w:val="00B34EAA"/>
    <w:rsid w:val="00B3504C"/>
    <w:rsid w:val="00B3562F"/>
    <w:rsid w:val="00B35752"/>
    <w:rsid w:val="00B359BA"/>
    <w:rsid w:val="00B35B43"/>
    <w:rsid w:val="00B35CC7"/>
    <w:rsid w:val="00B35EDD"/>
    <w:rsid w:val="00B3609A"/>
    <w:rsid w:val="00B360AA"/>
    <w:rsid w:val="00B36223"/>
    <w:rsid w:val="00B36298"/>
    <w:rsid w:val="00B36395"/>
    <w:rsid w:val="00B368B1"/>
    <w:rsid w:val="00B3694B"/>
    <w:rsid w:val="00B36950"/>
    <w:rsid w:val="00B36F32"/>
    <w:rsid w:val="00B36F78"/>
    <w:rsid w:val="00B37019"/>
    <w:rsid w:val="00B370A8"/>
    <w:rsid w:val="00B37215"/>
    <w:rsid w:val="00B372F2"/>
    <w:rsid w:val="00B372F7"/>
    <w:rsid w:val="00B373B7"/>
    <w:rsid w:val="00B37460"/>
    <w:rsid w:val="00B37558"/>
    <w:rsid w:val="00B376B6"/>
    <w:rsid w:val="00B377AC"/>
    <w:rsid w:val="00B3784C"/>
    <w:rsid w:val="00B3798E"/>
    <w:rsid w:val="00B37B2B"/>
    <w:rsid w:val="00B37B74"/>
    <w:rsid w:val="00B37CA6"/>
    <w:rsid w:val="00B37F30"/>
    <w:rsid w:val="00B402EE"/>
    <w:rsid w:val="00B40351"/>
    <w:rsid w:val="00B40487"/>
    <w:rsid w:val="00B404A6"/>
    <w:rsid w:val="00B404B7"/>
    <w:rsid w:val="00B40611"/>
    <w:rsid w:val="00B40642"/>
    <w:rsid w:val="00B40719"/>
    <w:rsid w:val="00B4085B"/>
    <w:rsid w:val="00B40972"/>
    <w:rsid w:val="00B40C54"/>
    <w:rsid w:val="00B40CC9"/>
    <w:rsid w:val="00B40CFD"/>
    <w:rsid w:val="00B40EBF"/>
    <w:rsid w:val="00B41092"/>
    <w:rsid w:val="00B41099"/>
    <w:rsid w:val="00B410BA"/>
    <w:rsid w:val="00B41147"/>
    <w:rsid w:val="00B4116C"/>
    <w:rsid w:val="00B4137A"/>
    <w:rsid w:val="00B413E1"/>
    <w:rsid w:val="00B41415"/>
    <w:rsid w:val="00B4184E"/>
    <w:rsid w:val="00B41921"/>
    <w:rsid w:val="00B41AA3"/>
    <w:rsid w:val="00B41C50"/>
    <w:rsid w:val="00B41C89"/>
    <w:rsid w:val="00B41DED"/>
    <w:rsid w:val="00B41E16"/>
    <w:rsid w:val="00B41F49"/>
    <w:rsid w:val="00B4202A"/>
    <w:rsid w:val="00B421D4"/>
    <w:rsid w:val="00B42267"/>
    <w:rsid w:val="00B42273"/>
    <w:rsid w:val="00B424E4"/>
    <w:rsid w:val="00B42578"/>
    <w:rsid w:val="00B425FC"/>
    <w:rsid w:val="00B426F2"/>
    <w:rsid w:val="00B42957"/>
    <w:rsid w:val="00B429D2"/>
    <w:rsid w:val="00B42A2B"/>
    <w:rsid w:val="00B42A7A"/>
    <w:rsid w:val="00B42BA9"/>
    <w:rsid w:val="00B43072"/>
    <w:rsid w:val="00B43299"/>
    <w:rsid w:val="00B432C9"/>
    <w:rsid w:val="00B43398"/>
    <w:rsid w:val="00B4352A"/>
    <w:rsid w:val="00B436A9"/>
    <w:rsid w:val="00B437D2"/>
    <w:rsid w:val="00B437E4"/>
    <w:rsid w:val="00B43A7E"/>
    <w:rsid w:val="00B43B51"/>
    <w:rsid w:val="00B43D06"/>
    <w:rsid w:val="00B43D1D"/>
    <w:rsid w:val="00B440FC"/>
    <w:rsid w:val="00B44299"/>
    <w:rsid w:val="00B44488"/>
    <w:rsid w:val="00B444A3"/>
    <w:rsid w:val="00B44508"/>
    <w:rsid w:val="00B4454E"/>
    <w:rsid w:val="00B445AA"/>
    <w:rsid w:val="00B445BA"/>
    <w:rsid w:val="00B445E8"/>
    <w:rsid w:val="00B44635"/>
    <w:rsid w:val="00B44639"/>
    <w:rsid w:val="00B446EE"/>
    <w:rsid w:val="00B44737"/>
    <w:rsid w:val="00B44791"/>
    <w:rsid w:val="00B44950"/>
    <w:rsid w:val="00B45720"/>
    <w:rsid w:val="00B4580C"/>
    <w:rsid w:val="00B45839"/>
    <w:rsid w:val="00B45998"/>
    <w:rsid w:val="00B45B1C"/>
    <w:rsid w:val="00B45EB6"/>
    <w:rsid w:val="00B45F67"/>
    <w:rsid w:val="00B461D4"/>
    <w:rsid w:val="00B46290"/>
    <w:rsid w:val="00B46294"/>
    <w:rsid w:val="00B462B1"/>
    <w:rsid w:val="00B46575"/>
    <w:rsid w:val="00B465B2"/>
    <w:rsid w:val="00B465E7"/>
    <w:rsid w:val="00B4681C"/>
    <w:rsid w:val="00B46849"/>
    <w:rsid w:val="00B468BF"/>
    <w:rsid w:val="00B469D6"/>
    <w:rsid w:val="00B46B8D"/>
    <w:rsid w:val="00B46D53"/>
    <w:rsid w:val="00B46F2E"/>
    <w:rsid w:val="00B47191"/>
    <w:rsid w:val="00B4727A"/>
    <w:rsid w:val="00B47342"/>
    <w:rsid w:val="00B47412"/>
    <w:rsid w:val="00B4746F"/>
    <w:rsid w:val="00B474B6"/>
    <w:rsid w:val="00B474FE"/>
    <w:rsid w:val="00B4754B"/>
    <w:rsid w:val="00B479BF"/>
    <w:rsid w:val="00B479EC"/>
    <w:rsid w:val="00B47B1E"/>
    <w:rsid w:val="00B47C68"/>
    <w:rsid w:val="00B47E54"/>
    <w:rsid w:val="00B47E5B"/>
    <w:rsid w:val="00B50153"/>
    <w:rsid w:val="00B50284"/>
    <w:rsid w:val="00B5031E"/>
    <w:rsid w:val="00B5035B"/>
    <w:rsid w:val="00B5050C"/>
    <w:rsid w:val="00B505E2"/>
    <w:rsid w:val="00B50808"/>
    <w:rsid w:val="00B5091C"/>
    <w:rsid w:val="00B50998"/>
    <w:rsid w:val="00B50B7E"/>
    <w:rsid w:val="00B50B9F"/>
    <w:rsid w:val="00B50CBA"/>
    <w:rsid w:val="00B51284"/>
    <w:rsid w:val="00B5148F"/>
    <w:rsid w:val="00B514C5"/>
    <w:rsid w:val="00B51668"/>
    <w:rsid w:val="00B518F1"/>
    <w:rsid w:val="00B518F3"/>
    <w:rsid w:val="00B51926"/>
    <w:rsid w:val="00B519C9"/>
    <w:rsid w:val="00B51B4A"/>
    <w:rsid w:val="00B51C53"/>
    <w:rsid w:val="00B51C65"/>
    <w:rsid w:val="00B51E24"/>
    <w:rsid w:val="00B51E3A"/>
    <w:rsid w:val="00B51F52"/>
    <w:rsid w:val="00B51FB7"/>
    <w:rsid w:val="00B5204F"/>
    <w:rsid w:val="00B521C6"/>
    <w:rsid w:val="00B5235A"/>
    <w:rsid w:val="00B523A3"/>
    <w:rsid w:val="00B52407"/>
    <w:rsid w:val="00B5244D"/>
    <w:rsid w:val="00B527CF"/>
    <w:rsid w:val="00B5297F"/>
    <w:rsid w:val="00B52CC4"/>
    <w:rsid w:val="00B52D02"/>
    <w:rsid w:val="00B52DFA"/>
    <w:rsid w:val="00B52F11"/>
    <w:rsid w:val="00B53205"/>
    <w:rsid w:val="00B532FC"/>
    <w:rsid w:val="00B5330E"/>
    <w:rsid w:val="00B53504"/>
    <w:rsid w:val="00B536CC"/>
    <w:rsid w:val="00B538A4"/>
    <w:rsid w:val="00B53BA2"/>
    <w:rsid w:val="00B53D0A"/>
    <w:rsid w:val="00B53DC2"/>
    <w:rsid w:val="00B53E8A"/>
    <w:rsid w:val="00B5407F"/>
    <w:rsid w:val="00B54507"/>
    <w:rsid w:val="00B5458B"/>
    <w:rsid w:val="00B5459E"/>
    <w:rsid w:val="00B54742"/>
    <w:rsid w:val="00B54788"/>
    <w:rsid w:val="00B548C7"/>
    <w:rsid w:val="00B54906"/>
    <w:rsid w:val="00B54A21"/>
    <w:rsid w:val="00B54AFC"/>
    <w:rsid w:val="00B54B4A"/>
    <w:rsid w:val="00B54D9B"/>
    <w:rsid w:val="00B54EF3"/>
    <w:rsid w:val="00B54F73"/>
    <w:rsid w:val="00B551C4"/>
    <w:rsid w:val="00B5526E"/>
    <w:rsid w:val="00B552B0"/>
    <w:rsid w:val="00B552CD"/>
    <w:rsid w:val="00B5536A"/>
    <w:rsid w:val="00B55417"/>
    <w:rsid w:val="00B55459"/>
    <w:rsid w:val="00B555AE"/>
    <w:rsid w:val="00B5567D"/>
    <w:rsid w:val="00B5574A"/>
    <w:rsid w:val="00B5590E"/>
    <w:rsid w:val="00B55967"/>
    <w:rsid w:val="00B559FA"/>
    <w:rsid w:val="00B559FB"/>
    <w:rsid w:val="00B56261"/>
    <w:rsid w:val="00B56288"/>
    <w:rsid w:val="00B56595"/>
    <w:rsid w:val="00B56616"/>
    <w:rsid w:val="00B56740"/>
    <w:rsid w:val="00B56C3D"/>
    <w:rsid w:val="00B5702C"/>
    <w:rsid w:val="00B571C0"/>
    <w:rsid w:val="00B57638"/>
    <w:rsid w:val="00B57729"/>
    <w:rsid w:val="00B57870"/>
    <w:rsid w:val="00B578D8"/>
    <w:rsid w:val="00B57CC9"/>
    <w:rsid w:val="00B57F4C"/>
    <w:rsid w:val="00B6005B"/>
    <w:rsid w:val="00B6024B"/>
    <w:rsid w:val="00B6038F"/>
    <w:rsid w:val="00B60526"/>
    <w:rsid w:val="00B60740"/>
    <w:rsid w:val="00B60798"/>
    <w:rsid w:val="00B60807"/>
    <w:rsid w:val="00B60904"/>
    <w:rsid w:val="00B60A4A"/>
    <w:rsid w:val="00B60A93"/>
    <w:rsid w:val="00B60B43"/>
    <w:rsid w:val="00B60B85"/>
    <w:rsid w:val="00B60BAD"/>
    <w:rsid w:val="00B60C7A"/>
    <w:rsid w:val="00B60CCB"/>
    <w:rsid w:val="00B60EC7"/>
    <w:rsid w:val="00B612F1"/>
    <w:rsid w:val="00B61559"/>
    <w:rsid w:val="00B61624"/>
    <w:rsid w:val="00B61661"/>
    <w:rsid w:val="00B616E8"/>
    <w:rsid w:val="00B61951"/>
    <w:rsid w:val="00B6196E"/>
    <w:rsid w:val="00B61A16"/>
    <w:rsid w:val="00B61DCC"/>
    <w:rsid w:val="00B6211E"/>
    <w:rsid w:val="00B625DE"/>
    <w:rsid w:val="00B62847"/>
    <w:rsid w:val="00B62CA7"/>
    <w:rsid w:val="00B62D2C"/>
    <w:rsid w:val="00B62FB4"/>
    <w:rsid w:val="00B6373D"/>
    <w:rsid w:val="00B6378C"/>
    <w:rsid w:val="00B63D7C"/>
    <w:rsid w:val="00B64105"/>
    <w:rsid w:val="00B6439C"/>
    <w:rsid w:val="00B64520"/>
    <w:rsid w:val="00B645B7"/>
    <w:rsid w:val="00B645C1"/>
    <w:rsid w:val="00B645E1"/>
    <w:rsid w:val="00B64644"/>
    <w:rsid w:val="00B64945"/>
    <w:rsid w:val="00B649FB"/>
    <w:rsid w:val="00B64C4B"/>
    <w:rsid w:val="00B64C90"/>
    <w:rsid w:val="00B64E19"/>
    <w:rsid w:val="00B64F5A"/>
    <w:rsid w:val="00B64FAC"/>
    <w:rsid w:val="00B651D4"/>
    <w:rsid w:val="00B6527A"/>
    <w:rsid w:val="00B65319"/>
    <w:rsid w:val="00B6551E"/>
    <w:rsid w:val="00B65610"/>
    <w:rsid w:val="00B6561C"/>
    <w:rsid w:val="00B65662"/>
    <w:rsid w:val="00B65D71"/>
    <w:rsid w:val="00B66289"/>
    <w:rsid w:val="00B66333"/>
    <w:rsid w:val="00B66434"/>
    <w:rsid w:val="00B66464"/>
    <w:rsid w:val="00B6651C"/>
    <w:rsid w:val="00B667E7"/>
    <w:rsid w:val="00B66B41"/>
    <w:rsid w:val="00B66B67"/>
    <w:rsid w:val="00B66BED"/>
    <w:rsid w:val="00B66C4B"/>
    <w:rsid w:val="00B66C9D"/>
    <w:rsid w:val="00B66D86"/>
    <w:rsid w:val="00B66E51"/>
    <w:rsid w:val="00B672F7"/>
    <w:rsid w:val="00B6732D"/>
    <w:rsid w:val="00B673D9"/>
    <w:rsid w:val="00B677D2"/>
    <w:rsid w:val="00B67A14"/>
    <w:rsid w:val="00B67C1C"/>
    <w:rsid w:val="00B67DE8"/>
    <w:rsid w:val="00B67F52"/>
    <w:rsid w:val="00B7007F"/>
    <w:rsid w:val="00B701E7"/>
    <w:rsid w:val="00B7021D"/>
    <w:rsid w:val="00B70375"/>
    <w:rsid w:val="00B7057B"/>
    <w:rsid w:val="00B705C9"/>
    <w:rsid w:val="00B705D2"/>
    <w:rsid w:val="00B70679"/>
    <w:rsid w:val="00B706D1"/>
    <w:rsid w:val="00B70828"/>
    <w:rsid w:val="00B70908"/>
    <w:rsid w:val="00B70936"/>
    <w:rsid w:val="00B70A46"/>
    <w:rsid w:val="00B70A76"/>
    <w:rsid w:val="00B70B97"/>
    <w:rsid w:val="00B70E85"/>
    <w:rsid w:val="00B70F3F"/>
    <w:rsid w:val="00B70FEF"/>
    <w:rsid w:val="00B7104A"/>
    <w:rsid w:val="00B711F0"/>
    <w:rsid w:val="00B712CC"/>
    <w:rsid w:val="00B7138E"/>
    <w:rsid w:val="00B713F2"/>
    <w:rsid w:val="00B718D5"/>
    <w:rsid w:val="00B71D00"/>
    <w:rsid w:val="00B71E39"/>
    <w:rsid w:val="00B71F17"/>
    <w:rsid w:val="00B72046"/>
    <w:rsid w:val="00B7231C"/>
    <w:rsid w:val="00B72357"/>
    <w:rsid w:val="00B72440"/>
    <w:rsid w:val="00B72626"/>
    <w:rsid w:val="00B7265F"/>
    <w:rsid w:val="00B72725"/>
    <w:rsid w:val="00B72744"/>
    <w:rsid w:val="00B7276D"/>
    <w:rsid w:val="00B728F2"/>
    <w:rsid w:val="00B72ACC"/>
    <w:rsid w:val="00B72F7A"/>
    <w:rsid w:val="00B7300E"/>
    <w:rsid w:val="00B73826"/>
    <w:rsid w:val="00B73938"/>
    <w:rsid w:val="00B73A32"/>
    <w:rsid w:val="00B73D0E"/>
    <w:rsid w:val="00B73D5A"/>
    <w:rsid w:val="00B73E96"/>
    <w:rsid w:val="00B73FD4"/>
    <w:rsid w:val="00B74157"/>
    <w:rsid w:val="00B74387"/>
    <w:rsid w:val="00B7445C"/>
    <w:rsid w:val="00B7453F"/>
    <w:rsid w:val="00B747C3"/>
    <w:rsid w:val="00B7481E"/>
    <w:rsid w:val="00B74865"/>
    <w:rsid w:val="00B748D2"/>
    <w:rsid w:val="00B74BA2"/>
    <w:rsid w:val="00B74DA9"/>
    <w:rsid w:val="00B74DF0"/>
    <w:rsid w:val="00B752FF"/>
    <w:rsid w:val="00B753CE"/>
    <w:rsid w:val="00B753F1"/>
    <w:rsid w:val="00B7552D"/>
    <w:rsid w:val="00B758C4"/>
    <w:rsid w:val="00B75AC7"/>
    <w:rsid w:val="00B75D14"/>
    <w:rsid w:val="00B75F02"/>
    <w:rsid w:val="00B760F3"/>
    <w:rsid w:val="00B7619C"/>
    <w:rsid w:val="00B7620F"/>
    <w:rsid w:val="00B762A5"/>
    <w:rsid w:val="00B76470"/>
    <w:rsid w:val="00B76595"/>
    <w:rsid w:val="00B769EF"/>
    <w:rsid w:val="00B76B7B"/>
    <w:rsid w:val="00B76B9C"/>
    <w:rsid w:val="00B76D43"/>
    <w:rsid w:val="00B76DAD"/>
    <w:rsid w:val="00B76EA2"/>
    <w:rsid w:val="00B76F21"/>
    <w:rsid w:val="00B76FB0"/>
    <w:rsid w:val="00B770AB"/>
    <w:rsid w:val="00B77147"/>
    <w:rsid w:val="00B7729E"/>
    <w:rsid w:val="00B77412"/>
    <w:rsid w:val="00B775CA"/>
    <w:rsid w:val="00B776F4"/>
    <w:rsid w:val="00B77940"/>
    <w:rsid w:val="00B77A1C"/>
    <w:rsid w:val="00B77D38"/>
    <w:rsid w:val="00B77D66"/>
    <w:rsid w:val="00B77D86"/>
    <w:rsid w:val="00B77E7F"/>
    <w:rsid w:val="00B80018"/>
    <w:rsid w:val="00B8021B"/>
    <w:rsid w:val="00B8059A"/>
    <w:rsid w:val="00B8088B"/>
    <w:rsid w:val="00B8094C"/>
    <w:rsid w:val="00B80A2E"/>
    <w:rsid w:val="00B80D30"/>
    <w:rsid w:val="00B81001"/>
    <w:rsid w:val="00B813F2"/>
    <w:rsid w:val="00B816BF"/>
    <w:rsid w:val="00B81B36"/>
    <w:rsid w:val="00B81CB8"/>
    <w:rsid w:val="00B81D0B"/>
    <w:rsid w:val="00B81E75"/>
    <w:rsid w:val="00B81EDD"/>
    <w:rsid w:val="00B820CD"/>
    <w:rsid w:val="00B82141"/>
    <w:rsid w:val="00B821A8"/>
    <w:rsid w:val="00B82326"/>
    <w:rsid w:val="00B82345"/>
    <w:rsid w:val="00B826CE"/>
    <w:rsid w:val="00B826F5"/>
    <w:rsid w:val="00B827BC"/>
    <w:rsid w:val="00B82869"/>
    <w:rsid w:val="00B828C3"/>
    <w:rsid w:val="00B828E6"/>
    <w:rsid w:val="00B82A5E"/>
    <w:rsid w:val="00B82AFF"/>
    <w:rsid w:val="00B82C75"/>
    <w:rsid w:val="00B830D9"/>
    <w:rsid w:val="00B8348B"/>
    <w:rsid w:val="00B836B4"/>
    <w:rsid w:val="00B8377D"/>
    <w:rsid w:val="00B8378E"/>
    <w:rsid w:val="00B837E4"/>
    <w:rsid w:val="00B83AD2"/>
    <w:rsid w:val="00B83C17"/>
    <w:rsid w:val="00B83C3A"/>
    <w:rsid w:val="00B83C3F"/>
    <w:rsid w:val="00B83C94"/>
    <w:rsid w:val="00B83E6F"/>
    <w:rsid w:val="00B83FFE"/>
    <w:rsid w:val="00B84127"/>
    <w:rsid w:val="00B841D8"/>
    <w:rsid w:val="00B845E3"/>
    <w:rsid w:val="00B84663"/>
    <w:rsid w:val="00B8485C"/>
    <w:rsid w:val="00B84879"/>
    <w:rsid w:val="00B848A4"/>
    <w:rsid w:val="00B848E2"/>
    <w:rsid w:val="00B848E6"/>
    <w:rsid w:val="00B849F9"/>
    <w:rsid w:val="00B84A36"/>
    <w:rsid w:val="00B84A7F"/>
    <w:rsid w:val="00B84ACC"/>
    <w:rsid w:val="00B84B54"/>
    <w:rsid w:val="00B84CF2"/>
    <w:rsid w:val="00B84D07"/>
    <w:rsid w:val="00B84DFD"/>
    <w:rsid w:val="00B84E3E"/>
    <w:rsid w:val="00B84E4C"/>
    <w:rsid w:val="00B84EC0"/>
    <w:rsid w:val="00B84FD0"/>
    <w:rsid w:val="00B85140"/>
    <w:rsid w:val="00B85272"/>
    <w:rsid w:val="00B8542B"/>
    <w:rsid w:val="00B85484"/>
    <w:rsid w:val="00B85496"/>
    <w:rsid w:val="00B857CA"/>
    <w:rsid w:val="00B85917"/>
    <w:rsid w:val="00B85A3E"/>
    <w:rsid w:val="00B85DAE"/>
    <w:rsid w:val="00B85E0A"/>
    <w:rsid w:val="00B8605D"/>
    <w:rsid w:val="00B86136"/>
    <w:rsid w:val="00B861D9"/>
    <w:rsid w:val="00B86323"/>
    <w:rsid w:val="00B863ED"/>
    <w:rsid w:val="00B86514"/>
    <w:rsid w:val="00B867F3"/>
    <w:rsid w:val="00B86868"/>
    <w:rsid w:val="00B869C2"/>
    <w:rsid w:val="00B86A6F"/>
    <w:rsid w:val="00B86CC7"/>
    <w:rsid w:val="00B86D55"/>
    <w:rsid w:val="00B87074"/>
    <w:rsid w:val="00B871F3"/>
    <w:rsid w:val="00B873CC"/>
    <w:rsid w:val="00B8766B"/>
    <w:rsid w:val="00B87845"/>
    <w:rsid w:val="00B87D2B"/>
    <w:rsid w:val="00B87D8F"/>
    <w:rsid w:val="00B87E82"/>
    <w:rsid w:val="00B90273"/>
    <w:rsid w:val="00B903EE"/>
    <w:rsid w:val="00B90468"/>
    <w:rsid w:val="00B906ED"/>
    <w:rsid w:val="00B907B3"/>
    <w:rsid w:val="00B908AE"/>
    <w:rsid w:val="00B909FE"/>
    <w:rsid w:val="00B90C9E"/>
    <w:rsid w:val="00B91327"/>
    <w:rsid w:val="00B9146B"/>
    <w:rsid w:val="00B91506"/>
    <w:rsid w:val="00B917B1"/>
    <w:rsid w:val="00B91A05"/>
    <w:rsid w:val="00B91D17"/>
    <w:rsid w:val="00B92128"/>
    <w:rsid w:val="00B921D5"/>
    <w:rsid w:val="00B9233B"/>
    <w:rsid w:val="00B9252F"/>
    <w:rsid w:val="00B925D6"/>
    <w:rsid w:val="00B92836"/>
    <w:rsid w:val="00B92866"/>
    <w:rsid w:val="00B928E6"/>
    <w:rsid w:val="00B92968"/>
    <w:rsid w:val="00B92B32"/>
    <w:rsid w:val="00B92D4B"/>
    <w:rsid w:val="00B92FE8"/>
    <w:rsid w:val="00B930E5"/>
    <w:rsid w:val="00B93154"/>
    <w:rsid w:val="00B93268"/>
    <w:rsid w:val="00B9327A"/>
    <w:rsid w:val="00B93423"/>
    <w:rsid w:val="00B934EB"/>
    <w:rsid w:val="00B93B6B"/>
    <w:rsid w:val="00B94057"/>
    <w:rsid w:val="00B94171"/>
    <w:rsid w:val="00B94246"/>
    <w:rsid w:val="00B94285"/>
    <w:rsid w:val="00B9434F"/>
    <w:rsid w:val="00B94674"/>
    <w:rsid w:val="00B94704"/>
    <w:rsid w:val="00B94715"/>
    <w:rsid w:val="00B949B5"/>
    <w:rsid w:val="00B94A9D"/>
    <w:rsid w:val="00B94C9F"/>
    <w:rsid w:val="00B94CE6"/>
    <w:rsid w:val="00B94CFB"/>
    <w:rsid w:val="00B94D1A"/>
    <w:rsid w:val="00B94E61"/>
    <w:rsid w:val="00B94E8C"/>
    <w:rsid w:val="00B94EF1"/>
    <w:rsid w:val="00B9513C"/>
    <w:rsid w:val="00B951CB"/>
    <w:rsid w:val="00B95339"/>
    <w:rsid w:val="00B953C0"/>
    <w:rsid w:val="00B95583"/>
    <w:rsid w:val="00B955FC"/>
    <w:rsid w:val="00B9563D"/>
    <w:rsid w:val="00B95D16"/>
    <w:rsid w:val="00B95F65"/>
    <w:rsid w:val="00B95FC3"/>
    <w:rsid w:val="00B96120"/>
    <w:rsid w:val="00B962BE"/>
    <w:rsid w:val="00B9631B"/>
    <w:rsid w:val="00B96324"/>
    <w:rsid w:val="00B96327"/>
    <w:rsid w:val="00B96438"/>
    <w:rsid w:val="00B966F5"/>
    <w:rsid w:val="00B96777"/>
    <w:rsid w:val="00B96886"/>
    <w:rsid w:val="00B96B72"/>
    <w:rsid w:val="00B96C2B"/>
    <w:rsid w:val="00B96C43"/>
    <w:rsid w:val="00B96CB5"/>
    <w:rsid w:val="00B96D31"/>
    <w:rsid w:val="00B96D65"/>
    <w:rsid w:val="00B96DB0"/>
    <w:rsid w:val="00B96DC9"/>
    <w:rsid w:val="00B96F0F"/>
    <w:rsid w:val="00B96F86"/>
    <w:rsid w:val="00B9713D"/>
    <w:rsid w:val="00B97162"/>
    <w:rsid w:val="00B9731B"/>
    <w:rsid w:val="00B976BF"/>
    <w:rsid w:val="00B976C4"/>
    <w:rsid w:val="00B97853"/>
    <w:rsid w:val="00B97862"/>
    <w:rsid w:val="00B9788F"/>
    <w:rsid w:val="00B97B18"/>
    <w:rsid w:val="00B97B26"/>
    <w:rsid w:val="00B97F3F"/>
    <w:rsid w:val="00B97FE3"/>
    <w:rsid w:val="00BA00F2"/>
    <w:rsid w:val="00BA022B"/>
    <w:rsid w:val="00BA02CE"/>
    <w:rsid w:val="00BA046E"/>
    <w:rsid w:val="00BA049E"/>
    <w:rsid w:val="00BA0507"/>
    <w:rsid w:val="00BA0527"/>
    <w:rsid w:val="00BA07C8"/>
    <w:rsid w:val="00BA08BA"/>
    <w:rsid w:val="00BA08EC"/>
    <w:rsid w:val="00BA0A98"/>
    <w:rsid w:val="00BA0ACB"/>
    <w:rsid w:val="00BA0B3D"/>
    <w:rsid w:val="00BA0F90"/>
    <w:rsid w:val="00BA0FB3"/>
    <w:rsid w:val="00BA0FE7"/>
    <w:rsid w:val="00BA1172"/>
    <w:rsid w:val="00BA1194"/>
    <w:rsid w:val="00BA15FD"/>
    <w:rsid w:val="00BA1924"/>
    <w:rsid w:val="00BA1994"/>
    <w:rsid w:val="00BA19B2"/>
    <w:rsid w:val="00BA1C9D"/>
    <w:rsid w:val="00BA1E64"/>
    <w:rsid w:val="00BA1F50"/>
    <w:rsid w:val="00BA23A3"/>
    <w:rsid w:val="00BA254E"/>
    <w:rsid w:val="00BA2563"/>
    <w:rsid w:val="00BA2663"/>
    <w:rsid w:val="00BA2AEA"/>
    <w:rsid w:val="00BA2F9D"/>
    <w:rsid w:val="00BA30F0"/>
    <w:rsid w:val="00BA3145"/>
    <w:rsid w:val="00BA31B7"/>
    <w:rsid w:val="00BA32B1"/>
    <w:rsid w:val="00BA32C2"/>
    <w:rsid w:val="00BA32C9"/>
    <w:rsid w:val="00BA3388"/>
    <w:rsid w:val="00BA35AD"/>
    <w:rsid w:val="00BA39C6"/>
    <w:rsid w:val="00BA3B5C"/>
    <w:rsid w:val="00BA3B85"/>
    <w:rsid w:val="00BA3D8F"/>
    <w:rsid w:val="00BA3F5D"/>
    <w:rsid w:val="00BA41E4"/>
    <w:rsid w:val="00BA427D"/>
    <w:rsid w:val="00BA427E"/>
    <w:rsid w:val="00BA4332"/>
    <w:rsid w:val="00BA438E"/>
    <w:rsid w:val="00BA46E1"/>
    <w:rsid w:val="00BA477F"/>
    <w:rsid w:val="00BA4829"/>
    <w:rsid w:val="00BA48F2"/>
    <w:rsid w:val="00BA4973"/>
    <w:rsid w:val="00BA4A63"/>
    <w:rsid w:val="00BA4C7B"/>
    <w:rsid w:val="00BA4FF9"/>
    <w:rsid w:val="00BA50F5"/>
    <w:rsid w:val="00BA5123"/>
    <w:rsid w:val="00BA53BE"/>
    <w:rsid w:val="00BA5427"/>
    <w:rsid w:val="00BA550B"/>
    <w:rsid w:val="00BA57DE"/>
    <w:rsid w:val="00BA5930"/>
    <w:rsid w:val="00BA5D74"/>
    <w:rsid w:val="00BA5E85"/>
    <w:rsid w:val="00BA5ED5"/>
    <w:rsid w:val="00BA5F83"/>
    <w:rsid w:val="00BA60DC"/>
    <w:rsid w:val="00BA6136"/>
    <w:rsid w:val="00BA6171"/>
    <w:rsid w:val="00BA63CA"/>
    <w:rsid w:val="00BA63FD"/>
    <w:rsid w:val="00BA6528"/>
    <w:rsid w:val="00BA654C"/>
    <w:rsid w:val="00BA65B4"/>
    <w:rsid w:val="00BA65B5"/>
    <w:rsid w:val="00BA672E"/>
    <w:rsid w:val="00BA67B9"/>
    <w:rsid w:val="00BA6805"/>
    <w:rsid w:val="00BA6973"/>
    <w:rsid w:val="00BA698C"/>
    <w:rsid w:val="00BA69EF"/>
    <w:rsid w:val="00BA6BC5"/>
    <w:rsid w:val="00BA6D37"/>
    <w:rsid w:val="00BA6FB0"/>
    <w:rsid w:val="00BA709C"/>
    <w:rsid w:val="00BA70A3"/>
    <w:rsid w:val="00BA7101"/>
    <w:rsid w:val="00BA7140"/>
    <w:rsid w:val="00BA715C"/>
    <w:rsid w:val="00BA7465"/>
    <w:rsid w:val="00BA761F"/>
    <w:rsid w:val="00BA7A00"/>
    <w:rsid w:val="00BA7A90"/>
    <w:rsid w:val="00BA7B4E"/>
    <w:rsid w:val="00BA7BE2"/>
    <w:rsid w:val="00BA7D13"/>
    <w:rsid w:val="00BA7EDC"/>
    <w:rsid w:val="00BB00BB"/>
    <w:rsid w:val="00BB0215"/>
    <w:rsid w:val="00BB0505"/>
    <w:rsid w:val="00BB06B1"/>
    <w:rsid w:val="00BB06E4"/>
    <w:rsid w:val="00BB0837"/>
    <w:rsid w:val="00BB0B7C"/>
    <w:rsid w:val="00BB0D68"/>
    <w:rsid w:val="00BB0D6B"/>
    <w:rsid w:val="00BB0E8F"/>
    <w:rsid w:val="00BB103C"/>
    <w:rsid w:val="00BB10DD"/>
    <w:rsid w:val="00BB125B"/>
    <w:rsid w:val="00BB1373"/>
    <w:rsid w:val="00BB1576"/>
    <w:rsid w:val="00BB15DA"/>
    <w:rsid w:val="00BB19AB"/>
    <w:rsid w:val="00BB19FA"/>
    <w:rsid w:val="00BB1C50"/>
    <w:rsid w:val="00BB1D62"/>
    <w:rsid w:val="00BB1F29"/>
    <w:rsid w:val="00BB1F89"/>
    <w:rsid w:val="00BB2307"/>
    <w:rsid w:val="00BB23E1"/>
    <w:rsid w:val="00BB2524"/>
    <w:rsid w:val="00BB2526"/>
    <w:rsid w:val="00BB2689"/>
    <w:rsid w:val="00BB294E"/>
    <w:rsid w:val="00BB29A6"/>
    <w:rsid w:val="00BB2AF4"/>
    <w:rsid w:val="00BB2BFF"/>
    <w:rsid w:val="00BB2D2A"/>
    <w:rsid w:val="00BB2D99"/>
    <w:rsid w:val="00BB2E5E"/>
    <w:rsid w:val="00BB2F2C"/>
    <w:rsid w:val="00BB2FA1"/>
    <w:rsid w:val="00BB3092"/>
    <w:rsid w:val="00BB310F"/>
    <w:rsid w:val="00BB3196"/>
    <w:rsid w:val="00BB31BE"/>
    <w:rsid w:val="00BB3296"/>
    <w:rsid w:val="00BB33A4"/>
    <w:rsid w:val="00BB34AA"/>
    <w:rsid w:val="00BB35B5"/>
    <w:rsid w:val="00BB3622"/>
    <w:rsid w:val="00BB3675"/>
    <w:rsid w:val="00BB38C5"/>
    <w:rsid w:val="00BB39DA"/>
    <w:rsid w:val="00BB39DE"/>
    <w:rsid w:val="00BB3B95"/>
    <w:rsid w:val="00BB3BAE"/>
    <w:rsid w:val="00BB3BB1"/>
    <w:rsid w:val="00BB3BED"/>
    <w:rsid w:val="00BB3C53"/>
    <w:rsid w:val="00BB3CE5"/>
    <w:rsid w:val="00BB416C"/>
    <w:rsid w:val="00BB4269"/>
    <w:rsid w:val="00BB42A8"/>
    <w:rsid w:val="00BB42EB"/>
    <w:rsid w:val="00BB4495"/>
    <w:rsid w:val="00BB488E"/>
    <w:rsid w:val="00BB48EE"/>
    <w:rsid w:val="00BB4BC0"/>
    <w:rsid w:val="00BB4D45"/>
    <w:rsid w:val="00BB4D62"/>
    <w:rsid w:val="00BB4DB4"/>
    <w:rsid w:val="00BB511F"/>
    <w:rsid w:val="00BB56F7"/>
    <w:rsid w:val="00BB57BE"/>
    <w:rsid w:val="00BB5884"/>
    <w:rsid w:val="00BB5B57"/>
    <w:rsid w:val="00BB5C1C"/>
    <w:rsid w:val="00BB5DBB"/>
    <w:rsid w:val="00BB5E4A"/>
    <w:rsid w:val="00BB5E9F"/>
    <w:rsid w:val="00BB6083"/>
    <w:rsid w:val="00BB6139"/>
    <w:rsid w:val="00BB6208"/>
    <w:rsid w:val="00BB629D"/>
    <w:rsid w:val="00BB633C"/>
    <w:rsid w:val="00BB63C2"/>
    <w:rsid w:val="00BB647C"/>
    <w:rsid w:val="00BB657D"/>
    <w:rsid w:val="00BB6851"/>
    <w:rsid w:val="00BB6886"/>
    <w:rsid w:val="00BB692A"/>
    <w:rsid w:val="00BB6A28"/>
    <w:rsid w:val="00BB6AC5"/>
    <w:rsid w:val="00BB6B6C"/>
    <w:rsid w:val="00BB6C2E"/>
    <w:rsid w:val="00BB6D02"/>
    <w:rsid w:val="00BB6D75"/>
    <w:rsid w:val="00BB6F4E"/>
    <w:rsid w:val="00BB70FF"/>
    <w:rsid w:val="00BB7224"/>
    <w:rsid w:val="00BB7252"/>
    <w:rsid w:val="00BB7271"/>
    <w:rsid w:val="00BB7274"/>
    <w:rsid w:val="00BB7464"/>
    <w:rsid w:val="00BB77BA"/>
    <w:rsid w:val="00BB7894"/>
    <w:rsid w:val="00BB7AD7"/>
    <w:rsid w:val="00BB7B61"/>
    <w:rsid w:val="00BB7BB1"/>
    <w:rsid w:val="00BB7D27"/>
    <w:rsid w:val="00BB7D50"/>
    <w:rsid w:val="00BB7EDB"/>
    <w:rsid w:val="00BB7EE9"/>
    <w:rsid w:val="00BB7F76"/>
    <w:rsid w:val="00BC0083"/>
    <w:rsid w:val="00BC0088"/>
    <w:rsid w:val="00BC00EA"/>
    <w:rsid w:val="00BC0102"/>
    <w:rsid w:val="00BC010B"/>
    <w:rsid w:val="00BC048A"/>
    <w:rsid w:val="00BC0865"/>
    <w:rsid w:val="00BC0B58"/>
    <w:rsid w:val="00BC0BF3"/>
    <w:rsid w:val="00BC0CB7"/>
    <w:rsid w:val="00BC0CDB"/>
    <w:rsid w:val="00BC0CE2"/>
    <w:rsid w:val="00BC0E7A"/>
    <w:rsid w:val="00BC0EE9"/>
    <w:rsid w:val="00BC106C"/>
    <w:rsid w:val="00BC12E4"/>
    <w:rsid w:val="00BC130A"/>
    <w:rsid w:val="00BC1400"/>
    <w:rsid w:val="00BC159E"/>
    <w:rsid w:val="00BC1603"/>
    <w:rsid w:val="00BC17F5"/>
    <w:rsid w:val="00BC1CF5"/>
    <w:rsid w:val="00BC1EA4"/>
    <w:rsid w:val="00BC2194"/>
    <w:rsid w:val="00BC225E"/>
    <w:rsid w:val="00BC261E"/>
    <w:rsid w:val="00BC26B9"/>
    <w:rsid w:val="00BC2786"/>
    <w:rsid w:val="00BC2A90"/>
    <w:rsid w:val="00BC2ACD"/>
    <w:rsid w:val="00BC2C6E"/>
    <w:rsid w:val="00BC2D4D"/>
    <w:rsid w:val="00BC2FB3"/>
    <w:rsid w:val="00BC32C5"/>
    <w:rsid w:val="00BC3315"/>
    <w:rsid w:val="00BC3525"/>
    <w:rsid w:val="00BC35A8"/>
    <w:rsid w:val="00BC36EC"/>
    <w:rsid w:val="00BC37ED"/>
    <w:rsid w:val="00BC38CD"/>
    <w:rsid w:val="00BC38F2"/>
    <w:rsid w:val="00BC38F8"/>
    <w:rsid w:val="00BC3A16"/>
    <w:rsid w:val="00BC3B30"/>
    <w:rsid w:val="00BC3B87"/>
    <w:rsid w:val="00BC3C80"/>
    <w:rsid w:val="00BC3DBB"/>
    <w:rsid w:val="00BC427A"/>
    <w:rsid w:val="00BC43F7"/>
    <w:rsid w:val="00BC45E6"/>
    <w:rsid w:val="00BC4659"/>
    <w:rsid w:val="00BC484C"/>
    <w:rsid w:val="00BC48D8"/>
    <w:rsid w:val="00BC48DE"/>
    <w:rsid w:val="00BC4B26"/>
    <w:rsid w:val="00BC4B72"/>
    <w:rsid w:val="00BC4C72"/>
    <w:rsid w:val="00BC51B5"/>
    <w:rsid w:val="00BC51C2"/>
    <w:rsid w:val="00BC52F0"/>
    <w:rsid w:val="00BC53E6"/>
    <w:rsid w:val="00BC5DE0"/>
    <w:rsid w:val="00BC5EF2"/>
    <w:rsid w:val="00BC61A2"/>
    <w:rsid w:val="00BC61EE"/>
    <w:rsid w:val="00BC626A"/>
    <w:rsid w:val="00BC6275"/>
    <w:rsid w:val="00BC6294"/>
    <w:rsid w:val="00BC6355"/>
    <w:rsid w:val="00BC63D4"/>
    <w:rsid w:val="00BC6C3D"/>
    <w:rsid w:val="00BC6E09"/>
    <w:rsid w:val="00BC6EC2"/>
    <w:rsid w:val="00BC6ED3"/>
    <w:rsid w:val="00BC70E2"/>
    <w:rsid w:val="00BC710B"/>
    <w:rsid w:val="00BC7120"/>
    <w:rsid w:val="00BC724A"/>
    <w:rsid w:val="00BC72B4"/>
    <w:rsid w:val="00BC75B2"/>
    <w:rsid w:val="00BC7603"/>
    <w:rsid w:val="00BC77C4"/>
    <w:rsid w:val="00BC78DD"/>
    <w:rsid w:val="00BC78E0"/>
    <w:rsid w:val="00BC7C24"/>
    <w:rsid w:val="00BC7D2C"/>
    <w:rsid w:val="00BC7DB9"/>
    <w:rsid w:val="00BC7E81"/>
    <w:rsid w:val="00BC7EC2"/>
    <w:rsid w:val="00BD020C"/>
    <w:rsid w:val="00BD0211"/>
    <w:rsid w:val="00BD04B6"/>
    <w:rsid w:val="00BD0594"/>
    <w:rsid w:val="00BD0621"/>
    <w:rsid w:val="00BD06A3"/>
    <w:rsid w:val="00BD07D4"/>
    <w:rsid w:val="00BD08A6"/>
    <w:rsid w:val="00BD0BEC"/>
    <w:rsid w:val="00BD0BFC"/>
    <w:rsid w:val="00BD0C81"/>
    <w:rsid w:val="00BD0CBB"/>
    <w:rsid w:val="00BD0F05"/>
    <w:rsid w:val="00BD10A2"/>
    <w:rsid w:val="00BD1167"/>
    <w:rsid w:val="00BD1379"/>
    <w:rsid w:val="00BD14F6"/>
    <w:rsid w:val="00BD170A"/>
    <w:rsid w:val="00BD17BF"/>
    <w:rsid w:val="00BD17C5"/>
    <w:rsid w:val="00BD185F"/>
    <w:rsid w:val="00BD1DFE"/>
    <w:rsid w:val="00BD20E0"/>
    <w:rsid w:val="00BD222D"/>
    <w:rsid w:val="00BD2331"/>
    <w:rsid w:val="00BD23E5"/>
    <w:rsid w:val="00BD255A"/>
    <w:rsid w:val="00BD25B7"/>
    <w:rsid w:val="00BD25D8"/>
    <w:rsid w:val="00BD26C0"/>
    <w:rsid w:val="00BD28DA"/>
    <w:rsid w:val="00BD2ACC"/>
    <w:rsid w:val="00BD2BA0"/>
    <w:rsid w:val="00BD2D0F"/>
    <w:rsid w:val="00BD2D1F"/>
    <w:rsid w:val="00BD2EFC"/>
    <w:rsid w:val="00BD2FC5"/>
    <w:rsid w:val="00BD301E"/>
    <w:rsid w:val="00BD313D"/>
    <w:rsid w:val="00BD325D"/>
    <w:rsid w:val="00BD32E0"/>
    <w:rsid w:val="00BD32EA"/>
    <w:rsid w:val="00BD332C"/>
    <w:rsid w:val="00BD33A7"/>
    <w:rsid w:val="00BD350E"/>
    <w:rsid w:val="00BD3519"/>
    <w:rsid w:val="00BD38FE"/>
    <w:rsid w:val="00BD3D25"/>
    <w:rsid w:val="00BD3E25"/>
    <w:rsid w:val="00BD3E5A"/>
    <w:rsid w:val="00BD3F2C"/>
    <w:rsid w:val="00BD4012"/>
    <w:rsid w:val="00BD4021"/>
    <w:rsid w:val="00BD40B5"/>
    <w:rsid w:val="00BD41A0"/>
    <w:rsid w:val="00BD427C"/>
    <w:rsid w:val="00BD43A1"/>
    <w:rsid w:val="00BD43E1"/>
    <w:rsid w:val="00BD4463"/>
    <w:rsid w:val="00BD44AF"/>
    <w:rsid w:val="00BD4522"/>
    <w:rsid w:val="00BD462F"/>
    <w:rsid w:val="00BD4675"/>
    <w:rsid w:val="00BD48F7"/>
    <w:rsid w:val="00BD497C"/>
    <w:rsid w:val="00BD4E5F"/>
    <w:rsid w:val="00BD509E"/>
    <w:rsid w:val="00BD50DF"/>
    <w:rsid w:val="00BD540A"/>
    <w:rsid w:val="00BD5720"/>
    <w:rsid w:val="00BD577D"/>
    <w:rsid w:val="00BD5797"/>
    <w:rsid w:val="00BD57B8"/>
    <w:rsid w:val="00BD5863"/>
    <w:rsid w:val="00BD58C2"/>
    <w:rsid w:val="00BD5A45"/>
    <w:rsid w:val="00BD5B02"/>
    <w:rsid w:val="00BD5B08"/>
    <w:rsid w:val="00BD5BBB"/>
    <w:rsid w:val="00BD5D27"/>
    <w:rsid w:val="00BD6053"/>
    <w:rsid w:val="00BD637B"/>
    <w:rsid w:val="00BD668A"/>
    <w:rsid w:val="00BD687D"/>
    <w:rsid w:val="00BD6BA9"/>
    <w:rsid w:val="00BD6C68"/>
    <w:rsid w:val="00BD6E06"/>
    <w:rsid w:val="00BD6EBE"/>
    <w:rsid w:val="00BD7252"/>
    <w:rsid w:val="00BD72D3"/>
    <w:rsid w:val="00BD7407"/>
    <w:rsid w:val="00BD75C6"/>
    <w:rsid w:val="00BD7721"/>
    <w:rsid w:val="00BD7832"/>
    <w:rsid w:val="00BD79FC"/>
    <w:rsid w:val="00BD7E83"/>
    <w:rsid w:val="00BD7EF6"/>
    <w:rsid w:val="00BD7FAE"/>
    <w:rsid w:val="00BE004D"/>
    <w:rsid w:val="00BE0277"/>
    <w:rsid w:val="00BE029A"/>
    <w:rsid w:val="00BE0379"/>
    <w:rsid w:val="00BE03C9"/>
    <w:rsid w:val="00BE042E"/>
    <w:rsid w:val="00BE08E1"/>
    <w:rsid w:val="00BE099D"/>
    <w:rsid w:val="00BE0B41"/>
    <w:rsid w:val="00BE0E6A"/>
    <w:rsid w:val="00BE0F01"/>
    <w:rsid w:val="00BE0F75"/>
    <w:rsid w:val="00BE1348"/>
    <w:rsid w:val="00BE13BA"/>
    <w:rsid w:val="00BE148A"/>
    <w:rsid w:val="00BE15A9"/>
    <w:rsid w:val="00BE161A"/>
    <w:rsid w:val="00BE18BB"/>
    <w:rsid w:val="00BE1AE6"/>
    <w:rsid w:val="00BE1C16"/>
    <w:rsid w:val="00BE206D"/>
    <w:rsid w:val="00BE2073"/>
    <w:rsid w:val="00BE23CB"/>
    <w:rsid w:val="00BE2489"/>
    <w:rsid w:val="00BE27A5"/>
    <w:rsid w:val="00BE27AB"/>
    <w:rsid w:val="00BE2CC6"/>
    <w:rsid w:val="00BE2FCC"/>
    <w:rsid w:val="00BE314D"/>
    <w:rsid w:val="00BE352B"/>
    <w:rsid w:val="00BE3640"/>
    <w:rsid w:val="00BE3876"/>
    <w:rsid w:val="00BE38E0"/>
    <w:rsid w:val="00BE3A5D"/>
    <w:rsid w:val="00BE3BD8"/>
    <w:rsid w:val="00BE3CD6"/>
    <w:rsid w:val="00BE3E21"/>
    <w:rsid w:val="00BE3E3D"/>
    <w:rsid w:val="00BE3F8F"/>
    <w:rsid w:val="00BE42DB"/>
    <w:rsid w:val="00BE432A"/>
    <w:rsid w:val="00BE43A7"/>
    <w:rsid w:val="00BE43C6"/>
    <w:rsid w:val="00BE43D3"/>
    <w:rsid w:val="00BE4587"/>
    <w:rsid w:val="00BE46A5"/>
    <w:rsid w:val="00BE4787"/>
    <w:rsid w:val="00BE4C60"/>
    <w:rsid w:val="00BE4CBA"/>
    <w:rsid w:val="00BE4D4B"/>
    <w:rsid w:val="00BE4EAA"/>
    <w:rsid w:val="00BE507B"/>
    <w:rsid w:val="00BE507D"/>
    <w:rsid w:val="00BE513A"/>
    <w:rsid w:val="00BE523D"/>
    <w:rsid w:val="00BE5263"/>
    <w:rsid w:val="00BE542B"/>
    <w:rsid w:val="00BE55A9"/>
    <w:rsid w:val="00BE57D2"/>
    <w:rsid w:val="00BE57FB"/>
    <w:rsid w:val="00BE58DA"/>
    <w:rsid w:val="00BE59D5"/>
    <w:rsid w:val="00BE5AE5"/>
    <w:rsid w:val="00BE5DE3"/>
    <w:rsid w:val="00BE60E7"/>
    <w:rsid w:val="00BE61C7"/>
    <w:rsid w:val="00BE6257"/>
    <w:rsid w:val="00BE63CA"/>
    <w:rsid w:val="00BE64BF"/>
    <w:rsid w:val="00BE6522"/>
    <w:rsid w:val="00BE6548"/>
    <w:rsid w:val="00BE66E4"/>
    <w:rsid w:val="00BE6C52"/>
    <w:rsid w:val="00BE6C85"/>
    <w:rsid w:val="00BE6E56"/>
    <w:rsid w:val="00BE70E7"/>
    <w:rsid w:val="00BE72AE"/>
    <w:rsid w:val="00BE740C"/>
    <w:rsid w:val="00BE74F8"/>
    <w:rsid w:val="00BE75B2"/>
    <w:rsid w:val="00BE75FD"/>
    <w:rsid w:val="00BE766B"/>
    <w:rsid w:val="00BE767C"/>
    <w:rsid w:val="00BE7777"/>
    <w:rsid w:val="00BE7995"/>
    <w:rsid w:val="00BE7BB3"/>
    <w:rsid w:val="00BE7D41"/>
    <w:rsid w:val="00BE7F20"/>
    <w:rsid w:val="00BF0049"/>
    <w:rsid w:val="00BF0220"/>
    <w:rsid w:val="00BF034A"/>
    <w:rsid w:val="00BF0587"/>
    <w:rsid w:val="00BF05B2"/>
    <w:rsid w:val="00BF07EF"/>
    <w:rsid w:val="00BF07F8"/>
    <w:rsid w:val="00BF08CD"/>
    <w:rsid w:val="00BF0A03"/>
    <w:rsid w:val="00BF0DAD"/>
    <w:rsid w:val="00BF0E35"/>
    <w:rsid w:val="00BF1279"/>
    <w:rsid w:val="00BF1550"/>
    <w:rsid w:val="00BF166A"/>
    <w:rsid w:val="00BF184A"/>
    <w:rsid w:val="00BF184D"/>
    <w:rsid w:val="00BF1A00"/>
    <w:rsid w:val="00BF1AE4"/>
    <w:rsid w:val="00BF1B67"/>
    <w:rsid w:val="00BF1F15"/>
    <w:rsid w:val="00BF209C"/>
    <w:rsid w:val="00BF2122"/>
    <w:rsid w:val="00BF2411"/>
    <w:rsid w:val="00BF2708"/>
    <w:rsid w:val="00BF273B"/>
    <w:rsid w:val="00BF2798"/>
    <w:rsid w:val="00BF286B"/>
    <w:rsid w:val="00BF28FB"/>
    <w:rsid w:val="00BF2A0C"/>
    <w:rsid w:val="00BF2A85"/>
    <w:rsid w:val="00BF3074"/>
    <w:rsid w:val="00BF31D2"/>
    <w:rsid w:val="00BF31F7"/>
    <w:rsid w:val="00BF3218"/>
    <w:rsid w:val="00BF329F"/>
    <w:rsid w:val="00BF32A1"/>
    <w:rsid w:val="00BF3411"/>
    <w:rsid w:val="00BF3489"/>
    <w:rsid w:val="00BF35E9"/>
    <w:rsid w:val="00BF36C7"/>
    <w:rsid w:val="00BF3827"/>
    <w:rsid w:val="00BF38D2"/>
    <w:rsid w:val="00BF3A34"/>
    <w:rsid w:val="00BF3C3E"/>
    <w:rsid w:val="00BF3CE1"/>
    <w:rsid w:val="00BF3D55"/>
    <w:rsid w:val="00BF3E17"/>
    <w:rsid w:val="00BF4121"/>
    <w:rsid w:val="00BF43D7"/>
    <w:rsid w:val="00BF43F8"/>
    <w:rsid w:val="00BF4419"/>
    <w:rsid w:val="00BF4591"/>
    <w:rsid w:val="00BF4602"/>
    <w:rsid w:val="00BF4751"/>
    <w:rsid w:val="00BF4780"/>
    <w:rsid w:val="00BF4890"/>
    <w:rsid w:val="00BF4A49"/>
    <w:rsid w:val="00BF4AB4"/>
    <w:rsid w:val="00BF4AB7"/>
    <w:rsid w:val="00BF4AB9"/>
    <w:rsid w:val="00BF4D05"/>
    <w:rsid w:val="00BF4F09"/>
    <w:rsid w:val="00BF4F97"/>
    <w:rsid w:val="00BF50F6"/>
    <w:rsid w:val="00BF53A1"/>
    <w:rsid w:val="00BF553D"/>
    <w:rsid w:val="00BF5791"/>
    <w:rsid w:val="00BF57BA"/>
    <w:rsid w:val="00BF5973"/>
    <w:rsid w:val="00BF59DF"/>
    <w:rsid w:val="00BF5A3E"/>
    <w:rsid w:val="00BF5B32"/>
    <w:rsid w:val="00BF5F1F"/>
    <w:rsid w:val="00BF5F56"/>
    <w:rsid w:val="00BF6023"/>
    <w:rsid w:val="00BF602A"/>
    <w:rsid w:val="00BF605F"/>
    <w:rsid w:val="00BF6093"/>
    <w:rsid w:val="00BF6153"/>
    <w:rsid w:val="00BF6320"/>
    <w:rsid w:val="00BF6346"/>
    <w:rsid w:val="00BF64CC"/>
    <w:rsid w:val="00BF6617"/>
    <w:rsid w:val="00BF6865"/>
    <w:rsid w:val="00BF690A"/>
    <w:rsid w:val="00BF6D5E"/>
    <w:rsid w:val="00BF6D7A"/>
    <w:rsid w:val="00BF6E83"/>
    <w:rsid w:val="00BF74D1"/>
    <w:rsid w:val="00BF75EA"/>
    <w:rsid w:val="00BF7824"/>
    <w:rsid w:val="00BF7AA3"/>
    <w:rsid w:val="00BF7C31"/>
    <w:rsid w:val="00BF7CD8"/>
    <w:rsid w:val="00BF7D7C"/>
    <w:rsid w:val="00C0029B"/>
    <w:rsid w:val="00C003AC"/>
    <w:rsid w:val="00C00480"/>
    <w:rsid w:val="00C006D4"/>
    <w:rsid w:val="00C00986"/>
    <w:rsid w:val="00C00D4D"/>
    <w:rsid w:val="00C00D92"/>
    <w:rsid w:val="00C00F6A"/>
    <w:rsid w:val="00C014AF"/>
    <w:rsid w:val="00C016E4"/>
    <w:rsid w:val="00C01701"/>
    <w:rsid w:val="00C01723"/>
    <w:rsid w:val="00C0194A"/>
    <w:rsid w:val="00C01961"/>
    <w:rsid w:val="00C01967"/>
    <w:rsid w:val="00C01CDA"/>
    <w:rsid w:val="00C01FBA"/>
    <w:rsid w:val="00C020F3"/>
    <w:rsid w:val="00C021B6"/>
    <w:rsid w:val="00C02282"/>
    <w:rsid w:val="00C02495"/>
    <w:rsid w:val="00C024E7"/>
    <w:rsid w:val="00C02A2C"/>
    <w:rsid w:val="00C02B76"/>
    <w:rsid w:val="00C02C0D"/>
    <w:rsid w:val="00C02FC5"/>
    <w:rsid w:val="00C0307E"/>
    <w:rsid w:val="00C03350"/>
    <w:rsid w:val="00C0347F"/>
    <w:rsid w:val="00C03497"/>
    <w:rsid w:val="00C036BF"/>
    <w:rsid w:val="00C03814"/>
    <w:rsid w:val="00C038CF"/>
    <w:rsid w:val="00C03AE6"/>
    <w:rsid w:val="00C03B4D"/>
    <w:rsid w:val="00C03C49"/>
    <w:rsid w:val="00C03E87"/>
    <w:rsid w:val="00C03EA0"/>
    <w:rsid w:val="00C04161"/>
    <w:rsid w:val="00C04186"/>
    <w:rsid w:val="00C04210"/>
    <w:rsid w:val="00C0421C"/>
    <w:rsid w:val="00C04251"/>
    <w:rsid w:val="00C04498"/>
    <w:rsid w:val="00C04705"/>
    <w:rsid w:val="00C04923"/>
    <w:rsid w:val="00C04997"/>
    <w:rsid w:val="00C049CA"/>
    <w:rsid w:val="00C04D44"/>
    <w:rsid w:val="00C04E39"/>
    <w:rsid w:val="00C050A3"/>
    <w:rsid w:val="00C05314"/>
    <w:rsid w:val="00C05360"/>
    <w:rsid w:val="00C0539A"/>
    <w:rsid w:val="00C057F6"/>
    <w:rsid w:val="00C05A13"/>
    <w:rsid w:val="00C05AC6"/>
    <w:rsid w:val="00C05C71"/>
    <w:rsid w:val="00C05CF0"/>
    <w:rsid w:val="00C05E69"/>
    <w:rsid w:val="00C05E8F"/>
    <w:rsid w:val="00C06261"/>
    <w:rsid w:val="00C0646C"/>
    <w:rsid w:val="00C064C8"/>
    <w:rsid w:val="00C06772"/>
    <w:rsid w:val="00C06BFD"/>
    <w:rsid w:val="00C06E9D"/>
    <w:rsid w:val="00C06F45"/>
    <w:rsid w:val="00C0703E"/>
    <w:rsid w:val="00C0736A"/>
    <w:rsid w:val="00C07400"/>
    <w:rsid w:val="00C07568"/>
    <w:rsid w:val="00C075D4"/>
    <w:rsid w:val="00C0772F"/>
    <w:rsid w:val="00C07773"/>
    <w:rsid w:val="00C07864"/>
    <w:rsid w:val="00C07940"/>
    <w:rsid w:val="00C07A12"/>
    <w:rsid w:val="00C07AB6"/>
    <w:rsid w:val="00C07BB1"/>
    <w:rsid w:val="00C07C9B"/>
    <w:rsid w:val="00C07CAD"/>
    <w:rsid w:val="00C1009C"/>
    <w:rsid w:val="00C10300"/>
    <w:rsid w:val="00C10569"/>
    <w:rsid w:val="00C1062A"/>
    <w:rsid w:val="00C1064D"/>
    <w:rsid w:val="00C10737"/>
    <w:rsid w:val="00C10994"/>
    <w:rsid w:val="00C10A8B"/>
    <w:rsid w:val="00C10B4F"/>
    <w:rsid w:val="00C10BA5"/>
    <w:rsid w:val="00C10BC4"/>
    <w:rsid w:val="00C10C8E"/>
    <w:rsid w:val="00C10D48"/>
    <w:rsid w:val="00C10ECA"/>
    <w:rsid w:val="00C11166"/>
    <w:rsid w:val="00C11277"/>
    <w:rsid w:val="00C112A3"/>
    <w:rsid w:val="00C1144C"/>
    <w:rsid w:val="00C11900"/>
    <w:rsid w:val="00C11935"/>
    <w:rsid w:val="00C11B61"/>
    <w:rsid w:val="00C11BBA"/>
    <w:rsid w:val="00C11C11"/>
    <w:rsid w:val="00C11C3C"/>
    <w:rsid w:val="00C11FAC"/>
    <w:rsid w:val="00C1221D"/>
    <w:rsid w:val="00C122DA"/>
    <w:rsid w:val="00C12405"/>
    <w:rsid w:val="00C1241F"/>
    <w:rsid w:val="00C12927"/>
    <w:rsid w:val="00C12B3B"/>
    <w:rsid w:val="00C12C01"/>
    <w:rsid w:val="00C12D57"/>
    <w:rsid w:val="00C1322F"/>
    <w:rsid w:val="00C132FE"/>
    <w:rsid w:val="00C13452"/>
    <w:rsid w:val="00C134A8"/>
    <w:rsid w:val="00C13679"/>
    <w:rsid w:val="00C13746"/>
    <w:rsid w:val="00C13A18"/>
    <w:rsid w:val="00C13A7C"/>
    <w:rsid w:val="00C13E32"/>
    <w:rsid w:val="00C14151"/>
    <w:rsid w:val="00C143E4"/>
    <w:rsid w:val="00C14563"/>
    <w:rsid w:val="00C147EF"/>
    <w:rsid w:val="00C14814"/>
    <w:rsid w:val="00C148D8"/>
    <w:rsid w:val="00C151F2"/>
    <w:rsid w:val="00C1542C"/>
    <w:rsid w:val="00C154F9"/>
    <w:rsid w:val="00C15625"/>
    <w:rsid w:val="00C157A9"/>
    <w:rsid w:val="00C1581C"/>
    <w:rsid w:val="00C15896"/>
    <w:rsid w:val="00C159FD"/>
    <w:rsid w:val="00C15A0F"/>
    <w:rsid w:val="00C15CC4"/>
    <w:rsid w:val="00C16210"/>
    <w:rsid w:val="00C16226"/>
    <w:rsid w:val="00C1676F"/>
    <w:rsid w:val="00C168DB"/>
    <w:rsid w:val="00C16A43"/>
    <w:rsid w:val="00C16C15"/>
    <w:rsid w:val="00C16D6E"/>
    <w:rsid w:val="00C16F49"/>
    <w:rsid w:val="00C16FAD"/>
    <w:rsid w:val="00C170FB"/>
    <w:rsid w:val="00C171D4"/>
    <w:rsid w:val="00C17220"/>
    <w:rsid w:val="00C1764A"/>
    <w:rsid w:val="00C1780F"/>
    <w:rsid w:val="00C17A84"/>
    <w:rsid w:val="00C17BE9"/>
    <w:rsid w:val="00C17CC0"/>
    <w:rsid w:val="00C17D58"/>
    <w:rsid w:val="00C17DAB"/>
    <w:rsid w:val="00C2001E"/>
    <w:rsid w:val="00C20229"/>
    <w:rsid w:val="00C204B4"/>
    <w:rsid w:val="00C204C5"/>
    <w:rsid w:val="00C2059E"/>
    <w:rsid w:val="00C205A6"/>
    <w:rsid w:val="00C205D1"/>
    <w:rsid w:val="00C20A43"/>
    <w:rsid w:val="00C20F15"/>
    <w:rsid w:val="00C210A7"/>
    <w:rsid w:val="00C2122E"/>
    <w:rsid w:val="00C212E3"/>
    <w:rsid w:val="00C21302"/>
    <w:rsid w:val="00C21374"/>
    <w:rsid w:val="00C214DE"/>
    <w:rsid w:val="00C21763"/>
    <w:rsid w:val="00C217C9"/>
    <w:rsid w:val="00C217FE"/>
    <w:rsid w:val="00C2195D"/>
    <w:rsid w:val="00C21977"/>
    <w:rsid w:val="00C21B17"/>
    <w:rsid w:val="00C21D28"/>
    <w:rsid w:val="00C21D58"/>
    <w:rsid w:val="00C21E1B"/>
    <w:rsid w:val="00C21F85"/>
    <w:rsid w:val="00C223CF"/>
    <w:rsid w:val="00C224D5"/>
    <w:rsid w:val="00C22853"/>
    <w:rsid w:val="00C22884"/>
    <w:rsid w:val="00C22945"/>
    <w:rsid w:val="00C22B0F"/>
    <w:rsid w:val="00C22EA8"/>
    <w:rsid w:val="00C22EFA"/>
    <w:rsid w:val="00C22FE8"/>
    <w:rsid w:val="00C2349D"/>
    <w:rsid w:val="00C2364B"/>
    <w:rsid w:val="00C237E5"/>
    <w:rsid w:val="00C238C9"/>
    <w:rsid w:val="00C23A23"/>
    <w:rsid w:val="00C23ABC"/>
    <w:rsid w:val="00C23AC8"/>
    <w:rsid w:val="00C23C5F"/>
    <w:rsid w:val="00C23D5E"/>
    <w:rsid w:val="00C23E58"/>
    <w:rsid w:val="00C23EC7"/>
    <w:rsid w:val="00C24042"/>
    <w:rsid w:val="00C24091"/>
    <w:rsid w:val="00C24326"/>
    <w:rsid w:val="00C245F9"/>
    <w:rsid w:val="00C24794"/>
    <w:rsid w:val="00C247D2"/>
    <w:rsid w:val="00C248F1"/>
    <w:rsid w:val="00C24B66"/>
    <w:rsid w:val="00C24BDE"/>
    <w:rsid w:val="00C24C2E"/>
    <w:rsid w:val="00C24D07"/>
    <w:rsid w:val="00C251A9"/>
    <w:rsid w:val="00C25260"/>
    <w:rsid w:val="00C2526E"/>
    <w:rsid w:val="00C254E9"/>
    <w:rsid w:val="00C25693"/>
    <w:rsid w:val="00C25CD5"/>
    <w:rsid w:val="00C25D23"/>
    <w:rsid w:val="00C25F13"/>
    <w:rsid w:val="00C26105"/>
    <w:rsid w:val="00C26171"/>
    <w:rsid w:val="00C261CB"/>
    <w:rsid w:val="00C261F4"/>
    <w:rsid w:val="00C26535"/>
    <w:rsid w:val="00C2670C"/>
    <w:rsid w:val="00C26879"/>
    <w:rsid w:val="00C26B89"/>
    <w:rsid w:val="00C26D48"/>
    <w:rsid w:val="00C26EF4"/>
    <w:rsid w:val="00C26F3D"/>
    <w:rsid w:val="00C27163"/>
    <w:rsid w:val="00C271D4"/>
    <w:rsid w:val="00C271D9"/>
    <w:rsid w:val="00C2726B"/>
    <w:rsid w:val="00C27296"/>
    <w:rsid w:val="00C273D2"/>
    <w:rsid w:val="00C273FE"/>
    <w:rsid w:val="00C27856"/>
    <w:rsid w:val="00C2789D"/>
    <w:rsid w:val="00C27AC6"/>
    <w:rsid w:val="00C27B41"/>
    <w:rsid w:val="00C27D7F"/>
    <w:rsid w:val="00C27DF8"/>
    <w:rsid w:val="00C27E67"/>
    <w:rsid w:val="00C27E76"/>
    <w:rsid w:val="00C27E90"/>
    <w:rsid w:val="00C27FA6"/>
    <w:rsid w:val="00C3021A"/>
    <w:rsid w:val="00C302F4"/>
    <w:rsid w:val="00C306DB"/>
    <w:rsid w:val="00C30729"/>
    <w:rsid w:val="00C30924"/>
    <w:rsid w:val="00C309AA"/>
    <w:rsid w:val="00C30A84"/>
    <w:rsid w:val="00C30AF7"/>
    <w:rsid w:val="00C30C5C"/>
    <w:rsid w:val="00C30EE2"/>
    <w:rsid w:val="00C30FDB"/>
    <w:rsid w:val="00C314AB"/>
    <w:rsid w:val="00C31560"/>
    <w:rsid w:val="00C31748"/>
    <w:rsid w:val="00C3187C"/>
    <w:rsid w:val="00C31AC9"/>
    <w:rsid w:val="00C31D29"/>
    <w:rsid w:val="00C31D94"/>
    <w:rsid w:val="00C31E80"/>
    <w:rsid w:val="00C320DE"/>
    <w:rsid w:val="00C3212F"/>
    <w:rsid w:val="00C321D0"/>
    <w:rsid w:val="00C32704"/>
    <w:rsid w:val="00C328C4"/>
    <w:rsid w:val="00C32973"/>
    <w:rsid w:val="00C32D15"/>
    <w:rsid w:val="00C330E1"/>
    <w:rsid w:val="00C330F1"/>
    <w:rsid w:val="00C331FA"/>
    <w:rsid w:val="00C332B6"/>
    <w:rsid w:val="00C33470"/>
    <w:rsid w:val="00C3349F"/>
    <w:rsid w:val="00C33590"/>
    <w:rsid w:val="00C33A0A"/>
    <w:rsid w:val="00C33D23"/>
    <w:rsid w:val="00C33E18"/>
    <w:rsid w:val="00C33E9F"/>
    <w:rsid w:val="00C33F8D"/>
    <w:rsid w:val="00C340AB"/>
    <w:rsid w:val="00C344C3"/>
    <w:rsid w:val="00C344F6"/>
    <w:rsid w:val="00C34555"/>
    <w:rsid w:val="00C3456F"/>
    <w:rsid w:val="00C345FA"/>
    <w:rsid w:val="00C3460A"/>
    <w:rsid w:val="00C34759"/>
    <w:rsid w:val="00C347C9"/>
    <w:rsid w:val="00C348E3"/>
    <w:rsid w:val="00C34C1A"/>
    <w:rsid w:val="00C350A4"/>
    <w:rsid w:val="00C3511B"/>
    <w:rsid w:val="00C35155"/>
    <w:rsid w:val="00C352D5"/>
    <w:rsid w:val="00C352E8"/>
    <w:rsid w:val="00C3544A"/>
    <w:rsid w:val="00C35811"/>
    <w:rsid w:val="00C3598E"/>
    <w:rsid w:val="00C35A01"/>
    <w:rsid w:val="00C35B04"/>
    <w:rsid w:val="00C35CB7"/>
    <w:rsid w:val="00C35E0C"/>
    <w:rsid w:val="00C36428"/>
    <w:rsid w:val="00C365E5"/>
    <w:rsid w:val="00C36630"/>
    <w:rsid w:val="00C3677A"/>
    <w:rsid w:val="00C36A5C"/>
    <w:rsid w:val="00C36B19"/>
    <w:rsid w:val="00C36F62"/>
    <w:rsid w:val="00C3722A"/>
    <w:rsid w:val="00C37292"/>
    <w:rsid w:val="00C372C5"/>
    <w:rsid w:val="00C37391"/>
    <w:rsid w:val="00C3745F"/>
    <w:rsid w:val="00C379A9"/>
    <w:rsid w:val="00C379BF"/>
    <w:rsid w:val="00C37BA6"/>
    <w:rsid w:val="00C37C20"/>
    <w:rsid w:val="00C37D0B"/>
    <w:rsid w:val="00C40363"/>
    <w:rsid w:val="00C403FF"/>
    <w:rsid w:val="00C4042B"/>
    <w:rsid w:val="00C4046C"/>
    <w:rsid w:val="00C4074F"/>
    <w:rsid w:val="00C40917"/>
    <w:rsid w:val="00C409CE"/>
    <w:rsid w:val="00C40C35"/>
    <w:rsid w:val="00C40D5F"/>
    <w:rsid w:val="00C40E6B"/>
    <w:rsid w:val="00C40E9C"/>
    <w:rsid w:val="00C40FE8"/>
    <w:rsid w:val="00C41119"/>
    <w:rsid w:val="00C4113A"/>
    <w:rsid w:val="00C4119A"/>
    <w:rsid w:val="00C417D8"/>
    <w:rsid w:val="00C418DA"/>
    <w:rsid w:val="00C41B30"/>
    <w:rsid w:val="00C41B52"/>
    <w:rsid w:val="00C41B6D"/>
    <w:rsid w:val="00C41CCF"/>
    <w:rsid w:val="00C41E3D"/>
    <w:rsid w:val="00C41EC8"/>
    <w:rsid w:val="00C41EF2"/>
    <w:rsid w:val="00C41F2A"/>
    <w:rsid w:val="00C41F3F"/>
    <w:rsid w:val="00C422AF"/>
    <w:rsid w:val="00C42365"/>
    <w:rsid w:val="00C424EB"/>
    <w:rsid w:val="00C42557"/>
    <w:rsid w:val="00C4256B"/>
    <w:rsid w:val="00C4262A"/>
    <w:rsid w:val="00C429A9"/>
    <w:rsid w:val="00C42AE0"/>
    <w:rsid w:val="00C42B2A"/>
    <w:rsid w:val="00C42CFD"/>
    <w:rsid w:val="00C42E48"/>
    <w:rsid w:val="00C42E7D"/>
    <w:rsid w:val="00C42EB4"/>
    <w:rsid w:val="00C42F29"/>
    <w:rsid w:val="00C4308E"/>
    <w:rsid w:val="00C430F4"/>
    <w:rsid w:val="00C43434"/>
    <w:rsid w:val="00C434E4"/>
    <w:rsid w:val="00C435A1"/>
    <w:rsid w:val="00C436A7"/>
    <w:rsid w:val="00C436CF"/>
    <w:rsid w:val="00C437DC"/>
    <w:rsid w:val="00C439A6"/>
    <w:rsid w:val="00C43C0E"/>
    <w:rsid w:val="00C43CEA"/>
    <w:rsid w:val="00C43DA7"/>
    <w:rsid w:val="00C43F11"/>
    <w:rsid w:val="00C43F7E"/>
    <w:rsid w:val="00C44133"/>
    <w:rsid w:val="00C4441D"/>
    <w:rsid w:val="00C44479"/>
    <w:rsid w:val="00C4486A"/>
    <w:rsid w:val="00C44A03"/>
    <w:rsid w:val="00C44F8A"/>
    <w:rsid w:val="00C4509B"/>
    <w:rsid w:val="00C450B1"/>
    <w:rsid w:val="00C45150"/>
    <w:rsid w:val="00C4521A"/>
    <w:rsid w:val="00C45287"/>
    <w:rsid w:val="00C452A3"/>
    <w:rsid w:val="00C457E5"/>
    <w:rsid w:val="00C459E4"/>
    <w:rsid w:val="00C45B60"/>
    <w:rsid w:val="00C45B9A"/>
    <w:rsid w:val="00C45BC4"/>
    <w:rsid w:val="00C45C93"/>
    <w:rsid w:val="00C45DA9"/>
    <w:rsid w:val="00C45EF6"/>
    <w:rsid w:val="00C45F76"/>
    <w:rsid w:val="00C45F7F"/>
    <w:rsid w:val="00C4614D"/>
    <w:rsid w:val="00C461D7"/>
    <w:rsid w:val="00C46372"/>
    <w:rsid w:val="00C46416"/>
    <w:rsid w:val="00C4641C"/>
    <w:rsid w:val="00C4660D"/>
    <w:rsid w:val="00C46612"/>
    <w:rsid w:val="00C46646"/>
    <w:rsid w:val="00C4669D"/>
    <w:rsid w:val="00C466B4"/>
    <w:rsid w:val="00C4689A"/>
    <w:rsid w:val="00C46918"/>
    <w:rsid w:val="00C46A90"/>
    <w:rsid w:val="00C46C70"/>
    <w:rsid w:val="00C46CFD"/>
    <w:rsid w:val="00C46D62"/>
    <w:rsid w:val="00C471A3"/>
    <w:rsid w:val="00C471C2"/>
    <w:rsid w:val="00C47237"/>
    <w:rsid w:val="00C4723B"/>
    <w:rsid w:val="00C47260"/>
    <w:rsid w:val="00C472D9"/>
    <w:rsid w:val="00C47374"/>
    <w:rsid w:val="00C473A4"/>
    <w:rsid w:val="00C47588"/>
    <w:rsid w:val="00C475CE"/>
    <w:rsid w:val="00C4763B"/>
    <w:rsid w:val="00C4779D"/>
    <w:rsid w:val="00C478B3"/>
    <w:rsid w:val="00C479F8"/>
    <w:rsid w:val="00C47C05"/>
    <w:rsid w:val="00C47D70"/>
    <w:rsid w:val="00C5019D"/>
    <w:rsid w:val="00C5036A"/>
    <w:rsid w:val="00C508DA"/>
    <w:rsid w:val="00C5094C"/>
    <w:rsid w:val="00C50ADF"/>
    <w:rsid w:val="00C50BB6"/>
    <w:rsid w:val="00C50D47"/>
    <w:rsid w:val="00C50D9E"/>
    <w:rsid w:val="00C50FEE"/>
    <w:rsid w:val="00C51023"/>
    <w:rsid w:val="00C51110"/>
    <w:rsid w:val="00C5155D"/>
    <w:rsid w:val="00C51601"/>
    <w:rsid w:val="00C51686"/>
    <w:rsid w:val="00C517ED"/>
    <w:rsid w:val="00C5185B"/>
    <w:rsid w:val="00C5189F"/>
    <w:rsid w:val="00C51B1F"/>
    <w:rsid w:val="00C51B39"/>
    <w:rsid w:val="00C51B63"/>
    <w:rsid w:val="00C51B8E"/>
    <w:rsid w:val="00C51C93"/>
    <w:rsid w:val="00C51DC9"/>
    <w:rsid w:val="00C51F2D"/>
    <w:rsid w:val="00C5231B"/>
    <w:rsid w:val="00C523A1"/>
    <w:rsid w:val="00C523D8"/>
    <w:rsid w:val="00C5249E"/>
    <w:rsid w:val="00C524BB"/>
    <w:rsid w:val="00C52501"/>
    <w:rsid w:val="00C5271E"/>
    <w:rsid w:val="00C52863"/>
    <w:rsid w:val="00C52931"/>
    <w:rsid w:val="00C52A36"/>
    <w:rsid w:val="00C52A73"/>
    <w:rsid w:val="00C52AD7"/>
    <w:rsid w:val="00C52AF4"/>
    <w:rsid w:val="00C52F0B"/>
    <w:rsid w:val="00C52F6D"/>
    <w:rsid w:val="00C52FEA"/>
    <w:rsid w:val="00C53584"/>
    <w:rsid w:val="00C53598"/>
    <w:rsid w:val="00C53654"/>
    <w:rsid w:val="00C5368A"/>
    <w:rsid w:val="00C536CA"/>
    <w:rsid w:val="00C536CB"/>
    <w:rsid w:val="00C537FF"/>
    <w:rsid w:val="00C539A9"/>
    <w:rsid w:val="00C53CAA"/>
    <w:rsid w:val="00C53D6C"/>
    <w:rsid w:val="00C53E14"/>
    <w:rsid w:val="00C53E22"/>
    <w:rsid w:val="00C54110"/>
    <w:rsid w:val="00C5433D"/>
    <w:rsid w:val="00C54385"/>
    <w:rsid w:val="00C54568"/>
    <w:rsid w:val="00C546BA"/>
    <w:rsid w:val="00C548DA"/>
    <w:rsid w:val="00C548EC"/>
    <w:rsid w:val="00C54940"/>
    <w:rsid w:val="00C54ABF"/>
    <w:rsid w:val="00C54BA0"/>
    <w:rsid w:val="00C54C47"/>
    <w:rsid w:val="00C54DD3"/>
    <w:rsid w:val="00C55117"/>
    <w:rsid w:val="00C55140"/>
    <w:rsid w:val="00C556B4"/>
    <w:rsid w:val="00C557BE"/>
    <w:rsid w:val="00C55985"/>
    <w:rsid w:val="00C55B6A"/>
    <w:rsid w:val="00C55BE5"/>
    <w:rsid w:val="00C55BE7"/>
    <w:rsid w:val="00C55C27"/>
    <w:rsid w:val="00C55CED"/>
    <w:rsid w:val="00C55DA8"/>
    <w:rsid w:val="00C55E18"/>
    <w:rsid w:val="00C55E7D"/>
    <w:rsid w:val="00C55F0D"/>
    <w:rsid w:val="00C55F69"/>
    <w:rsid w:val="00C5603D"/>
    <w:rsid w:val="00C5632D"/>
    <w:rsid w:val="00C5634C"/>
    <w:rsid w:val="00C5637F"/>
    <w:rsid w:val="00C56484"/>
    <w:rsid w:val="00C5675A"/>
    <w:rsid w:val="00C5698E"/>
    <w:rsid w:val="00C56C84"/>
    <w:rsid w:val="00C56CA0"/>
    <w:rsid w:val="00C56CF3"/>
    <w:rsid w:val="00C56EE3"/>
    <w:rsid w:val="00C56F01"/>
    <w:rsid w:val="00C56FB5"/>
    <w:rsid w:val="00C56FBD"/>
    <w:rsid w:val="00C57176"/>
    <w:rsid w:val="00C573B9"/>
    <w:rsid w:val="00C575F4"/>
    <w:rsid w:val="00C57906"/>
    <w:rsid w:val="00C57916"/>
    <w:rsid w:val="00C579D9"/>
    <w:rsid w:val="00C57BDA"/>
    <w:rsid w:val="00C57BF9"/>
    <w:rsid w:val="00C57E52"/>
    <w:rsid w:val="00C57F18"/>
    <w:rsid w:val="00C57F7C"/>
    <w:rsid w:val="00C57FC8"/>
    <w:rsid w:val="00C601A0"/>
    <w:rsid w:val="00C602B0"/>
    <w:rsid w:val="00C602E4"/>
    <w:rsid w:val="00C6069D"/>
    <w:rsid w:val="00C6077F"/>
    <w:rsid w:val="00C607D2"/>
    <w:rsid w:val="00C60892"/>
    <w:rsid w:val="00C60996"/>
    <w:rsid w:val="00C60B89"/>
    <w:rsid w:val="00C611AA"/>
    <w:rsid w:val="00C612CE"/>
    <w:rsid w:val="00C61480"/>
    <w:rsid w:val="00C615CF"/>
    <w:rsid w:val="00C61735"/>
    <w:rsid w:val="00C61743"/>
    <w:rsid w:val="00C6174A"/>
    <w:rsid w:val="00C61934"/>
    <w:rsid w:val="00C619A7"/>
    <w:rsid w:val="00C61B3D"/>
    <w:rsid w:val="00C61C65"/>
    <w:rsid w:val="00C61EC2"/>
    <w:rsid w:val="00C61FB9"/>
    <w:rsid w:val="00C621BA"/>
    <w:rsid w:val="00C62210"/>
    <w:rsid w:val="00C6229C"/>
    <w:rsid w:val="00C6234D"/>
    <w:rsid w:val="00C62382"/>
    <w:rsid w:val="00C62460"/>
    <w:rsid w:val="00C624AF"/>
    <w:rsid w:val="00C62667"/>
    <w:rsid w:val="00C626AF"/>
    <w:rsid w:val="00C626FF"/>
    <w:rsid w:val="00C62714"/>
    <w:rsid w:val="00C62AD8"/>
    <w:rsid w:val="00C62B9C"/>
    <w:rsid w:val="00C62D51"/>
    <w:rsid w:val="00C62D7B"/>
    <w:rsid w:val="00C62EA0"/>
    <w:rsid w:val="00C62FB3"/>
    <w:rsid w:val="00C632B4"/>
    <w:rsid w:val="00C632D2"/>
    <w:rsid w:val="00C633F4"/>
    <w:rsid w:val="00C63650"/>
    <w:rsid w:val="00C63933"/>
    <w:rsid w:val="00C639D5"/>
    <w:rsid w:val="00C63CCB"/>
    <w:rsid w:val="00C63D6C"/>
    <w:rsid w:val="00C63DFB"/>
    <w:rsid w:val="00C63EA8"/>
    <w:rsid w:val="00C64007"/>
    <w:rsid w:val="00C6423D"/>
    <w:rsid w:val="00C64383"/>
    <w:rsid w:val="00C643DE"/>
    <w:rsid w:val="00C6443C"/>
    <w:rsid w:val="00C64460"/>
    <w:rsid w:val="00C6449C"/>
    <w:rsid w:val="00C64698"/>
    <w:rsid w:val="00C646F1"/>
    <w:rsid w:val="00C64720"/>
    <w:rsid w:val="00C64944"/>
    <w:rsid w:val="00C64A2E"/>
    <w:rsid w:val="00C64AA4"/>
    <w:rsid w:val="00C64B16"/>
    <w:rsid w:val="00C64BB3"/>
    <w:rsid w:val="00C64D57"/>
    <w:rsid w:val="00C64D5F"/>
    <w:rsid w:val="00C64E0B"/>
    <w:rsid w:val="00C64F36"/>
    <w:rsid w:val="00C64F61"/>
    <w:rsid w:val="00C64F62"/>
    <w:rsid w:val="00C6515D"/>
    <w:rsid w:val="00C651E2"/>
    <w:rsid w:val="00C65289"/>
    <w:rsid w:val="00C65478"/>
    <w:rsid w:val="00C654FF"/>
    <w:rsid w:val="00C65518"/>
    <w:rsid w:val="00C655D4"/>
    <w:rsid w:val="00C65679"/>
    <w:rsid w:val="00C65693"/>
    <w:rsid w:val="00C656F5"/>
    <w:rsid w:val="00C65838"/>
    <w:rsid w:val="00C65860"/>
    <w:rsid w:val="00C658BB"/>
    <w:rsid w:val="00C658DF"/>
    <w:rsid w:val="00C6598B"/>
    <w:rsid w:val="00C65A9E"/>
    <w:rsid w:val="00C65CB7"/>
    <w:rsid w:val="00C65E2D"/>
    <w:rsid w:val="00C65FA8"/>
    <w:rsid w:val="00C6614C"/>
    <w:rsid w:val="00C66152"/>
    <w:rsid w:val="00C6620D"/>
    <w:rsid w:val="00C66318"/>
    <w:rsid w:val="00C664A5"/>
    <w:rsid w:val="00C66505"/>
    <w:rsid w:val="00C667AA"/>
    <w:rsid w:val="00C66A0A"/>
    <w:rsid w:val="00C66DB5"/>
    <w:rsid w:val="00C66DE3"/>
    <w:rsid w:val="00C66E9F"/>
    <w:rsid w:val="00C66EED"/>
    <w:rsid w:val="00C66FC4"/>
    <w:rsid w:val="00C67017"/>
    <w:rsid w:val="00C670D6"/>
    <w:rsid w:val="00C67203"/>
    <w:rsid w:val="00C67260"/>
    <w:rsid w:val="00C6736E"/>
    <w:rsid w:val="00C673CE"/>
    <w:rsid w:val="00C67496"/>
    <w:rsid w:val="00C67520"/>
    <w:rsid w:val="00C67593"/>
    <w:rsid w:val="00C67832"/>
    <w:rsid w:val="00C67B10"/>
    <w:rsid w:val="00C701EB"/>
    <w:rsid w:val="00C7025D"/>
    <w:rsid w:val="00C7026E"/>
    <w:rsid w:val="00C70378"/>
    <w:rsid w:val="00C70508"/>
    <w:rsid w:val="00C7054D"/>
    <w:rsid w:val="00C7066E"/>
    <w:rsid w:val="00C70E59"/>
    <w:rsid w:val="00C70FE5"/>
    <w:rsid w:val="00C71010"/>
    <w:rsid w:val="00C71064"/>
    <w:rsid w:val="00C711AC"/>
    <w:rsid w:val="00C714AB"/>
    <w:rsid w:val="00C71793"/>
    <w:rsid w:val="00C718CE"/>
    <w:rsid w:val="00C71B30"/>
    <w:rsid w:val="00C71C09"/>
    <w:rsid w:val="00C71CEE"/>
    <w:rsid w:val="00C71D66"/>
    <w:rsid w:val="00C71DA9"/>
    <w:rsid w:val="00C71F85"/>
    <w:rsid w:val="00C72051"/>
    <w:rsid w:val="00C7210C"/>
    <w:rsid w:val="00C72755"/>
    <w:rsid w:val="00C7280F"/>
    <w:rsid w:val="00C72B06"/>
    <w:rsid w:val="00C72E33"/>
    <w:rsid w:val="00C73100"/>
    <w:rsid w:val="00C73229"/>
    <w:rsid w:val="00C734AB"/>
    <w:rsid w:val="00C73578"/>
    <w:rsid w:val="00C735EA"/>
    <w:rsid w:val="00C73621"/>
    <w:rsid w:val="00C73886"/>
    <w:rsid w:val="00C738AA"/>
    <w:rsid w:val="00C738C6"/>
    <w:rsid w:val="00C73ACC"/>
    <w:rsid w:val="00C73C1E"/>
    <w:rsid w:val="00C73C4D"/>
    <w:rsid w:val="00C73DDB"/>
    <w:rsid w:val="00C73E1E"/>
    <w:rsid w:val="00C73E26"/>
    <w:rsid w:val="00C74383"/>
    <w:rsid w:val="00C74691"/>
    <w:rsid w:val="00C74B55"/>
    <w:rsid w:val="00C74F9F"/>
    <w:rsid w:val="00C75022"/>
    <w:rsid w:val="00C7532E"/>
    <w:rsid w:val="00C755E7"/>
    <w:rsid w:val="00C756B6"/>
    <w:rsid w:val="00C757B6"/>
    <w:rsid w:val="00C75837"/>
    <w:rsid w:val="00C759B4"/>
    <w:rsid w:val="00C75D1A"/>
    <w:rsid w:val="00C75D27"/>
    <w:rsid w:val="00C75ECE"/>
    <w:rsid w:val="00C75EE7"/>
    <w:rsid w:val="00C75FBF"/>
    <w:rsid w:val="00C760AB"/>
    <w:rsid w:val="00C760C2"/>
    <w:rsid w:val="00C760EA"/>
    <w:rsid w:val="00C76183"/>
    <w:rsid w:val="00C76205"/>
    <w:rsid w:val="00C76765"/>
    <w:rsid w:val="00C7684D"/>
    <w:rsid w:val="00C768CD"/>
    <w:rsid w:val="00C76ADF"/>
    <w:rsid w:val="00C76CF7"/>
    <w:rsid w:val="00C76D49"/>
    <w:rsid w:val="00C76DCA"/>
    <w:rsid w:val="00C76E30"/>
    <w:rsid w:val="00C76EC3"/>
    <w:rsid w:val="00C77543"/>
    <w:rsid w:val="00C7757D"/>
    <w:rsid w:val="00C77804"/>
    <w:rsid w:val="00C778E4"/>
    <w:rsid w:val="00C77C4C"/>
    <w:rsid w:val="00C77C64"/>
    <w:rsid w:val="00C77C8B"/>
    <w:rsid w:val="00C80168"/>
    <w:rsid w:val="00C8036A"/>
    <w:rsid w:val="00C807C0"/>
    <w:rsid w:val="00C8094D"/>
    <w:rsid w:val="00C80A1C"/>
    <w:rsid w:val="00C80ACA"/>
    <w:rsid w:val="00C80AE8"/>
    <w:rsid w:val="00C80AF5"/>
    <w:rsid w:val="00C81191"/>
    <w:rsid w:val="00C811B1"/>
    <w:rsid w:val="00C8121E"/>
    <w:rsid w:val="00C812C4"/>
    <w:rsid w:val="00C8135E"/>
    <w:rsid w:val="00C813DA"/>
    <w:rsid w:val="00C8166F"/>
    <w:rsid w:val="00C817C7"/>
    <w:rsid w:val="00C81869"/>
    <w:rsid w:val="00C8198E"/>
    <w:rsid w:val="00C81A5A"/>
    <w:rsid w:val="00C81C16"/>
    <w:rsid w:val="00C81D0C"/>
    <w:rsid w:val="00C81ED1"/>
    <w:rsid w:val="00C821A5"/>
    <w:rsid w:val="00C82598"/>
    <w:rsid w:val="00C82645"/>
    <w:rsid w:val="00C82900"/>
    <w:rsid w:val="00C82945"/>
    <w:rsid w:val="00C82AA1"/>
    <w:rsid w:val="00C82CC4"/>
    <w:rsid w:val="00C82CD9"/>
    <w:rsid w:val="00C83025"/>
    <w:rsid w:val="00C8303D"/>
    <w:rsid w:val="00C833F1"/>
    <w:rsid w:val="00C83491"/>
    <w:rsid w:val="00C834EC"/>
    <w:rsid w:val="00C83545"/>
    <w:rsid w:val="00C837D2"/>
    <w:rsid w:val="00C83843"/>
    <w:rsid w:val="00C83934"/>
    <w:rsid w:val="00C83AD5"/>
    <w:rsid w:val="00C83C16"/>
    <w:rsid w:val="00C83E4B"/>
    <w:rsid w:val="00C83E83"/>
    <w:rsid w:val="00C8412F"/>
    <w:rsid w:val="00C8423E"/>
    <w:rsid w:val="00C8434E"/>
    <w:rsid w:val="00C84422"/>
    <w:rsid w:val="00C84486"/>
    <w:rsid w:val="00C844C0"/>
    <w:rsid w:val="00C849C2"/>
    <w:rsid w:val="00C84E37"/>
    <w:rsid w:val="00C84E68"/>
    <w:rsid w:val="00C84F02"/>
    <w:rsid w:val="00C8534C"/>
    <w:rsid w:val="00C853BD"/>
    <w:rsid w:val="00C85592"/>
    <w:rsid w:val="00C85A69"/>
    <w:rsid w:val="00C85E5C"/>
    <w:rsid w:val="00C85ED7"/>
    <w:rsid w:val="00C86299"/>
    <w:rsid w:val="00C86572"/>
    <w:rsid w:val="00C86873"/>
    <w:rsid w:val="00C86988"/>
    <w:rsid w:val="00C86A1A"/>
    <w:rsid w:val="00C86B18"/>
    <w:rsid w:val="00C86BD5"/>
    <w:rsid w:val="00C86EA4"/>
    <w:rsid w:val="00C8719C"/>
    <w:rsid w:val="00C872AA"/>
    <w:rsid w:val="00C872E6"/>
    <w:rsid w:val="00C873F5"/>
    <w:rsid w:val="00C87589"/>
    <w:rsid w:val="00C875DA"/>
    <w:rsid w:val="00C87911"/>
    <w:rsid w:val="00C87945"/>
    <w:rsid w:val="00C8795E"/>
    <w:rsid w:val="00C87CFF"/>
    <w:rsid w:val="00C87D1B"/>
    <w:rsid w:val="00C87DA3"/>
    <w:rsid w:val="00C87FC2"/>
    <w:rsid w:val="00C90030"/>
    <w:rsid w:val="00C90096"/>
    <w:rsid w:val="00C90264"/>
    <w:rsid w:val="00C90295"/>
    <w:rsid w:val="00C90365"/>
    <w:rsid w:val="00C903DA"/>
    <w:rsid w:val="00C905E3"/>
    <w:rsid w:val="00C90828"/>
    <w:rsid w:val="00C909A1"/>
    <w:rsid w:val="00C90AFD"/>
    <w:rsid w:val="00C90B6A"/>
    <w:rsid w:val="00C90DDA"/>
    <w:rsid w:val="00C90E1F"/>
    <w:rsid w:val="00C90F89"/>
    <w:rsid w:val="00C91083"/>
    <w:rsid w:val="00C9116E"/>
    <w:rsid w:val="00C911F6"/>
    <w:rsid w:val="00C91312"/>
    <w:rsid w:val="00C9137F"/>
    <w:rsid w:val="00C914B9"/>
    <w:rsid w:val="00C914E7"/>
    <w:rsid w:val="00C91589"/>
    <w:rsid w:val="00C917C2"/>
    <w:rsid w:val="00C918E5"/>
    <w:rsid w:val="00C91997"/>
    <w:rsid w:val="00C91A0C"/>
    <w:rsid w:val="00C91C6A"/>
    <w:rsid w:val="00C91CD9"/>
    <w:rsid w:val="00C91D67"/>
    <w:rsid w:val="00C91F13"/>
    <w:rsid w:val="00C91F29"/>
    <w:rsid w:val="00C920B9"/>
    <w:rsid w:val="00C92120"/>
    <w:rsid w:val="00C9220E"/>
    <w:rsid w:val="00C9234D"/>
    <w:rsid w:val="00C923F9"/>
    <w:rsid w:val="00C9274C"/>
    <w:rsid w:val="00C92A4C"/>
    <w:rsid w:val="00C92B69"/>
    <w:rsid w:val="00C92B80"/>
    <w:rsid w:val="00C92BC0"/>
    <w:rsid w:val="00C92C45"/>
    <w:rsid w:val="00C92C92"/>
    <w:rsid w:val="00C92CA1"/>
    <w:rsid w:val="00C92FD1"/>
    <w:rsid w:val="00C92FF6"/>
    <w:rsid w:val="00C9309F"/>
    <w:rsid w:val="00C932D8"/>
    <w:rsid w:val="00C9352A"/>
    <w:rsid w:val="00C9352B"/>
    <w:rsid w:val="00C93955"/>
    <w:rsid w:val="00C93ABE"/>
    <w:rsid w:val="00C93B9E"/>
    <w:rsid w:val="00C93C20"/>
    <w:rsid w:val="00C93C3D"/>
    <w:rsid w:val="00C93E76"/>
    <w:rsid w:val="00C93EBA"/>
    <w:rsid w:val="00C93FC0"/>
    <w:rsid w:val="00C940B7"/>
    <w:rsid w:val="00C942FE"/>
    <w:rsid w:val="00C94350"/>
    <w:rsid w:val="00C9440F"/>
    <w:rsid w:val="00C944C8"/>
    <w:rsid w:val="00C944EB"/>
    <w:rsid w:val="00C946C9"/>
    <w:rsid w:val="00C949ED"/>
    <w:rsid w:val="00C94A8B"/>
    <w:rsid w:val="00C94AB7"/>
    <w:rsid w:val="00C94B82"/>
    <w:rsid w:val="00C94D4D"/>
    <w:rsid w:val="00C94EAC"/>
    <w:rsid w:val="00C94F56"/>
    <w:rsid w:val="00C9500E"/>
    <w:rsid w:val="00C950E7"/>
    <w:rsid w:val="00C95129"/>
    <w:rsid w:val="00C9541E"/>
    <w:rsid w:val="00C9544D"/>
    <w:rsid w:val="00C95475"/>
    <w:rsid w:val="00C955D8"/>
    <w:rsid w:val="00C956B9"/>
    <w:rsid w:val="00C9594B"/>
    <w:rsid w:val="00C9595A"/>
    <w:rsid w:val="00C95C3B"/>
    <w:rsid w:val="00C95E5A"/>
    <w:rsid w:val="00C95F33"/>
    <w:rsid w:val="00C95F4A"/>
    <w:rsid w:val="00C96151"/>
    <w:rsid w:val="00C962DE"/>
    <w:rsid w:val="00C9634D"/>
    <w:rsid w:val="00C96394"/>
    <w:rsid w:val="00C96429"/>
    <w:rsid w:val="00C965AF"/>
    <w:rsid w:val="00C9683D"/>
    <w:rsid w:val="00C96AD0"/>
    <w:rsid w:val="00C96B34"/>
    <w:rsid w:val="00C96B68"/>
    <w:rsid w:val="00C96C45"/>
    <w:rsid w:val="00C96C78"/>
    <w:rsid w:val="00C96D67"/>
    <w:rsid w:val="00C96D8A"/>
    <w:rsid w:val="00C96DAF"/>
    <w:rsid w:val="00C96FA0"/>
    <w:rsid w:val="00C96FF6"/>
    <w:rsid w:val="00C97018"/>
    <w:rsid w:val="00C9732F"/>
    <w:rsid w:val="00C9786F"/>
    <w:rsid w:val="00C97CDD"/>
    <w:rsid w:val="00CA000D"/>
    <w:rsid w:val="00CA001A"/>
    <w:rsid w:val="00CA0095"/>
    <w:rsid w:val="00CA015A"/>
    <w:rsid w:val="00CA0587"/>
    <w:rsid w:val="00CA07D5"/>
    <w:rsid w:val="00CA0856"/>
    <w:rsid w:val="00CA09EC"/>
    <w:rsid w:val="00CA0A7F"/>
    <w:rsid w:val="00CA0A98"/>
    <w:rsid w:val="00CA0DB1"/>
    <w:rsid w:val="00CA0DC4"/>
    <w:rsid w:val="00CA0F34"/>
    <w:rsid w:val="00CA0F4B"/>
    <w:rsid w:val="00CA1145"/>
    <w:rsid w:val="00CA11AD"/>
    <w:rsid w:val="00CA13B5"/>
    <w:rsid w:val="00CA142A"/>
    <w:rsid w:val="00CA17E5"/>
    <w:rsid w:val="00CA1805"/>
    <w:rsid w:val="00CA1848"/>
    <w:rsid w:val="00CA18AC"/>
    <w:rsid w:val="00CA19B7"/>
    <w:rsid w:val="00CA1C1B"/>
    <w:rsid w:val="00CA1D43"/>
    <w:rsid w:val="00CA1E5B"/>
    <w:rsid w:val="00CA1EA5"/>
    <w:rsid w:val="00CA1F03"/>
    <w:rsid w:val="00CA2040"/>
    <w:rsid w:val="00CA2084"/>
    <w:rsid w:val="00CA2301"/>
    <w:rsid w:val="00CA2411"/>
    <w:rsid w:val="00CA25D4"/>
    <w:rsid w:val="00CA25DD"/>
    <w:rsid w:val="00CA2859"/>
    <w:rsid w:val="00CA2DA9"/>
    <w:rsid w:val="00CA2DAB"/>
    <w:rsid w:val="00CA2E3F"/>
    <w:rsid w:val="00CA3080"/>
    <w:rsid w:val="00CA31D5"/>
    <w:rsid w:val="00CA35D4"/>
    <w:rsid w:val="00CA3607"/>
    <w:rsid w:val="00CA36E6"/>
    <w:rsid w:val="00CA3955"/>
    <w:rsid w:val="00CA3A63"/>
    <w:rsid w:val="00CA3AA7"/>
    <w:rsid w:val="00CA3B3D"/>
    <w:rsid w:val="00CA3C24"/>
    <w:rsid w:val="00CA3CF3"/>
    <w:rsid w:val="00CA3D28"/>
    <w:rsid w:val="00CA3DC7"/>
    <w:rsid w:val="00CA3E94"/>
    <w:rsid w:val="00CA3FBE"/>
    <w:rsid w:val="00CA4027"/>
    <w:rsid w:val="00CA4084"/>
    <w:rsid w:val="00CA40B7"/>
    <w:rsid w:val="00CA43D0"/>
    <w:rsid w:val="00CA4954"/>
    <w:rsid w:val="00CA49C0"/>
    <w:rsid w:val="00CA4AA7"/>
    <w:rsid w:val="00CA4AB2"/>
    <w:rsid w:val="00CA4ACD"/>
    <w:rsid w:val="00CA4C76"/>
    <w:rsid w:val="00CA4C7C"/>
    <w:rsid w:val="00CA4D4C"/>
    <w:rsid w:val="00CA4D55"/>
    <w:rsid w:val="00CA4E5F"/>
    <w:rsid w:val="00CA4EFE"/>
    <w:rsid w:val="00CA4F37"/>
    <w:rsid w:val="00CA4FEE"/>
    <w:rsid w:val="00CA513E"/>
    <w:rsid w:val="00CA5250"/>
    <w:rsid w:val="00CA5344"/>
    <w:rsid w:val="00CA5387"/>
    <w:rsid w:val="00CA53C5"/>
    <w:rsid w:val="00CA53C7"/>
    <w:rsid w:val="00CA53F3"/>
    <w:rsid w:val="00CA55DD"/>
    <w:rsid w:val="00CA5758"/>
    <w:rsid w:val="00CA5851"/>
    <w:rsid w:val="00CA58D2"/>
    <w:rsid w:val="00CA5993"/>
    <w:rsid w:val="00CA5BB2"/>
    <w:rsid w:val="00CA5C13"/>
    <w:rsid w:val="00CA5C61"/>
    <w:rsid w:val="00CA5D79"/>
    <w:rsid w:val="00CA5D9B"/>
    <w:rsid w:val="00CA5EC7"/>
    <w:rsid w:val="00CA5F7E"/>
    <w:rsid w:val="00CA5FBE"/>
    <w:rsid w:val="00CA6065"/>
    <w:rsid w:val="00CA610B"/>
    <w:rsid w:val="00CA6207"/>
    <w:rsid w:val="00CA6222"/>
    <w:rsid w:val="00CA626C"/>
    <w:rsid w:val="00CA67BC"/>
    <w:rsid w:val="00CA6A99"/>
    <w:rsid w:val="00CA6AA1"/>
    <w:rsid w:val="00CA6C10"/>
    <w:rsid w:val="00CA6FA9"/>
    <w:rsid w:val="00CA71F2"/>
    <w:rsid w:val="00CA7239"/>
    <w:rsid w:val="00CA7287"/>
    <w:rsid w:val="00CA729F"/>
    <w:rsid w:val="00CA7476"/>
    <w:rsid w:val="00CA75C5"/>
    <w:rsid w:val="00CA7620"/>
    <w:rsid w:val="00CA7940"/>
    <w:rsid w:val="00CA7AAE"/>
    <w:rsid w:val="00CA7C0D"/>
    <w:rsid w:val="00CA7C1D"/>
    <w:rsid w:val="00CA7CC6"/>
    <w:rsid w:val="00CB00BC"/>
    <w:rsid w:val="00CB0207"/>
    <w:rsid w:val="00CB0263"/>
    <w:rsid w:val="00CB027E"/>
    <w:rsid w:val="00CB03BE"/>
    <w:rsid w:val="00CB060B"/>
    <w:rsid w:val="00CB063D"/>
    <w:rsid w:val="00CB07AD"/>
    <w:rsid w:val="00CB0BCF"/>
    <w:rsid w:val="00CB0CBF"/>
    <w:rsid w:val="00CB0E54"/>
    <w:rsid w:val="00CB0EE3"/>
    <w:rsid w:val="00CB103D"/>
    <w:rsid w:val="00CB10F2"/>
    <w:rsid w:val="00CB1314"/>
    <w:rsid w:val="00CB1341"/>
    <w:rsid w:val="00CB1409"/>
    <w:rsid w:val="00CB141C"/>
    <w:rsid w:val="00CB1B03"/>
    <w:rsid w:val="00CB1E98"/>
    <w:rsid w:val="00CB21F2"/>
    <w:rsid w:val="00CB22B2"/>
    <w:rsid w:val="00CB23D0"/>
    <w:rsid w:val="00CB25A5"/>
    <w:rsid w:val="00CB261A"/>
    <w:rsid w:val="00CB271B"/>
    <w:rsid w:val="00CB273D"/>
    <w:rsid w:val="00CB27FF"/>
    <w:rsid w:val="00CB2B7A"/>
    <w:rsid w:val="00CB2C14"/>
    <w:rsid w:val="00CB2DA3"/>
    <w:rsid w:val="00CB2F1B"/>
    <w:rsid w:val="00CB31AA"/>
    <w:rsid w:val="00CB31BB"/>
    <w:rsid w:val="00CB3259"/>
    <w:rsid w:val="00CB332C"/>
    <w:rsid w:val="00CB33E4"/>
    <w:rsid w:val="00CB3402"/>
    <w:rsid w:val="00CB34E8"/>
    <w:rsid w:val="00CB366A"/>
    <w:rsid w:val="00CB3676"/>
    <w:rsid w:val="00CB3AC0"/>
    <w:rsid w:val="00CB3B2C"/>
    <w:rsid w:val="00CB3B7A"/>
    <w:rsid w:val="00CB3C0B"/>
    <w:rsid w:val="00CB3C83"/>
    <w:rsid w:val="00CB3D5A"/>
    <w:rsid w:val="00CB3F23"/>
    <w:rsid w:val="00CB3F3F"/>
    <w:rsid w:val="00CB4378"/>
    <w:rsid w:val="00CB451B"/>
    <w:rsid w:val="00CB455C"/>
    <w:rsid w:val="00CB45CC"/>
    <w:rsid w:val="00CB4623"/>
    <w:rsid w:val="00CB4681"/>
    <w:rsid w:val="00CB473C"/>
    <w:rsid w:val="00CB480B"/>
    <w:rsid w:val="00CB49D0"/>
    <w:rsid w:val="00CB4AC2"/>
    <w:rsid w:val="00CB4B5F"/>
    <w:rsid w:val="00CB4CD2"/>
    <w:rsid w:val="00CB4D7F"/>
    <w:rsid w:val="00CB4ED6"/>
    <w:rsid w:val="00CB513A"/>
    <w:rsid w:val="00CB51CC"/>
    <w:rsid w:val="00CB534E"/>
    <w:rsid w:val="00CB5407"/>
    <w:rsid w:val="00CB5620"/>
    <w:rsid w:val="00CB5736"/>
    <w:rsid w:val="00CB574E"/>
    <w:rsid w:val="00CB5892"/>
    <w:rsid w:val="00CB5AC4"/>
    <w:rsid w:val="00CB5D67"/>
    <w:rsid w:val="00CB5DC9"/>
    <w:rsid w:val="00CB5F2C"/>
    <w:rsid w:val="00CB5F57"/>
    <w:rsid w:val="00CB6192"/>
    <w:rsid w:val="00CB619F"/>
    <w:rsid w:val="00CB6397"/>
    <w:rsid w:val="00CB6497"/>
    <w:rsid w:val="00CB6511"/>
    <w:rsid w:val="00CB6B6F"/>
    <w:rsid w:val="00CB6CFC"/>
    <w:rsid w:val="00CB6D5A"/>
    <w:rsid w:val="00CB6D8D"/>
    <w:rsid w:val="00CB7026"/>
    <w:rsid w:val="00CB7463"/>
    <w:rsid w:val="00CB75F1"/>
    <w:rsid w:val="00CB7B8D"/>
    <w:rsid w:val="00CC044E"/>
    <w:rsid w:val="00CC071A"/>
    <w:rsid w:val="00CC09DE"/>
    <w:rsid w:val="00CC0AE8"/>
    <w:rsid w:val="00CC0AF0"/>
    <w:rsid w:val="00CC0D8A"/>
    <w:rsid w:val="00CC111B"/>
    <w:rsid w:val="00CC11D0"/>
    <w:rsid w:val="00CC1572"/>
    <w:rsid w:val="00CC1595"/>
    <w:rsid w:val="00CC16FB"/>
    <w:rsid w:val="00CC1770"/>
    <w:rsid w:val="00CC1803"/>
    <w:rsid w:val="00CC1876"/>
    <w:rsid w:val="00CC19FC"/>
    <w:rsid w:val="00CC1A1D"/>
    <w:rsid w:val="00CC1A5F"/>
    <w:rsid w:val="00CC1BC5"/>
    <w:rsid w:val="00CC1CB3"/>
    <w:rsid w:val="00CC1D6F"/>
    <w:rsid w:val="00CC1EE6"/>
    <w:rsid w:val="00CC2310"/>
    <w:rsid w:val="00CC2372"/>
    <w:rsid w:val="00CC2475"/>
    <w:rsid w:val="00CC247F"/>
    <w:rsid w:val="00CC24CA"/>
    <w:rsid w:val="00CC24E1"/>
    <w:rsid w:val="00CC2516"/>
    <w:rsid w:val="00CC2600"/>
    <w:rsid w:val="00CC2718"/>
    <w:rsid w:val="00CC2A87"/>
    <w:rsid w:val="00CC2ACF"/>
    <w:rsid w:val="00CC2E0D"/>
    <w:rsid w:val="00CC2F4A"/>
    <w:rsid w:val="00CC30DC"/>
    <w:rsid w:val="00CC328B"/>
    <w:rsid w:val="00CC32E6"/>
    <w:rsid w:val="00CC3350"/>
    <w:rsid w:val="00CC3B50"/>
    <w:rsid w:val="00CC3C09"/>
    <w:rsid w:val="00CC3DDF"/>
    <w:rsid w:val="00CC3ED7"/>
    <w:rsid w:val="00CC40BC"/>
    <w:rsid w:val="00CC4367"/>
    <w:rsid w:val="00CC43C4"/>
    <w:rsid w:val="00CC4443"/>
    <w:rsid w:val="00CC4572"/>
    <w:rsid w:val="00CC458A"/>
    <w:rsid w:val="00CC4960"/>
    <w:rsid w:val="00CC4987"/>
    <w:rsid w:val="00CC4FA3"/>
    <w:rsid w:val="00CC4FE0"/>
    <w:rsid w:val="00CC5042"/>
    <w:rsid w:val="00CC50A4"/>
    <w:rsid w:val="00CC5116"/>
    <w:rsid w:val="00CC51BB"/>
    <w:rsid w:val="00CC51E1"/>
    <w:rsid w:val="00CC5287"/>
    <w:rsid w:val="00CC546E"/>
    <w:rsid w:val="00CC5603"/>
    <w:rsid w:val="00CC5D78"/>
    <w:rsid w:val="00CC5E7F"/>
    <w:rsid w:val="00CC5F2B"/>
    <w:rsid w:val="00CC603D"/>
    <w:rsid w:val="00CC62DE"/>
    <w:rsid w:val="00CC63BF"/>
    <w:rsid w:val="00CC63E9"/>
    <w:rsid w:val="00CC640D"/>
    <w:rsid w:val="00CC642C"/>
    <w:rsid w:val="00CC6553"/>
    <w:rsid w:val="00CC670A"/>
    <w:rsid w:val="00CC67D4"/>
    <w:rsid w:val="00CC68DA"/>
    <w:rsid w:val="00CC6A36"/>
    <w:rsid w:val="00CC6A9B"/>
    <w:rsid w:val="00CC6CED"/>
    <w:rsid w:val="00CC6E93"/>
    <w:rsid w:val="00CC6F17"/>
    <w:rsid w:val="00CC7014"/>
    <w:rsid w:val="00CC722E"/>
    <w:rsid w:val="00CC7387"/>
    <w:rsid w:val="00CC73CE"/>
    <w:rsid w:val="00CC740F"/>
    <w:rsid w:val="00CC74F4"/>
    <w:rsid w:val="00CC7789"/>
    <w:rsid w:val="00CC77DC"/>
    <w:rsid w:val="00CC78E2"/>
    <w:rsid w:val="00CC7913"/>
    <w:rsid w:val="00CC7939"/>
    <w:rsid w:val="00CC797A"/>
    <w:rsid w:val="00CC7A63"/>
    <w:rsid w:val="00CC7AE3"/>
    <w:rsid w:val="00CC7B80"/>
    <w:rsid w:val="00CD0034"/>
    <w:rsid w:val="00CD0070"/>
    <w:rsid w:val="00CD00CA"/>
    <w:rsid w:val="00CD01FC"/>
    <w:rsid w:val="00CD026F"/>
    <w:rsid w:val="00CD0421"/>
    <w:rsid w:val="00CD056B"/>
    <w:rsid w:val="00CD0626"/>
    <w:rsid w:val="00CD0754"/>
    <w:rsid w:val="00CD08B4"/>
    <w:rsid w:val="00CD0971"/>
    <w:rsid w:val="00CD0D42"/>
    <w:rsid w:val="00CD0E7E"/>
    <w:rsid w:val="00CD11CB"/>
    <w:rsid w:val="00CD12C7"/>
    <w:rsid w:val="00CD13B4"/>
    <w:rsid w:val="00CD1465"/>
    <w:rsid w:val="00CD1482"/>
    <w:rsid w:val="00CD183B"/>
    <w:rsid w:val="00CD194C"/>
    <w:rsid w:val="00CD1977"/>
    <w:rsid w:val="00CD1A1A"/>
    <w:rsid w:val="00CD1AB8"/>
    <w:rsid w:val="00CD1E10"/>
    <w:rsid w:val="00CD1E6C"/>
    <w:rsid w:val="00CD200B"/>
    <w:rsid w:val="00CD2156"/>
    <w:rsid w:val="00CD21AE"/>
    <w:rsid w:val="00CD2409"/>
    <w:rsid w:val="00CD24C2"/>
    <w:rsid w:val="00CD24FA"/>
    <w:rsid w:val="00CD29EC"/>
    <w:rsid w:val="00CD29F7"/>
    <w:rsid w:val="00CD2ACE"/>
    <w:rsid w:val="00CD2BAB"/>
    <w:rsid w:val="00CD2DFF"/>
    <w:rsid w:val="00CD30A4"/>
    <w:rsid w:val="00CD31B9"/>
    <w:rsid w:val="00CD322E"/>
    <w:rsid w:val="00CD323E"/>
    <w:rsid w:val="00CD34FB"/>
    <w:rsid w:val="00CD36B3"/>
    <w:rsid w:val="00CD37A6"/>
    <w:rsid w:val="00CD3830"/>
    <w:rsid w:val="00CD3A92"/>
    <w:rsid w:val="00CD3B5B"/>
    <w:rsid w:val="00CD3CE7"/>
    <w:rsid w:val="00CD3DB0"/>
    <w:rsid w:val="00CD3DBB"/>
    <w:rsid w:val="00CD3DC3"/>
    <w:rsid w:val="00CD3E90"/>
    <w:rsid w:val="00CD3F6A"/>
    <w:rsid w:val="00CD45F5"/>
    <w:rsid w:val="00CD4725"/>
    <w:rsid w:val="00CD490E"/>
    <w:rsid w:val="00CD4A17"/>
    <w:rsid w:val="00CD4B1E"/>
    <w:rsid w:val="00CD4C7A"/>
    <w:rsid w:val="00CD4D87"/>
    <w:rsid w:val="00CD4D8E"/>
    <w:rsid w:val="00CD4DC2"/>
    <w:rsid w:val="00CD4E69"/>
    <w:rsid w:val="00CD4E8D"/>
    <w:rsid w:val="00CD4F53"/>
    <w:rsid w:val="00CD4FAF"/>
    <w:rsid w:val="00CD5061"/>
    <w:rsid w:val="00CD51AC"/>
    <w:rsid w:val="00CD5306"/>
    <w:rsid w:val="00CD5647"/>
    <w:rsid w:val="00CD575B"/>
    <w:rsid w:val="00CD57F9"/>
    <w:rsid w:val="00CD5A48"/>
    <w:rsid w:val="00CD5A63"/>
    <w:rsid w:val="00CD5BAD"/>
    <w:rsid w:val="00CD5D05"/>
    <w:rsid w:val="00CD5D66"/>
    <w:rsid w:val="00CD5FE9"/>
    <w:rsid w:val="00CD5FF9"/>
    <w:rsid w:val="00CD606F"/>
    <w:rsid w:val="00CD60CF"/>
    <w:rsid w:val="00CD63E2"/>
    <w:rsid w:val="00CD6568"/>
    <w:rsid w:val="00CD6695"/>
    <w:rsid w:val="00CD6757"/>
    <w:rsid w:val="00CD67B4"/>
    <w:rsid w:val="00CD67C1"/>
    <w:rsid w:val="00CD680F"/>
    <w:rsid w:val="00CD688D"/>
    <w:rsid w:val="00CD698A"/>
    <w:rsid w:val="00CD6AEB"/>
    <w:rsid w:val="00CD6B56"/>
    <w:rsid w:val="00CD6D12"/>
    <w:rsid w:val="00CD6D14"/>
    <w:rsid w:val="00CD6D1D"/>
    <w:rsid w:val="00CD7092"/>
    <w:rsid w:val="00CD7359"/>
    <w:rsid w:val="00CD7410"/>
    <w:rsid w:val="00CD7690"/>
    <w:rsid w:val="00CD7727"/>
    <w:rsid w:val="00CD77EB"/>
    <w:rsid w:val="00CD791D"/>
    <w:rsid w:val="00CD7B27"/>
    <w:rsid w:val="00CD7BB0"/>
    <w:rsid w:val="00CD7D31"/>
    <w:rsid w:val="00CD7F8E"/>
    <w:rsid w:val="00CD7FE9"/>
    <w:rsid w:val="00CD7FEF"/>
    <w:rsid w:val="00CE0180"/>
    <w:rsid w:val="00CE023A"/>
    <w:rsid w:val="00CE026A"/>
    <w:rsid w:val="00CE0386"/>
    <w:rsid w:val="00CE0533"/>
    <w:rsid w:val="00CE0613"/>
    <w:rsid w:val="00CE06EF"/>
    <w:rsid w:val="00CE0927"/>
    <w:rsid w:val="00CE0957"/>
    <w:rsid w:val="00CE0CBD"/>
    <w:rsid w:val="00CE0F67"/>
    <w:rsid w:val="00CE104B"/>
    <w:rsid w:val="00CE119B"/>
    <w:rsid w:val="00CE119D"/>
    <w:rsid w:val="00CE12A4"/>
    <w:rsid w:val="00CE145D"/>
    <w:rsid w:val="00CE1754"/>
    <w:rsid w:val="00CE17D6"/>
    <w:rsid w:val="00CE1974"/>
    <w:rsid w:val="00CE1AF2"/>
    <w:rsid w:val="00CE2001"/>
    <w:rsid w:val="00CE2014"/>
    <w:rsid w:val="00CE2046"/>
    <w:rsid w:val="00CE2098"/>
    <w:rsid w:val="00CE211A"/>
    <w:rsid w:val="00CE23AB"/>
    <w:rsid w:val="00CE25F5"/>
    <w:rsid w:val="00CE26BE"/>
    <w:rsid w:val="00CE2720"/>
    <w:rsid w:val="00CE2858"/>
    <w:rsid w:val="00CE2A03"/>
    <w:rsid w:val="00CE2DA0"/>
    <w:rsid w:val="00CE2E21"/>
    <w:rsid w:val="00CE2E32"/>
    <w:rsid w:val="00CE2E4B"/>
    <w:rsid w:val="00CE2FC7"/>
    <w:rsid w:val="00CE3101"/>
    <w:rsid w:val="00CE335E"/>
    <w:rsid w:val="00CE336B"/>
    <w:rsid w:val="00CE33BC"/>
    <w:rsid w:val="00CE33F5"/>
    <w:rsid w:val="00CE38F5"/>
    <w:rsid w:val="00CE39F8"/>
    <w:rsid w:val="00CE3A68"/>
    <w:rsid w:val="00CE3AD1"/>
    <w:rsid w:val="00CE3D74"/>
    <w:rsid w:val="00CE3D89"/>
    <w:rsid w:val="00CE4011"/>
    <w:rsid w:val="00CE4098"/>
    <w:rsid w:val="00CE4265"/>
    <w:rsid w:val="00CE4336"/>
    <w:rsid w:val="00CE433F"/>
    <w:rsid w:val="00CE4525"/>
    <w:rsid w:val="00CE48C1"/>
    <w:rsid w:val="00CE49AE"/>
    <w:rsid w:val="00CE4A02"/>
    <w:rsid w:val="00CE4C22"/>
    <w:rsid w:val="00CE4C76"/>
    <w:rsid w:val="00CE4DF0"/>
    <w:rsid w:val="00CE4E52"/>
    <w:rsid w:val="00CE4E97"/>
    <w:rsid w:val="00CE4EF2"/>
    <w:rsid w:val="00CE4F18"/>
    <w:rsid w:val="00CE4F35"/>
    <w:rsid w:val="00CE507C"/>
    <w:rsid w:val="00CE50B2"/>
    <w:rsid w:val="00CE537E"/>
    <w:rsid w:val="00CE551B"/>
    <w:rsid w:val="00CE57A4"/>
    <w:rsid w:val="00CE5819"/>
    <w:rsid w:val="00CE59B1"/>
    <w:rsid w:val="00CE59EF"/>
    <w:rsid w:val="00CE5C2C"/>
    <w:rsid w:val="00CE5E8F"/>
    <w:rsid w:val="00CE6191"/>
    <w:rsid w:val="00CE6274"/>
    <w:rsid w:val="00CE62B8"/>
    <w:rsid w:val="00CE662B"/>
    <w:rsid w:val="00CE6688"/>
    <w:rsid w:val="00CE67AC"/>
    <w:rsid w:val="00CE6850"/>
    <w:rsid w:val="00CE696B"/>
    <w:rsid w:val="00CE696E"/>
    <w:rsid w:val="00CE6A43"/>
    <w:rsid w:val="00CE6B21"/>
    <w:rsid w:val="00CE6B47"/>
    <w:rsid w:val="00CE6BC4"/>
    <w:rsid w:val="00CE6CBD"/>
    <w:rsid w:val="00CE6D38"/>
    <w:rsid w:val="00CE6D45"/>
    <w:rsid w:val="00CE6E75"/>
    <w:rsid w:val="00CE6F41"/>
    <w:rsid w:val="00CE7150"/>
    <w:rsid w:val="00CE7287"/>
    <w:rsid w:val="00CE74EA"/>
    <w:rsid w:val="00CE7594"/>
    <w:rsid w:val="00CE7766"/>
    <w:rsid w:val="00CE77A5"/>
    <w:rsid w:val="00CE798A"/>
    <w:rsid w:val="00CE7ABA"/>
    <w:rsid w:val="00CE7E79"/>
    <w:rsid w:val="00CE7E8D"/>
    <w:rsid w:val="00CE7EB9"/>
    <w:rsid w:val="00CE7F6B"/>
    <w:rsid w:val="00CE7F71"/>
    <w:rsid w:val="00CF01D0"/>
    <w:rsid w:val="00CF026C"/>
    <w:rsid w:val="00CF03D8"/>
    <w:rsid w:val="00CF03E3"/>
    <w:rsid w:val="00CF04DF"/>
    <w:rsid w:val="00CF0529"/>
    <w:rsid w:val="00CF0536"/>
    <w:rsid w:val="00CF05A8"/>
    <w:rsid w:val="00CF07F5"/>
    <w:rsid w:val="00CF0851"/>
    <w:rsid w:val="00CF0996"/>
    <w:rsid w:val="00CF09EC"/>
    <w:rsid w:val="00CF0A54"/>
    <w:rsid w:val="00CF0DE6"/>
    <w:rsid w:val="00CF17AC"/>
    <w:rsid w:val="00CF18E7"/>
    <w:rsid w:val="00CF1B8E"/>
    <w:rsid w:val="00CF1C64"/>
    <w:rsid w:val="00CF1C83"/>
    <w:rsid w:val="00CF1D54"/>
    <w:rsid w:val="00CF1E63"/>
    <w:rsid w:val="00CF2043"/>
    <w:rsid w:val="00CF2181"/>
    <w:rsid w:val="00CF22EC"/>
    <w:rsid w:val="00CF2382"/>
    <w:rsid w:val="00CF23B2"/>
    <w:rsid w:val="00CF2502"/>
    <w:rsid w:val="00CF252E"/>
    <w:rsid w:val="00CF267F"/>
    <w:rsid w:val="00CF26D5"/>
    <w:rsid w:val="00CF27B2"/>
    <w:rsid w:val="00CF2880"/>
    <w:rsid w:val="00CF2996"/>
    <w:rsid w:val="00CF2D78"/>
    <w:rsid w:val="00CF30A3"/>
    <w:rsid w:val="00CF31A1"/>
    <w:rsid w:val="00CF31FE"/>
    <w:rsid w:val="00CF32A8"/>
    <w:rsid w:val="00CF32E9"/>
    <w:rsid w:val="00CF3646"/>
    <w:rsid w:val="00CF36AC"/>
    <w:rsid w:val="00CF374C"/>
    <w:rsid w:val="00CF38E1"/>
    <w:rsid w:val="00CF38F1"/>
    <w:rsid w:val="00CF3927"/>
    <w:rsid w:val="00CF3986"/>
    <w:rsid w:val="00CF3BC7"/>
    <w:rsid w:val="00CF3D3C"/>
    <w:rsid w:val="00CF3E29"/>
    <w:rsid w:val="00CF3E3B"/>
    <w:rsid w:val="00CF3F2C"/>
    <w:rsid w:val="00CF4161"/>
    <w:rsid w:val="00CF41F5"/>
    <w:rsid w:val="00CF4341"/>
    <w:rsid w:val="00CF43A9"/>
    <w:rsid w:val="00CF4555"/>
    <w:rsid w:val="00CF4658"/>
    <w:rsid w:val="00CF49CF"/>
    <w:rsid w:val="00CF49E8"/>
    <w:rsid w:val="00CF4A64"/>
    <w:rsid w:val="00CF4C89"/>
    <w:rsid w:val="00CF4E3B"/>
    <w:rsid w:val="00CF4F0E"/>
    <w:rsid w:val="00CF5074"/>
    <w:rsid w:val="00CF50A0"/>
    <w:rsid w:val="00CF50B9"/>
    <w:rsid w:val="00CF521D"/>
    <w:rsid w:val="00CF528D"/>
    <w:rsid w:val="00CF5445"/>
    <w:rsid w:val="00CF56CA"/>
    <w:rsid w:val="00CF581C"/>
    <w:rsid w:val="00CF5A0D"/>
    <w:rsid w:val="00CF5EC5"/>
    <w:rsid w:val="00CF5F01"/>
    <w:rsid w:val="00CF5F8A"/>
    <w:rsid w:val="00CF6053"/>
    <w:rsid w:val="00CF6348"/>
    <w:rsid w:val="00CF6367"/>
    <w:rsid w:val="00CF6436"/>
    <w:rsid w:val="00CF647A"/>
    <w:rsid w:val="00CF64AC"/>
    <w:rsid w:val="00CF64FD"/>
    <w:rsid w:val="00CF6527"/>
    <w:rsid w:val="00CF675C"/>
    <w:rsid w:val="00CF6761"/>
    <w:rsid w:val="00CF67E1"/>
    <w:rsid w:val="00CF6911"/>
    <w:rsid w:val="00CF6950"/>
    <w:rsid w:val="00CF6A70"/>
    <w:rsid w:val="00CF6AB4"/>
    <w:rsid w:val="00CF6E15"/>
    <w:rsid w:val="00CF6E2B"/>
    <w:rsid w:val="00CF6E57"/>
    <w:rsid w:val="00CF6E5E"/>
    <w:rsid w:val="00CF6EA6"/>
    <w:rsid w:val="00CF7150"/>
    <w:rsid w:val="00CF71A8"/>
    <w:rsid w:val="00CF71E0"/>
    <w:rsid w:val="00CF72F8"/>
    <w:rsid w:val="00CF7434"/>
    <w:rsid w:val="00CF74BA"/>
    <w:rsid w:val="00CF79F8"/>
    <w:rsid w:val="00CF7D00"/>
    <w:rsid w:val="00CF7D2A"/>
    <w:rsid w:val="00CF7E86"/>
    <w:rsid w:val="00D00308"/>
    <w:rsid w:val="00D003B5"/>
    <w:rsid w:val="00D0040B"/>
    <w:rsid w:val="00D00537"/>
    <w:rsid w:val="00D0064F"/>
    <w:rsid w:val="00D0088C"/>
    <w:rsid w:val="00D00935"/>
    <w:rsid w:val="00D009C6"/>
    <w:rsid w:val="00D00C2E"/>
    <w:rsid w:val="00D00D60"/>
    <w:rsid w:val="00D00DBA"/>
    <w:rsid w:val="00D00EB5"/>
    <w:rsid w:val="00D01018"/>
    <w:rsid w:val="00D01068"/>
    <w:rsid w:val="00D012EB"/>
    <w:rsid w:val="00D01372"/>
    <w:rsid w:val="00D013A9"/>
    <w:rsid w:val="00D016DD"/>
    <w:rsid w:val="00D01806"/>
    <w:rsid w:val="00D01899"/>
    <w:rsid w:val="00D01985"/>
    <w:rsid w:val="00D01A0B"/>
    <w:rsid w:val="00D01A89"/>
    <w:rsid w:val="00D02189"/>
    <w:rsid w:val="00D02241"/>
    <w:rsid w:val="00D02335"/>
    <w:rsid w:val="00D02400"/>
    <w:rsid w:val="00D026C7"/>
    <w:rsid w:val="00D027C4"/>
    <w:rsid w:val="00D02817"/>
    <w:rsid w:val="00D02854"/>
    <w:rsid w:val="00D02950"/>
    <w:rsid w:val="00D02A8A"/>
    <w:rsid w:val="00D02A98"/>
    <w:rsid w:val="00D02B29"/>
    <w:rsid w:val="00D02B48"/>
    <w:rsid w:val="00D02C17"/>
    <w:rsid w:val="00D02DE8"/>
    <w:rsid w:val="00D03085"/>
    <w:rsid w:val="00D031EE"/>
    <w:rsid w:val="00D032B5"/>
    <w:rsid w:val="00D032E5"/>
    <w:rsid w:val="00D03384"/>
    <w:rsid w:val="00D0344A"/>
    <w:rsid w:val="00D034D6"/>
    <w:rsid w:val="00D03644"/>
    <w:rsid w:val="00D038E6"/>
    <w:rsid w:val="00D03A04"/>
    <w:rsid w:val="00D03A96"/>
    <w:rsid w:val="00D03B7C"/>
    <w:rsid w:val="00D03BDD"/>
    <w:rsid w:val="00D03E7F"/>
    <w:rsid w:val="00D03EBC"/>
    <w:rsid w:val="00D04058"/>
    <w:rsid w:val="00D041A8"/>
    <w:rsid w:val="00D041E2"/>
    <w:rsid w:val="00D04429"/>
    <w:rsid w:val="00D0464B"/>
    <w:rsid w:val="00D048DA"/>
    <w:rsid w:val="00D04963"/>
    <w:rsid w:val="00D04C43"/>
    <w:rsid w:val="00D05065"/>
    <w:rsid w:val="00D051D6"/>
    <w:rsid w:val="00D05284"/>
    <w:rsid w:val="00D053A0"/>
    <w:rsid w:val="00D05547"/>
    <w:rsid w:val="00D0576A"/>
    <w:rsid w:val="00D05818"/>
    <w:rsid w:val="00D05990"/>
    <w:rsid w:val="00D059E9"/>
    <w:rsid w:val="00D05C17"/>
    <w:rsid w:val="00D05D6B"/>
    <w:rsid w:val="00D05EA8"/>
    <w:rsid w:val="00D06172"/>
    <w:rsid w:val="00D06202"/>
    <w:rsid w:val="00D0632F"/>
    <w:rsid w:val="00D06357"/>
    <w:rsid w:val="00D063F2"/>
    <w:rsid w:val="00D06478"/>
    <w:rsid w:val="00D06494"/>
    <w:rsid w:val="00D06560"/>
    <w:rsid w:val="00D06571"/>
    <w:rsid w:val="00D06586"/>
    <w:rsid w:val="00D06640"/>
    <w:rsid w:val="00D0687D"/>
    <w:rsid w:val="00D068FA"/>
    <w:rsid w:val="00D06922"/>
    <w:rsid w:val="00D06A58"/>
    <w:rsid w:val="00D06A9B"/>
    <w:rsid w:val="00D06CC2"/>
    <w:rsid w:val="00D06D34"/>
    <w:rsid w:val="00D06DF3"/>
    <w:rsid w:val="00D06EEA"/>
    <w:rsid w:val="00D07109"/>
    <w:rsid w:val="00D07155"/>
    <w:rsid w:val="00D07319"/>
    <w:rsid w:val="00D07408"/>
    <w:rsid w:val="00D0750B"/>
    <w:rsid w:val="00D0752F"/>
    <w:rsid w:val="00D07BAC"/>
    <w:rsid w:val="00D101F7"/>
    <w:rsid w:val="00D104B2"/>
    <w:rsid w:val="00D10647"/>
    <w:rsid w:val="00D106A7"/>
    <w:rsid w:val="00D10805"/>
    <w:rsid w:val="00D10927"/>
    <w:rsid w:val="00D10AF7"/>
    <w:rsid w:val="00D10B58"/>
    <w:rsid w:val="00D10C92"/>
    <w:rsid w:val="00D10D6E"/>
    <w:rsid w:val="00D10EF0"/>
    <w:rsid w:val="00D10F86"/>
    <w:rsid w:val="00D11276"/>
    <w:rsid w:val="00D114D5"/>
    <w:rsid w:val="00D116E7"/>
    <w:rsid w:val="00D11C06"/>
    <w:rsid w:val="00D11E8C"/>
    <w:rsid w:val="00D12006"/>
    <w:rsid w:val="00D12174"/>
    <w:rsid w:val="00D121C5"/>
    <w:rsid w:val="00D128D7"/>
    <w:rsid w:val="00D12AA5"/>
    <w:rsid w:val="00D12B2D"/>
    <w:rsid w:val="00D12C23"/>
    <w:rsid w:val="00D12D64"/>
    <w:rsid w:val="00D12F80"/>
    <w:rsid w:val="00D1305A"/>
    <w:rsid w:val="00D132C6"/>
    <w:rsid w:val="00D13325"/>
    <w:rsid w:val="00D133AD"/>
    <w:rsid w:val="00D13467"/>
    <w:rsid w:val="00D1349A"/>
    <w:rsid w:val="00D1349F"/>
    <w:rsid w:val="00D13522"/>
    <w:rsid w:val="00D13732"/>
    <w:rsid w:val="00D13756"/>
    <w:rsid w:val="00D13EEA"/>
    <w:rsid w:val="00D13FAA"/>
    <w:rsid w:val="00D13FB2"/>
    <w:rsid w:val="00D14119"/>
    <w:rsid w:val="00D1411A"/>
    <w:rsid w:val="00D14225"/>
    <w:rsid w:val="00D14550"/>
    <w:rsid w:val="00D146FB"/>
    <w:rsid w:val="00D14AA6"/>
    <w:rsid w:val="00D14AAE"/>
    <w:rsid w:val="00D14AC9"/>
    <w:rsid w:val="00D14DF5"/>
    <w:rsid w:val="00D15124"/>
    <w:rsid w:val="00D151E2"/>
    <w:rsid w:val="00D15451"/>
    <w:rsid w:val="00D15736"/>
    <w:rsid w:val="00D1575A"/>
    <w:rsid w:val="00D157B0"/>
    <w:rsid w:val="00D157B6"/>
    <w:rsid w:val="00D15D2C"/>
    <w:rsid w:val="00D15F20"/>
    <w:rsid w:val="00D1601F"/>
    <w:rsid w:val="00D1608A"/>
    <w:rsid w:val="00D161DA"/>
    <w:rsid w:val="00D16280"/>
    <w:rsid w:val="00D162C5"/>
    <w:rsid w:val="00D162EA"/>
    <w:rsid w:val="00D16313"/>
    <w:rsid w:val="00D1632A"/>
    <w:rsid w:val="00D163AE"/>
    <w:rsid w:val="00D16499"/>
    <w:rsid w:val="00D1652C"/>
    <w:rsid w:val="00D166D2"/>
    <w:rsid w:val="00D16815"/>
    <w:rsid w:val="00D16874"/>
    <w:rsid w:val="00D169BE"/>
    <w:rsid w:val="00D16A9D"/>
    <w:rsid w:val="00D16B2A"/>
    <w:rsid w:val="00D16B49"/>
    <w:rsid w:val="00D16BA9"/>
    <w:rsid w:val="00D16C1C"/>
    <w:rsid w:val="00D16CD7"/>
    <w:rsid w:val="00D16D50"/>
    <w:rsid w:val="00D16E17"/>
    <w:rsid w:val="00D16EE0"/>
    <w:rsid w:val="00D1710B"/>
    <w:rsid w:val="00D1713B"/>
    <w:rsid w:val="00D17656"/>
    <w:rsid w:val="00D17774"/>
    <w:rsid w:val="00D1784D"/>
    <w:rsid w:val="00D178FD"/>
    <w:rsid w:val="00D17BB1"/>
    <w:rsid w:val="00D17C6C"/>
    <w:rsid w:val="00D17ECD"/>
    <w:rsid w:val="00D17F39"/>
    <w:rsid w:val="00D200DC"/>
    <w:rsid w:val="00D201DC"/>
    <w:rsid w:val="00D202C2"/>
    <w:rsid w:val="00D20361"/>
    <w:rsid w:val="00D2042A"/>
    <w:rsid w:val="00D20917"/>
    <w:rsid w:val="00D20A32"/>
    <w:rsid w:val="00D20B77"/>
    <w:rsid w:val="00D20D01"/>
    <w:rsid w:val="00D20D4B"/>
    <w:rsid w:val="00D20EAF"/>
    <w:rsid w:val="00D210EC"/>
    <w:rsid w:val="00D2139F"/>
    <w:rsid w:val="00D21500"/>
    <w:rsid w:val="00D21523"/>
    <w:rsid w:val="00D21591"/>
    <w:rsid w:val="00D21A07"/>
    <w:rsid w:val="00D21B97"/>
    <w:rsid w:val="00D21E7C"/>
    <w:rsid w:val="00D21F29"/>
    <w:rsid w:val="00D21FCF"/>
    <w:rsid w:val="00D223C5"/>
    <w:rsid w:val="00D22426"/>
    <w:rsid w:val="00D2262B"/>
    <w:rsid w:val="00D226FF"/>
    <w:rsid w:val="00D22783"/>
    <w:rsid w:val="00D227B3"/>
    <w:rsid w:val="00D228AC"/>
    <w:rsid w:val="00D22929"/>
    <w:rsid w:val="00D22A09"/>
    <w:rsid w:val="00D22A6B"/>
    <w:rsid w:val="00D22AA7"/>
    <w:rsid w:val="00D22BC4"/>
    <w:rsid w:val="00D2301A"/>
    <w:rsid w:val="00D23109"/>
    <w:rsid w:val="00D23195"/>
    <w:rsid w:val="00D231CC"/>
    <w:rsid w:val="00D2328C"/>
    <w:rsid w:val="00D2337D"/>
    <w:rsid w:val="00D2341E"/>
    <w:rsid w:val="00D23573"/>
    <w:rsid w:val="00D23A64"/>
    <w:rsid w:val="00D23E15"/>
    <w:rsid w:val="00D23EE2"/>
    <w:rsid w:val="00D24107"/>
    <w:rsid w:val="00D2424F"/>
    <w:rsid w:val="00D246D6"/>
    <w:rsid w:val="00D24752"/>
    <w:rsid w:val="00D2476A"/>
    <w:rsid w:val="00D2487A"/>
    <w:rsid w:val="00D248A8"/>
    <w:rsid w:val="00D24960"/>
    <w:rsid w:val="00D24ABB"/>
    <w:rsid w:val="00D24B13"/>
    <w:rsid w:val="00D24CE7"/>
    <w:rsid w:val="00D24F51"/>
    <w:rsid w:val="00D24F9C"/>
    <w:rsid w:val="00D250A5"/>
    <w:rsid w:val="00D252CD"/>
    <w:rsid w:val="00D25404"/>
    <w:rsid w:val="00D254BE"/>
    <w:rsid w:val="00D2560C"/>
    <w:rsid w:val="00D25703"/>
    <w:rsid w:val="00D259FE"/>
    <w:rsid w:val="00D260A7"/>
    <w:rsid w:val="00D26208"/>
    <w:rsid w:val="00D262A2"/>
    <w:rsid w:val="00D26476"/>
    <w:rsid w:val="00D26662"/>
    <w:rsid w:val="00D268A2"/>
    <w:rsid w:val="00D26925"/>
    <w:rsid w:val="00D26CF9"/>
    <w:rsid w:val="00D26D2B"/>
    <w:rsid w:val="00D26E57"/>
    <w:rsid w:val="00D26E96"/>
    <w:rsid w:val="00D26EF1"/>
    <w:rsid w:val="00D27096"/>
    <w:rsid w:val="00D270F9"/>
    <w:rsid w:val="00D2717C"/>
    <w:rsid w:val="00D273BD"/>
    <w:rsid w:val="00D27638"/>
    <w:rsid w:val="00D27731"/>
    <w:rsid w:val="00D27779"/>
    <w:rsid w:val="00D27987"/>
    <w:rsid w:val="00D27A07"/>
    <w:rsid w:val="00D27A2F"/>
    <w:rsid w:val="00D27AF4"/>
    <w:rsid w:val="00D27D6B"/>
    <w:rsid w:val="00D308B2"/>
    <w:rsid w:val="00D30A2B"/>
    <w:rsid w:val="00D30B5E"/>
    <w:rsid w:val="00D30D23"/>
    <w:rsid w:val="00D30DD4"/>
    <w:rsid w:val="00D31250"/>
    <w:rsid w:val="00D3143B"/>
    <w:rsid w:val="00D31449"/>
    <w:rsid w:val="00D31516"/>
    <w:rsid w:val="00D3160A"/>
    <w:rsid w:val="00D317B2"/>
    <w:rsid w:val="00D31886"/>
    <w:rsid w:val="00D318B7"/>
    <w:rsid w:val="00D31B49"/>
    <w:rsid w:val="00D31E6A"/>
    <w:rsid w:val="00D31EE4"/>
    <w:rsid w:val="00D3202F"/>
    <w:rsid w:val="00D32163"/>
    <w:rsid w:val="00D3246C"/>
    <w:rsid w:val="00D32479"/>
    <w:rsid w:val="00D3258A"/>
    <w:rsid w:val="00D326A9"/>
    <w:rsid w:val="00D326E8"/>
    <w:rsid w:val="00D327C8"/>
    <w:rsid w:val="00D328BE"/>
    <w:rsid w:val="00D32C4B"/>
    <w:rsid w:val="00D3304D"/>
    <w:rsid w:val="00D33100"/>
    <w:rsid w:val="00D3332B"/>
    <w:rsid w:val="00D33360"/>
    <w:rsid w:val="00D33905"/>
    <w:rsid w:val="00D33998"/>
    <w:rsid w:val="00D33A66"/>
    <w:rsid w:val="00D33A89"/>
    <w:rsid w:val="00D33CFC"/>
    <w:rsid w:val="00D33E3B"/>
    <w:rsid w:val="00D33F3A"/>
    <w:rsid w:val="00D341BA"/>
    <w:rsid w:val="00D341FE"/>
    <w:rsid w:val="00D3450E"/>
    <w:rsid w:val="00D34634"/>
    <w:rsid w:val="00D347F8"/>
    <w:rsid w:val="00D348D7"/>
    <w:rsid w:val="00D349F3"/>
    <w:rsid w:val="00D34B8F"/>
    <w:rsid w:val="00D34C2A"/>
    <w:rsid w:val="00D350B4"/>
    <w:rsid w:val="00D351D7"/>
    <w:rsid w:val="00D35568"/>
    <w:rsid w:val="00D356B5"/>
    <w:rsid w:val="00D35709"/>
    <w:rsid w:val="00D35756"/>
    <w:rsid w:val="00D35778"/>
    <w:rsid w:val="00D357C5"/>
    <w:rsid w:val="00D35801"/>
    <w:rsid w:val="00D3583E"/>
    <w:rsid w:val="00D358F6"/>
    <w:rsid w:val="00D35917"/>
    <w:rsid w:val="00D3596D"/>
    <w:rsid w:val="00D35B06"/>
    <w:rsid w:val="00D35B3B"/>
    <w:rsid w:val="00D35C8B"/>
    <w:rsid w:val="00D35D85"/>
    <w:rsid w:val="00D35DCA"/>
    <w:rsid w:val="00D35ED9"/>
    <w:rsid w:val="00D360A9"/>
    <w:rsid w:val="00D3621E"/>
    <w:rsid w:val="00D362AC"/>
    <w:rsid w:val="00D362F9"/>
    <w:rsid w:val="00D364E2"/>
    <w:rsid w:val="00D36A14"/>
    <w:rsid w:val="00D36A57"/>
    <w:rsid w:val="00D36A81"/>
    <w:rsid w:val="00D36B31"/>
    <w:rsid w:val="00D36BA1"/>
    <w:rsid w:val="00D36C17"/>
    <w:rsid w:val="00D36D5E"/>
    <w:rsid w:val="00D36F35"/>
    <w:rsid w:val="00D36F54"/>
    <w:rsid w:val="00D36F74"/>
    <w:rsid w:val="00D36FAC"/>
    <w:rsid w:val="00D373AB"/>
    <w:rsid w:val="00D3746D"/>
    <w:rsid w:val="00D37553"/>
    <w:rsid w:val="00D37756"/>
    <w:rsid w:val="00D37842"/>
    <w:rsid w:val="00D37987"/>
    <w:rsid w:val="00D37A95"/>
    <w:rsid w:val="00D37BBF"/>
    <w:rsid w:val="00D37CCD"/>
    <w:rsid w:val="00D37EB0"/>
    <w:rsid w:val="00D37FD1"/>
    <w:rsid w:val="00D40069"/>
    <w:rsid w:val="00D400E4"/>
    <w:rsid w:val="00D40265"/>
    <w:rsid w:val="00D4033F"/>
    <w:rsid w:val="00D4047D"/>
    <w:rsid w:val="00D405AE"/>
    <w:rsid w:val="00D40895"/>
    <w:rsid w:val="00D408A4"/>
    <w:rsid w:val="00D40EB3"/>
    <w:rsid w:val="00D40EB7"/>
    <w:rsid w:val="00D41185"/>
    <w:rsid w:val="00D412D8"/>
    <w:rsid w:val="00D413A3"/>
    <w:rsid w:val="00D41853"/>
    <w:rsid w:val="00D419A9"/>
    <w:rsid w:val="00D419BD"/>
    <w:rsid w:val="00D41ABE"/>
    <w:rsid w:val="00D41B58"/>
    <w:rsid w:val="00D41E4B"/>
    <w:rsid w:val="00D41F1F"/>
    <w:rsid w:val="00D4226B"/>
    <w:rsid w:val="00D42315"/>
    <w:rsid w:val="00D42423"/>
    <w:rsid w:val="00D42633"/>
    <w:rsid w:val="00D42ACE"/>
    <w:rsid w:val="00D42D34"/>
    <w:rsid w:val="00D42F02"/>
    <w:rsid w:val="00D4325A"/>
    <w:rsid w:val="00D433A1"/>
    <w:rsid w:val="00D43567"/>
    <w:rsid w:val="00D43586"/>
    <w:rsid w:val="00D435A4"/>
    <w:rsid w:val="00D435E4"/>
    <w:rsid w:val="00D43622"/>
    <w:rsid w:val="00D4365E"/>
    <w:rsid w:val="00D436CC"/>
    <w:rsid w:val="00D437F4"/>
    <w:rsid w:val="00D4398A"/>
    <w:rsid w:val="00D43A45"/>
    <w:rsid w:val="00D43AD6"/>
    <w:rsid w:val="00D44190"/>
    <w:rsid w:val="00D44195"/>
    <w:rsid w:val="00D44310"/>
    <w:rsid w:val="00D444A3"/>
    <w:rsid w:val="00D44646"/>
    <w:rsid w:val="00D44B02"/>
    <w:rsid w:val="00D44B09"/>
    <w:rsid w:val="00D44CCF"/>
    <w:rsid w:val="00D45014"/>
    <w:rsid w:val="00D45060"/>
    <w:rsid w:val="00D45461"/>
    <w:rsid w:val="00D45583"/>
    <w:rsid w:val="00D455F1"/>
    <w:rsid w:val="00D45623"/>
    <w:rsid w:val="00D45650"/>
    <w:rsid w:val="00D456A1"/>
    <w:rsid w:val="00D457EC"/>
    <w:rsid w:val="00D457F3"/>
    <w:rsid w:val="00D45A46"/>
    <w:rsid w:val="00D45B04"/>
    <w:rsid w:val="00D45DA6"/>
    <w:rsid w:val="00D45DE7"/>
    <w:rsid w:val="00D45E56"/>
    <w:rsid w:val="00D45FF3"/>
    <w:rsid w:val="00D4624E"/>
    <w:rsid w:val="00D463E5"/>
    <w:rsid w:val="00D4648A"/>
    <w:rsid w:val="00D464AF"/>
    <w:rsid w:val="00D464F8"/>
    <w:rsid w:val="00D4654C"/>
    <w:rsid w:val="00D4672F"/>
    <w:rsid w:val="00D468A3"/>
    <w:rsid w:val="00D46A71"/>
    <w:rsid w:val="00D46B14"/>
    <w:rsid w:val="00D46C2A"/>
    <w:rsid w:val="00D46ED6"/>
    <w:rsid w:val="00D4706C"/>
    <w:rsid w:val="00D4724A"/>
    <w:rsid w:val="00D47364"/>
    <w:rsid w:val="00D473F0"/>
    <w:rsid w:val="00D477C4"/>
    <w:rsid w:val="00D477F5"/>
    <w:rsid w:val="00D47839"/>
    <w:rsid w:val="00D47A05"/>
    <w:rsid w:val="00D47AE4"/>
    <w:rsid w:val="00D47C44"/>
    <w:rsid w:val="00D47DE4"/>
    <w:rsid w:val="00D47EC3"/>
    <w:rsid w:val="00D47EC6"/>
    <w:rsid w:val="00D47EE4"/>
    <w:rsid w:val="00D50032"/>
    <w:rsid w:val="00D500A1"/>
    <w:rsid w:val="00D500C9"/>
    <w:rsid w:val="00D50407"/>
    <w:rsid w:val="00D5041D"/>
    <w:rsid w:val="00D5049F"/>
    <w:rsid w:val="00D50A0D"/>
    <w:rsid w:val="00D50BAD"/>
    <w:rsid w:val="00D50CE0"/>
    <w:rsid w:val="00D50E98"/>
    <w:rsid w:val="00D50ED6"/>
    <w:rsid w:val="00D50F63"/>
    <w:rsid w:val="00D50FD4"/>
    <w:rsid w:val="00D510AA"/>
    <w:rsid w:val="00D510F6"/>
    <w:rsid w:val="00D511C3"/>
    <w:rsid w:val="00D51371"/>
    <w:rsid w:val="00D513FD"/>
    <w:rsid w:val="00D514C7"/>
    <w:rsid w:val="00D5172D"/>
    <w:rsid w:val="00D51936"/>
    <w:rsid w:val="00D51A33"/>
    <w:rsid w:val="00D51D05"/>
    <w:rsid w:val="00D51DD5"/>
    <w:rsid w:val="00D51E1E"/>
    <w:rsid w:val="00D51F22"/>
    <w:rsid w:val="00D5204C"/>
    <w:rsid w:val="00D52061"/>
    <w:rsid w:val="00D52172"/>
    <w:rsid w:val="00D52485"/>
    <w:rsid w:val="00D52490"/>
    <w:rsid w:val="00D526DE"/>
    <w:rsid w:val="00D5270F"/>
    <w:rsid w:val="00D5274E"/>
    <w:rsid w:val="00D5275B"/>
    <w:rsid w:val="00D527FA"/>
    <w:rsid w:val="00D5291E"/>
    <w:rsid w:val="00D5293A"/>
    <w:rsid w:val="00D52A7F"/>
    <w:rsid w:val="00D52B34"/>
    <w:rsid w:val="00D52B52"/>
    <w:rsid w:val="00D52C71"/>
    <w:rsid w:val="00D52F00"/>
    <w:rsid w:val="00D5301A"/>
    <w:rsid w:val="00D53124"/>
    <w:rsid w:val="00D53289"/>
    <w:rsid w:val="00D53547"/>
    <w:rsid w:val="00D535AC"/>
    <w:rsid w:val="00D5369C"/>
    <w:rsid w:val="00D537D8"/>
    <w:rsid w:val="00D5392A"/>
    <w:rsid w:val="00D53C40"/>
    <w:rsid w:val="00D53C7B"/>
    <w:rsid w:val="00D53CD3"/>
    <w:rsid w:val="00D53F2D"/>
    <w:rsid w:val="00D540C3"/>
    <w:rsid w:val="00D5446B"/>
    <w:rsid w:val="00D545C5"/>
    <w:rsid w:val="00D547B6"/>
    <w:rsid w:val="00D5482F"/>
    <w:rsid w:val="00D54A53"/>
    <w:rsid w:val="00D54B71"/>
    <w:rsid w:val="00D54D48"/>
    <w:rsid w:val="00D54E2F"/>
    <w:rsid w:val="00D54E53"/>
    <w:rsid w:val="00D54FA3"/>
    <w:rsid w:val="00D55085"/>
    <w:rsid w:val="00D554CA"/>
    <w:rsid w:val="00D55533"/>
    <w:rsid w:val="00D557CE"/>
    <w:rsid w:val="00D5591F"/>
    <w:rsid w:val="00D559DD"/>
    <w:rsid w:val="00D55AF2"/>
    <w:rsid w:val="00D55B04"/>
    <w:rsid w:val="00D55C4A"/>
    <w:rsid w:val="00D55CC9"/>
    <w:rsid w:val="00D55D54"/>
    <w:rsid w:val="00D55EF1"/>
    <w:rsid w:val="00D55FA8"/>
    <w:rsid w:val="00D5604E"/>
    <w:rsid w:val="00D56090"/>
    <w:rsid w:val="00D56145"/>
    <w:rsid w:val="00D563B8"/>
    <w:rsid w:val="00D566EA"/>
    <w:rsid w:val="00D56728"/>
    <w:rsid w:val="00D56931"/>
    <w:rsid w:val="00D56D62"/>
    <w:rsid w:val="00D56D9A"/>
    <w:rsid w:val="00D5705F"/>
    <w:rsid w:val="00D57130"/>
    <w:rsid w:val="00D571AC"/>
    <w:rsid w:val="00D57341"/>
    <w:rsid w:val="00D574B8"/>
    <w:rsid w:val="00D575CF"/>
    <w:rsid w:val="00D5762D"/>
    <w:rsid w:val="00D57797"/>
    <w:rsid w:val="00D578CB"/>
    <w:rsid w:val="00D578E3"/>
    <w:rsid w:val="00D578FD"/>
    <w:rsid w:val="00D579B8"/>
    <w:rsid w:val="00D57A9F"/>
    <w:rsid w:val="00D57B11"/>
    <w:rsid w:val="00D57E01"/>
    <w:rsid w:val="00D57E59"/>
    <w:rsid w:val="00D57F16"/>
    <w:rsid w:val="00D57F1E"/>
    <w:rsid w:val="00D57F3A"/>
    <w:rsid w:val="00D57F44"/>
    <w:rsid w:val="00D57FA3"/>
    <w:rsid w:val="00D60120"/>
    <w:rsid w:val="00D60375"/>
    <w:rsid w:val="00D60558"/>
    <w:rsid w:val="00D6055B"/>
    <w:rsid w:val="00D608E6"/>
    <w:rsid w:val="00D609C4"/>
    <w:rsid w:val="00D60A64"/>
    <w:rsid w:val="00D60ACD"/>
    <w:rsid w:val="00D60B55"/>
    <w:rsid w:val="00D60B62"/>
    <w:rsid w:val="00D60DE5"/>
    <w:rsid w:val="00D60FF1"/>
    <w:rsid w:val="00D6105C"/>
    <w:rsid w:val="00D61085"/>
    <w:rsid w:val="00D6108C"/>
    <w:rsid w:val="00D610D3"/>
    <w:rsid w:val="00D6145E"/>
    <w:rsid w:val="00D614B2"/>
    <w:rsid w:val="00D6152F"/>
    <w:rsid w:val="00D61559"/>
    <w:rsid w:val="00D6158E"/>
    <w:rsid w:val="00D615B2"/>
    <w:rsid w:val="00D616D4"/>
    <w:rsid w:val="00D61EA3"/>
    <w:rsid w:val="00D61FA7"/>
    <w:rsid w:val="00D62094"/>
    <w:rsid w:val="00D620A3"/>
    <w:rsid w:val="00D622CF"/>
    <w:rsid w:val="00D6239B"/>
    <w:rsid w:val="00D62417"/>
    <w:rsid w:val="00D6284A"/>
    <w:rsid w:val="00D62937"/>
    <w:rsid w:val="00D62967"/>
    <w:rsid w:val="00D629EE"/>
    <w:rsid w:val="00D62A0D"/>
    <w:rsid w:val="00D62B03"/>
    <w:rsid w:val="00D62B72"/>
    <w:rsid w:val="00D62C00"/>
    <w:rsid w:val="00D62EA4"/>
    <w:rsid w:val="00D62F01"/>
    <w:rsid w:val="00D62F03"/>
    <w:rsid w:val="00D62F76"/>
    <w:rsid w:val="00D630C2"/>
    <w:rsid w:val="00D63117"/>
    <w:rsid w:val="00D63124"/>
    <w:rsid w:val="00D632C7"/>
    <w:rsid w:val="00D6340E"/>
    <w:rsid w:val="00D63422"/>
    <w:rsid w:val="00D634E2"/>
    <w:rsid w:val="00D635A1"/>
    <w:rsid w:val="00D635D0"/>
    <w:rsid w:val="00D63901"/>
    <w:rsid w:val="00D63A1B"/>
    <w:rsid w:val="00D63AC1"/>
    <w:rsid w:val="00D63AD7"/>
    <w:rsid w:val="00D63B88"/>
    <w:rsid w:val="00D63C9A"/>
    <w:rsid w:val="00D64127"/>
    <w:rsid w:val="00D644CF"/>
    <w:rsid w:val="00D6463F"/>
    <w:rsid w:val="00D647EB"/>
    <w:rsid w:val="00D647F3"/>
    <w:rsid w:val="00D64C2E"/>
    <w:rsid w:val="00D64CCF"/>
    <w:rsid w:val="00D64E7F"/>
    <w:rsid w:val="00D64EE4"/>
    <w:rsid w:val="00D64F89"/>
    <w:rsid w:val="00D650B0"/>
    <w:rsid w:val="00D65108"/>
    <w:rsid w:val="00D6519C"/>
    <w:rsid w:val="00D651FA"/>
    <w:rsid w:val="00D65208"/>
    <w:rsid w:val="00D65991"/>
    <w:rsid w:val="00D659E4"/>
    <w:rsid w:val="00D65A9E"/>
    <w:rsid w:val="00D65B6C"/>
    <w:rsid w:val="00D65D5C"/>
    <w:rsid w:val="00D65F7B"/>
    <w:rsid w:val="00D660CE"/>
    <w:rsid w:val="00D663DC"/>
    <w:rsid w:val="00D668CE"/>
    <w:rsid w:val="00D66ADB"/>
    <w:rsid w:val="00D66B41"/>
    <w:rsid w:val="00D66F17"/>
    <w:rsid w:val="00D67261"/>
    <w:rsid w:val="00D67360"/>
    <w:rsid w:val="00D673D2"/>
    <w:rsid w:val="00D673DC"/>
    <w:rsid w:val="00D674BB"/>
    <w:rsid w:val="00D675D6"/>
    <w:rsid w:val="00D677EE"/>
    <w:rsid w:val="00D67977"/>
    <w:rsid w:val="00D67A2D"/>
    <w:rsid w:val="00D67AAB"/>
    <w:rsid w:val="00D67EAC"/>
    <w:rsid w:val="00D70023"/>
    <w:rsid w:val="00D7002F"/>
    <w:rsid w:val="00D70308"/>
    <w:rsid w:val="00D7032D"/>
    <w:rsid w:val="00D7062B"/>
    <w:rsid w:val="00D7078B"/>
    <w:rsid w:val="00D707CC"/>
    <w:rsid w:val="00D708B8"/>
    <w:rsid w:val="00D708CD"/>
    <w:rsid w:val="00D70B03"/>
    <w:rsid w:val="00D70E3A"/>
    <w:rsid w:val="00D70E99"/>
    <w:rsid w:val="00D71130"/>
    <w:rsid w:val="00D7120C"/>
    <w:rsid w:val="00D7131C"/>
    <w:rsid w:val="00D71629"/>
    <w:rsid w:val="00D717A8"/>
    <w:rsid w:val="00D71842"/>
    <w:rsid w:val="00D71A41"/>
    <w:rsid w:val="00D71B2A"/>
    <w:rsid w:val="00D71CD7"/>
    <w:rsid w:val="00D71FC9"/>
    <w:rsid w:val="00D72166"/>
    <w:rsid w:val="00D72272"/>
    <w:rsid w:val="00D722B9"/>
    <w:rsid w:val="00D7260A"/>
    <w:rsid w:val="00D7278E"/>
    <w:rsid w:val="00D72947"/>
    <w:rsid w:val="00D72A09"/>
    <w:rsid w:val="00D72A19"/>
    <w:rsid w:val="00D72A41"/>
    <w:rsid w:val="00D72AAA"/>
    <w:rsid w:val="00D72BF9"/>
    <w:rsid w:val="00D73186"/>
    <w:rsid w:val="00D73355"/>
    <w:rsid w:val="00D73608"/>
    <w:rsid w:val="00D7378E"/>
    <w:rsid w:val="00D737F2"/>
    <w:rsid w:val="00D7385A"/>
    <w:rsid w:val="00D738C8"/>
    <w:rsid w:val="00D738D3"/>
    <w:rsid w:val="00D7393D"/>
    <w:rsid w:val="00D7398A"/>
    <w:rsid w:val="00D739CF"/>
    <w:rsid w:val="00D73A67"/>
    <w:rsid w:val="00D73B3D"/>
    <w:rsid w:val="00D73C77"/>
    <w:rsid w:val="00D73C7F"/>
    <w:rsid w:val="00D73DA4"/>
    <w:rsid w:val="00D73E2D"/>
    <w:rsid w:val="00D73E42"/>
    <w:rsid w:val="00D73E9F"/>
    <w:rsid w:val="00D73F53"/>
    <w:rsid w:val="00D73FA9"/>
    <w:rsid w:val="00D73FB8"/>
    <w:rsid w:val="00D7435C"/>
    <w:rsid w:val="00D748CC"/>
    <w:rsid w:val="00D74984"/>
    <w:rsid w:val="00D74989"/>
    <w:rsid w:val="00D74A5A"/>
    <w:rsid w:val="00D74AB1"/>
    <w:rsid w:val="00D74D3F"/>
    <w:rsid w:val="00D74D72"/>
    <w:rsid w:val="00D74DBD"/>
    <w:rsid w:val="00D751B2"/>
    <w:rsid w:val="00D75250"/>
    <w:rsid w:val="00D753A0"/>
    <w:rsid w:val="00D75422"/>
    <w:rsid w:val="00D7547A"/>
    <w:rsid w:val="00D75543"/>
    <w:rsid w:val="00D75562"/>
    <w:rsid w:val="00D75681"/>
    <w:rsid w:val="00D756D7"/>
    <w:rsid w:val="00D75926"/>
    <w:rsid w:val="00D75B6F"/>
    <w:rsid w:val="00D75CB2"/>
    <w:rsid w:val="00D75CDA"/>
    <w:rsid w:val="00D75FAE"/>
    <w:rsid w:val="00D75FDD"/>
    <w:rsid w:val="00D760E9"/>
    <w:rsid w:val="00D76196"/>
    <w:rsid w:val="00D76248"/>
    <w:rsid w:val="00D765E6"/>
    <w:rsid w:val="00D769C6"/>
    <w:rsid w:val="00D76CBD"/>
    <w:rsid w:val="00D76ECD"/>
    <w:rsid w:val="00D77119"/>
    <w:rsid w:val="00D77135"/>
    <w:rsid w:val="00D77235"/>
    <w:rsid w:val="00D77355"/>
    <w:rsid w:val="00D77421"/>
    <w:rsid w:val="00D77535"/>
    <w:rsid w:val="00D77562"/>
    <w:rsid w:val="00D77619"/>
    <w:rsid w:val="00D77693"/>
    <w:rsid w:val="00D7782B"/>
    <w:rsid w:val="00D778F2"/>
    <w:rsid w:val="00D7794F"/>
    <w:rsid w:val="00D779A3"/>
    <w:rsid w:val="00D77C49"/>
    <w:rsid w:val="00D77D2E"/>
    <w:rsid w:val="00D77E6E"/>
    <w:rsid w:val="00D77F02"/>
    <w:rsid w:val="00D80004"/>
    <w:rsid w:val="00D801EB"/>
    <w:rsid w:val="00D8029E"/>
    <w:rsid w:val="00D8042D"/>
    <w:rsid w:val="00D8044F"/>
    <w:rsid w:val="00D806DE"/>
    <w:rsid w:val="00D80A6C"/>
    <w:rsid w:val="00D80B15"/>
    <w:rsid w:val="00D80C40"/>
    <w:rsid w:val="00D80D84"/>
    <w:rsid w:val="00D80E9F"/>
    <w:rsid w:val="00D8119E"/>
    <w:rsid w:val="00D81291"/>
    <w:rsid w:val="00D812D5"/>
    <w:rsid w:val="00D8146E"/>
    <w:rsid w:val="00D81651"/>
    <w:rsid w:val="00D816E1"/>
    <w:rsid w:val="00D818D3"/>
    <w:rsid w:val="00D81BB3"/>
    <w:rsid w:val="00D81BC5"/>
    <w:rsid w:val="00D81C8A"/>
    <w:rsid w:val="00D81F52"/>
    <w:rsid w:val="00D822AC"/>
    <w:rsid w:val="00D823B3"/>
    <w:rsid w:val="00D823BD"/>
    <w:rsid w:val="00D82430"/>
    <w:rsid w:val="00D8269C"/>
    <w:rsid w:val="00D82D3C"/>
    <w:rsid w:val="00D82DEA"/>
    <w:rsid w:val="00D82FFB"/>
    <w:rsid w:val="00D83274"/>
    <w:rsid w:val="00D83282"/>
    <w:rsid w:val="00D83367"/>
    <w:rsid w:val="00D834F2"/>
    <w:rsid w:val="00D83574"/>
    <w:rsid w:val="00D83621"/>
    <w:rsid w:val="00D83A66"/>
    <w:rsid w:val="00D83AE9"/>
    <w:rsid w:val="00D83C67"/>
    <w:rsid w:val="00D83C89"/>
    <w:rsid w:val="00D83D45"/>
    <w:rsid w:val="00D83E47"/>
    <w:rsid w:val="00D83EDC"/>
    <w:rsid w:val="00D83EDE"/>
    <w:rsid w:val="00D83F64"/>
    <w:rsid w:val="00D83FF5"/>
    <w:rsid w:val="00D84182"/>
    <w:rsid w:val="00D841A8"/>
    <w:rsid w:val="00D8421C"/>
    <w:rsid w:val="00D843E4"/>
    <w:rsid w:val="00D845A1"/>
    <w:rsid w:val="00D846B1"/>
    <w:rsid w:val="00D8484D"/>
    <w:rsid w:val="00D84873"/>
    <w:rsid w:val="00D848DA"/>
    <w:rsid w:val="00D848DC"/>
    <w:rsid w:val="00D84A81"/>
    <w:rsid w:val="00D84B96"/>
    <w:rsid w:val="00D84E62"/>
    <w:rsid w:val="00D84EFC"/>
    <w:rsid w:val="00D85128"/>
    <w:rsid w:val="00D85157"/>
    <w:rsid w:val="00D85262"/>
    <w:rsid w:val="00D852B4"/>
    <w:rsid w:val="00D85676"/>
    <w:rsid w:val="00D85897"/>
    <w:rsid w:val="00D858BE"/>
    <w:rsid w:val="00D858DA"/>
    <w:rsid w:val="00D85B38"/>
    <w:rsid w:val="00D85C37"/>
    <w:rsid w:val="00D85DB4"/>
    <w:rsid w:val="00D85FA6"/>
    <w:rsid w:val="00D86400"/>
    <w:rsid w:val="00D86595"/>
    <w:rsid w:val="00D867E0"/>
    <w:rsid w:val="00D86808"/>
    <w:rsid w:val="00D86A7F"/>
    <w:rsid w:val="00D86CD5"/>
    <w:rsid w:val="00D86DB7"/>
    <w:rsid w:val="00D86E36"/>
    <w:rsid w:val="00D86E39"/>
    <w:rsid w:val="00D87061"/>
    <w:rsid w:val="00D87290"/>
    <w:rsid w:val="00D872D1"/>
    <w:rsid w:val="00D87366"/>
    <w:rsid w:val="00D87379"/>
    <w:rsid w:val="00D873FE"/>
    <w:rsid w:val="00D87405"/>
    <w:rsid w:val="00D879BC"/>
    <w:rsid w:val="00D87A10"/>
    <w:rsid w:val="00D87A22"/>
    <w:rsid w:val="00D87B28"/>
    <w:rsid w:val="00D87CCE"/>
    <w:rsid w:val="00D87CF8"/>
    <w:rsid w:val="00D87F62"/>
    <w:rsid w:val="00D90267"/>
    <w:rsid w:val="00D902B5"/>
    <w:rsid w:val="00D9035F"/>
    <w:rsid w:val="00D903C3"/>
    <w:rsid w:val="00D904ED"/>
    <w:rsid w:val="00D905FE"/>
    <w:rsid w:val="00D909DC"/>
    <w:rsid w:val="00D90AF3"/>
    <w:rsid w:val="00D90BBD"/>
    <w:rsid w:val="00D90F4F"/>
    <w:rsid w:val="00D90FEF"/>
    <w:rsid w:val="00D9118D"/>
    <w:rsid w:val="00D911C9"/>
    <w:rsid w:val="00D911E4"/>
    <w:rsid w:val="00D913C2"/>
    <w:rsid w:val="00D913FA"/>
    <w:rsid w:val="00D914BE"/>
    <w:rsid w:val="00D91549"/>
    <w:rsid w:val="00D9174F"/>
    <w:rsid w:val="00D91861"/>
    <w:rsid w:val="00D91888"/>
    <w:rsid w:val="00D91966"/>
    <w:rsid w:val="00D91996"/>
    <w:rsid w:val="00D919A9"/>
    <w:rsid w:val="00D919BE"/>
    <w:rsid w:val="00D91E2C"/>
    <w:rsid w:val="00D921D8"/>
    <w:rsid w:val="00D921EB"/>
    <w:rsid w:val="00D92204"/>
    <w:rsid w:val="00D92381"/>
    <w:rsid w:val="00D92420"/>
    <w:rsid w:val="00D92478"/>
    <w:rsid w:val="00D92656"/>
    <w:rsid w:val="00D926BE"/>
    <w:rsid w:val="00D928C3"/>
    <w:rsid w:val="00D92B15"/>
    <w:rsid w:val="00D92E10"/>
    <w:rsid w:val="00D92E42"/>
    <w:rsid w:val="00D92F3D"/>
    <w:rsid w:val="00D92FA0"/>
    <w:rsid w:val="00D92FAA"/>
    <w:rsid w:val="00D931C4"/>
    <w:rsid w:val="00D934F3"/>
    <w:rsid w:val="00D935F5"/>
    <w:rsid w:val="00D93671"/>
    <w:rsid w:val="00D93A10"/>
    <w:rsid w:val="00D93B29"/>
    <w:rsid w:val="00D93B54"/>
    <w:rsid w:val="00D93D3E"/>
    <w:rsid w:val="00D93E8A"/>
    <w:rsid w:val="00D93F54"/>
    <w:rsid w:val="00D94194"/>
    <w:rsid w:val="00D941EC"/>
    <w:rsid w:val="00D94398"/>
    <w:rsid w:val="00D9463D"/>
    <w:rsid w:val="00D9472C"/>
    <w:rsid w:val="00D947B2"/>
    <w:rsid w:val="00D948ED"/>
    <w:rsid w:val="00D949C2"/>
    <w:rsid w:val="00D94B85"/>
    <w:rsid w:val="00D94C1D"/>
    <w:rsid w:val="00D94C60"/>
    <w:rsid w:val="00D94D51"/>
    <w:rsid w:val="00D94DF4"/>
    <w:rsid w:val="00D95053"/>
    <w:rsid w:val="00D950C1"/>
    <w:rsid w:val="00D952CF"/>
    <w:rsid w:val="00D954BE"/>
    <w:rsid w:val="00D954C8"/>
    <w:rsid w:val="00D95577"/>
    <w:rsid w:val="00D959E8"/>
    <w:rsid w:val="00D95B75"/>
    <w:rsid w:val="00D95C47"/>
    <w:rsid w:val="00D95D99"/>
    <w:rsid w:val="00D95F15"/>
    <w:rsid w:val="00D9607A"/>
    <w:rsid w:val="00D9613C"/>
    <w:rsid w:val="00D96252"/>
    <w:rsid w:val="00D9628F"/>
    <w:rsid w:val="00D962F9"/>
    <w:rsid w:val="00D96461"/>
    <w:rsid w:val="00D9650F"/>
    <w:rsid w:val="00D966B8"/>
    <w:rsid w:val="00D9684D"/>
    <w:rsid w:val="00D968C9"/>
    <w:rsid w:val="00D968F6"/>
    <w:rsid w:val="00D96D86"/>
    <w:rsid w:val="00D96DD3"/>
    <w:rsid w:val="00D96F34"/>
    <w:rsid w:val="00D971F2"/>
    <w:rsid w:val="00D97367"/>
    <w:rsid w:val="00D973B5"/>
    <w:rsid w:val="00D973EC"/>
    <w:rsid w:val="00D974FF"/>
    <w:rsid w:val="00D97609"/>
    <w:rsid w:val="00D97616"/>
    <w:rsid w:val="00D97694"/>
    <w:rsid w:val="00D977D1"/>
    <w:rsid w:val="00D9783B"/>
    <w:rsid w:val="00D97947"/>
    <w:rsid w:val="00D979B9"/>
    <w:rsid w:val="00D97A89"/>
    <w:rsid w:val="00D97ABA"/>
    <w:rsid w:val="00D97B84"/>
    <w:rsid w:val="00D97D4C"/>
    <w:rsid w:val="00D97DCE"/>
    <w:rsid w:val="00DA0035"/>
    <w:rsid w:val="00DA01F7"/>
    <w:rsid w:val="00DA039A"/>
    <w:rsid w:val="00DA0420"/>
    <w:rsid w:val="00DA0422"/>
    <w:rsid w:val="00DA0483"/>
    <w:rsid w:val="00DA04CD"/>
    <w:rsid w:val="00DA052D"/>
    <w:rsid w:val="00DA0BBE"/>
    <w:rsid w:val="00DA0C5F"/>
    <w:rsid w:val="00DA0E6E"/>
    <w:rsid w:val="00DA0EB5"/>
    <w:rsid w:val="00DA0F24"/>
    <w:rsid w:val="00DA14DC"/>
    <w:rsid w:val="00DA16C5"/>
    <w:rsid w:val="00DA1B74"/>
    <w:rsid w:val="00DA1D1C"/>
    <w:rsid w:val="00DA200A"/>
    <w:rsid w:val="00DA20F0"/>
    <w:rsid w:val="00DA223D"/>
    <w:rsid w:val="00DA226F"/>
    <w:rsid w:val="00DA24DF"/>
    <w:rsid w:val="00DA2580"/>
    <w:rsid w:val="00DA2ACF"/>
    <w:rsid w:val="00DA2B8F"/>
    <w:rsid w:val="00DA2C46"/>
    <w:rsid w:val="00DA2CB7"/>
    <w:rsid w:val="00DA2DB7"/>
    <w:rsid w:val="00DA2ECC"/>
    <w:rsid w:val="00DA303E"/>
    <w:rsid w:val="00DA313E"/>
    <w:rsid w:val="00DA34EF"/>
    <w:rsid w:val="00DA3743"/>
    <w:rsid w:val="00DA39D0"/>
    <w:rsid w:val="00DA39D5"/>
    <w:rsid w:val="00DA39DE"/>
    <w:rsid w:val="00DA39EC"/>
    <w:rsid w:val="00DA3A32"/>
    <w:rsid w:val="00DA3A86"/>
    <w:rsid w:val="00DA3ACC"/>
    <w:rsid w:val="00DA3B74"/>
    <w:rsid w:val="00DA3BB3"/>
    <w:rsid w:val="00DA401A"/>
    <w:rsid w:val="00DA41DD"/>
    <w:rsid w:val="00DA42CA"/>
    <w:rsid w:val="00DA4332"/>
    <w:rsid w:val="00DA457F"/>
    <w:rsid w:val="00DA4CB0"/>
    <w:rsid w:val="00DA4EE4"/>
    <w:rsid w:val="00DA4F64"/>
    <w:rsid w:val="00DA507D"/>
    <w:rsid w:val="00DA51AF"/>
    <w:rsid w:val="00DA530E"/>
    <w:rsid w:val="00DA5358"/>
    <w:rsid w:val="00DA5430"/>
    <w:rsid w:val="00DA546A"/>
    <w:rsid w:val="00DA54E8"/>
    <w:rsid w:val="00DA5571"/>
    <w:rsid w:val="00DA561A"/>
    <w:rsid w:val="00DA57B7"/>
    <w:rsid w:val="00DA5D14"/>
    <w:rsid w:val="00DA5D2E"/>
    <w:rsid w:val="00DA5D69"/>
    <w:rsid w:val="00DA5DA4"/>
    <w:rsid w:val="00DA6197"/>
    <w:rsid w:val="00DA6409"/>
    <w:rsid w:val="00DA6599"/>
    <w:rsid w:val="00DA65FA"/>
    <w:rsid w:val="00DA683C"/>
    <w:rsid w:val="00DA6CB4"/>
    <w:rsid w:val="00DA6EAF"/>
    <w:rsid w:val="00DA6EF8"/>
    <w:rsid w:val="00DA6EFC"/>
    <w:rsid w:val="00DA6F28"/>
    <w:rsid w:val="00DA7049"/>
    <w:rsid w:val="00DA7061"/>
    <w:rsid w:val="00DA7186"/>
    <w:rsid w:val="00DA7282"/>
    <w:rsid w:val="00DA7295"/>
    <w:rsid w:val="00DA739F"/>
    <w:rsid w:val="00DA75BE"/>
    <w:rsid w:val="00DA765D"/>
    <w:rsid w:val="00DA7729"/>
    <w:rsid w:val="00DA7755"/>
    <w:rsid w:val="00DA77AC"/>
    <w:rsid w:val="00DA77E9"/>
    <w:rsid w:val="00DA793C"/>
    <w:rsid w:val="00DA79F5"/>
    <w:rsid w:val="00DA7BA3"/>
    <w:rsid w:val="00DA7E50"/>
    <w:rsid w:val="00DA7F06"/>
    <w:rsid w:val="00DB0122"/>
    <w:rsid w:val="00DB01C8"/>
    <w:rsid w:val="00DB04EE"/>
    <w:rsid w:val="00DB0619"/>
    <w:rsid w:val="00DB06AA"/>
    <w:rsid w:val="00DB06D3"/>
    <w:rsid w:val="00DB07A4"/>
    <w:rsid w:val="00DB0809"/>
    <w:rsid w:val="00DB08A7"/>
    <w:rsid w:val="00DB0AA3"/>
    <w:rsid w:val="00DB0AF9"/>
    <w:rsid w:val="00DB0E0F"/>
    <w:rsid w:val="00DB0E51"/>
    <w:rsid w:val="00DB0E8B"/>
    <w:rsid w:val="00DB0E94"/>
    <w:rsid w:val="00DB0F00"/>
    <w:rsid w:val="00DB0FDD"/>
    <w:rsid w:val="00DB1086"/>
    <w:rsid w:val="00DB1119"/>
    <w:rsid w:val="00DB1216"/>
    <w:rsid w:val="00DB13A6"/>
    <w:rsid w:val="00DB1459"/>
    <w:rsid w:val="00DB15C4"/>
    <w:rsid w:val="00DB1876"/>
    <w:rsid w:val="00DB19D1"/>
    <w:rsid w:val="00DB1A3A"/>
    <w:rsid w:val="00DB1A79"/>
    <w:rsid w:val="00DB1C8A"/>
    <w:rsid w:val="00DB1CB3"/>
    <w:rsid w:val="00DB1CBA"/>
    <w:rsid w:val="00DB1E07"/>
    <w:rsid w:val="00DB1F82"/>
    <w:rsid w:val="00DB2161"/>
    <w:rsid w:val="00DB23D1"/>
    <w:rsid w:val="00DB25D6"/>
    <w:rsid w:val="00DB25D9"/>
    <w:rsid w:val="00DB2616"/>
    <w:rsid w:val="00DB291C"/>
    <w:rsid w:val="00DB29A4"/>
    <w:rsid w:val="00DB2AEA"/>
    <w:rsid w:val="00DB2AF8"/>
    <w:rsid w:val="00DB2D4E"/>
    <w:rsid w:val="00DB2F65"/>
    <w:rsid w:val="00DB330E"/>
    <w:rsid w:val="00DB362E"/>
    <w:rsid w:val="00DB37E4"/>
    <w:rsid w:val="00DB37F6"/>
    <w:rsid w:val="00DB3810"/>
    <w:rsid w:val="00DB3F05"/>
    <w:rsid w:val="00DB4014"/>
    <w:rsid w:val="00DB415F"/>
    <w:rsid w:val="00DB43B6"/>
    <w:rsid w:val="00DB45EA"/>
    <w:rsid w:val="00DB46B2"/>
    <w:rsid w:val="00DB48B4"/>
    <w:rsid w:val="00DB4940"/>
    <w:rsid w:val="00DB49D0"/>
    <w:rsid w:val="00DB4AB2"/>
    <w:rsid w:val="00DB4C61"/>
    <w:rsid w:val="00DB51A3"/>
    <w:rsid w:val="00DB52DC"/>
    <w:rsid w:val="00DB5327"/>
    <w:rsid w:val="00DB54AF"/>
    <w:rsid w:val="00DB55CE"/>
    <w:rsid w:val="00DB55FC"/>
    <w:rsid w:val="00DB5669"/>
    <w:rsid w:val="00DB5969"/>
    <w:rsid w:val="00DB59DA"/>
    <w:rsid w:val="00DB5C2F"/>
    <w:rsid w:val="00DB5C99"/>
    <w:rsid w:val="00DB5E24"/>
    <w:rsid w:val="00DB5F30"/>
    <w:rsid w:val="00DB5FDF"/>
    <w:rsid w:val="00DB6169"/>
    <w:rsid w:val="00DB6848"/>
    <w:rsid w:val="00DB68A6"/>
    <w:rsid w:val="00DB6A83"/>
    <w:rsid w:val="00DB6BFE"/>
    <w:rsid w:val="00DB6DC7"/>
    <w:rsid w:val="00DB6E39"/>
    <w:rsid w:val="00DB6EB9"/>
    <w:rsid w:val="00DB6FB0"/>
    <w:rsid w:val="00DB70D3"/>
    <w:rsid w:val="00DB71EA"/>
    <w:rsid w:val="00DB72D8"/>
    <w:rsid w:val="00DB7391"/>
    <w:rsid w:val="00DB74D9"/>
    <w:rsid w:val="00DB77F7"/>
    <w:rsid w:val="00DB7831"/>
    <w:rsid w:val="00DB789E"/>
    <w:rsid w:val="00DB78A7"/>
    <w:rsid w:val="00DB78DD"/>
    <w:rsid w:val="00DB79E4"/>
    <w:rsid w:val="00DB7A7B"/>
    <w:rsid w:val="00DB7C43"/>
    <w:rsid w:val="00DB7ED6"/>
    <w:rsid w:val="00DB7F9E"/>
    <w:rsid w:val="00DC0035"/>
    <w:rsid w:val="00DC0B44"/>
    <w:rsid w:val="00DC0BA1"/>
    <w:rsid w:val="00DC0C94"/>
    <w:rsid w:val="00DC0E02"/>
    <w:rsid w:val="00DC0EDC"/>
    <w:rsid w:val="00DC0F7E"/>
    <w:rsid w:val="00DC0FB3"/>
    <w:rsid w:val="00DC1047"/>
    <w:rsid w:val="00DC110E"/>
    <w:rsid w:val="00DC129A"/>
    <w:rsid w:val="00DC1373"/>
    <w:rsid w:val="00DC1576"/>
    <w:rsid w:val="00DC1643"/>
    <w:rsid w:val="00DC164D"/>
    <w:rsid w:val="00DC17E6"/>
    <w:rsid w:val="00DC181B"/>
    <w:rsid w:val="00DC1844"/>
    <w:rsid w:val="00DC1897"/>
    <w:rsid w:val="00DC1914"/>
    <w:rsid w:val="00DC1B0A"/>
    <w:rsid w:val="00DC1C72"/>
    <w:rsid w:val="00DC1D44"/>
    <w:rsid w:val="00DC2381"/>
    <w:rsid w:val="00DC238F"/>
    <w:rsid w:val="00DC2397"/>
    <w:rsid w:val="00DC24C7"/>
    <w:rsid w:val="00DC2566"/>
    <w:rsid w:val="00DC26AF"/>
    <w:rsid w:val="00DC26BD"/>
    <w:rsid w:val="00DC26E3"/>
    <w:rsid w:val="00DC277C"/>
    <w:rsid w:val="00DC2870"/>
    <w:rsid w:val="00DC29D7"/>
    <w:rsid w:val="00DC2C23"/>
    <w:rsid w:val="00DC2C92"/>
    <w:rsid w:val="00DC2C9E"/>
    <w:rsid w:val="00DC2EC0"/>
    <w:rsid w:val="00DC2F99"/>
    <w:rsid w:val="00DC30FF"/>
    <w:rsid w:val="00DC312A"/>
    <w:rsid w:val="00DC3504"/>
    <w:rsid w:val="00DC35E6"/>
    <w:rsid w:val="00DC36C6"/>
    <w:rsid w:val="00DC3A90"/>
    <w:rsid w:val="00DC3AE5"/>
    <w:rsid w:val="00DC3BDA"/>
    <w:rsid w:val="00DC3F19"/>
    <w:rsid w:val="00DC3F9E"/>
    <w:rsid w:val="00DC3FEB"/>
    <w:rsid w:val="00DC40D3"/>
    <w:rsid w:val="00DC420E"/>
    <w:rsid w:val="00DC4286"/>
    <w:rsid w:val="00DC4577"/>
    <w:rsid w:val="00DC4857"/>
    <w:rsid w:val="00DC4B5E"/>
    <w:rsid w:val="00DC4F64"/>
    <w:rsid w:val="00DC4F81"/>
    <w:rsid w:val="00DC5429"/>
    <w:rsid w:val="00DC5492"/>
    <w:rsid w:val="00DC54D9"/>
    <w:rsid w:val="00DC55AC"/>
    <w:rsid w:val="00DC571F"/>
    <w:rsid w:val="00DC59F5"/>
    <w:rsid w:val="00DC5DBF"/>
    <w:rsid w:val="00DC5ECB"/>
    <w:rsid w:val="00DC6071"/>
    <w:rsid w:val="00DC62C5"/>
    <w:rsid w:val="00DC6308"/>
    <w:rsid w:val="00DC6394"/>
    <w:rsid w:val="00DC655D"/>
    <w:rsid w:val="00DC66FD"/>
    <w:rsid w:val="00DC670F"/>
    <w:rsid w:val="00DC67A4"/>
    <w:rsid w:val="00DC6832"/>
    <w:rsid w:val="00DC6864"/>
    <w:rsid w:val="00DC6A34"/>
    <w:rsid w:val="00DC6DB0"/>
    <w:rsid w:val="00DC6E4D"/>
    <w:rsid w:val="00DC6EE3"/>
    <w:rsid w:val="00DC6FEF"/>
    <w:rsid w:val="00DC71E4"/>
    <w:rsid w:val="00DC7225"/>
    <w:rsid w:val="00DC72AE"/>
    <w:rsid w:val="00DC75C6"/>
    <w:rsid w:val="00DC763C"/>
    <w:rsid w:val="00DC7699"/>
    <w:rsid w:val="00DC76CA"/>
    <w:rsid w:val="00DC76FF"/>
    <w:rsid w:val="00DC7843"/>
    <w:rsid w:val="00DC799C"/>
    <w:rsid w:val="00DC79C6"/>
    <w:rsid w:val="00DD0037"/>
    <w:rsid w:val="00DD0094"/>
    <w:rsid w:val="00DD01A3"/>
    <w:rsid w:val="00DD0757"/>
    <w:rsid w:val="00DD0789"/>
    <w:rsid w:val="00DD0AF8"/>
    <w:rsid w:val="00DD0B1E"/>
    <w:rsid w:val="00DD0C00"/>
    <w:rsid w:val="00DD0C81"/>
    <w:rsid w:val="00DD0E2B"/>
    <w:rsid w:val="00DD0F71"/>
    <w:rsid w:val="00DD1108"/>
    <w:rsid w:val="00DD1195"/>
    <w:rsid w:val="00DD135C"/>
    <w:rsid w:val="00DD1672"/>
    <w:rsid w:val="00DD1862"/>
    <w:rsid w:val="00DD1B45"/>
    <w:rsid w:val="00DD1E31"/>
    <w:rsid w:val="00DD2055"/>
    <w:rsid w:val="00DD20AD"/>
    <w:rsid w:val="00DD20D1"/>
    <w:rsid w:val="00DD223F"/>
    <w:rsid w:val="00DD2555"/>
    <w:rsid w:val="00DD25C6"/>
    <w:rsid w:val="00DD2B09"/>
    <w:rsid w:val="00DD2B52"/>
    <w:rsid w:val="00DD2D69"/>
    <w:rsid w:val="00DD2DC6"/>
    <w:rsid w:val="00DD2E3F"/>
    <w:rsid w:val="00DD2FB2"/>
    <w:rsid w:val="00DD3333"/>
    <w:rsid w:val="00DD38B1"/>
    <w:rsid w:val="00DD3A70"/>
    <w:rsid w:val="00DD3AC1"/>
    <w:rsid w:val="00DD3AF7"/>
    <w:rsid w:val="00DD3B46"/>
    <w:rsid w:val="00DD3C85"/>
    <w:rsid w:val="00DD3EF3"/>
    <w:rsid w:val="00DD4018"/>
    <w:rsid w:val="00DD40F5"/>
    <w:rsid w:val="00DD40FA"/>
    <w:rsid w:val="00DD4135"/>
    <w:rsid w:val="00DD4162"/>
    <w:rsid w:val="00DD4183"/>
    <w:rsid w:val="00DD4274"/>
    <w:rsid w:val="00DD4326"/>
    <w:rsid w:val="00DD43D5"/>
    <w:rsid w:val="00DD44DD"/>
    <w:rsid w:val="00DD4524"/>
    <w:rsid w:val="00DD46B2"/>
    <w:rsid w:val="00DD4718"/>
    <w:rsid w:val="00DD47C5"/>
    <w:rsid w:val="00DD47EA"/>
    <w:rsid w:val="00DD48BF"/>
    <w:rsid w:val="00DD492E"/>
    <w:rsid w:val="00DD49BA"/>
    <w:rsid w:val="00DD4A1C"/>
    <w:rsid w:val="00DD4D16"/>
    <w:rsid w:val="00DD4E59"/>
    <w:rsid w:val="00DD4EA7"/>
    <w:rsid w:val="00DD5450"/>
    <w:rsid w:val="00DD55D7"/>
    <w:rsid w:val="00DD572E"/>
    <w:rsid w:val="00DD595D"/>
    <w:rsid w:val="00DD5B14"/>
    <w:rsid w:val="00DD5B6C"/>
    <w:rsid w:val="00DD5BE2"/>
    <w:rsid w:val="00DD602C"/>
    <w:rsid w:val="00DD61AC"/>
    <w:rsid w:val="00DD6293"/>
    <w:rsid w:val="00DD6B1D"/>
    <w:rsid w:val="00DD6B73"/>
    <w:rsid w:val="00DD6B87"/>
    <w:rsid w:val="00DD70A8"/>
    <w:rsid w:val="00DD73C6"/>
    <w:rsid w:val="00DD76AD"/>
    <w:rsid w:val="00DD7884"/>
    <w:rsid w:val="00DD7886"/>
    <w:rsid w:val="00DD7B68"/>
    <w:rsid w:val="00DD7C3B"/>
    <w:rsid w:val="00DD7CB6"/>
    <w:rsid w:val="00DD7DFE"/>
    <w:rsid w:val="00DD7E4B"/>
    <w:rsid w:val="00DD7ED4"/>
    <w:rsid w:val="00DD7F53"/>
    <w:rsid w:val="00DE00B3"/>
    <w:rsid w:val="00DE020B"/>
    <w:rsid w:val="00DE0386"/>
    <w:rsid w:val="00DE0592"/>
    <w:rsid w:val="00DE0630"/>
    <w:rsid w:val="00DE0887"/>
    <w:rsid w:val="00DE08A0"/>
    <w:rsid w:val="00DE0A04"/>
    <w:rsid w:val="00DE0B6F"/>
    <w:rsid w:val="00DE0E2E"/>
    <w:rsid w:val="00DE0F39"/>
    <w:rsid w:val="00DE100B"/>
    <w:rsid w:val="00DE14AB"/>
    <w:rsid w:val="00DE1549"/>
    <w:rsid w:val="00DE1597"/>
    <w:rsid w:val="00DE16B9"/>
    <w:rsid w:val="00DE16D9"/>
    <w:rsid w:val="00DE17F6"/>
    <w:rsid w:val="00DE1A0C"/>
    <w:rsid w:val="00DE1A41"/>
    <w:rsid w:val="00DE1A83"/>
    <w:rsid w:val="00DE1CB5"/>
    <w:rsid w:val="00DE1D2B"/>
    <w:rsid w:val="00DE1E86"/>
    <w:rsid w:val="00DE1ED8"/>
    <w:rsid w:val="00DE1F6D"/>
    <w:rsid w:val="00DE2396"/>
    <w:rsid w:val="00DE2528"/>
    <w:rsid w:val="00DE25C0"/>
    <w:rsid w:val="00DE2A23"/>
    <w:rsid w:val="00DE2B18"/>
    <w:rsid w:val="00DE2B55"/>
    <w:rsid w:val="00DE2ECF"/>
    <w:rsid w:val="00DE2F60"/>
    <w:rsid w:val="00DE30A5"/>
    <w:rsid w:val="00DE30B9"/>
    <w:rsid w:val="00DE3316"/>
    <w:rsid w:val="00DE34DE"/>
    <w:rsid w:val="00DE366A"/>
    <w:rsid w:val="00DE36B8"/>
    <w:rsid w:val="00DE3713"/>
    <w:rsid w:val="00DE375C"/>
    <w:rsid w:val="00DE3801"/>
    <w:rsid w:val="00DE3922"/>
    <w:rsid w:val="00DE3A06"/>
    <w:rsid w:val="00DE3ED9"/>
    <w:rsid w:val="00DE400F"/>
    <w:rsid w:val="00DE41AD"/>
    <w:rsid w:val="00DE43A2"/>
    <w:rsid w:val="00DE4423"/>
    <w:rsid w:val="00DE451B"/>
    <w:rsid w:val="00DE4566"/>
    <w:rsid w:val="00DE462B"/>
    <w:rsid w:val="00DE499D"/>
    <w:rsid w:val="00DE4A7D"/>
    <w:rsid w:val="00DE4E4C"/>
    <w:rsid w:val="00DE50FF"/>
    <w:rsid w:val="00DE5464"/>
    <w:rsid w:val="00DE55BD"/>
    <w:rsid w:val="00DE5A74"/>
    <w:rsid w:val="00DE5F13"/>
    <w:rsid w:val="00DE5FD5"/>
    <w:rsid w:val="00DE612B"/>
    <w:rsid w:val="00DE6234"/>
    <w:rsid w:val="00DE6415"/>
    <w:rsid w:val="00DE650C"/>
    <w:rsid w:val="00DE65FC"/>
    <w:rsid w:val="00DE68DB"/>
    <w:rsid w:val="00DE68FC"/>
    <w:rsid w:val="00DE6926"/>
    <w:rsid w:val="00DE6945"/>
    <w:rsid w:val="00DE699E"/>
    <w:rsid w:val="00DE6ACB"/>
    <w:rsid w:val="00DE6F5D"/>
    <w:rsid w:val="00DE717D"/>
    <w:rsid w:val="00DE7A06"/>
    <w:rsid w:val="00DE7A80"/>
    <w:rsid w:val="00DE7AE3"/>
    <w:rsid w:val="00DE7B01"/>
    <w:rsid w:val="00DE7BD3"/>
    <w:rsid w:val="00DE7C35"/>
    <w:rsid w:val="00DE7D19"/>
    <w:rsid w:val="00DE7DC7"/>
    <w:rsid w:val="00DF00C8"/>
    <w:rsid w:val="00DF0168"/>
    <w:rsid w:val="00DF01C2"/>
    <w:rsid w:val="00DF029D"/>
    <w:rsid w:val="00DF0623"/>
    <w:rsid w:val="00DF0680"/>
    <w:rsid w:val="00DF06F7"/>
    <w:rsid w:val="00DF079D"/>
    <w:rsid w:val="00DF0880"/>
    <w:rsid w:val="00DF0889"/>
    <w:rsid w:val="00DF0A81"/>
    <w:rsid w:val="00DF0AB9"/>
    <w:rsid w:val="00DF0E91"/>
    <w:rsid w:val="00DF0E9F"/>
    <w:rsid w:val="00DF0F96"/>
    <w:rsid w:val="00DF1267"/>
    <w:rsid w:val="00DF1397"/>
    <w:rsid w:val="00DF1417"/>
    <w:rsid w:val="00DF1435"/>
    <w:rsid w:val="00DF1499"/>
    <w:rsid w:val="00DF167A"/>
    <w:rsid w:val="00DF16C9"/>
    <w:rsid w:val="00DF184F"/>
    <w:rsid w:val="00DF1F49"/>
    <w:rsid w:val="00DF21CC"/>
    <w:rsid w:val="00DF21F8"/>
    <w:rsid w:val="00DF2397"/>
    <w:rsid w:val="00DF242D"/>
    <w:rsid w:val="00DF2435"/>
    <w:rsid w:val="00DF2481"/>
    <w:rsid w:val="00DF27CD"/>
    <w:rsid w:val="00DF286C"/>
    <w:rsid w:val="00DF2969"/>
    <w:rsid w:val="00DF2AEB"/>
    <w:rsid w:val="00DF2B91"/>
    <w:rsid w:val="00DF2BCC"/>
    <w:rsid w:val="00DF2D4E"/>
    <w:rsid w:val="00DF2E73"/>
    <w:rsid w:val="00DF2F54"/>
    <w:rsid w:val="00DF34CF"/>
    <w:rsid w:val="00DF3553"/>
    <w:rsid w:val="00DF3686"/>
    <w:rsid w:val="00DF37D7"/>
    <w:rsid w:val="00DF389C"/>
    <w:rsid w:val="00DF38C7"/>
    <w:rsid w:val="00DF3A44"/>
    <w:rsid w:val="00DF3C5C"/>
    <w:rsid w:val="00DF3E0C"/>
    <w:rsid w:val="00DF3F4F"/>
    <w:rsid w:val="00DF423F"/>
    <w:rsid w:val="00DF42E3"/>
    <w:rsid w:val="00DF43AC"/>
    <w:rsid w:val="00DF4436"/>
    <w:rsid w:val="00DF46B1"/>
    <w:rsid w:val="00DF47A4"/>
    <w:rsid w:val="00DF49CB"/>
    <w:rsid w:val="00DF4B2B"/>
    <w:rsid w:val="00DF4B73"/>
    <w:rsid w:val="00DF4C16"/>
    <w:rsid w:val="00DF4CA3"/>
    <w:rsid w:val="00DF4D47"/>
    <w:rsid w:val="00DF4DCA"/>
    <w:rsid w:val="00DF4EB4"/>
    <w:rsid w:val="00DF4EB5"/>
    <w:rsid w:val="00DF4EEC"/>
    <w:rsid w:val="00DF5008"/>
    <w:rsid w:val="00DF5203"/>
    <w:rsid w:val="00DF52C3"/>
    <w:rsid w:val="00DF52DD"/>
    <w:rsid w:val="00DF5341"/>
    <w:rsid w:val="00DF54E9"/>
    <w:rsid w:val="00DF56C5"/>
    <w:rsid w:val="00DF5750"/>
    <w:rsid w:val="00DF581B"/>
    <w:rsid w:val="00DF5AD9"/>
    <w:rsid w:val="00DF5AFB"/>
    <w:rsid w:val="00DF5B6C"/>
    <w:rsid w:val="00DF5BA5"/>
    <w:rsid w:val="00DF5D4F"/>
    <w:rsid w:val="00DF5FAD"/>
    <w:rsid w:val="00DF609C"/>
    <w:rsid w:val="00DF60E6"/>
    <w:rsid w:val="00DF614E"/>
    <w:rsid w:val="00DF6170"/>
    <w:rsid w:val="00DF6197"/>
    <w:rsid w:val="00DF63E6"/>
    <w:rsid w:val="00DF6481"/>
    <w:rsid w:val="00DF65ED"/>
    <w:rsid w:val="00DF68E0"/>
    <w:rsid w:val="00DF69CD"/>
    <w:rsid w:val="00DF6AF8"/>
    <w:rsid w:val="00DF6BB2"/>
    <w:rsid w:val="00DF6C85"/>
    <w:rsid w:val="00DF6D0D"/>
    <w:rsid w:val="00DF6E62"/>
    <w:rsid w:val="00DF6EEA"/>
    <w:rsid w:val="00DF6F32"/>
    <w:rsid w:val="00DF6F5D"/>
    <w:rsid w:val="00DF7141"/>
    <w:rsid w:val="00DF7181"/>
    <w:rsid w:val="00DF71ED"/>
    <w:rsid w:val="00DF747E"/>
    <w:rsid w:val="00DF769C"/>
    <w:rsid w:val="00DF7850"/>
    <w:rsid w:val="00DF7869"/>
    <w:rsid w:val="00DF78BA"/>
    <w:rsid w:val="00DF7998"/>
    <w:rsid w:val="00DF79F0"/>
    <w:rsid w:val="00DF7B28"/>
    <w:rsid w:val="00DF7BF0"/>
    <w:rsid w:val="00DF7EAB"/>
    <w:rsid w:val="00DF7F1E"/>
    <w:rsid w:val="00E0028A"/>
    <w:rsid w:val="00E0029C"/>
    <w:rsid w:val="00E0039B"/>
    <w:rsid w:val="00E0041E"/>
    <w:rsid w:val="00E00867"/>
    <w:rsid w:val="00E009DC"/>
    <w:rsid w:val="00E00A10"/>
    <w:rsid w:val="00E00AEF"/>
    <w:rsid w:val="00E00B0A"/>
    <w:rsid w:val="00E00BB7"/>
    <w:rsid w:val="00E00C22"/>
    <w:rsid w:val="00E00C4E"/>
    <w:rsid w:val="00E00D46"/>
    <w:rsid w:val="00E00DAD"/>
    <w:rsid w:val="00E00EA5"/>
    <w:rsid w:val="00E01038"/>
    <w:rsid w:val="00E010EA"/>
    <w:rsid w:val="00E0129B"/>
    <w:rsid w:val="00E012C0"/>
    <w:rsid w:val="00E012E8"/>
    <w:rsid w:val="00E014D8"/>
    <w:rsid w:val="00E016D3"/>
    <w:rsid w:val="00E0187A"/>
    <w:rsid w:val="00E01A0D"/>
    <w:rsid w:val="00E01D80"/>
    <w:rsid w:val="00E01DB2"/>
    <w:rsid w:val="00E01F7A"/>
    <w:rsid w:val="00E0219C"/>
    <w:rsid w:val="00E021D1"/>
    <w:rsid w:val="00E021DA"/>
    <w:rsid w:val="00E02547"/>
    <w:rsid w:val="00E026EA"/>
    <w:rsid w:val="00E02B27"/>
    <w:rsid w:val="00E02B99"/>
    <w:rsid w:val="00E02D94"/>
    <w:rsid w:val="00E02E0C"/>
    <w:rsid w:val="00E02EA2"/>
    <w:rsid w:val="00E02EF0"/>
    <w:rsid w:val="00E02F33"/>
    <w:rsid w:val="00E02F6C"/>
    <w:rsid w:val="00E0312B"/>
    <w:rsid w:val="00E0322B"/>
    <w:rsid w:val="00E0325C"/>
    <w:rsid w:val="00E032CC"/>
    <w:rsid w:val="00E0342F"/>
    <w:rsid w:val="00E03474"/>
    <w:rsid w:val="00E03609"/>
    <w:rsid w:val="00E037C4"/>
    <w:rsid w:val="00E03832"/>
    <w:rsid w:val="00E0393C"/>
    <w:rsid w:val="00E03A83"/>
    <w:rsid w:val="00E03B1F"/>
    <w:rsid w:val="00E03DBB"/>
    <w:rsid w:val="00E03FB2"/>
    <w:rsid w:val="00E042CF"/>
    <w:rsid w:val="00E043B2"/>
    <w:rsid w:val="00E043D1"/>
    <w:rsid w:val="00E04571"/>
    <w:rsid w:val="00E047F6"/>
    <w:rsid w:val="00E04904"/>
    <w:rsid w:val="00E04974"/>
    <w:rsid w:val="00E04BF9"/>
    <w:rsid w:val="00E04CA8"/>
    <w:rsid w:val="00E04CBE"/>
    <w:rsid w:val="00E04D29"/>
    <w:rsid w:val="00E04E31"/>
    <w:rsid w:val="00E04E76"/>
    <w:rsid w:val="00E05017"/>
    <w:rsid w:val="00E0515F"/>
    <w:rsid w:val="00E05301"/>
    <w:rsid w:val="00E056CD"/>
    <w:rsid w:val="00E056D3"/>
    <w:rsid w:val="00E057B8"/>
    <w:rsid w:val="00E05A45"/>
    <w:rsid w:val="00E05A95"/>
    <w:rsid w:val="00E05B75"/>
    <w:rsid w:val="00E05B7B"/>
    <w:rsid w:val="00E05BCA"/>
    <w:rsid w:val="00E05C70"/>
    <w:rsid w:val="00E062D9"/>
    <w:rsid w:val="00E0633C"/>
    <w:rsid w:val="00E0648F"/>
    <w:rsid w:val="00E067D8"/>
    <w:rsid w:val="00E06884"/>
    <w:rsid w:val="00E06A6F"/>
    <w:rsid w:val="00E06C48"/>
    <w:rsid w:val="00E06C7D"/>
    <w:rsid w:val="00E06C96"/>
    <w:rsid w:val="00E06CA8"/>
    <w:rsid w:val="00E06E56"/>
    <w:rsid w:val="00E06E72"/>
    <w:rsid w:val="00E06F20"/>
    <w:rsid w:val="00E070BE"/>
    <w:rsid w:val="00E07129"/>
    <w:rsid w:val="00E07285"/>
    <w:rsid w:val="00E075CE"/>
    <w:rsid w:val="00E075DE"/>
    <w:rsid w:val="00E07616"/>
    <w:rsid w:val="00E07B83"/>
    <w:rsid w:val="00E07C6A"/>
    <w:rsid w:val="00E101AF"/>
    <w:rsid w:val="00E10459"/>
    <w:rsid w:val="00E1047C"/>
    <w:rsid w:val="00E105C8"/>
    <w:rsid w:val="00E1061E"/>
    <w:rsid w:val="00E106B1"/>
    <w:rsid w:val="00E106CC"/>
    <w:rsid w:val="00E10777"/>
    <w:rsid w:val="00E107A1"/>
    <w:rsid w:val="00E10B99"/>
    <w:rsid w:val="00E10E4D"/>
    <w:rsid w:val="00E10E87"/>
    <w:rsid w:val="00E11007"/>
    <w:rsid w:val="00E11285"/>
    <w:rsid w:val="00E117BB"/>
    <w:rsid w:val="00E117C2"/>
    <w:rsid w:val="00E117E3"/>
    <w:rsid w:val="00E117FF"/>
    <w:rsid w:val="00E11CDF"/>
    <w:rsid w:val="00E11EF0"/>
    <w:rsid w:val="00E11F19"/>
    <w:rsid w:val="00E123CD"/>
    <w:rsid w:val="00E125C0"/>
    <w:rsid w:val="00E12604"/>
    <w:rsid w:val="00E1267A"/>
    <w:rsid w:val="00E1275D"/>
    <w:rsid w:val="00E1293C"/>
    <w:rsid w:val="00E12B5C"/>
    <w:rsid w:val="00E12B5E"/>
    <w:rsid w:val="00E12CE1"/>
    <w:rsid w:val="00E12D10"/>
    <w:rsid w:val="00E12D72"/>
    <w:rsid w:val="00E12D84"/>
    <w:rsid w:val="00E12E71"/>
    <w:rsid w:val="00E12EA4"/>
    <w:rsid w:val="00E12EFD"/>
    <w:rsid w:val="00E12F9C"/>
    <w:rsid w:val="00E1306C"/>
    <w:rsid w:val="00E13113"/>
    <w:rsid w:val="00E13127"/>
    <w:rsid w:val="00E13249"/>
    <w:rsid w:val="00E133A5"/>
    <w:rsid w:val="00E133D9"/>
    <w:rsid w:val="00E1362A"/>
    <w:rsid w:val="00E13733"/>
    <w:rsid w:val="00E13D1A"/>
    <w:rsid w:val="00E13D58"/>
    <w:rsid w:val="00E13D7E"/>
    <w:rsid w:val="00E13DDC"/>
    <w:rsid w:val="00E13E4D"/>
    <w:rsid w:val="00E1413E"/>
    <w:rsid w:val="00E141CE"/>
    <w:rsid w:val="00E141D9"/>
    <w:rsid w:val="00E1427E"/>
    <w:rsid w:val="00E143A4"/>
    <w:rsid w:val="00E14499"/>
    <w:rsid w:val="00E147E3"/>
    <w:rsid w:val="00E14B8F"/>
    <w:rsid w:val="00E14C9A"/>
    <w:rsid w:val="00E14E70"/>
    <w:rsid w:val="00E14EB0"/>
    <w:rsid w:val="00E15018"/>
    <w:rsid w:val="00E15167"/>
    <w:rsid w:val="00E157BC"/>
    <w:rsid w:val="00E1585B"/>
    <w:rsid w:val="00E1585F"/>
    <w:rsid w:val="00E15E18"/>
    <w:rsid w:val="00E15FD1"/>
    <w:rsid w:val="00E1636A"/>
    <w:rsid w:val="00E166CB"/>
    <w:rsid w:val="00E167B2"/>
    <w:rsid w:val="00E16ACA"/>
    <w:rsid w:val="00E16B65"/>
    <w:rsid w:val="00E16B82"/>
    <w:rsid w:val="00E16E8B"/>
    <w:rsid w:val="00E16FAC"/>
    <w:rsid w:val="00E16FB6"/>
    <w:rsid w:val="00E17166"/>
    <w:rsid w:val="00E17359"/>
    <w:rsid w:val="00E1753E"/>
    <w:rsid w:val="00E17650"/>
    <w:rsid w:val="00E177A8"/>
    <w:rsid w:val="00E177E5"/>
    <w:rsid w:val="00E1783E"/>
    <w:rsid w:val="00E17AB8"/>
    <w:rsid w:val="00E17C6E"/>
    <w:rsid w:val="00E17C8A"/>
    <w:rsid w:val="00E17CEE"/>
    <w:rsid w:val="00E2013D"/>
    <w:rsid w:val="00E203FE"/>
    <w:rsid w:val="00E20AFD"/>
    <w:rsid w:val="00E20BCD"/>
    <w:rsid w:val="00E20ED6"/>
    <w:rsid w:val="00E20F58"/>
    <w:rsid w:val="00E2100C"/>
    <w:rsid w:val="00E210BE"/>
    <w:rsid w:val="00E21127"/>
    <w:rsid w:val="00E21374"/>
    <w:rsid w:val="00E2154F"/>
    <w:rsid w:val="00E215F1"/>
    <w:rsid w:val="00E21657"/>
    <w:rsid w:val="00E21970"/>
    <w:rsid w:val="00E219CC"/>
    <w:rsid w:val="00E21A01"/>
    <w:rsid w:val="00E21CCE"/>
    <w:rsid w:val="00E21CE4"/>
    <w:rsid w:val="00E21CE9"/>
    <w:rsid w:val="00E21D00"/>
    <w:rsid w:val="00E21E3B"/>
    <w:rsid w:val="00E220DF"/>
    <w:rsid w:val="00E223A5"/>
    <w:rsid w:val="00E22433"/>
    <w:rsid w:val="00E22544"/>
    <w:rsid w:val="00E2290B"/>
    <w:rsid w:val="00E22950"/>
    <w:rsid w:val="00E229EC"/>
    <w:rsid w:val="00E22B52"/>
    <w:rsid w:val="00E22B78"/>
    <w:rsid w:val="00E22BC4"/>
    <w:rsid w:val="00E22EE3"/>
    <w:rsid w:val="00E22F81"/>
    <w:rsid w:val="00E23094"/>
    <w:rsid w:val="00E230FC"/>
    <w:rsid w:val="00E23113"/>
    <w:rsid w:val="00E23146"/>
    <w:rsid w:val="00E23265"/>
    <w:rsid w:val="00E233B9"/>
    <w:rsid w:val="00E2341C"/>
    <w:rsid w:val="00E234FB"/>
    <w:rsid w:val="00E234FF"/>
    <w:rsid w:val="00E23933"/>
    <w:rsid w:val="00E2399E"/>
    <w:rsid w:val="00E23C76"/>
    <w:rsid w:val="00E23E84"/>
    <w:rsid w:val="00E24087"/>
    <w:rsid w:val="00E240F8"/>
    <w:rsid w:val="00E24348"/>
    <w:rsid w:val="00E2444C"/>
    <w:rsid w:val="00E24545"/>
    <w:rsid w:val="00E24608"/>
    <w:rsid w:val="00E24698"/>
    <w:rsid w:val="00E2488B"/>
    <w:rsid w:val="00E24B86"/>
    <w:rsid w:val="00E24E58"/>
    <w:rsid w:val="00E25240"/>
    <w:rsid w:val="00E25823"/>
    <w:rsid w:val="00E25B95"/>
    <w:rsid w:val="00E25E71"/>
    <w:rsid w:val="00E25F6E"/>
    <w:rsid w:val="00E2615A"/>
    <w:rsid w:val="00E2648B"/>
    <w:rsid w:val="00E264A8"/>
    <w:rsid w:val="00E26532"/>
    <w:rsid w:val="00E2670F"/>
    <w:rsid w:val="00E26A41"/>
    <w:rsid w:val="00E26A8B"/>
    <w:rsid w:val="00E26BF0"/>
    <w:rsid w:val="00E26CB1"/>
    <w:rsid w:val="00E26EE0"/>
    <w:rsid w:val="00E26F53"/>
    <w:rsid w:val="00E271B1"/>
    <w:rsid w:val="00E27278"/>
    <w:rsid w:val="00E2730C"/>
    <w:rsid w:val="00E2733D"/>
    <w:rsid w:val="00E27512"/>
    <w:rsid w:val="00E27A00"/>
    <w:rsid w:val="00E27A33"/>
    <w:rsid w:val="00E27B25"/>
    <w:rsid w:val="00E27BB2"/>
    <w:rsid w:val="00E27BDA"/>
    <w:rsid w:val="00E27F0D"/>
    <w:rsid w:val="00E27F72"/>
    <w:rsid w:val="00E30148"/>
    <w:rsid w:val="00E302D9"/>
    <w:rsid w:val="00E304A3"/>
    <w:rsid w:val="00E3071D"/>
    <w:rsid w:val="00E30982"/>
    <w:rsid w:val="00E30AC1"/>
    <w:rsid w:val="00E30B8B"/>
    <w:rsid w:val="00E30BBB"/>
    <w:rsid w:val="00E30F0B"/>
    <w:rsid w:val="00E31016"/>
    <w:rsid w:val="00E310C1"/>
    <w:rsid w:val="00E310D6"/>
    <w:rsid w:val="00E310FA"/>
    <w:rsid w:val="00E3112B"/>
    <w:rsid w:val="00E3138D"/>
    <w:rsid w:val="00E313D2"/>
    <w:rsid w:val="00E3143D"/>
    <w:rsid w:val="00E31571"/>
    <w:rsid w:val="00E315D9"/>
    <w:rsid w:val="00E3170A"/>
    <w:rsid w:val="00E31846"/>
    <w:rsid w:val="00E3188B"/>
    <w:rsid w:val="00E31ACE"/>
    <w:rsid w:val="00E31B48"/>
    <w:rsid w:val="00E31C14"/>
    <w:rsid w:val="00E31D71"/>
    <w:rsid w:val="00E31DB2"/>
    <w:rsid w:val="00E31DC6"/>
    <w:rsid w:val="00E31EE8"/>
    <w:rsid w:val="00E31FCB"/>
    <w:rsid w:val="00E32200"/>
    <w:rsid w:val="00E3247B"/>
    <w:rsid w:val="00E325FF"/>
    <w:rsid w:val="00E328D8"/>
    <w:rsid w:val="00E32963"/>
    <w:rsid w:val="00E3296D"/>
    <w:rsid w:val="00E32981"/>
    <w:rsid w:val="00E32990"/>
    <w:rsid w:val="00E32A1F"/>
    <w:rsid w:val="00E32A2F"/>
    <w:rsid w:val="00E32AD0"/>
    <w:rsid w:val="00E32D67"/>
    <w:rsid w:val="00E32DF6"/>
    <w:rsid w:val="00E32F70"/>
    <w:rsid w:val="00E32F7A"/>
    <w:rsid w:val="00E32FBE"/>
    <w:rsid w:val="00E33433"/>
    <w:rsid w:val="00E3344D"/>
    <w:rsid w:val="00E3357B"/>
    <w:rsid w:val="00E33868"/>
    <w:rsid w:val="00E338E0"/>
    <w:rsid w:val="00E338F2"/>
    <w:rsid w:val="00E33A3B"/>
    <w:rsid w:val="00E33A50"/>
    <w:rsid w:val="00E33A57"/>
    <w:rsid w:val="00E33B48"/>
    <w:rsid w:val="00E33CC5"/>
    <w:rsid w:val="00E33D8F"/>
    <w:rsid w:val="00E33E65"/>
    <w:rsid w:val="00E33EC9"/>
    <w:rsid w:val="00E33F42"/>
    <w:rsid w:val="00E33F58"/>
    <w:rsid w:val="00E340E6"/>
    <w:rsid w:val="00E3415C"/>
    <w:rsid w:val="00E34315"/>
    <w:rsid w:val="00E343B9"/>
    <w:rsid w:val="00E3442A"/>
    <w:rsid w:val="00E344B9"/>
    <w:rsid w:val="00E345B3"/>
    <w:rsid w:val="00E345CD"/>
    <w:rsid w:val="00E346EF"/>
    <w:rsid w:val="00E347B0"/>
    <w:rsid w:val="00E347D3"/>
    <w:rsid w:val="00E348CB"/>
    <w:rsid w:val="00E348DC"/>
    <w:rsid w:val="00E34A60"/>
    <w:rsid w:val="00E34CAD"/>
    <w:rsid w:val="00E34CC1"/>
    <w:rsid w:val="00E34F3C"/>
    <w:rsid w:val="00E35080"/>
    <w:rsid w:val="00E35100"/>
    <w:rsid w:val="00E352A5"/>
    <w:rsid w:val="00E354C3"/>
    <w:rsid w:val="00E35503"/>
    <w:rsid w:val="00E3575C"/>
    <w:rsid w:val="00E357F5"/>
    <w:rsid w:val="00E35B2C"/>
    <w:rsid w:val="00E35BA7"/>
    <w:rsid w:val="00E35C9C"/>
    <w:rsid w:val="00E35F3A"/>
    <w:rsid w:val="00E3602F"/>
    <w:rsid w:val="00E36550"/>
    <w:rsid w:val="00E36587"/>
    <w:rsid w:val="00E366DD"/>
    <w:rsid w:val="00E3688C"/>
    <w:rsid w:val="00E369F8"/>
    <w:rsid w:val="00E36A14"/>
    <w:rsid w:val="00E36B62"/>
    <w:rsid w:val="00E36FF9"/>
    <w:rsid w:val="00E37198"/>
    <w:rsid w:val="00E37287"/>
    <w:rsid w:val="00E372B6"/>
    <w:rsid w:val="00E373D1"/>
    <w:rsid w:val="00E373E4"/>
    <w:rsid w:val="00E3749C"/>
    <w:rsid w:val="00E375F9"/>
    <w:rsid w:val="00E3763B"/>
    <w:rsid w:val="00E37847"/>
    <w:rsid w:val="00E37979"/>
    <w:rsid w:val="00E37A4E"/>
    <w:rsid w:val="00E37EF2"/>
    <w:rsid w:val="00E40015"/>
    <w:rsid w:val="00E40194"/>
    <w:rsid w:val="00E40522"/>
    <w:rsid w:val="00E40577"/>
    <w:rsid w:val="00E40718"/>
    <w:rsid w:val="00E407C3"/>
    <w:rsid w:val="00E4083E"/>
    <w:rsid w:val="00E4089C"/>
    <w:rsid w:val="00E408DB"/>
    <w:rsid w:val="00E408E1"/>
    <w:rsid w:val="00E40979"/>
    <w:rsid w:val="00E40A3A"/>
    <w:rsid w:val="00E410BD"/>
    <w:rsid w:val="00E415D4"/>
    <w:rsid w:val="00E41F19"/>
    <w:rsid w:val="00E4215B"/>
    <w:rsid w:val="00E423BC"/>
    <w:rsid w:val="00E424B2"/>
    <w:rsid w:val="00E42508"/>
    <w:rsid w:val="00E42590"/>
    <w:rsid w:val="00E4296A"/>
    <w:rsid w:val="00E42A9C"/>
    <w:rsid w:val="00E42AF4"/>
    <w:rsid w:val="00E42B0D"/>
    <w:rsid w:val="00E42CE1"/>
    <w:rsid w:val="00E42EB7"/>
    <w:rsid w:val="00E42F06"/>
    <w:rsid w:val="00E43114"/>
    <w:rsid w:val="00E431B1"/>
    <w:rsid w:val="00E43253"/>
    <w:rsid w:val="00E4339C"/>
    <w:rsid w:val="00E43476"/>
    <w:rsid w:val="00E4350C"/>
    <w:rsid w:val="00E435A4"/>
    <w:rsid w:val="00E4365C"/>
    <w:rsid w:val="00E4381D"/>
    <w:rsid w:val="00E43952"/>
    <w:rsid w:val="00E43A8A"/>
    <w:rsid w:val="00E43BE8"/>
    <w:rsid w:val="00E43E03"/>
    <w:rsid w:val="00E43FC4"/>
    <w:rsid w:val="00E44404"/>
    <w:rsid w:val="00E444EE"/>
    <w:rsid w:val="00E44539"/>
    <w:rsid w:val="00E44702"/>
    <w:rsid w:val="00E44705"/>
    <w:rsid w:val="00E4486E"/>
    <w:rsid w:val="00E450B5"/>
    <w:rsid w:val="00E450F1"/>
    <w:rsid w:val="00E450F2"/>
    <w:rsid w:val="00E4512E"/>
    <w:rsid w:val="00E45146"/>
    <w:rsid w:val="00E4527A"/>
    <w:rsid w:val="00E45417"/>
    <w:rsid w:val="00E4559E"/>
    <w:rsid w:val="00E45732"/>
    <w:rsid w:val="00E4584F"/>
    <w:rsid w:val="00E45860"/>
    <w:rsid w:val="00E458C5"/>
    <w:rsid w:val="00E45B03"/>
    <w:rsid w:val="00E45EBB"/>
    <w:rsid w:val="00E45FDA"/>
    <w:rsid w:val="00E4605C"/>
    <w:rsid w:val="00E461F6"/>
    <w:rsid w:val="00E465C2"/>
    <w:rsid w:val="00E46723"/>
    <w:rsid w:val="00E46A24"/>
    <w:rsid w:val="00E46DAC"/>
    <w:rsid w:val="00E46DB5"/>
    <w:rsid w:val="00E46E49"/>
    <w:rsid w:val="00E470E0"/>
    <w:rsid w:val="00E47142"/>
    <w:rsid w:val="00E47175"/>
    <w:rsid w:val="00E47490"/>
    <w:rsid w:val="00E47646"/>
    <w:rsid w:val="00E4787F"/>
    <w:rsid w:val="00E47A08"/>
    <w:rsid w:val="00E47AD5"/>
    <w:rsid w:val="00E5017D"/>
    <w:rsid w:val="00E502EE"/>
    <w:rsid w:val="00E50303"/>
    <w:rsid w:val="00E50386"/>
    <w:rsid w:val="00E504B8"/>
    <w:rsid w:val="00E50655"/>
    <w:rsid w:val="00E506A6"/>
    <w:rsid w:val="00E506DB"/>
    <w:rsid w:val="00E50700"/>
    <w:rsid w:val="00E507D3"/>
    <w:rsid w:val="00E50937"/>
    <w:rsid w:val="00E50F06"/>
    <w:rsid w:val="00E5121D"/>
    <w:rsid w:val="00E51389"/>
    <w:rsid w:val="00E5178C"/>
    <w:rsid w:val="00E51ABD"/>
    <w:rsid w:val="00E51D67"/>
    <w:rsid w:val="00E51FB5"/>
    <w:rsid w:val="00E5222D"/>
    <w:rsid w:val="00E52411"/>
    <w:rsid w:val="00E527AA"/>
    <w:rsid w:val="00E5280B"/>
    <w:rsid w:val="00E528BE"/>
    <w:rsid w:val="00E52D94"/>
    <w:rsid w:val="00E52E8E"/>
    <w:rsid w:val="00E52F4A"/>
    <w:rsid w:val="00E53087"/>
    <w:rsid w:val="00E535C0"/>
    <w:rsid w:val="00E53617"/>
    <w:rsid w:val="00E5364F"/>
    <w:rsid w:val="00E537D3"/>
    <w:rsid w:val="00E5399C"/>
    <w:rsid w:val="00E53B4F"/>
    <w:rsid w:val="00E5439F"/>
    <w:rsid w:val="00E543EE"/>
    <w:rsid w:val="00E54490"/>
    <w:rsid w:val="00E546E4"/>
    <w:rsid w:val="00E547D2"/>
    <w:rsid w:val="00E5494F"/>
    <w:rsid w:val="00E549CA"/>
    <w:rsid w:val="00E54A10"/>
    <w:rsid w:val="00E54B0A"/>
    <w:rsid w:val="00E54B16"/>
    <w:rsid w:val="00E54B5D"/>
    <w:rsid w:val="00E54CE9"/>
    <w:rsid w:val="00E54F85"/>
    <w:rsid w:val="00E5516E"/>
    <w:rsid w:val="00E55199"/>
    <w:rsid w:val="00E552E6"/>
    <w:rsid w:val="00E55355"/>
    <w:rsid w:val="00E5545F"/>
    <w:rsid w:val="00E55472"/>
    <w:rsid w:val="00E55698"/>
    <w:rsid w:val="00E5587E"/>
    <w:rsid w:val="00E5596A"/>
    <w:rsid w:val="00E5614D"/>
    <w:rsid w:val="00E56179"/>
    <w:rsid w:val="00E5619C"/>
    <w:rsid w:val="00E56263"/>
    <w:rsid w:val="00E562C0"/>
    <w:rsid w:val="00E562D8"/>
    <w:rsid w:val="00E562E3"/>
    <w:rsid w:val="00E563E7"/>
    <w:rsid w:val="00E56493"/>
    <w:rsid w:val="00E566EA"/>
    <w:rsid w:val="00E566FA"/>
    <w:rsid w:val="00E5671C"/>
    <w:rsid w:val="00E567E3"/>
    <w:rsid w:val="00E56864"/>
    <w:rsid w:val="00E569A2"/>
    <w:rsid w:val="00E56B9A"/>
    <w:rsid w:val="00E56DD7"/>
    <w:rsid w:val="00E56EEA"/>
    <w:rsid w:val="00E571B0"/>
    <w:rsid w:val="00E575F4"/>
    <w:rsid w:val="00E5787F"/>
    <w:rsid w:val="00E57953"/>
    <w:rsid w:val="00E57C22"/>
    <w:rsid w:val="00E57C43"/>
    <w:rsid w:val="00E57D98"/>
    <w:rsid w:val="00E60016"/>
    <w:rsid w:val="00E600F9"/>
    <w:rsid w:val="00E602C1"/>
    <w:rsid w:val="00E60444"/>
    <w:rsid w:val="00E6053F"/>
    <w:rsid w:val="00E60568"/>
    <w:rsid w:val="00E60776"/>
    <w:rsid w:val="00E60A66"/>
    <w:rsid w:val="00E60D1B"/>
    <w:rsid w:val="00E60E66"/>
    <w:rsid w:val="00E610C0"/>
    <w:rsid w:val="00E611BF"/>
    <w:rsid w:val="00E615A6"/>
    <w:rsid w:val="00E616C2"/>
    <w:rsid w:val="00E618A1"/>
    <w:rsid w:val="00E61917"/>
    <w:rsid w:val="00E61A65"/>
    <w:rsid w:val="00E61B78"/>
    <w:rsid w:val="00E61C96"/>
    <w:rsid w:val="00E61EBB"/>
    <w:rsid w:val="00E61EEB"/>
    <w:rsid w:val="00E61F21"/>
    <w:rsid w:val="00E620A6"/>
    <w:rsid w:val="00E624E1"/>
    <w:rsid w:val="00E62555"/>
    <w:rsid w:val="00E628A3"/>
    <w:rsid w:val="00E62A4B"/>
    <w:rsid w:val="00E62B2B"/>
    <w:rsid w:val="00E62B83"/>
    <w:rsid w:val="00E62C39"/>
    <w:rsid w:val="00E62CCB"/>
    <w:rsid w:val="00E62D10"/>
    <w:rsid w:val="00E62DBA"/>
    <w:rsid w:val="00E6302B"/>
    <w:rsid w:val="00E632A9"/>
    <w:rsid w:val="00E633C1"/>
    <w:rsid w:val="00E633EC"/>
    <w:rsid w:val="00E633F3"/>
    <w:rsid w:val="00E634B6"/>
    <w:rsid w:val="00E63574"/>
    <w:rsid w:val="00E63753"/>
    <w:rsid w:val="00E63836"/>
    <w:rsid w:val="00E638C9"/>
    <w:rsid w:val="00E638E4"/>
    <w:rsid w:val="00E63A0D"/>
    <w:rsid w:val="00E63A56"/>
    <w:rsid w:val="00E63C36"/>
    <w:rsid w:val="00E6418E"/>
    <w:rsid w:val="00E642CE"/>
    <w:rsid w:val="00E64448"/>
    <w:rsid w:val="00E6463A"/>
    <w:rsid w:val="00E6476F"/>
    <w:rsid w:val="00E647B2"/>
    <w:rsid w:val="00E6482C"/>
    <w:rsid w:val="00E64830"/>
    <w:rsid w:val="00E64B5B"/>
    <w:rsid w:val="00E64DDB"/>
    <w:rsid w:val="00E6517A"/>
    <w:rsid w:val="00E6528A"/>
    <w:rsid w:val="00E654D8"/>
    <w:rsid w:val="00E65616"/>
    <w:rsid w:val="00E6572A"/>
    <w:rsid w:val="00E659DE"/>
    <w:rsid w:val="00E65A23"/>
    <w:rsid w:val="00E65C00"/>
    <w:rsid w:val="00E65FEE"/>
    <w:rsid w:val="00E66142"/>
    <w:rsid w:val="00E6623A"/>
    <w:rsid w:val="00E6625E"/>
    <w:rsid w:val="00E663DB"/>
    <w:rsid w:val="00E66680"/>
    <w:rsid w:val="00E66748"/>
    <w:rsid w:val="00E66C00"/>
    <w:rsid w:val="00E66C59"/>
    <w:rsid w:val="00E66CAE"/>
    <w:rsid w:val="00E66EC5"/>
    <w:rsid w:val="00E67133"/>
    <w:rsid w:val="00E673F1"/>
    <w:rsid w:val="00E67463"/>
    <w:rsid w:val="00E675D9"/>
    <w:rsid w:val="00E67602"/>
    <w:rsid w:val="00E67950"/>
    <w:rsid w:val="00E67A1D"/>
    <w:rsid w:val="00E67DAD"/>
    <w:rsid w:val="00E7005F"/>
    <w:rsid w:val="00E701EE"/>
    <w:rsid w:val="00E70622"/>
    <w:rsid w:val="00E7070B"/>
    <w:rsid w:val="00E70C18"/>
    <w:rsid w:val="00E70F5F"/>
    <w:rsid w:val="00E70F67"/>
    <w:rsid w:val="00E70FEE"/>
    <w:rsid w:val="00E711D3"/>
    <w:rsid w:val="00E71305"/>
    <w:rsid w:val="00E71322"/>
    <w:rsid w:val="00E71867"/>
    <w:rsid w:val="00E718DA"/>
    <w:rsid w:val="00E71E63"/>
    <w:rsid w:val="00E71E6E"/>
    <w:rsid w:val="00E72112"/>
    <w:rsid w:val="00E72142"/>
    <w:rsid w:val="00E721CF"/>
    <w:rsid w:val="00E7225E"/>
    <w:rsid w:val="00E722B8"/>
    <w:rsid w:val="00E72360"/>
    <w:rsid w:val="00E723F3"/>
    <w:rsid w:val="00E72484"/>
    <w:rsid w:val="00E7265B"/>
    <w:rsid w:val="00E726CE"/>
    <w:rsid w:val="00E727AC"/>
    <w:rsid w:val="00E728D6"/>
    <w:rsid w:val="00E72A20"/>
    <w:rsid w:val="00E72D86"/>
    <w:rsid w:val="00E72DED"/>
    <w:rsid w:val="00E72E0E"/>
    <w:rsid w:val="00E72E5C"/>
    <w:rsid w:val="00E72EE4"/>
    <w:rsid w:val="00E72F18"/>
    <w:rsid w:val="00E72F59"/>
    <w:rsid w:val="00E7314D"/>
    <w:rsid w:val="00E73273"/>
    <w:rsid w:val="00E732F7"/>
    <w:rsid w:val="00E7348D"/>
    <w:rsid w:val="00E734E8"/>
    <w:rsid w:val="00E73B87"/>
    <w:rsid w:val="00E73D63"/>
    <w:rsid w:val="00E73E1F"/>
    <w:rsid w:val="00E74461"/>
    <w:rsid w:val="00E7470C"/>
    <w:rsid w:val="00E74BF7"/>
    <w:rsid w:val="00E74C91"/>
    <w:rsid w:val="00E74D3D"/>
    <w:rsid w:val="00E74E07"/>
    <w:rsid w:val="00E74FCF"/>
    <w:rsid w:val="00E75138"/>
    <w:rsid w:val="00E75426"/>
    <w:rsid w:val="00E7572F"/>
    <w:rsid w:val="00E7578A"/>
    <w:rsid w:val="00E75950"/>
    <w:rsid w:val="00E759C3"/>
    <w:rsid w:val="00E759D2"/>
    <w:rsid w:val="00E75A3A"/>
    <w:rsid w:val="00E75A3D"/>
    <w:rsid w:val="00E75AB2"/>
    <w:rsid w:val="00E75CAC"/>
    <w:rsid w:val="00E75D9A"/>
    <w:rsid w:val="00E75DCD"/>
    <w:rsid w:val="00E76223"/>
    <w:rsid w:val="00E76273"/>
    <w:rsid w:val="00E762DE"/>
    <w:rsid w:val="00E76412"/>
    <w:rsid w:val="00E7659B"/>
    <w:rsid w:val="00E766B0"/>
    <w:rsid w:val="00E768B1"/>
    <w:rsid w:val="00E76A5B"/>
    <w:rsid w:val="00E76AD5"/>
    <w:rsid w:val="00E76BD9"/>
    <w:rsid w:val="00E76C34"/>
    <w:rsid w:val="00E76E01"/>
    <w:rsid w:val="00E76E68"/>
    <w:rsid w:val="00E76EA4"/>
    <w:rsid w:val="00E77098"/>
    <w:rsid w:val="00E77364"/>
    <w:rsid w:val="00E77372"/>
    <w:rsid w:val="00E773DF"/>
    <w:rsid w:val="00E774C2"/>
    <w:rsid w:val="00E775B7"/>
    <w:rsid w:val="00E77679"/>
    <w:rsid w:val="00E776C1"/>
    <w:rsid w:val="00E776D6"/>
    <w:rsid w:val="00E7780C"/>
    <w:rsid w:val="00E77AA6"/>
    <w:rsid w:val="00E77B57"/>
    <w:rsid w:val="00E77C02"/>
    <w:rsid w:val="00E77C22"/>
    <w:rsid w:val="00E77C3C"/>
    <w:rsid w:val="00E77F85"/>
    <w:rsid w:val="00E800A4"/>
    <w:rsid w:val="00E80141"/>
    <w:rsid w:val="00E802DE"/>
    <w:rsid w:val="00E803B3"/>
    <w:rsid w:val="00E80828"/>
    <w:rsid w:val="00E80AAE"/>
    <w:rsid w:val="00E80C88"/>
    <w:rsid w:val="00E80DF9"/>
    <w:rsid w:val="00E80F59"/>
    <w:rsid w:val="00E81119"/>
    <w:rsid w:val="00E81191"/>
    <w:rsid w:val="00E812B7"/>
    <w:rsid w:val="00E81336"/>
    <w:rsid w:val="00E8142E"/>
    <w:rsid w:val="00E81481"/>
    <w:rsid w:val="00E8162F"/>
    <w:rsid w:val="00E8163F"/>
    <w:rsid w:val="00E8179B"/>
    <w:rsid w:val="00E817D6"/>
    <w:rsid w:val="00E8196A"/>
    <w:rsid w:val="00E819D9"/>
    <w:rsid w:val="00E81A6A"/>
    <w:rsid w:val="00E81AFE"/>
    <w:rsid w:val="00E81C8A"/>
    <w:rsid w:val="00E81E1F"/>
    <w:rsid w:val="00E81F15"/>
    <w:rsid w:val="00E822E1"/>
    <w:rsid w:val="00E82460"/>
    <w:rsid w:val="00E8248C"/>
    <w:rsid w:val="00E824F0"/>
    <w:rsid w:val="00E8250E"/>
    <w:rsid w:val="00E825B1"/>
    <w:rsid w:val="00E8262A"/>
    <w:rsid w:val="00E82838"/>
    <w:rsid w:val="00E82966"/>
    <w:rsid w:val="00E82A65"/>
    <w:rsid w:val="00E82A6B"/>
    <w:rsid w:val="00E82C67"/>
    <w:rsid w:val="00E82F56"/>
    <w:rsid w:val="00E82FE4"/>
    <w:rsid w:val="00E830A3"/>
    <w:rsid w:val="00E83240"/>
    <w:rsid w:val="00E833C5"/>
    <w:rsid w:val="00E8359D"/>
    <w:rsid w:val="00E83ED3"/>
    <w:rsid w:val="00E83F37"/>
    <w:rsid w:val="00E83F57"/>
    <w:rsid w:val="00E83F6E"/>
    <w:rsid w:val="00E84005"/>
    <w:rsid w:val="00E840F7"/>
    <w:rsid w:val="00E84126"/>
    <w:rsid w:val="00E8414E"/>
    <w:rsid w:val="00E841A5"/>
    <w:rsid w:val="00E841F5"/>
    <w:rsid w:val="00E843C8"/>
    <w:rsid w:val="00E84646"/>
    <w:rsid w:val="00E84BF5"/>
    <w:rsid w:val="00E84DB9"/>
    <w:rsid w:val="00E84DD8"/>
    <w:rsid w:val="00E84EF9"/>
    <w:rsid w:val="00E85432"/>
    <w:rsid w:val="00E85564"/>
    <w:rsid w:val="00E8559D"/>
    <w:rsid w:val="00E85661"/>
    <w:rsid w:val="00E857AF"/>
    <w:rsid w:val="00E859CC"/>
    <w:rsid w:val="00E85A4B"/>
    <w:rsid w:val="00E85B60"/>
    <w:rsid w:val="00E85CB8"/>
    <w:rsid w:val="00E85DA6"/>
    <w:rsid w:val="00E85F0F"/>
    <w:rsid w:val="00E86107"/>
    <w:rsid w:val="00E862B1"/>
    <w:rsid w:val="00E8635A"/>
    <w:rsid w:val="00E86754"/>
    <w:rsid w:val="00E867A2"/>
    <w:rsid w:val="00E8699A"/>
    <w:rsid w:val="00E869D6"/>
    <w:rsid w:val="00E86A88"/>
    <w:rsid w:val="00E86A9E"/>
    <w:rsid w:val="00E86C30"/>
    <w:rsid w:val="00E86D02"/>
    <w:rsid w:val="00E86DA0"/>
    <w:rsid w:val="00E86DC3"/>
    <w:rsid w:val="00E86E46"/>
    <w:rsid w:val="00E87012"/>
    <w:rsid w:val="00E870B4"/>
    <w:rsid w:val="00E870BD"/>
    <w:rsid w:val="00E8712B"/>
    <w:rsid w:val="00E871D6"/>
    <w:rsid w:val="00E871FF"/>
    <w:rsid w:val="00E872A2"/>
    <w:rsid w:val="00E87742"/>
    <w:rsid w:val="00E87A53"/>
    <w:rsid w:val="00E87A96"/>
    <w:rsid w:val="00E87D61"/>
    <w:rsid w:val="00E90114"/>
    <w:rsid w:val="00E90484"/>
    <w:rsid w:val="00E9052B"/>
    <w:rsid w:val="00E90531"/>
    <w:rsid w:val="00E90896"/>
    <w:rsid w:val="00E90999"/>
    <w:rsid w:val="00E90C4C"/>
    <w:rsid w:val="00E90DE5"/>
    <w:rsid w:val="00E90E71"/>
    <w:rsid w:val="00E90FF1"/>
    <w:rsid w:val="00E9137A"/>
    <w:rsid w:val="00E914C7"/>
    <w:rsid w:val="00E917EB"/>
    <w:rsid w:val="00E917FE"/>
    <w:rsid w:val="00E9180D"/>
    <w:rsid w:val="00E91A03"/>
    <w:rsid w:val="00E91A13"/>
    <w:rsid w:val="00E91A56"/>
    <w:rsid w:val="00E91AD9"/>
    <w:rsid w:val="00E91BC6"/>
    <w:rsid w:val="00E91D69"/>
    <w:rsid w:val="00E91E4F"/>
    <w:rsid w:val="00E9206B"/>
    <w:rsid w:val="00E925A1"/>
    <w:rsid w:val="00E92734"/>
    <w:rsid w:val="00E928E4"/>
    <w:rsid w:val="00E92CA2"/>
    <w:rsid w:val="00E92CBD"/>
    <w:rsid w:val="00E92CF0"/>
    <w:rsid w:val="00E92D47"/>
    <w:rsid w:val="00E92E9B"/>
    <w:rsid w:val="00E92F38"/>
    <w:rsid w:val="00E92FED"/>
    <w:rsid w:val="00E9334F"/>
    <w:rsid w:val="00E934C3"/>
    <w:rsid w:val="00E93541"/>
    <w:rsid w:val="00E938D4"/>
    <w:rsid w:val="00E938F4"/>
    <w:rsid w:val="00E9421C"/>
    <w:rsid w:val="00E94269"/>
    <w:rsid w:val="00E94713"/>
    <w:rsid w:val="00E9475F"/>
    <w:rsid w:val="00E947DF"/>
    <w:rsid w:val="00E9487F"/>
    <w:rsid w:val="00E94A76"/>
    <w:rsid w:val="00E94AE3"/>
    <w:rsid w:val="00E94B76"/>
    <w:rsid w:val="00E94C34"/>
    <w:rsid w:val="00E94C38"/>
    <w:rsid w:val="00E94E3A"/>
    <w:rsid w:val="00E94EA5"/>
    <w:rsid w:val="00E94F9E"/>
    <w:rsid w:val="00E952F2"/>
    <w:rsid w:val="00E952F8"/>
    <w:rsid w:val="00E95356"/>
    <w:rsid w:val="00E953A8"/>
    <w:rsid w:val="00E95441"/>
    <w:rsid w:val="00E9547B"/>
    <w:rsid w:val="00E95502"/>
    <w:rsid w:val="00E957EE"/>
    <w:rsid w:val="00E95826"/>
    <w:rsid w:val="00E95928"/>
    <w:rsid w:val="00E95A6D"/>
    <w:rsid w:val="00E95B90"/>
    <w:rsid w:val="00E95D8D"/>
    <w:rsid w:val="00E95EE9"/>
    <w:rsid w:val="00E960ED"/>
    <w:rsid w:val="00E96168"/>
    <w:rsid w:val="00E96194"/>
    <w:rsid w:val="00E962C7"/>
    <w:rsid w:val="00E963CF"/>
    <w:rsid w:val="00E96607"/>
    <w:rsid w:val="00E96ABE"/>
    <w:rsid w:val="00E96C32"/>
    <w:rsid w:val="00E96D64"/>
    <w:rsid w:val="00E96DB7"/>
    <w:rsid w:val="00E9707C"/>
    <w:rsid w:val="00E97094"/>
    <w:rsid w:val="00E9713E"/>
    <w:rsid w:val="00E9727E"/>
    <w:rsid w:val="00E972EA"/>
    <w:rsid w:val="00E9730D"/>
    <w:rsid w:val="00E973D5"/>
    <w:rsid w:val="00E97574"/>
    <w:rsid w:val="00E9792F"/>
    <w:rsid w:val="00E97BB2"/>
    <w:rsid w:val="00E97CF8"/>
    <w:rsid w:val="00E97EC8"/>
    <w:rsid w:val="00E97EDB"/>
    <w:rsid w:val="00E97FC3"/>
    <w:rsid w:val="00EA0035"/>
    <w:rsid w:val="00EA0480"/>
    <w:rsid w:val="00EA0563"/>
    <w:rsid w:val="00EA05B4"/>
    <w:rsid w:val="00EA05D6"/>
    <w:rsid w:val="00EA05FF"/>
    <w:rsid w:val="00EA0771"/>
    <w:rsid w:val="00EA0906"/>
    <w:rsid w:val="00EA0ADC"/>
    <w:rsid w:val="00EA0B90"/>
    <w:rsid w:val="00EA0B9E"/>
    <w:rsid w:val="00EA0C42"/>
    <w:rsid w:val="00EA0F2F"/>
    <w:rsid w:val="00EA0FAC"/>
    <w:rsid w:val="00EA14D8"/>
    <w:rsid w:val="00EA15F9"/>
    <w:rsid w:val="00EA1719"/>
    <w:rsid w:val="00EA17CB"/>
    <w:rsid w:val="00EA17DC"/>
    <w:rsid w:val="00EA1980"/>
    <w:rsid w:val="00EA1E74"/>
    <w:rsid w:val="00EA1E86"/>
    <w:rsid w:val="00EA2623"/>
    <w:rsid w:val="00EA269B"/>
    <w:rsid w:val="00EA2719"/>
    <w:rsid w:val="00EA2842"/>
    <w:rsid w:val="00EA28A1"/>
    <w:rsid w:val="00EA29FF"/>
    <w:rsid w:val="00EA2A87"/>
    <w:rsid w:val="00EA2C99"/>
    <w:rsid w:val="00EA2E01"/>
    <w:rsid w:val="00EA2F7E"/>
    <w:rsid w:val="00EA2FA3"/>
    <w:rsid w:val="00EA2FF1"/>
    <w:rsid w:val="00EA30D6"/>
    <w:rsid w:val="00EA325C"/>
    <w:rsid w:val="00EA3366"/>
    <w:rsid w:val="00EA3401"/>
    <w:rsid w:val="00EA35A1"/>
    <w:rsid w:val="00EA3723"/>
    <w:rsid w:val="00EA38F0"/>
    <w:rsid w:val="00EA3DC0"/>
    <w:rsid w:val="00EA3DCB"/>
    <w:rsid w:val="00EA3ED9"/>
    <w:rsid w:val="00EA3F9D"/>
    <w:rsid w:val="00EA4181"/>
    <w:rsid w:val="00EA4295"/>
    <w:rsid w:val="00EA4369"/>
    <w:rsid w:val="00EA436E"/>
    <w:rsid w:val="00EA4542"/>
    <w:rsid w:val="00EA486C"/>
    <w:rsid w:val="00EA49C2"/>
    <w:rsid w:val="00EA4BA6"/>
    <w:rsid w:val="00EA4E5E"/>
    <w:rsid w:val="00EA4F48"/>
    <w:rsid w:val="00EA4F5E"/>
    <w:rsid w:val="00EA4FD4"/>
    <w:rsid w:val="00EA5173"/>
    <w:rsid w:val="00EA5598"/>
    <w:rsid w:val="00EA568A"/>
    <w:rsid w:val="00EA591A"/>
    <w:rsid w:val="00EA5A4A"/>
    <w:rsid w:val="00EA5BB6"/>
    <w:rsid w:val="00EA5D5D"/>
    <w:rsid w:val="00EA5F55"/>
    <w:rsid w:val="00EA5FAB"/>
    <w:rsid w:val="00EA6041"/>
    <w:rsid w:val="00EA6051"/>
    <w:rsid w:val="00EA605E"/>
    <w:rsid w:val="00EA612E"/>
    <w:rsid w:val="00EA6199"/>
    <w:rsid w:val="00EA62EA"/>
    <w:rsid w:val="00EA62F8"/>
    <w:rsid w:val="00EA644C"/>
    <w:rsid w:val="00EA650D"/>
    <w:rsid w:val="00EA663D"/>
    <w:rsid w:val="00EA671A"/>
    <w:rsid w:val="00EA6803"/>
    <w:rsid w:val="00EA6828"/>
    <w:rsid w:val="00EA69F7"/>
    <w:rsid w:val="00EA6AD3"/>
    <w:rsid w:val="00EA6BE1"/>
    <w:rsid w:val="00EA6EA5"/>
    <w:rsid w:val="00EA70AB"/>
    <w:rsid w:val="00EA71DC"/>
    <w:rsid w:val="00EA71F6"/>
    <w:rsid w:val="00EA7325"/>
    <w:rsid w:val="00EA75CB"/>
    <w:rsid w:val="00EA76AC"/>
    <w:rsid w:val="00EA76AF"/>
    <w:rsid w:val="00EA76C3"/>
    <w:rsid w:val="00EA775B"/>
    <w:rsid w:val="00EA78BB"/>
    <w:rsid w:val="00EA79DD"/>
    <w:rsid w:val="00EA7B8F"/>
    <w:rsid w:val="00EB01E9"/>
    <w:rsid w:val="00EB0359"/>
    <w:rsid w:val="00EB0451"/>
    <w:rsid w:val="00EB07EE"/>
    <w:rsid w:val="00EB0A67"/>
    <w:rsid w:val="00EB0C76"/>
    <w:rsid w:val="00EB0DAC"/>
    <w:rsid w:val="00EB0E3D"/>
    <w:rsid w:val="00EB0F20"/>
    <w:rsid w:val="00EB0FDF"/>
    <w:rsid w:val="00EB1095"/>
    <w:rsid w:val="00EB10D7"/>
    <w:rsid w:val="00EB10F1"/>
    <w:rsid w:val="00EB14DA"/>
    <w:rsid w:val="00EB1710"/>
    <w:rsid w:val="00EB17F6"/>
    <w:rsid w:val="00EB1B3E"/>
    <w:rsid w:val="00EB1BD9"/>
    <w:rsid w:val="00EB1D78"/>
    <w:rsid w:val="00EB1F22"/>
    <w:rsid w:val="00EB1F72"/>
    <w:rsid w:val="00EB225C"/>
    <w:rsid w:val="00EB226F"/>
    <w:rsid w:val="00EB236F"/>
    <w:rsid w:val="00EB25DB"/>
    <w:rsid w:val="00EB2604"/>
    <w:rsid w:val="00EB269F"/>
    <w:rsid w:val="00EB2A81"/>
    <w:rsid w:val="00EB2B48"/>
    <w:rsid w:val="00EB2C06"/>
    <w:rsid w:val="00EB2E3A"/>
    <w:rsid w:val="00EB2F3F"/>
    <w:rsid w:val="00EB2FAE"/>
    <w:rsid w:val="00EB2FF8"/>
    <w:rsid w:val="00EB3207"/>
    <w:rsid w:val="00EB372A"/>
    <w:rsid w:val="00EB3764"/>
    <w:rsid w:val="00EB37EC"/>
    <w:rsid w:val="00EB387E"/>
    <w:rsid w:val="00EB3932"/>
    <w:rsid w:val="00EB3A1E"/>
    <w:rsid w:val="00EB3AC9"/>
    <w:rsid w:val="00EB3E82"/>
    <w:rsid w:val="00EB40F4"/>
    <w:rsid w:val="00EB4123"/>
    <w:rsid w:val="00EB417A"/>
    <w:rsid w:val="00EB4271"/>
    <w:rsid w:val="00EB431C"/>
    <w:rsid w:val="00EB463A"/>
    <w:rsid w:val="00EB4674"/>
    <w:rsid w:val="00EB46EE"/>
    <w:rsid w:val="00EB49CE"/>
    <w:rsid w:val="00EB4BD7"/>
    <w:rsid w:val="00EB4FFC"/>
    <w:rsid w:val="00EB525D"/>
    <w:rsid w:val="00EB5A08"/>
    <w:rsid w:val="00EB5A21"/>
    <w:rsid w:val="00EB5DFF"/>
    <w:rsid w:val="00EB5E26"/>
    <w:rsid w:val="00EB5EB2"/>
    <w:rsid w:val="00EB5EF2"/>
    <w:rsid w:val="00EB5F24"/>
    <w:rsid w:val="00EB6122"/>
    <w:rsid w:val="00EB6179"/>
    <w:rsid w:val="00EB63BB"/>
    <w:rsid w:val="00EB6441"/>
    <w:rsid w:val="00EB6575"/>
    <w:rsid w:val="00EB6837"/>
    <w:rsid w:val="00EB6A21"/>
    <w:rsid w:val="00EB6EC9"/>
    <w:rsid w:val="00EB6ECC"/>
    <w:rsid w:val="00EB6F12"/>
    <w:rsid w:val="00EB7146"/>
    <w:rsid w:val="00EB7287"/>
    <w:rsid w:val="00EB7410"/>
    <w:rsid w:val="00EB744B"/>
    <w:rsid w:val="00EB7753"/>
    <w:rsid w:val="00EB7825"/>
    <w:rsid w:val="00EB799F"/>
    <w:rsid w:val="00EB7D4D"/>
    <w:rsid w:val="00EC0036"/>
    <w:rsid w:val="00EC018F"/>
    <w:rsid w:val="00EC01BA"/>
    <w:rsid w:val="00EC0200"/>
    <w:rsid w:val="00EC028A"/>
    <w:rsid w:val="00EC0324"/>
    <w:rsid w:val="00EC0326"/>
    <w:rsid w:val="00EC0771"/>
    <w:rsid w:val="00EC09DA"/>
    <w:rsid w:val="00EC0D2A"/>
    <w:rsid w:val="00EC0D67"/>
    <w:rsid w:val="00EC0E70"/>
    <w:rsid w:val="00EC0F03"/>
    <w:rsid w:val="00EC0F3B"/>
    <w:rsid w:val="00EC0F5F"/>
    <w:rsid w:val="00EC1055"/>
    <w:rsid w:val="00EC120E"/>
    <w:rsid w:val="00EC14B3"/>
    <w:rsid w:val="00EC16D4"/>
    <w:rsid w:val="00EC17F5"/>
    <w:rsid w:val="00EC18F8"/>
    <w:rsid w:val="00EC1F87"/>
    <w:rsid w:val="00EC222B"/>
    <w:rsid w:val="00EC2344"/>
    <w:rsid w:val="00EC242C"/>
    <w:rsid w:val="00EC2553"/>
    <w:rsid w:val="00EC2660"/>
    <w:rsid w:val="00EC2833"/>
    <w:rsid w:val="00EC297B"/>
    <w:rsid w:val="00EC2AEF"/>
    <w:rsid w:val="00EC2B43"/>
    <w:rsid w:val="00EC2D2C"/>
    <w:rsid w:val="00EC2E7E"/>
    <w:rsid w:val="00EC2ED7"/>
    <w:rsid w:val="00EC3127"/>
    <w:rsid w:val="00EC322A"/>
    <w:rsid w:val="00EC3558"/>
    <w:rsid w:val="00EC3C87"/>
    <w:rsid w:val="00EC3D86"/>
    <w:rsid w:val="00EC3E53"/>
    <w:rsid w:val="00EC3EDE"/>
    <w:rsid w:val="00EC3F69"/>
    <w:rsid w:val="00EC3F7E"/>
    <w:rsid w:val="00EC416F"/>
    <w:rsid w:val="00EC4210"/>
    <w:rsid w:val="00EC431A"/>
    <w:rsid w:val="00EC4320"/>
    <w:rsid w:val="00EC4399"/>
    <w:rsid w:val="00EC43DD"/>
    <w:rsid w:val="00EC44B0"/>
    <w:rsid w:val="00EC44D5"/>
    <w:rsid w:val="00EC4500"/>
    <w:rsid w:val="00EC45ED"/>
    <w:rsid w:val="00EC46D7"/>
    <w:rsid w:val="00EC477E"/>
    <w:rsid w:val="00EC4887"/>
    <w:rsid w:val="00EC48E8"/>
    <w:rsid w:val="00EC49A3"/>
    <w:rsid w:val="00EC4A86"/>
    <w:rsid w:val="00EC4ACC"/>
    <w:rsid w:val="00EC4ACF"/>
    <w:rsid w:val="00EC4D44"/>
    <w:rsid w:val="00EC4F13"/>
    <w:rsid w:val="00EC51E9"/>
    <w:rsid w:val="00EC53BB"/>
    <w:rsid w:val="00EC5432"/>
    <w:rsid w:val="00EC5443"/>
    <w:rsid w:val="00EC5592"/>
    <w:rsid w:val="00EC5905"/>
    <w:rsid w:val="00EC5BFC"/>
    <w:rsid w:val="00EC5CEE"/>
    <w:rsid w:val="00EC5F64"/>
    <w:rsid w:val="00EC600A"/>
    <w:rsid w:val="00EC606A"/>
    <w:rsid w:val="00EC6230"/>
    <w:rsid w:val="00EC6317"/>
    <w:rsid w:val="00EC645A"/>
    <w:rsid w:val="00EC658F"/>
    <w:rsid w:val="00EC66A9"/>
    <w:rsid w:val="00EC68CA"/>
    <w:rsid w:val="00EC68CF"/>
    <w:rsid w:val="00EC6CBF"/>
    <w:rsid w:val="00EC6DDF"/>
    <w:rsid w:val="00EC6E77"/>
    <w:rsid w:val="00EC6EC2"/>
    <w:rsid w:val="00EC6FE0"/>
    <w:rsid w:val="00EC70EA"/>
    <w:rsid w:val="00EC734A"/>
    <w:rsid w:val="00EC750E"/>
    <w:rsid w:val="00EC783B"/>
    <w:rsid w:val="00EC7902"/>
    <w:rsid w:val="00EC793C"/>
    <w:rsid w:val="00EC7973"/>
    <w:rsid w:val="00EC7D6B"/>
    <w:rsid w:val="00EC7DFB"/>
    <w:rsid w:val="00ED00C7"/>
    <w:rsid w:val="00ED0136"/>
    <w:rsid w:val="00ED0181"/>
    <w:rsid w:val="00ED03FF"/>
    <w:rsid w:val="00ED063A"/>
    <w:rsid w:val="00ED0836"/>
    <w:rsid w:val="00ED09B8"/>
    <w:rsid w:val="00ED0C06"/>
    <w:rsid w:val="00ED0C5A"/>
    <w:rsid w:val="00ED12ED"/>
    <w:rsid w:val="00ED1393"/>
    <w:rsid w:val="00ED14FB"/>
    <w:rsid w:val="00ED157A"/>
    <w:rsid w:val="00ED159D"/>
    <w:rsid w:val="00ED15EF"/>
    <w:rsid w:val="00ED16CF"/>
    <w:rsid w:val="00ED18F6"/>
    <w:rsid w:val="00ED1A38"/>
    <w:rsid w:val="00ED1A66"/>
    <w:rsid w:val="00ED1AAA"/>
    <w:rsid w:val="00ED1C02"/>
    <w:rsid w:val="00ED1CC4"/>
    <w:rsid w:val="00ED1D2D"/>
    <w:rsid w:val="00ED1E80"/>
    <w:rsid w:val="00ED1E9B"/>
    <w:rsid w:val="00ED1EA7"/>
    <w:rsid w:val="00ED201E"/>
    <w:rsid w:val="00ED20AF"/>
    <w:rsid w:val="00ED2112"/>
    <w:rsid w:val="00ED2411"/>
    <w:rsid w:val="00ED250C"/>
    <w:rsid w:val="00ED2710"/>
    <w:rsid w:val="00ED29EA"/>
    <w:rsid w:val="00ED29EF"/>
    <w:rsid w:val="00ED2A1A"/>
    <w:rsid w:val="00ED2B16"/>
    <w:rsid w:val="00ED2B51"/>
    <w:rsid w:val="00ED2B78"/>
    <w:rsid w:val="00ED2C31"/>
    <w:rsid w:val="00ED2DB4"/>
    <w:rsid w:val="00ED33B7"/>
    <w:rsid w:val="00ED3433"/>
    <w:rsid w:val="00ED363C"/>
    <w:rsid w:val="00ED368A"/>
    <w:rsid w:val="00ED395A"/>
    <w:rsid w:val="00ED39BA"/>
    <w:rsid w:val="00ED3B44"/>
    <w:rsid w:val="00ED3DBE"/>
    <w:rsid w:val="00ED3E63"/>
    <w:rsid w:val="00ED3EAA"/>
    <w:rsid w:val="00ED406A"/>
    <w:rsid w:val="00ED41E7"/>
    <w:rsid w:val="00ED41F3"/>
    <w:rsid w:val="00ED4341"/>
    <w:rsid w:val="00ED4628"/>
    <w:rsid w:val="00ED4705"/>
    <w:rsid w:val="00ED47AB"/>
    <w:rsid w:val="00ED483A"/>
    <w:rsid w:val="00ED5091"/>
    <w:rsid w:val="00ED50BF"/>
    <w:rsid w:val="00ED510A"/>
    <w:rsid w:val="00ED516A"/>
    <w:rsid w:val="00ED51AC"/>
    <w:rsid w:val="00ED5503"/>
    <w:rsid w:val="00ED578A"/>
    <w:rsid w:val="00ED5A51"/>
    <w:rsid w:val="00ED5B35"/>
    <w:rsid w:val="00ED5B6F"/>
    <w:rsid w:val="00ED60B2"/>
    <w:rsid w:val="00ED6565"/>
    <w:rsid w:val="00ED683C"/>
    <w:rsid w:val="00ED6843"/>
    <w:rsid w:val="00ED6A49"/>
    <w:rsid w:val="00ED6C02"/>
    <w:rsid w:val="00ED6C76"/>
    <w:rsid w:val="00ED6D2F"/>
    <w:rsid w:val="00ED6D56"/>
    <w:rsid w:val="00ED6D7F"/>
    <w:rsid w:val="00ED71D4"/>
    <w:rsid w:val="00ED7228"/>
    <w:rsid w:val="00ED7292"/>
    <w:rsid w:val="00ED72A9"/>
    <w:rsid w:val="00ED72F5"/>
    <w:rsid w:val="00ED748E"/>
    <w:rsid w:val="00ED756C"/>
    <w:rsid w:val="00ED75D6"/>
    <w:rsid w:val="00ED7677"/>
    <w:rsid w:val="00ED76C9"/>
    <w:rsid w:val="00ED7875"/>
    <w:rsid w:val="00ED7F7D"/>
    <w:rsid w:val="00EE0121"/>
    <w:rsid w:val="00EE0338"/>
    <w:rsid w:val="00EE03DF"/>
    <w:rsid w:val="00EE044D"/>
    <w:rsid w:val="00EE0582"/>
    <w:rsid w:val="00EE0633"/>
    <w:rsid w:val="00EE08B1"/>
    <w:rsid w:val="00EE0B27"/>
    <w:rsid w:val="00EE100E"/>
    <w:rsid w:val="00EE12FA"/>
    <w:rsid w:val="00EE1398"/>
    <w:rsid w:val="00EE13EB"/>
    <w:rsid w:val="00EE1495"/>
    <w:rsid w:val="00EE17F4"/>
    <w:rsid w:val="00EE18AA"/>
    <w:rsid w:val="00EE19F8"/>
    <w:rsid w:val="00EE1B0E"/>
    <w:rsid w:val="00EE1CA8"/>
    <w:rsid w:val="00EE204B"/>
    <w:rsid w:val="00EE209F"/>
    <w:rsid w:val="00EE20FB"/>
    <w:rsid w:val="00EE23D1"/>
    <w:rsid w:val="00EE24BF"/>
    <w:rsid w:val="00EE25C4"/>
    <w:rsid w:val="00EE2624"/>
    <w:rsid w:val="00EE2705"/>
    <w:rsid w:val="00EE28C3"/>
    <w:rsid w:val="00EE2B5C"/>
    <w:rsid w:val="00EE2D58"/>
    <w:rsid w:val="00EE2F41"/>
    <w:rsid w:val="00EE32E0"/>
    <w:rsid w:val="00EE33A3"/>
    <w:rsid w:val="00EE34B7"/>
    <w:rsid w:val="00EE35E3"/>
    <w:rsid w:val="00EE3E92"/>
    <w:rsid w:val="00EE3F7B"/>
    <w:rsid w:val="00EE4233"/>
    <w:rsid w:val="00EE42A3"/>
    <w:rsid w:val="00EE4398"/>
    <w:rsid w:val="00EE44A6"/>
    <w:rsid w:val="00EE458C"/>
    <w:rsid w:val="00EE47E5"/>
    <w:rsid w:val="00EE4843"/>
    <w:rsid w:val="00EE48FE"/>
    <w:rsid w:val="00EE4B21"/>
    <w:rsid w:val="00EE4B8F"/>
    <w:rsid w:val="00EE4BE9"/>
    <w:rsid w:val="00EE4E5B"/>
    <w:rsid w:val="00EE50EA"/>
    <w:rsid w:val="00EE5503"/>
    <w:rsid w:val="00EE5624"/>
    <w:rsid w:val="00EE57B9"/>
    <w:rsid w:val="00EE5872"/>
    <w:rsid w:val="00EE5906"/>
    <w:rsid w:val="00EE5912"/>
    <w:rsid w:val="00EE5975"/>
    <w:rsid w:val="00EE5D10"/>
    <w:rsid w:val="00EE5DAA"/>
    <w:rsid w:val="00EE5DD7"/>
    <w:rsid w:val="00EE5ECC"/>
    <w:rsid w:val="00EE607E"/>
    <w:rsid w:val="00EE6191"/>
    <w:rsid w:val="00EE63AE"/>
    <w:rsid w:val="00EE645F"/>
    <w:rsid w:val="00EE659C"/>
    <w:rsid w:val="00EE6632"/>
    <w:rsid w:val="00EE66FC"/>
    <w:rsid w:val="00EE67EF"/>
    <w:rsid w:val="00EE6C3D"/>
    <w:rsid w:val="00EE7178"/>
    <w:rsid w:val="00EE73B8"/>
    <w:rsid w:val="00EE7466"/>
    <w:rsid w:val="00EE7791"/>
    <w:rsid w:val="00EE7A30"/>
    <w:rsid w:val="00EE7AE2"/>
    <w:rsid w:val="00EE7B8F"/>
    <w:rsid w:val="00EE7CAB"/>
    <w:rsid w:val="00EE7D11"/>
    <w:rsid w:val="00EE7D90"/>
    <w:rsid w:val="00EE7E0E"/>
    <w:rsid w:val="00EE7EAD"/>
    <w:rsid w:val="00EF0119"/>
    <w:rsid w:val="00EF0284"/>
    <w:rsid w:val="00EF0285"/>
    <w:rsid w:val="00EF0476"/>
    <w:rsid w:val="00EF050D"/>
    <w:rsid w:val="00EF091D"/>
    <w:rsid w:val="00EF0AA4"/>
    <w:rsid w:val="00EF0C34"/>
    <w:rsid w:val="00EF0C68"/>
    <w:rsid w:val="00EF0E29"/>
    <w:rsid w:val="00EF1018"/>
    <w:rsid w:val="00EF108E"/>
    <w:rsid w:val="00EF1256"/>
    <w:rsid w:val="00EF1A96"/>
    <w:rsid w:val="00EF1BB1"/>
    <w:rsid w:val="00EF1BD5"/>
    <w:rsid w:val="00EF1C8C"/>
    <w:rsid w:val="00EF1EA9"/>
    <w:rsid w:val="00EF21D2"/>
    <w:rsid w:val="00EF2483"/>
    <w:rsid w:val="00EF2C0A"/>
    <w:rsid w:val="00EF2D97"/>
    <w:rsid w:val="00EF2DE4"/>
    <w:rsid w:val="00EF3240"/>
    <w:rsid w:val="00EF34EB"/>
    <w:rsid w:val="00EF35A9"/>
    <w:rsid w:val="00EF35CB"/>
    <w:rsid w:val="00EF3848"/>
    <w:rsid w:val="00EF3A68"/>
    <w:rsid w:val="00EF3BBA"/>
    <w:rsid w:val="00EF3BD3"/>
    <w:rsid w:val="00EF3DB5"/>
    <w:rsid w:val="00EF3DBB"/>
    <w:rsid w:val="00EF3FD0"/>
    <w:rsid w:val="00EF3FE6"/>
    <w:rsid w:val="00EF4099"/>
    <w:rsid w:val="00EF4111"/>
    <w:rsid w:val="00EF414E"/>
    <w:rsid w:val="00EF4883"/>
    <w:rsid w:val="00EF4932"/>
    <w:rsid w:val="00EF493F"/>
    <w:rsid w:val="00EF4B51"/>
    <w:rsid w:val="00EF4C22"/>
    <w:rsid w:val="00EF4C80"/>
    <w:rsid w:val="00EF4D35"/>
    <w:rsid w:val="00EF4D49"/>
    <w:rsid w:val="00EF50D0"/>
    <w:rsid w:val="00EF540D"/>
    <w:rsid w:val="00EF545F"/>
    <w:rsid w:val="00EF56A9"/>
    <w:rsid w:val="00EF57D2"/>
    <w:rsid w:val="00EF5B46"/>
    <w:rsid w:val="00EF5FE8"/>
    <w:rsid w:val="00EF63B0"/>
    <w:rsid w:val="00EF665A"/>
    <w:rsid w:val="00EF6A3F"/>
    <w:rsid w:val="00EF6BA9"/>
    <w:rsid w:val="00EF6D06"/>
    <w:rsid w:val="00EF6DDB"/>
    <w:rsid w:val="00EF6FBD"/>
    <w:rsid w:val="00EF70DC"/>
    <w:rsid w:val="00EF7142"/>
    <w:rsid w:val="00EF721A"/>
    <w:rsid w:val="00EF734F"/>
    <w:rsid w:val="00EF7380"/>
    <w:rsid w:val="00EF73A4"/>
    <w:rsid w:val="00EF73FF"/>
    <w:rsid w:val="00EF764E"/>
    <w:rsid w:val="00EF7766"/>
    <w:rsid w:val="00EF77CA"/>
    <w:rsid w:val="00EF782E"/>
    <w:rsid w:val="00EF7DB2"/>
    <w:rsid w:val="00EF7DF2"/>
    <w:rsid w:val="00EF7FC3"/>
    <w:rsid w:val="00F00075"/>
    <w:rsid w:val="00F002B2"/>
    <w:rsid w:val="00F00339"/>
    <w:rsid w:val="00F003E3"/>
    <w:rsid w:val="00F0048B"/>
    <w:rsid w:val="00F008B3"/>
    <w:rsid w:val="00F00992"/>
    <w:rsid w:val="00F00A88"/>
    <w:rsid w:val="00F00ACC"/>
    <w:rsid w:val="00F00AF4"/>
    <w:rsid w:val="00F00B92"/>
    <w:rsid w:val="00F00BA4"/>
    <w:rsid w:val="00F00C09"/>
    <w:rsid w:val="00F00CB1"/>
    <w:rsid w:val="00F00F19"/>
    <w:rsid w:val="00F01462"/>
    <w:rsid w:val="00F01714"/>
    <w:rsid w:val="00F017DB"/>
    <w:rsid w:val="00F01824"/>
    <w:rsid w:val="00F01834"/>
    <w:rsid w:val="00F01856"/>
    <w:rsid w:val="00F019EB"/>
    <w:rsid w:val="00F01BBD"/>
    <w:rsid w:val="00F01F84"/>
    <w:rsid w:val="00F021BF"/>
    <w:rsid w:val="00F021F5"/>
    <w:rsid w:val="00F0223A"/>
    <w:rsid w:val="00F02669"/>
    <w:rsid w:val="00F026CB"/>
    <w:rsid w:val="00F02901"/>
    <w:rsid w:val="00F02D51"/>
    <w:rsid w:val="00F02F08"/>
    <w:rsid w:val="00F03042"/>
    <w:rsid w:val="00F0324F"/>
    <w:rsid w:val="00F03327"/>
    <w:rsid w:val="00F03356"/>
    <w:rsid w:val="00F0337D"/>
    <w:rsid w:val="00F033A1"/>
    <w:rsid w:val="00F033CF"/>
    <w:rsid w:val="00F035B1"/>
    <w:rsid w:val="00F03A33"/>
    <w:rsid w:val="00F03DE4"/>
    <w:rsid w:val="00F04036"/>
    <w:rsid w:val="00F04098"/>
    <w:rsid w:val="00F04113"/>
    <w:rsid w:val="00F0413C"/>
    <w:rsid w:val="00F041F1"/>
    <w:rsid w:val="00F042F4"/>
    <w:rsid w:val="00F047A5"/>
    <w:rsid w:val="00F04870"/>
    <w:rsid w:val="00F04B53"/>
    <w:rsid w:val="00F04CAC"/>
    <w:rsid w:val="00F04D79"/>
    <w:rsid w:val="00F04DA8"/>
    <w:rsid w:val="00F04FDD"/>
    <w:rsid w:val="00F05019"/>
    <w:rsid w:val="00F0507F"/>
    <w:rsid w:val="00F051C0"/>
    <w:rsid w:val="00F05255"/>
    <w:rsid w:val="00F05264"/>
    <w:rsid w:val="00F052E8"/>
    <w:rsid w:val="00F054C1"/>
    <w:rsid w:val="00F056C9"/>
    <w:rsid w:val="00F05719"/>
    <w:rsid w:val="00F05964"/>
    <w:rsid w:val="00F05A83"/>
    <w:rsid w:val="00F05A9E"/>
    <w:rsid w:val="00F05C11"/>
    <w:rsid w:val="00F05E9F"/>
    <w:rsid w:val="00F05ECE"/>
    <w:rsid w:val="00F05FC7"/>
    <w:rsid w:val="00F0602D"/>
    <w:rsid w:val="00F06035"/>
    <w:rsid w:val="00F06187"/>
    <w:rsid w:val="00F062D4"/>
    <w:rsid w:val="00F06483"/>
    <w:rsid w:val="00F06502"/>
    <w:rsid w:val="00F065BF"/>
    <w:rsid w:val="00F06632"/>
    <w:rsid w:val="00F06774"/>
    <w:rsid w:val="00F0695E"/>
    <w:rsid w:val="00F06AB2"/>
    <w:rsid w:val="00F071A9"/>
    <w:rsid w:val="00F073E4"/>
    <w:rsid w:val="00F078E9"/>
    <w:rsid w:val="00F0795A"/>
    <w:rsid w:val="00F07A0A"/>
    <w:rsid w:val="00F07A41"/>
    <w:rsid w:val="00F07CAC"/>
    <w:rsid w:val="00F07E1C"/>
    <w:rsid w:val="00F07EFE"/>
    <w:rsid w:val="00F07FF1"/>
    <w:rsid w:val="00F100E8"/>
    <w:rsid w:val="00F1033E"/>
    <w:rsid w:val="00F1056D"/>
    <w:rsid w:val="00F108B6"/>
    <w:rsid w:val="00F1090A"/>
    <w:rsid w:val="00F1097E"/>
    <w:rsid w:val="00F10A02"/>
    <w:rsid w:val="00F10B92"/>
    <w:rsid w:val="00F10C1B"/>
    <w:rsid w:val="00F10C70"/>
    <w:rsid w:val="00F10E7E"/>
    <w:rsid w:val="00F10E9C"/>
    <w:rsid w:val="00F10F74"/>
    <w:rsid w:val="00F10F7F"/>
    <w:rsid w:val="00F111EE"/>
    <w:rsid w:val="00F11268"/>
    <w:rsid w:val="00F112D0"/>
    <w:rsid w:val="00F11343"/>
    <w:rsid w:val="00F11382"/>
    <w:rsid w:val="00F118E8"/>
    <w:rsid w:val="00F11987"/>
    <w:rsid w:val="00F119EA"/>
    <w:rsid w:val="00F11B87"/>
    <w:rsid w:val="00F11C9E"/>
    <w:rsid w:val="00F11E3A"/>
    <w:rsid w:val="00F11F4B"/>
    <w:rsid w:val="00F11F65"/>
    <w:rsid w:val="00F1215C"/>
    <w:rsid w:val="00F1222C"/>
    <w:rsid w:val="00F123E8"/>
    <w:rsid w:val="00F12408"/>
    <w:rsid w:val="00F126CE"/>
    <w:rsid w:val="00F128E1"/>
    <w:rsid w:val="00F12B17"/>
    <w:rsid w:val="00F12C14"/>
    <w:rsid w:val="00F12C40"/>
    <w:rsid w:val="00F12ED7"/>
    <w:rsid w:val="00F12F08"/>
    <w:rsid w:val="00F12FBC"/>
    <w:rsid w:val="00F13125"/>
    <w:rsid w:val="00F13515"/>
    <w:rsid w:val="00F1369C"/>
    <w:rsid w:val="00F136FD"/>
    <w:rsid w:val="00F13852"/>
    <w:rsid w:val="00F13A2B"/>
    <w:rsid w:val="00F13A6C"/>
    <w:rsid w:val="00F13B5B"/>
    <w:rsid w:val="00F13B8D"/>
    <w:rsid w:val="00F13ECB"/>
    <w:rsid w:val="00F14029"/>
    <w:rsid w:val="00F14137"/>
    <w:rsid w:val="00F14227"/>
    <w:rsid w:val="00F14315"/>
    <w:rsid w:val="00F1433B"/>
    <w:rsid w:val="00F14684"/>
    <w:rsid w:val="00F14689"/>
    <w:rsid w:val="00F14752"/>
    <w:rsid w:val="00F1488D"/>
    <w:rsid w:val="00F148D0"/>
    <w:rsid w:val="00F14AA0"/>
    <w:rsid w:val="00F14C0D"/>
    <w:rsid w:val="00F14CDA"/>
    <w:rsid w:val="00F14DE1"/>
    <w:rsid w:val="00F14E3F"/>
    <w:rsid w:val="00F15117"/>
    <w:rsid w:val="00F152B4"/>
    <w:rsid w:val="00F154FF"/>
    <w:rsid w:val="00F15613"/>
    <w:rsid w:val="00F157B8"/>
    <w:rsid w:val="00F15B88"/>
    <w:rsid w:val="00F15E12"/>
    <w:rsid w:val="00F160E3"/>
    <w:rsid w:val="00F160EA"/>
    <w:rsid w:val="00F160F1"/>
    <w:rsid w:val="00F1611D"/>
    <w:rsid w:val="00F16191"/>
    <w:rsid w:val="00F161F7"/>
    <w:rsid w:val="00F1622B"/>
    <w:rsid w:val="00F1629A"/>
    <w:rsid w:val="00F1642B"/>
    <w:rsid w:val="00F1643D"/>
    <w:rsid w:val="00F16638"/>
    <w:rsid w:val="00F16856"/>
    <w:rsid w:val="00F168F1"/>
    <w:rsid w:val="00F1699D"/>
    <w:rsid w:val="00F16AD6"/>
    <w:rsid w:val="00F16D97"/>
    <w:rsid w:val="00F16DC7"/>
    <w:rsid w:val="00F16E34"/>
    <w:rsid w:val="00F16F00"/>
    <w:rsid w:val="00F17180"/>
    <w:rsid w:val="00F17306"/>
    <w:rsid w:val="00F175BE"/>
    <w:rsid w:val="00F17B32"/>
    <w:rsid w:val="00F17B52"/>
    <w:rsid w:val="00F17FCD"/>
    <w:rsid w:val="00F205AC"/>
    <w:rsid w:val="00F206C0"/>
    <w:rsid w:val="00F20749"/>
    <w:rsid w:val="00F20A5A"/>
    <w:rsid w:val="00F21134"/>
    <w:rsid w:val="00F21322"/>
    <w:rsid w:val="00F2138C"/>
    <w:rsid w:val="00F2145E"/>
    <w:rsid w:val="00F214CA"/>
    <w:rsid w:val="00F21911"/>
    <w:rsid w:val="00F219C1"/>
    <w:rsid w:val="00F21B87"/>
    <w:rsid w:val="00F21BE1"/>
    <w:rsid w:val="00F21C0C"/>
    <w:rsid w:val="00F21C3A"/>
    <w:rsid w:val="00F21CCF"/>
    <w:rsid w:val="00F21D5E"/>
    <w:rsid w:val="00F21E0F"/>
    <w:rsid w:val="00F21F09"/>
    <w:rsid w:val="00F21FF7"/>
    <w:rsid w:val="00F220DE"/>
    <w:rsid w:val="00F22232"/>
    <w:rsid w:val="00F222EB"/>
    <w:rsid w:val="00F2264F"/>
    <w:rsid w:val="00F226FD"/>
    <w:rsid w:val="00F22AFE"/>
    <w:rsid w:val="00F22D58"/>
    <w:rsid w:val="00F230A7"/>
    <w:rsid w:val="00F23150"/>
    <w:rsid w:val="00F23189"/>
    <w:rsid w:val="00F23623"/>
    <w:rsid w:val="00F236CD"/>
    <w:rsid w:val="00F238DF"/>
    <w:rsid w:val="00F2391F"/>
    <w:rsid w:val="00F2398B"/>
    <w:rsid w:val="00F23C50"/>
    <w:rsid w:val="00F23DEF"/>
    <w:rsid w:val="00F23E9E"/>
    <w:rsid w:val="00F23FDE"/>
    <w:rsid w:val="00F2404A"/>
    <w:rsid w:val="00F2414D"/>
    <w:rsid w:val="00F241DF"/>
    <w:rsid w:val="00F246CA"/>
    <w:rsid w:val="00F24779"/>
    <w:rsid w:val="00F24860"/>
    <w:rsid w:val="00F24C8C"/>
    <w:rsid w:val="00F24E83"/>
    <w:rsid w:val="00F2510A"/>
    <w:rsid w:val="00F2513C"/>
    <w:rsid w:val="00F25164"/>
    <w:rsid w:val="00F25181"/>
    <w:rsid w:val="00F25238"/>
    <w:rsid w:val="00F2524F"/>
    <w:rsid w:val="00F25547"/>
    <w:rsid w:val="00F25571"/>
    <w:rsid w:val="00F256B0"/>
    <w:rsid w:val="00F25B2D"/>
    <w:rsid w:val="00F26045"/>
    <w:rsid w:val="00F2609C"/>
    <w:rsid w:val="00F2611C"/>
    <w:rsid w:val="00F264FB"/>
    <w:rsid w:val="00F26A4E"/>
    <w:rsid w:val="00F26A6D"/>
    <w:rsid w:val="00F26AFE"/>
    <w:rsid w:val="00F26B43"/>
    <w:rsid w:val="00F26BCD"/>
    <w:rsid w:val="00F26BFE"/>
    <w:rsid w:val="00F26CAA"/>
    <w:rsid w:val="00F26DAE"/>
    <w:rsid w:val="00F26E50"/>
    <w:rsid w:val="00F26F60"/>
    <w:rsid w:val="00F27045"/>
    <w:rsid w:val="00F27088"/>
    <w:rsid w:val="00F270AC"/>
    <w:rsid w:val="00F2711B"/>
    <w:rsid w:val="00F27260"/>
    <w:rsid w:val="00F2728D"/>
    <w:rsid w:val="00F27328"/>
    <w:rsid w:val="00F27354"/>
    <w:rsid w:val="00F27518"/>
    <w:rsid w:val="00F275B9"/>
    <w:rsid w:val="00F275F2"/>
    <w:rsid w:val="00F2762C"/>
    <w:rsid w:val="00F27701"/>
    <w:rsid w:val="00F277AB"/>
    <w:rsid w:val="00F2783D"/>
    <w:rsid w:val="00F27965"/>
    <w:rsid w:val="00F27BE3"/>
    <w:rsid w:val="00F27E94"/>
    <w:rsid w:val="00F27EFE"/>
    <w:rsid w:val="00F300CA"/>
    <w:rsid w:val="00F30198"/>
    <w:rsid w:val="00F30328"/>
    <w:rsid w:val="00F303E5"/>
    <w:rsid w:val="00F30616"/>
    <w:rsid w:val="00F3080D"/>
    <w:rsid w:val="00F3097E"/>
    <w:rsid w:val="00F30AAF"/>
    <w:rsid w:val="00F30B72"/>
    <w:rsid w:val="00F30CD7"/>
    <w:rsid w:val="00F30D55"/>
    <w:rsid w:val="00F30F21"/>
    <w:rsid w:val="00F31161"/>
    <w:rsid w:val="00F314A0"/>
    <w:rsid w:val="00F31633"/>
    <w:rsid w:val="00F3179E"/>
    <w:rsid w:val="00F317B2"/>
    <w:rsid w:val="00F318A9"/>
    <w:rsid w:val="00F3197B"/>
    <w:rsid w:val="00F31BCA"/>
    <w:rsid w:val="00F31DD8"/>
    <w:rsid w:val="00F31DF8"/>
    <w:rsid w:val="00F31E6A"/>
    <w:rsid w:val="00F320AB"/>
    <w:rsid w:val="00F3235B"/>
    <w:rsid w:val="00F3285D"/>
    <w:rsid w:val="00F32BD4"/>
    <w:rsid w:val="00F32C05"/>
    <w:rsid w:val="00F32C21"/>
    <w:rsid w:val="00F32D99"/>
    <w:rsid w:val="00F32E7A"/>
    <w:rsid w:val="00F32F1C"/>
    <w:rsid w:val="00F32FF6"/>
    <w:rsid w:val="00F3306F"/>
    <w:rsid w:val="00F33262"/>
    <w:rsid w:val="00F332EF"/>
    <w:rsid w:val="00F3370C"/>
    <w:rsid w:val="00F338F3"/>
    <w:rsid w:val="00F3392F"/>
    <w:rsid w:val="00F33968"/>
    <w:rsid w:val="00F33C85"/>
    <w:rsid w:val="00F33D3B"/>
    <w:rsid w:val="00F33D76"/>
    <w:rsid w:val="00F33D8A"/>
    <w:rsid w:val="00F33E25"/>
    <w:rsid w:val="00F33FC8"/>
    <w:rsid w:val="00F3423F"/>
    <w:rsid w:val="00F3462F"/>
    <w:rsid w:val="00F34776"/>
    <w:rsid w:val="00F3477E"/>
    <w:rsid w:val="00F34933"/>
    <w:rsid w:val="00F34AE2"/>
    <w:rsid w:val="00F34B76"/>
    <w:rsid w:val="00F34BE4"/>
    <w:rsid w:val="00F34C56"/>
    <w:rsid w:val="00F34C8A"/>
    <w:rsid w:val="00F34DF3"/>
    <w:rsid w:val="00F34F67"/>
    <w:rsid w:val="00F34FAF"/>
    <w:rsid w:val="00F350FC"/>
    <w:rsid w:val="00F352D7"/>
    <w:rsid w:val="00F35484"/>
    <w:rsid w:val="00F3552B"/>
    <w:rsid w:val="00F355B9"/>
    <w:rsid w:val="00F356B2"/>
    <w:rsid w:val="00F358E7"/>
    <w:rsid w:val="00F35E6D"/>
    <w:rsid w:val="00F360B6"/>
    <w:rsid w:val="00F361AD"/>
    <w:rsid w:val="00F361DA"/>
    <w:rsid w:val="00F3627C"/>
    <w:rsid w:val="00F36307"/>
    <w:rsid w:val="00F36461"/>
    <w:rsid w:val="00F36527"/>
    <w:rsid w:val="00F3678D"/>
    <w:rsid w:val="00F367DC"/>
    <w:rsid w:val="00F36802"/>
    <w:rsid w:val="00F3680B"/>
    <w:rsid w:val="00F368D0"/>
    <w:rsid w:val="00F3694A"/>
    <w:rsid w:val="00F36ABA"/>
    <w:rsid w:val="00F36C3B"/>
    <w:rsid w:val="00F36D26"/>
    <w:rsid w:val="00F36E1B"/>
    <w:rsid w:val="00F36E20"/>
    <w:rsid w:val="00F36E2E"/>
    <w:rsid w:val="00F370EC"/>
    <w:rsid w:val="00F37132"/>
    <w:rsid w:val="00F3763C"/>
    <w:rsid w:val="00F3766C"/>
    <w:rsid w:val="00F37674"/>
    <w:rsid w:val="00F37818"/>
    <w:rsid w:val="00F378B8"/>
    <w:rsid w:val="00F3796A"/>
    <w:rsid w:val="00F37A51"/>
    <w:rsid w:val="00F37A8E"/>
    <w:rsid w:val="00F37B36"/>
    <w:rsid w:val="00F37C42"/>
    <w:rsid w:val="00F37D5B"/>
    <w:rsid w:val="00F37DE9"/>
    <w:rsid w:val="00F37E08"/>
    <w:rsid w:val="00F40097"/>
    <w:rsid w:val="00F4016A"/>
    <w:rsid w:val="00F40314"/>
    <w:rsid w:val="00F403CB"/>
    <w:rsid w:val="00F404B4"/>
    <w:rsid w:val="00F405E0"/>
    <w:rsid w:val="00F405E4"/>
    <w:rsid w:val="00F405E7"/>
    <w:rsid w:val="00F4061B"/>
    <w:rsid w:val="00F40979"/>
    <w:rsid w:val="00F409B1"/>
    <w:rsid w:val="00F40A17"/>
    <w:rsid w:val="00F40B28"/>
    <w:rsid w:val="00F40C0C"/>
    <w:rsid w:val="00F40C2B"/>
    <w:rsid w:val="00F40D31"/>
    <w:rsid w:val="00F40DE3"/>
    <w:rsid w:val="00F40E67"/>
    <w:rsid w:val="00F41199"/>
    <w:rsid w:val="00F413D6"/>
    <w:rsid w:val="00F414CC"/>
    <w:rsid w:val="00F4152F"/>
    <w:rsid w:val="00F416B9"/>
    <w:rsid w:val="00F41782"/>
    <w:rsid w:val="00F41915"/>
    <w:rsid w:val="00F419AF"/>
    <w:rsid w:val="00F41AA7"/>
    <w:rsid w:val="00F41B23"/>
    <w:rsid w:val="00F41C39"/>
    <w:rsid w:val="00F41E36"/>
    <w:rsid w:val="00F41EFE"/>
    <w:rsid w:val="00F41F60"/>
    <w:rsid w:val="00F42031"/>
    <w:rsid w:val="00F42046"/>
    <w:rsid w:val="00F420FD"/>
    <w:rsid w:val="00F421C6"/>
    <w:rsid w:val="00F42240"/>
    <w:rsid w:val="00F42358"/>
    <w:rsid w:val="00F425A9"/>
    <w:rsid w:val="00F4263B"/>
    <w:rsid w:val="00F4265B"/>
    <w:rsid w:val="00F42728"/>
    <w:rsid w:val="00F42761"/>
    <w:rsid w:val="00F429CB"/>
    <w:rsid w:val="00F42AB2"/>
    <w:rsid w:val="00F42D0F"/>
    <w:rsid w:val="00F42E07"/>
    <w:rsid w:val="00F4328D"/>
    <w:rsid w:val="00F433B5"/>
    <w:rsid w:val="00F43587"/>
    <w:rsid w:val="00F435FD"/>
    <w:rsid w:val="00F4372A"/>
    <w:rsid w:val="00F43AD2"/>
    <w:rsid w:val="00F44029"/>
    <w:rsid w:val="00F441A2"/>
    <w:rsid w:val="00F4420C"/>
    <w:rsid w:val="00F44298"/>
    <w:rsid w:val="00F44337"/>
    <w:rsid w:val="00F44551"/>
    <w:rsid w:val="00F44833"/>
    <w:rsid w:val="00F4491D"/>
    <w:rsid w:val="00F44B9E"/>
    <w:rsid w:val="00F44BD2"/>
    <w:rsid w:val="00F44C43"/>
    <w:rsid w:val="00F44CAE"/>
    <w:rsid w:val="00F44D18"/>
    <w:rsid w:val="00F44F29"/>
    <w:rsid w:val="00F45149"/>
    <w:rsid w:val="00F45447"/>
    <w:rsid w:val="00F4548E"/>
    <w:rsid w:val="00F45844"/>
    <w:rsid w:val="00F4588F"/>
    <w:rsid w:val="00F45B18"/>
    <w:rsid w:val="00F45F2A"/>
    <w:rsid w:val="00F461E8"/>
    <w:rsid w:val="00F46524"/>
    <w:rsid w:val="00F46770"/>
    <w:rsid w:val="00F468B1"/>
    <w:rsid w:val="00F468CC"/>
    <w:rsid w:val="00F469EC"/>
    <w:rsid w:val="00F46AC9"/>
    <w:rsid w:val="00F46AF6"/>
    <w:rsid w:val="00F46F4C"/>
    <w:rsid w:val="00F471A8"/>
    <w:rsid w:val="00F471AF"/>
    <w:rsid w:val="00F471D2"/>
    <w:rsid w:val="00F472D5"/>
    <w:rsid w:val="00F47674"/>
    <w:rsid w:val="00F478DB"/>
    <w:rsid w:val="00F47931"/>
    <w:rsid w:val="00F47AA4"/>
    <w:rsid w:val="00F47AE9"/>
    <w:rsid w:val="00F47D07"/>
    <w:rsid w:val="00F47E87"/>
    <w:rsid w:val="00F50027"/>
    <w:rsid w:val="00F50225"/>
    <w:rsid w:val="00F5097D"/>
    <w:rsid w:val="00F50A07"/>
    <w:rsid w:val="00F50A58"/>
    <w:rsid w:val="00F50AD8"/>
    <w:rsid w:val="00F50BC9"/>
    <w:rsid w:val="00F50D73"/>
    <w:rsid w:val="00F50D98"/>
    <w:rsid w:val="00F50EC8"/>
    <w:rsid w:val="00F51004"/>
    <w:rsid w:val="00F51217"/>
    <w:rsid w:val="00F5124B"/>
    <w:rsid w:val="00F513BD"/>
    <w:rsid w:val="00F515B7"/>
    <w:rsid w:val="00F516FA"/>
    <w:rsid w:val="00F5196C"/>
    <w:rsid w:val="00F519B5"/>
    <w:rsid w:val="00F51EB1"/>
    <w:rsid w:val="00F5221C"/>
    <w:rsid w:val="00F52254"/>
    <w:rsid w:val="00F5239B"/>
    <w:rsid w:val="00F5240A"/>
    <w:rsid w:val="00F52674"/>
    <w:rsid w:val="00F5269B"/>
    <w:rsid w:val="00F527A2"/>
    <w:rsid w:val="00F52B22"/>
    <w:rsid w:val="00F52BF4"/>
    <w:rsid w:val="00F52E1C"/>
    <w:rsid w:val="00F52E69"/>
    <w:rsid w:val="00F52EFB"/>
    <w:rsid w:val="00F52F30"/>
    <w:rsid w:val="00F52F90"/>
    <w:rsid w:val="00F531E9"/>
    <w:rsid w:val="00F5323D"/>
    <w:rsid w:val="00F5365D"/>
    <w:rsid w:val="00F537BC"/>
    <w:rsid w:val="00F5387A"/>
    <w:rsid w:val="00F53988"/>
    <w:rsid w:val="00F539B8"/>
    <w:rsid w:val="00F53B0C"/>
    <w:rsid w:val="00F53C83"/>
    <w:rsid w:val="00F53CCE"/>
    <w:rsid w:val="00F53E6D"/>
    <w:rsid w:val="00F5403B"/>
    <w:rsid w:val="00F54141"/>
    <w:rsid w:val="00F5420D"/>
    <w:rsid w:val="00F543BD"/>
    <w:rsid w:val="00F5451E"/>
    <w:rsid w:val="00F54936"/>
    <w:rsid w:val="00F5494F"/>
    <w:rsid w:val="00F54968"/>
    <w:rsid w:val="00F54CB2"/>
    <w:rsid w:val="00F54E3B"/>
    <w:rsid w:val="00F55056"/>
    <w:rsid w:val="00F550CA"/>
    <w:rsid w:val="00F55302"/>
    <w:rsid w:val="00F55328"/>
    <w:rsid w:val="00F55471"/>
    <w:rsid w:val="00F5557B"/>
    <w:rsid w:val="00F55794"/>
    <w:rsid w:val="00F5582A"/>
    <w:rsid w:val="00F55831"/>
    <w:rsid w:val="00F558A8"/>
    <w:rsid w:val="00F5596F"/>
    <w:rsid w:val="00F55A21"/>
    <w:rsid w:val="00F55AF7"/>
    <w:rsid w:val="00F55BB0"/>
    <w:rsid w:val="00F55C04"/>
    <w:rsid w:val="00F55C14"/>
    <w:rsid w:val="00F55C38"/>
    <w:rsid w:val="00F56278"/>
    <w:rsid w:val="00F5650A"/>
    <w:rsid w:val="00F5665E"/>
    <w:rsid w:val="00F567BD"/>
    <w:rsid w:val="00F56A3B"/>
    <w:rsid w:val="00F56D1E"/>
    <w:rsid w:val="00F56E01"/>
    <w:rsid w:val="00F56FF1"/>
    <w:rsid w:val="00F5715D"/>
    <w:rsid w:val="00F571FE"/>
    <w:rsid w:val="00F57341"/>
    <w:rsid w:val="00F57403"/>
    <w:rsid w:val="00F576E7"/>
    <w:rsid w:val="00F57793"/>
    <w:rsid w:val="00F57877"/>
    <w:rsid w:val="00F57899"/>
    <w:rsid w:val="00F578EB"/>
    <w:rsid w:val="00F57939"/>
    <w:rsid w:val="00F57940"/>
    <w:rsid w:val="00F57E12"/>
    <w:rsid w:val="00F57FB5"/>
    <w:rsid w:val="00F57FCF"/>
    <w:rsid w:val="00F6005D"/>
    <w:rsid w:val="00F605AA"/>
    <w:rsid w:val="00F6066F"/>
    <w:rsid w:val="00F60690"/>
    <w:rsid w:val="00F606B8"/>
    <w:rsid w:val="00F60804"/>
    <w:rsid w:val="00F60855"/>
    <w:rsid w:val="00F60873"/>
    <w:rsid w:val="00F6087A"/>
    <w:rsid w:val="00F60A16"/>
    <w:rsid w:val="00F60BA7"/>
    <w:rsid w:val="00F60EB9"/>
    <w:rsid w:val="00F6127B"/>
    <w:rsid w:val="00F61348"/>
    <w:rsid w:val="00F61710"/>
    <w:rsid w:val="00F61854"/>
    <w:rsid w:val="00F61AC0"/>
    <w:rsid w:val="00F62070"/>
    <w:rsid w:val="00F623E7"/>
    <w:rsid w:val="00F62548"/>
    <w:rsid w:val="00F62815"/>
    <w:rsid w:val="00F628E4"/>
    <w:rsid w:val="00F62A69"/>
    <w:rsid w:val="00F62EF4"/>
    <w:rsid w:val="00F6306B"/>
    <w:rsid w:val="00F63086"/>
    <w:rsid w:val="00F630EB"/>
    <w:rsid w:val="00F6312C"/>
    <w:rsid w:val="00F632D3"/>
    <w:rsid w:val="00F63580"/>
    <w:rsid w:val="00F635D2"/>
    <w:rsid w:val="00F636D4"/>
    <w:rsid w:val="00F637EE"/>
    <w:rsid w:val="00F63865"/>
    <w:rsid w:val="00F639E5"/>
    <w:rsid w:val="00F63CC8"/>
    <w:rsid w:val="00F63E3A"/>
    <w:rsid w:val="00F63F6A"/>
    <w:rsid w:val="00F63F79"/>
    <w:rsid w:val="00F63FC4"/>
    <w:rsid w:val="00F63FC8"/>
    <w:rsid w:val="00F6425A"/>
    <w:rsid w:val="00F64417"/>
    <w:rsid w:val="00F64552"/>
    <w:rsid w:val="00F645B9"/>
    <w:rsid w:val="00F645CC"/>
    <w:rsid w:val="00F64625"/>
    <w:rsid w:val="00F64B30"/>
    <w:rsid w:val="00F64B4D"/>
    <w:rsid w:val="00F64D1F"/>
    <w:rsid w:val="00F64DB2"/>
    <w:rsid w:val="00F64E4B"/>
    <w:rsid w:val="00F64E74"/>
    <w:rsid w:val="00F64FDF"/>
    <w:rsid w:val="00F65324"/>
    <w:rsid w:val="00F6532D"/>
    <w:rsid w:val="00F654FE"/>
    <w:rsid w:val="00F6553A"/>
    <w:rsid w:val="00F65549"/>
    <w:rsid w:val="00F656E2"/>
    <w:rsid w:val="00F65959"/>
    <w:rsid w:val="00F65C32"/>
    <w:rsid w:val="00F65C5A"/>
    <w:rsid w:val="00F65C79"/>
    <w:rsid w:val="00F65D0A"/>
    <w:rsid w:val="00F65D23"/>
    <w:rsid w:val="00F65EFA"/>
    <w:rsid w:val="00F65FCB"/>
    <w:rsid w:val="00F65FEA"/>
    <w:rsid w:val="00F66107"/>
    <w:rsid w:val="00F66276"/>
    <w:rsid w:val="00F66281"/>
    <w:rsid w:val="00F66497"/>
    <w:rsid w:val="00F66620"/>
    <w:rsid w:val="00F66748"/>
    <w:rsid w:val="00F667CC"/>
    <w:rsid w:val="00F66AEF"/>
    <w:rsid w:val="00F66B1B"/>
    <w:rsid w:val="00F66C65"/>
    <w:rsid w:val="00F66CA9"/>
    <w:rsid w:val="00F66D55"/>
    <w:rsid w:val="00F67035"/>
    <w:rsid w:val="00F6709A"/>
    <w:rsid w:val="00F670FB"/>
    <w:rsid w:val="00F67127"/>
    <w:rsid w:val="00F672D4"/>
    <w:rsid w:val="00F6766C"/>
    <w:rsid w:val="00F67BE4"/>
    <w:rsid w:val="00F67DCF"/>
    <w:rsid w:val="00F67E8B"/>
    <w:rsid w:val="00F67EC7"/>
    <w:rsid w:val="00F702CB"/>
    <w:rsid w:val="00F70356"/>
    <w:rsid w:val="00F705CE"/>
    <w:rsid w:val="00F70847"/>
    <w:rsid w:val="00F709C1"/>
    <w:rsid w:val="00F70A8D"/>
    <w:rsid w:val="00F70D02"/>
    <w:rsid w:val="00F70E13"/>
    <w:rsid w:val="00F70F11"/>
    <w:rsid w:val="00F70F28"/>
    <w:rsid w:val="00F70FC3"/>
    <w:rsid w:val="00F71164"/>
    <w:rsid w:val="00F71238"/>
    <w:rsid w:val="00F7123C"/>
    <w:rsid w:val="00F712FB"/>
    <w:rsid w:val="00F713EB"/>
    <w:rsid w:val="00F71941"/>
    <w:rsid w:val="00F719B9"/>
    <w:rsid w:val="00F71A1F"/>
    <w:rsid w:val="00F71C46"/>
    <w:rsid w:val="00F71CC3"/>
    <w:rsid w:val="00F71D07"/>
    <w:rsid w:val="00F71D71"/>
    <w:rsid w:val="00F71E19"/>
    <w:rsid w:val="00F71E4F"/>
    <w:rsid w:val="00F72075"/>
    <w:rsid w:val="00F721CA"/>
    <w:rsid w:val="00F7260A"/>
    <w:rsid w:val="00F728C6"/>
    <w:rsid w:val="00F72913"/>
    <w:rsid w:val="00F72AA8"/>
    <w:rsid w:val="00F73032"/>
    <w:rsid w:val="00F730D7"/>
    <w:rsid w:val="00F73703"/>
    <w:rsid w:val="00F737A0"/>
    <w:rsid w:val="00F73895"/>
    <w:rsid w:val="00F7389F"/>
    <w:rsid w:val="00F73FFD"/>
    <w:rsid w:val="00F7402D"/>
    <w:rsid w:val="00F740F9"/>
    <w:rsid w:val="00F741A0"/>
    <w:rsid w:val="00F742AC"/>
    <w:rsid w:val="00F742F5"/>
    <w:rsid w:val="00F742FD"/>
    <w:rsid w:val="00F74330"/>
    <w:rsid w:val="00F74706"/>
    <w:rsid w:val="00F74797"/>
    <w:rsid w:val="00F74A04"/>
    <w:rsid w:val="00F74AA7"/>
    <w:rsid w:val="00F74DA9"/>
    <w:rsid w:val="00F74DAC"/>
    <w:rsid w:val="00F74EF8"/>
    <w:rsid w:val="00F7502D"/>
    <w:rsid w:val="00F751CA"/>
    <w:rsid w:val="00F755C6"/>
    <w:rsid w:val="00F75620"/>
    <w:rsid w:val="00F756C7"/>
    <w:rsid w:val="00F7584F"/>
    <w:rsid w:val="00F75929"/>
    <w:rsid w:val="00F759EC"/>
    <w:rsid w:val="00F75AA5"/>
    <w:rsid w:val="00F75AB9"/>
    <w:rsid w:val="00F75C48"/>
    <w:rsid w:val="00F75E83"/>
    <w:rsid w:val="00F75E93"/>
    <w:rsid w:val="00F75FC8"/>
    <w:rsid w:val="00F762B1"/>
    <w:rsid w:val="00F763AA"/>
    <w:rsid w:val="00F7641D"/>
    <w:rsid w:val="00F7695B"/>
    <w:rsid w:val="00F76BF1"/>
    <w:rsid w:val="00F76FF3"/>
    <w:rsid w:val="00F77369"/>
    <w:rsid w:val="00F776A2"/>
    <w:rsid w:val="00F77871"/>
    <w:rsid w:val="00F778CB"/>
    <w:rsid w:val="00F77926"/>
    <w:rsid w:val="00F77A0F"/>
    <w:rsid w:val="00F77E84"/>
    <w:rsid w:val="00F77FBF"/>
    <w:rsid w:val="00F80151"/>
    <w:rsid w:val="00F8032A"/>
    <w:rsid w:val="00F80495"/>
    <w:rsid w:val="00F804F9"/>
    <w:rsid w:val="00F805C4"/>
    <w:rsid w:val="00F806BD"/>
    <w:rsid w:val="00F806DD"/>
    <w:rsid w:val="00F806E6"/>
    <w:rsid w:val="00F8080B"/>
    <w:rsid w:val="00F80861"/>
    <w:rsid w:val="00F80884"/>
    <w:rsid w:val="00F808A9"/>
    <w:rsid w:val="00F80DD0"/>
    <w:rsid w:val="00F80DFB"/>
    <w:rsid w:val="00F80F26"/>
    <w:rsid w:val="00F80F9F"/>
    <w:rsid w:val="00F80FE9"/>
    <w:rsid w:val="00F81074"/>
    <w:rsid w:val="00F810D0"/>
    <w:rsid w:val="00F811C5"/>
    <w:rsid w:val="00F813C6"/>
    <w:rsid w:val="00F814DB"/>
    <w:rsid w:val="00F81737"/>
    <w:rsid w:val="00F81991"/>
    <w:rsid w:val="00F81AEC"/>
    <w:rsid w:val="00F81B26"/>
    <w:rsid w:val="00F81B6D"/>
    <w:rsid w:val="00F81F86"/>
    <w:rsid w:val="00F81FB1"/>
    <w:rsid w:val="00F82055"/>
    <w:rsid w:val="00F82061"/>
    <w:rsid w:val="00F821E6"/>
    <w:rsid w:val="00F82371"/>
    <w:rsid w:val="00F82393"/>
    <w:rsid w:val="00F823DC"/>
    <w:rsid w:val="00F824BA"/>
    <w:rsid w:val="00F8260A"/>
    <w:rsid w:val="00F82850"/>
    <w:rsid w:val="00F82902"/>
    <w:rsid w:val="00F829A4"/>
    <w:rsid w:val="00F829AC"/>
    <w:rsid w:val="00F82B26"/>
    <w:rsid w:val="00F82BED"/>
    <w:rsid w:val="00F82C9A"/>
    <w:rsid w:val="00F82CFB"/>
    <w:rsid w:val="00F82D18"/>
    <w:rsid w:val="00F82E50"/>
    <w:rsid w:val="00F82FD4"/>
    <w:rsid w:val="00F8305B"/>
    <w:rsid w:val="00F833DE"/>
    <w:rsid w:val="00F83403"/>
    <w:rsid w:val="00F83415"/>
    <w:rsid w:val="00F8379C"/>
    <w:rsid w:val="00F837D3"/>
    <w:rsid w:val="00F839C2"/>
    <w:rsid w:val="00F83C7E"/>
    <w:rsid w:val="00F83CC3"/>
    <w:rsid w:val="00F83CF3"/>
    <w:rsid w:val="00F83EF2"/>
    <w:rsid w:val="00F8404C"/>
    <w:rsid w:val="00F84184"/>
    <w:rsid w:val="00F842D1"/>
    <w:rsid w:val="00F84305"/>
    <w:rsid w:val="00F844BC"/>
    <w:rsid w:val="00F845D3"/>
    <w:rsid w:val="00F84611"/>
    <w:rsid w:val="00F846A8"/>
    <w:rsid w:val="00F84761"/>
    <w:rsid w:val="00F84A93"/>
    <w:rsid w:val="00F84BE7"/>
    <w:rsid w:val="00F84C36"/>
    <w:rsid w:val="00F851A7"/>
    <w:rsid w:val="00F85227"/>
    <w:rsid w:val="00F85599"/>
    <w:rsid w:val="00F85607"/>
    <w:rsid w:val="00F856F8"/>
    <w:rsid w:val="00F8581D"/>
    <w:rsid w:val="00F85849"/>
    <w:rsid w:val="00F8584E"/>
    <w:rsid w:val="00F85882"/>
    <w:rsid w:val="00F85C5C"/>
    <w:rsid w:val="00F85CB9"/>
    <w:rsid w:val="00F85F66"/>
    <w:rsid w:val="00F8606B"/>
    <w:rsid w:val="00F860F6"/>
    <w:rsid w:val="00F8627D"/>
    <w:rsid w:val="00F86482"/>
    <w:rsid w:val="00F868AC"/>
    <w:rsid w:val="00F86A8F"/>
    <w:rsid w:val="00F86A93"/>
    <w:rsid w:val="00F86ADC"/>
    <w:rsid w:val="00F86BB8"/>
    <w:rsid w:val="00F86DAE"/>
    <w:rsid w:val="00F86E3E"/>
    <w:rsid w:val="00F86EDD"/>
    <w:rsid w:val="00F870B6"/>
    <w:rsid w:val="00F8724B"/>
    <w:rsid w:val="00F874E9"/>
    <w:rsid w:val="00F87659"/>
    <w:rsid w:val="00F8775C"/>
    <w:rsid w:val="00F877AA"/>
    <w:rsid w:val="00F877BB"/>
    <w:rsid w:val="00F879C9"/>
    <w:rsid w:val="00F87BA8"/>
    <w:rsid w:val="00F87BC8"/>
    <w:rsid w:val="00F87BFA"/>
    <w:rsid w:val="00F87E59"/>
    <w:rsid w:val="00F87EDA"/>
    <w:rsid w:val="00F87F02"/>
    <w:rsid w:val="00F900DE"/>
    <w:rsid w:val="00F902BE"/>
    <w:rsid w:val="00F904A1"/>
    <w:rsid w:val="00F904CB"/>
    <w:rsid w:val="00F905FF"/>
    <w:rsid w:val="00F9080E"/>
    <w:rsid w:val="00F908E9"/>
    <w:rsid w:val="00F908F7"/>
    <w:rsid w:val="00F9090A"/>
    <w:rsid w:val="00F90A4B"/>
    <w:rsid w:val="00F90CDB"/>
    <w:rsid w:val="00F90CE4"/>
    <w:rsid w:val="00F90E3A"/>
    <w:rsid w:val="00F910A3"/>
    <w:rsid w:val="00F9138B"/>
    <w:rsid w:val="00F91AE1"/>
    <w:rsid w:val="00F91B90"/>
    <w:rsid w:val="00F91C23"/>
    <w:rsid w:val="00F91DCC"/>
    <w:rsid w:val="00F92086"/>
    <w:rsid w:val="00F921A8"/>
    <w:rsid w:val="00F922DC"/>
    <w:rsid w:val="00F923DB"/>
    <w:rsid w:val="00F92493"/>
    <w:rsid w:val="00F92517"/>
    <w:rsid w:val="00F9277E"/>
    <w:rsid w:val="00F92902"/>
    <w:rsid w:val="00F9292E"/>
    <w:rsid w:val="00F929EF"/>
    <w:rsid w:val="00F929F8"/>
    <w:rsid w:val="00F92BD9"/>
    <w:rsid w:val="00F92EA9"/>
    <w:rsid w:val="00F9312E"/>
    <w:rsid w:val="00F93272"/>
    <w:rsid w:val="00F93281"/>
    <w:rsid w:val="00F932A2"/>
    <w:rsid w:val="00F9333E"/>
    <w:rsid w:val="00F934BE"/>
    <w:rsid w:val="00F939D6"/>
    <w:rsid w:val="00F93BDA"/>
    <w:rsid w:val="00F93E7F"/>
    <w:rsid w:val="00F93EC0"/>
    <w:rsid w:val="00F93F71"/>
    <w:rsid w:val="00F93FBB"/>
    <w:rsid w:val="00F94304"/>
    <w:rsid w:val="00F943D0"/>
    <w:rsid w:val="00F94497"/>
    <w:rsid w:val="00F947A2"/>
    <w:rsid w:val="00F947AA"/>
    <w:rsid w:val="00F94C22"/>
    <w:rsid w:val="00F94C9B"/>
    <w:rsid w:val="00F94DAF"/>
    <w:rsid w:val="00F94EC1"/>
    <w:rsid w:val="00F94ECC"/>
    <w:rsid w:val="00F94F8D"/>
    <w:rsid w:val="00F95013"/>
    <w:rsid w:val="00F953D7"/>
    <w:rsid w:val="00F9559B"/>
    <w:rsid w:val="00F956C0"/>
    <w:rsid w:val="00F95762"/>
    <w:rsid w:val="00F95763"/>
    <w:rsid w:val="00F958F9"/>
    <w:rsid w:val="00F959FD"/>
    <w:rsid w:val="00F95B93"/>
    <w:rsid w:val="00F95C56"/>
    <w:rsid w:val="00F95DD9"/>
    <w:rsid w:val="00F95EF4"/>
    <w:rsid w:val="00F96034"/>
    <w:rsid w:val="00F960B8"/>
    <w:rsid w:val="00F9618E"/>
    <w:rsid w:val="00F96472"/>
    <w:rsid w:val="00F96473"/>
    <w:rsid w:val="00F96541"/>
    <w:rsid w:val="00F965B9"/>
    <w:rsid w:val="00F9660D"/>
    <w:rsid w:val="00F96859"/>
    <w:rsid w:val="00F9687C"/>
    <w:rsid w:val="00F968FB"/>
    <w:rsid w:val="00F96AF8"/>
    <w:rsid w:val="00F96BC3"/>
    <w:rsid w:val="00F96C14"/>
    <w:rsid w:val="00F96C4C"/>
    <w:rsid w:val="00F96C9F"/>
    <w:rsid w:val="00F96CB9"/>
    <w:rsid w:val="00F96D95"/>
    <w:rsid w:val="00F96E9F"/>
    <w:rsid w:val="00F97135"/>
    <w:rsid w:val="00F97794"/>
    <w:rsid w:val="00F97805"/>
    <w:rsid w:val="00F979B1"/>
    <w:rsid w:val="00F979EF"/>
    <w:rsid w:val="00F97B53"/>
    <w:rsid w:val="00F97BEF"/>
    <w:rsid w:val="00F97C2D"/>
    <w:rsid w:val="00F97D21"/>
    <w:rsid w:val="00F97DB1"/>
    <w:rsid w:val="00F97E89"/>
    <w:rsid w:val="00FA0061"/>
    <w:rsid w:val="00FA00C3"/>
    <w:rsid w:val="00FA00ED"/>
    <w:rsid w:val="00FA02C6"/>
    <w:rsid w:val="00FA030F"/>
    <w:rsid w:val="00FA0324"/>
    <w:rsid w:val="00FA037A"/>
    <w:rsid w:val="00FA05AB"/>
    <w:rsid w:val="00FA070E"/>
    <w:rsid w:val="00FA085D"/>
    <w:rsid w:val="00FA090B"/>
    <w:rsid w:val="00FA0A1F"/>
    <w:rsid w:val="00FA0A62"/>
    <w:rsid w:val="00FA0B11"/>
    <w:rsid w:val="00FA0D51"/>
    <w:rsid w:val="00FA0F56"/>
    <w:rsid w:val="00FA1240"/>
    <w:rsid w:val="00FA16A6"/>
    <w:rsid w:val="00FA170B"/>
    <w:rsid w:val="00FA17A5"/>
    <w:rsid w:val="00FA1903"/>
    <w:rsid w:val="00FA1B2A"/>
    <w:rsid w:val="00FA1B35"/>
    <w:rsid w:val="00FA1BDB"/>
    <w:rsid w:val="00FA1C16"/>
    <w:rsid w:val="00FA1D0C"/>
    <w:rsid w:val="00FA1D1C"/>
    <w:rsid w:val="00FA1D59"/>
    <w:rsid w:val="00FA1E54"/>
    <w:rsid w:val="00FA1F7B"/>
    <w:rsid w:val="00FA212E"/>
    <w:rsid w:val="00FA261D"/>
    <w:rsid w:val="00FA26CD"/>
    <w:rsid w:val="00FA285F"/>
    <w:rsid w:val="00FA288B"/>
    <w:rsid w:val="00FA291F"/>
    <w:rsid w:val="00FA2955"/>
    <w:rsid w:val="00FA29FB"/>
    <w:rsid w:val="00FA2E49"/>
    <w:rsid w:val="00FA3146"/>
    <w:rsid w:val="00FA3159"/>
    <w:rsid w:val="00FA316A"/>
    <w:rsid w:val="00FA32D5"/>
    <w:rsid w:val="00FA35FB"/>
    <w:rsid w:val="00FA369A"/>
    <w:rsid w:val="00FA36A7"/>
    <w:rsid w:val="00FA3AA6"/>
    <w:rsid w:val="00FA3BC0"/>
    <w:rsid w:val="00FA41F1"/>
    <w:rsid w:val="00FA427B"/>
    <w:rsid w:val="00FA4320"/>
    <w:rsid w:val="00FA437C"/>
    <w:rsid w:val="00FA43B1"/>
    <w:rsid w:val="00FA4701"/>
    <w:rsid w:val="00FA4790"/>
    <w:rsid w:val="00FA4A38"/>
    <w:rsid w:val="00FA4A65"/>
    <w:rsid w:val="00FA4CBB"/>
    <w:rsid w:val="00FA4D32"/>
    <w:rsid w:val="00FA4E89"/>
    <w:rsid w:val="00FA500B"/>
    <w:rsid w:val="00FA50C8"/>
    <w:rsid w:val="00FA51B3"/>
    <w:rsid w:val="00FA526F"/>
    <w:rsid w:val="00FA5472"/>
    <w:rsid w:val="00FA54EB"/>
    <w:rsid w:val="00FA5583"/>
    <w:rsid w:val="00FA567F"/>
    <w:rsid w:val="00FA569B"/>
    <w:rsid w:val="00FA59CD"/>
    <w:rsid w:val="00FA59F1"/>
    <w:rsid w:val="00FA5B42"/>
    <w:rsid w:val="00FA5BD6"/>
    <w:rsid w:val="00FA5BE5"/>
    <w:rsid w:val="00FA5C28"/>
    <w:rsid w:val="00FA5C5B"/>
    <w:rsid w:val="00FA5FF1"/>
    <w:rsid w:val="00FA6092"/>
    <w:rsid w:val="00FA613A"/>
    <w:rsid w:val="00FA62B2"/>
    <w:rsid w:val="00FA641F"/>
    <w:rsid w:val="00FA656B"/>
    <w:rsid w:val="00FA6748"/>
    <w:rsid w:val="00FA675A"/>
    <w:rsid w:val="00FA6886"/>
    <w:rsid w:val="00FA69A9"/>
    <w:rsid w:val="00FA6ACF"/>
    <w:rsid w:val="00FA6D1F"/>
    <w:rsid w:val="00FA6D61"/>
    <w:rsid w:val="00FA701E"/>
    <w:rsid w:val="00FA7956"/>
    <w:rsid w:val="00FA79D1"/>
    <w:rsid w:val="00FA7AC1"/>
    <w:rsid w:val="00FA7C50"/>
    <w:rsid w:val="00FA7E5B"/>
    <w:rsid w:val="00FA7E6B"/>
    <w:rsid w:val="00FB03F2"/>
    <w:rsid w:val="00FB0483"/>
    <w:rsid w:val="00FB0793"/>
    <w:rsid w:val="00FB08F9"/>
    <w:rsid w:val="00FB0BE1"/>
    <w:rsid w:val="00FB0C0C"/>
    <w:rsid w:val="00FB0D15"/>
    <w:rsid w:val="00FB0F8C"/>
    <w:rsid w:val="00FB1781"/>
    <w:rsid w:val="00FB1A10"/>
    <w:rsid w:val="00FB1A38"/>
    <w:rsid w:val="00FB1A3E"/>
    <w:rsid w:val="00FB1BD9"/>
    <w:rsid w:val="00FB1C3C"/>
    <w:rsid w:val="00FB1E3B"/>
    <w:rsid w:val="00FB1EA2"/>
    <w:rsid w:val="00FB1EFD"/>
    <w:rsid w:val="00FB20F4"/>
    <w:rsid w:val="00FB224A"/>
    <w:rsid w:val="00FB2282"/>
    <w:rsid w:val="00FB2629"/>
    <w:rsid w:val="00FB2771"/>
    <w:rsid w:val="00FB2ABC"/>
    <w:rsid w:val="00FB2C0E"/>
    <w:rsid w:val="00FB2DC5"/>
    <w:rsid w:val="00FB2E60"/>
    <w:rsid w:val="00FB2E82"/>
    <w:rsid w:val="00FB2F9F"/>
    <w:rsid w:val="00FB308F"/>
    <w:rsid w:val="00FB32AD"/>
    <w:rsid w:val="00FB3462"/>
    <w:rsid w:val="00FB34CB"/>
    <w:rsid w:val="00FB3521"/>
    <w:rsid w:val="00FB36C1"/>
    <w:rsid w:val="00FB37DA"/>
    <w:rsid w:val="00FB38A3"/>
    <w:rsid w:val="00FB394A"/>
    <w:rsid w:val="00FB3BD3"/>
    <w:rsid w:val="00FB3EAA"/>
    <w:rsid w:val="00FB3FC9"/>
    <w:rsid w:val="00FB4094"/>
    <w:rsid w:val="00FB40A1"/>
    <w:rsid w:val="00FB4193"/>
    <w:rsid w:val="00FB427A"/>
    <w:rsid w:val="00FB4475"/>
    <w:rsid w:val="00FB4510"/>
    <w:rsid w:val="00FB4686"/>
    <w:rsid w:val="00FB46AB"/>
    <w:rsid w:val="00FB479E"/>
    <w:rsid w:val="00FB49E3"/>
    <w:rsid w:val="00FB4A00"/>
    <w:rsid w:val="00FB4A12"/>
    <w:rsid w:val="00FB4B42"/>
    <w:rsid w:val="00FB4F22"/>
    <w:rsid w:val="00FB526C"/>
    <w:rsid w:val="00FB5284"/>
    <w:rsid w:val="00FB535C"/>
    <w:rsid w:val="00FB5398"/>
    <w:rsid w:val="00FB564B"/>
    <w:rsid w:val="00FB580B"/>
    <w:rsid w:val="00FB58C8"/>
    <w:rsid w:val="00FB5B24"/>
    <w:rsid w:val="00FB5B49"/>
    <w:rsid w:val="00FB5D16"/>
    <w:rsid w:val="00FB5DFA"/>
    <w:rsid w:val="00FB5E4C"/>
    <w:rsid w:val="00FB5E5E"/>
    <w:rsid w:val="00FB5F3E"/>
    <w:rsid w:val="00FB614F"/>
    <w:rsid w:val="00FB63AE"/>
    <w:rsid w:val="00FB640C"/>
    <w:rsid w:val="00FB6513"/>
    <w:rsid w:val="00FB66C6"/>
    <w:rsid w:val="00FB678F"/>
    <w:rsid w:val="00FB6849"/>
    <w:rsid w:val="00FB69C4"/>
    <w:rsid w:val="00FB6BDC"/>
    <w:rsid w:val="00FB6BF9"/>
    <w:rsid w:val="00FB6C63"/>
    <w:rsid w:val="00FB6D87"/>
    <w:rsid w:val="00FB6F3E"/>
    <w:rsid w:val="00FB701A"/>
    <w:rsid w:val="00FB7059"/>
    <w:rsid w:val="00FB71D7"/>
    <w:rsid w:val="00FB71F8"/>
    <w:rsid w:val="00FB7267"/>
    <w:rsid w:val="00FB7462"/>
    <w:rsid w:val="00FB749F"/>
    <w:rsid w:val="00FB7646"/>
    <w:rsid w:val="00FB77A4"/>
    <w:rsid w:val="00FB7B20"/>
    <w:rsid w:val="00FB7B72"/>
    <w:rsid w:val="00FB7B93"/>
    <w:rsid w:val="00FB7BFE"/>
    <w:rsid w:val="00FB7CDC"/>
    <w:rsid w:val="00FB7EE0"/>
    <w:rsid w:val="00FB7F9D"/>
    <w:rsid w:val="00FC0016"/>
    <w:rsid w:val="00FC0046"/>
    <w:rsid w:val="00FC0452"/>
    <w:rsid w:val="00FC049A"/>
    <w:rsid w:val="00FC04B0"/>
    <w:rsid w:val="00FC056D"/>
    <w:rsid w:val="00FC060D"/>
    <w:rsid w:val="00FC0737"/>
    <w:rsid w:val="00FC07CB"/>
    <w:rsid w:val="00FC07E2"/>
    <w:rsid w:val="00FC08A7"/>
    <w:rsid w:val="00FC0BA8"/>
    <w:rsid w:val="00FC0BF5"/>
    <w:rsid w:val="00FC0CC2"/>
    <w:rsid w:val="00FC0D4A"/>
    <w:rsid w:val="00FC0DCA"/>
    <w:rsid w:val="00FC0DFD"/>
    <w:rsid w:val="00FC0F13"/>
    <w:rsid w:val="00FC10B7"/>
    <w:rsid w:val="00FC11A3"/>
    <w:rsid w:val="00FC11F5"/>
    <w:rsid w:val="00FC1442"/>
    <w:rsid w:val="00FC153E"/>
    <w:rsid w:val="00FC1540"/>
    <w:rsid w:val="00FC1CC9"/>
    <w:rsid w:val="00FC208C"/>
    <w:rsid w:val="00FC20CE"/>
    <w:rsid w:val="00FC20F6"/>
    <w:rsid w:val="00FC218F"/>
    <w:rsid w:val="00FC21A2"/>
    <w:rsid w:val="00FC23B7"/>
    <w:rsid w:val="00FC2488"/>
    <w:rsid w:val="00FC24CF"/>
    <w:rsid w:val="00FC24EE"/>
    <w:rsid w:val="00FC2741"/>
    <w:rsid w:val="00FC27B2"/>
    <w:rsid w:val="00FC288F"/>
    <w:rsid w:val="00FC29F7"/>
    <w:rsid w:val="00FC2B3F"/>
    <w:rsid w:val="00FC2C11"/>
    <w:rsid w:val="00FC2FB6"/>
    <w:rsid w:val="00FC321D"/>
    <w:rsid w:val="00FC32AD"/>
    <w:rsid w:val="00FC33DD"/>
    <w:rsid w:val="00FC3497"/>
    <w:rsid w:val="00FC368B"/>
    <w:rsid w:val="00FC36AC"/>
    <w:rsid w:val="00FC3788"/>
    <w:rsid w:val="00FC3CA9"/>
    <w:rsid w:val="00FC3CAD"/>
    <w:rsid w:val="00FC3DEA"/>
    <w:rsid w:val="00FC3F22"/>
    <w:rsid w:val="00FC3F90"/>
    <w:rsid w:val="00FC42E4"/>
    <w:rsid w:val="00FC4445"/>
    <w:rsid w:val="00FC4452"/>
    <w:rsid w:val="00FC4873"/>
    <w:rsid w:val="00FC48C2"/>
    <w:rsid w:val="00FC4AFD"/>
    <w:rsid w:val="00FC4BF5"/>
    <w:rsid w:val="00FC4CD1"/>
    <w:rsid w:val="00FC4DBA"/>
    <w:rsid w:val="00FC4F56"/>
    <w:rsid w:val="00FC5346"/>
    <w:rsid w:val="00FC53DD"/>
    <w:rsid w:val="00FC5451"/>
    <w:rsid w:val="00FC5A0C"/>
    <w:rsid w:val="00FC5BC6"/>
    <w:rsid w:val="00FC5F66"/>
    <w:rsid w:val="00FC60E9"/>
    <w:rsid w:val="00FC6204"/>
    <w:rsid w:val="00FC6599"/>
    <w:rsid w:val="00FC68EC"/>
    <w:rsid w:val="00FC6A95"/>
    <w:rsid w:val="00FC6B7A"/>
    <w:rsid w:val="00FC6BF2"/>
    <w:rsid w:val="00FC6D77"/>
    <w:rsid w:val="00FC6E85"/>
    <w:rsid w:val="00FC6EBA"/>
    <w:rsid w:val="00FC7002"/>
    <w:rsid w:val="00FC72BB"/>
    <w:rsid w:val="00FC73C9"/>
    <w:rsid w:val="00FC7540"/>
    <w:rsid w:val="00FC7EF8"/>
    <w:rsid w:val="00FC7F45"/>
    <w:rsid w:val="00FD002B"/>
    <w:rsid w:val="00FD01A6"/>
    <w:rsid w:val="00FD05DE"/>
    <w:rsid w:val="00FD0601"/>
    <w:rsid w:val="00FD0990"/>
    <w:rsid w:val="00FD0B95"/>
    <w:rsid w:val="00FD0BC5"/>
    <w:rsid w:val="00FD0D66"/>
    <w:rsid w:val="00FD0E14"/>
    <w:rsid w:val="00FD0E99"/>
    <w:rsid w:val="00FD1070"/>
    <w:rsid w:val="00FD12DB"/>
    <w:rsid w:val="00FD1731"/>
    <w:rsid w:val="00FD190B"/>
    <w:rsid w:val="00FD1945"/>
    <w:rsid w:val="00FD1BB7"/>
    <w:rsid w:val="00FD1C3A"/>
    <w:rsid w:val="00FD1F91"/>
    <w:rsid w:val="00FD2043"/>
    <w:rsid w:val="00FD2086"/>
    <w:rsid w:val="00FD236D"/>
    <w:rsid w:val="00FD2413"/>
    <w:rsid w:val="00FD248E"/>
    <w:rsid w:val="00FD282E"/>
    <w:rsid w:val="00FD28BA"/>
    <w:rsid w:val="00FD28E2"/>
    <w:rsid w:val="00FD290A"/>
    <w:rsid w:val="00FD2936"/>
    <w:rsid w:val="00FD2965"/>
    <w:rsid w:val="00FD29C8"/>
    <w:rsid w:val="00FD2A1F"/>
    <w:rsid w:val="00FD2BAC"/>
    <w:rsid w:val="00FD2D5E"/>
    <w:rsid w:val="00FD2F31"/>
    <w:rsid w:val="00FD32C9"/>
    <w:rsid w:val="00FD3412"/>
    <w:rsid w:val="00FD3421"/>
    <w:rsid w:val="00FD387D"/>
    <w:rsid w:val="00FD3B0D"/>
    <w:rsid w:val="00FD3C37"/>
    <w:rsid w:val="00FD3C5D"/>
    <w:rsid w:val="00FD3CC5"/>
    <w:rsid w:val="00FD3E8C"/>
    <w:rsid w:val="00FD3FB7"/>
    <w:rsid w:val="00FD4023"/>
    <w:rsid w:val="00FD4070"/>
    <w:rsid w:val="00FD40CA"/>
    <w:rsid w:val="00FD4190"/>
    <w:rsid w:val="00FD4477"/>
    <w:rsid w:val="00FD447E"/>
    <w:rsid w:val="00FD4694"/>
    <w:rsid w:val="00FD478B"/>
    <w:rsid w:val="00FD47F7"/>
    <w:rsid w:val="00FD4A17"/>
    <w:rsid w:val="00FD4A87"/>
    <w:rsid w:val="00FD4D7E"/>
    <w:rsid w:val="00FD4E4C"/>
    <w:rsid w:val="00FD4F2F"/>
    <w:rsid w:val="00FD5055"/>
    <w:rsid w:val="00FD55DD"/>
    <w:rsid w:val="00FD56C4"/>
    <w:rsid w:val="00FD5714"/>
    <w:rsid w:val="00FD599B"/>
    <w:rsid w:val="00FD5AF2"/>
    <w:rsid w:val="00FD5CEC"/>
    <w:rsid w:val="00FD5DA9"/>
    <w:rsid w:val="00FD5E64"/>
    <w:rsid w:val="00FD5E8B"/>
    <w:rsid w:val="00FD5F4C"/>
    <w:rsid w:val="00FD60E1"/>
    <w:rsid w:val="00FD6137"/>
    <w:rsid w:val="00FD6475"/>
    <w:rsid w:val="00FD651E"/>
    <w:rsid w:val="00FD654F"/>
    <w:rsid w:val="00FD66E7"/>
    <w:rsid w:val="00FD68A9"/>
    <w:rsid w:val="00FD68E2"/>
    <w:rsid w:val="00FD693E"/>
    <w:rsid w:val="00FD69E8"/>
    <w:rsid w:val="00FD69F9"/>
    <w:rsid w:val="00FD6B1B"/>
    <w:rsid w:val="00FD6B62"/>
    <w:rsid w:val="00FD6B6F"/>
    <w:rsid w:val="00FD6F0A"/>
    <w:rsid w:val="00FD6F8D"/>
    <w:rsid w:val="00FD708E"/>
    <w:rsid w:val="00FD721E"/>
    <w:rsid w:val="00FD7285"/>
    <w:rsid w:val="00FD72AA"/>
    <w:rsid w:val="00FD73D8"/>
    <w:rsid w:val="00FD7580"/>
    <w:rsid w:val="00FD7729"/>
    <w:rsid w:val="00FD7746"/>
    <w:rsid w:val="00FD77DA"/>
    <w:rsid w:val="00FD7BD3"/>
    <w:rsid w:val="00FD7E32"/>
    <w:rsid w:val="00FD7EE6"/>
    <w:rsid w:val="00FE0354"/>
    <w:rsid w:val="00FE03CC"/>
    <w:rsid w:val="00FE04CE"/>
    <w:rsid w:val="00FE062E"/>
    <w:rsid w:val="00FE07C1"/>
    <w:rsid w:val="00FE0842"/>
    <w:rsid w:val="00FE097C"/>
    <w:rsid w:val="00FE0A13"/>
    <w:rsid w:val="00FE0A32"/>
    <w:rsid w:val="00FE0A85"/>
    <w:rsid w:val="00FE0BF4"/>
    <w:rsid w:val="00FE0D24"/>
    <w:rsid w:val="00FE0D9C"/>
    <w:rsid w:val="00FE0FE5"/>
    <w:rsid w:val="00FE1125"/>
    <w:rsid w:val="00FE1322"/>
    <w:rsid w:val="00FE135F"/>
    <w:rsid w:val="00FE14A5"/>
    <w:rsid w:val="00FE1617"/>
    <w:rsid w:val="00FE1622"/>
    <w:rsid w:val="00FE1669"/>
    <w:rsid w:val="00FE177E"/>
    <w:rsid w:val="00FE17C3"/>
    <w:rsid w:val="00FE17F0"/>
    <w:rsid w:val="00FE1A0E"/>
    <w:rsid w:val="00FE1A70"/>
    <w:rsid w:val="00FE2020"/>
    <w:rsid w:val="00FE2050"/>
    <w:rsid w:val="00FE21CB"/>
    <w:rsid w:val="00FE2227"/>
    <w:rsid w:val="00FE23BE"/>
    <w:rsid w:val="00FE2619"/>
    <w:rsid w:val="00FE2B3F"/>
    <w:rsid w:val="00FE2BD0"/>
    <w:rsid w:val="00FE2CC6"/>
    <w:rsid w:val="00FE2CCE"/>
    <w:rsid w:val="00FE2CEE"/>
    <w:rsid w:val="00FE2D8C"/>
    <w:rsid w:val="00FE2DFA"/>
    <w:rsid w:val="00FE2E89"/>
    <w:rsid w:val="00FE32C6"/>
    <w:rsid w:val="00FE34FB"/>
    <w:rsid w:val="00FE37EE"/>
    <w:rsid w:val="00FE38FC"/>
    <w:rsid w:val="00FE3953"/>
    <w:rsid w:val="00FE39B0"/>
    <w:rsid w:val="00FE3B05"/>
    <w:rsid w:val="00FE3D3B"/>
    <w:rsid w:val="00FE3DED"/>
    <w:rsid w:val="00FE3F55"/>
    <w:rsid w:val="00FE40BE"/>
    <w:rsid w:val="00FE41ED"/>
    <w:rsid w:val="00FE4324"/>
    <w:rsid w:val="00FE4327"/>
    <w:rsid w:val="00FE43AC"/>
    <w:rsid w:val="00FE44BE"/>
    <w:rsid w:val="00FE452E"/>
    <w:rsid w:val="00FE4589"/>
    <w:rsid w:val="00FE45FE"/>
    <w:rsid w:val="00FE47B8"/>
    <w:rsid w:val="00FE4B23"/>
    <w:rsid w:val="00FE4B7A"/>
    <w:rsid w:val="00FE4DEB"/>
    <w:rsid w:val="00FE50B4"/>
    <w:rsid w:val="00FE5628"/>
    <w:rsid w:val="00FE5678"/>
    <w:rsid w:val="00FE56FF"/>
    <w:rsid w:val="00FE574E"/>
    <w:rsid w:val="00FE593B"/>
    <w:rsid w:val="00FE5BDC"/>
    <w:rsid w:val="00FE5D16"/>
    <w:rsid w:val="00FE6023"/>
    <w:rsid w:val="00FE606D"/>
    <w:rsid w:val="00FE6193"/>
    <w:rsid w:val="00FE651B"/>
    <w:rsid w:val="00FE682C"/>
    <w:rsid w:val="00FE69F9"/>
    <w:rsid w:val="00FE6A2B"/>
    <w:rsid w:val="00FE6A46"/>
    <w:rsid w:val="00FE6A57"/>
    <w:rsid w:val="00FE6B34"/>
    <w:rsid w:val="00FE6E42"/>
    <w:rsid w:val="00FE6F6F"/>
    <w:rsid w:val="00FE6FE1"/>
    <w:rsid w:val="00FE74B4"/>
    <w:rsid w:val="00FE76BC"/>
    <w:rsid w:val="00FE7909"/>
    <w:rsid w:val="00FE7929"/>
    <w:rsid w:val="00FE7CDB"/>
    <w:rsid w:val="00FE7F2B"/>
    <w:rsid w:val="00FE7F7C"/>
    <w:rsid w:val="00FF01EF"/>
    <w:rsid w:val="00FF0225"/>
    <w:rsid w:val="00FF0503"/>
    <w:rsid w:val="00FF0526"/>
    <w:rsid w:val="00FF0698"/>
    <w:rsid w:val="00FF07B8"/>
    <w:rsid w:val="00FF08C8"/>
    <w:rsid w:val="00FF0A85"/>
    <w:rsid w:val="00FF0B47"/>
    <w:rsid w:val="00FF0DAA"/>
    <w:rsid w:val="00FF0DB7"/>
    <w:rsid w:val="00FF1039"/>
    <w:rsid w:val="00FF10B9"/>
    <w:rsid w:val="00FF118B"/>
    <w:rsid w:val="00FF11F4"/>
    <w:rsid w:val="00FF14D5"/>
    <w:rsid w:val="00FF17AC"/>
    <w:rsid w:val="00FF17FD"/>
    <w:rsid w:val="00FF19C1"/>
    <w:rsid w:val="00FF1A74"/>
    <w:rsid w:val="00FF1BE5"/>
    <w:rsid w:val="00FF1C11"/>
    <w:rsid w:val="00FF1C21"/>
    <w:rsid w:val="00FF1CF6"/>
    <w:rsid w:val="00FF1E22"/>
    <w:rsid w:val="00FF2026"/>
    <w:rsid w:val="00FF204B"/>
    <w:rsid w:val="00FF2406"/>
    <w:rsid w:val="00FF25A0"/>
    <w:rsid w:val="00FF2A04"/>
    <w:rsid w:val="00FF2A71"/>
    <w:rsid w:val="00FF2C18"/>
    <w:rsid w:val="00FF2DF5"/>
    <w:rsid w:val="00FF2F50"/>
    <w:rsid w:val="00FF2F64"/>
    <w:rsid w:val="00FF30A6"/>
    <w:rsid w:val="00FF3198"/>
    <w:rsid w:val="00FF32BE"/>
    <w:rsid w:val="00FF33D7"/>
    <w:rsid w:val="00FF36C7"/>
    <w:rsid w:val="00FF3C97"/>
    <w:rsid w:val="00FF3DF0"/>
    <w:rsid w:val="00FF3E19"/>
    <w:rsid w:val="00FF3F97"/>
    <w:rsid w:val="00FF4064"/>
    <w:rsid w:val="00FF40D7"/>
    <w:rsid w:val="00FF4213"/>
    <w:rsid w:val="00FF422E"/>
    <w:rsid w:val="00FF423B"/>
    <w:rsid w:val="00FF4262"/>
    <w:rsid w:val="00FF4277"/>
    <w:rsid w:val="00FF4284"/>
    <w:rsid w:val="00FF42B2"/>
    <w:rsid w:val="00FF42C1"/>
    <w:rsid w:val="00FF4322"/>
    <w:rsid w:val="00FF43AE"/>
    <w:rsid w:val="00FF4848"/>
    <w:rsid w:val="00FF48FE"/>
    <w:rsid w:val="00FF4A4D"/>
    <w:rsid w:val="00FF4A85"/>
    <w:rsid w:val="00FF4AE5"/>
    <w:rsid w:val="00FF4BA5"/>
    <w:rsid w:val="00FF4CC3"/>
    <w:rsid w:val="00FF4CE2"/>
    <w:rsid w:val="00FF4F24"/>
    <w:rsid w:val="00FF4F90"/>
    <w:rsid w:val="00FF5077"/>
    <w:rsid w:val="00FF52A6"/>
    <w:rsid w:val="00FF5312"/>
    <w:rsid w:val="00FF5345"/>
    <w:rsid w:val="00FF54C3"/>
    <w:rsid w:val="00FF5523"/>
    <w:rsid w:val="00FF55A6"/>
    <w:rsid w:val="00FF58E7"/>
    <w:rsid w:val="00FF59FD"/>
    <w:rsid w:val="00FF5AEB"/>
    <w:rsid w:val="00FF617D"/>
    <w:rsid w:val="00FF61A9"/>
    <w:rsid w:val="00FF66AF"/>
    <w:rsid w:val="00FF66F6"/>
    <w:rsid w:val="00FF6760"/>
    <w:rsid w:val="00FF6A60"/>
    <w:rsid w:val="00FF6B15"/>
    <w:rsid w:val="00FF6CA8"/>
    <w:rsid w:val="00FF6D7F"/>
    <w:rsid w:val="00FF6DCC"/>
    <w:rsid w:val="00FF6E78"/>
    <w:rsid w:val="00FF6F87"/>
    <w:rsid w:val="00FF7087"/>
    <w:rsid w:val="00FF709B"/>
    <w:rsid w:val="00FF713B"/>
    <w:rsid w:val="00FF743E"/>
    <w:rsid w:val="00FF74A6"/>
    <w:rsid w:val="00FF761F"/>
    <w:rsid w:val="00FF762B"/>
    <w:rsid w:val="00FF7657"/>
    <w:rsid w:val="00FF772C"/>
    <w:rsid w:val="00FF787B"/>
    <w:rsid w:val="00FF7AAD"/>
    <w:rsid w:val="00FF7B60"/>
    <w:rsid w:val="00FF7B66"/>
    <w:rsid w:val="00FF7ECD"/>
    <w:rsid w:val="00FF7F95"/>
    <w:rsid w:val="01B03DDC"/>
    <w:rsid w:val="0259F05B"/>
    <w:rsid w:val="02625025"/>
    <w:rsid w:val="028A2B70"/>
    <w:rsid w:val="02B945B9"/>
    <w:rsid w:val="033261B1"/>
    <w:rsid w:val="0339FC95"/>
    <w:rsid w:val="033B1A17"/>
    <w:rsid w:val="033E2BB9"/>
    <w:rsid w:val="03531705"/>
    <w:rsid w:val="03B8D1DC"/>
    <w:rsid w:val="0414A5A6"/>
    <w:rsid w:val="051E681E"/>
    <w:rsid w:val="054F48A2"/>
    <w:rsid w:val="056E69B6"/>
    <w:rsid w:val="05780CE1"/>
    <w:rsid w:val="05BA3EF3"/>
    <w:rsid w:val="065647CB"/>
    <w:rsid w:val="06814B56"/>
    <w:rsid w:val="06FC3FDD"/>
    <w:rsid w:val="0700B1EB"/>
    <w:rsid w:val="0713B041"/>
    <w:rsid w:val="0732187F"/>
    <w:rsid w:val="077ABD4A"/>
    <w:rsid w:val="077DFF7A"/>
    <w:rsid w:val="07861101"/>
    <w:rsid w:val="079DD757"/>
    <w:rsid w:val="07E55A6F"/>
    <w:rsid w:val="07EFEEDE"/>
    <w:rsid w:val="0810113C"/>
    <w:rsid w:val="0825FA95"/>
    <w:rsid w:val="08CB9E55"/>
    <w:rsid w:val="08D930B9"/>
    <w:rsid w:val="08F0087E"/>
    <w:rsid w:val="090DEF02"/>
    <w:rsid w:val="090F5EE0"/>
    <w:rsid w:val="091E7274"/>
    <w:rsid w:val="095F0338"/>
    <w:rsid w:val="09B57F74"/>
    <w:rsid w:val="09B96168"/>
    <w:rsid w:val="09D3555A"/>
    <w:rsid w:val="0A08FACB"/>
    <w:rsid w:val="0A2A0E06"/>
    <w:rsid w:val="0AAA0D8D"/>
    <w:rsid w:val="0AB42D5D"/>
    <w:rsid w:val="0AC98287"/>
    <w:rsid w:val="0B1F20F2"/>
    <w:rsid w:val="0B61C336"/>
    <w:rsid w:val="0B876F63"/>
    <w:rsid w:val="0BD1F5BF"/>
    <w:rsid w:val="0BEACD1F"/>
    <w:rsid w:val="0CA967D5"/>
    <w:rsid w:val="0CAE6BAA"/>
    <w:rsid w:val="0CB0D09A"/>
    <w:rsid w:val="0DA1309C"/>
    <w:rsid w:val="0DDA192F"/>
    <w:rsid w:val="0E47A507"/>
    <w:rsid w:val="0E72A92E"/>
    <w:rsid w:val="0ED89CFF"/>
    <w:rsid w:val="0EE0B804"/>
    <w:rsid w:val="0F6D660F"/>
    <w:rsid w:val="0F97011C"/>
    <w:rsid w:val="0FA1EBA9"/>
    <w:rsid w:val="0FE693C9"/>
    <w:rsid w:val="0FF6E3D0"/>
    <w:rsid w:val="0FFB8695"/>
    <w:rsid w:val="0FFDFDC0"/>
    <w:rsid w:val="0FFE808E"/>
    <w:rsid w:val="100D653E"/>
    <w:rsid w:val="107F776E"/>
    <w:rsid w:val="10AC6347"/>
    <w:rsid w:val="10FC5A4A"/>
    <w:rsid w:val="111C4FBA"/>
    <w:rsid w:val="1133D592"/>
    <w:rsid w:val="115A50EC"/>
    <w:rsid w:val="11C10FF4"/>
    <w:rsid w:val="11EEBD61"/>
    <w:rsid w:val="1254F5C0"/>
    <w:rsid w:val="12853CA7"/>
    <w:rsid w:val="12924DC5"/>
    <w:rsid w:val="12DCE7D8"/>
    <w:rsid w:val="12E272B9"/>
    <w:rsid w:val="12FAABD4"/>
    <w:rsid w:val="130251AB"/>
    <w:rsid w:val="133DBC31"/>
    <w:rsid w:val="135C0DE8"/>
    <w:rsid w:val="1397E2C1"/>
    <w:rsid w:val="13F56B5E"/>
    <w:rsid w:val="140A5D56"/>
    <w:rsid w:val="144616CD"/>
    <w:rsid w:val="145FCEE6"/>
    <w:rsid w:val="1484F940"/>
    <w:rsid w:val="15097359"/>
    <w:rsid w:val="1542A9B7"/>
    <w:rsid w:val="15884B12"/>
    <w:rsid w:val="158E2400"/>
    <w:rsid w:val="159AAE7D"/>
    <w:rsid w:val="159DCA34"/>
    <w:rsid w:val="1606B649"/>
    <w:rsid w:val="16EC1FE6"/>
    <w:rsid w:val="17702BC0"/>
    <w:rsid w:val="1779DDE1"/>
    <w:rsid w:val="17C7C93A"/>
    <w:rsid w:val="18248A4B"/>
    <w:rsid w:val="183A772A"/>
    <w:rsid w:val="187BA121"/>
    <w:rsid w:val="18AABCD1"/>
    <w:rsid w:val="18B38656"/>
    <w:rsid w:val="18E13EED"/>
    <w:rsid w:val="199ADC1D"/>
    <w:rsid w:val="19B80F57"/>
    <w:rsid w:val="19CCF151"/>
    <w:rsid w:val="19EBE77B"/>
    <w:rsid w:val="1A0DF214"/>
    <w:rsid w:val="1A3498AD"/>
    <w:rsid w:val="1A5AFF32"/>
    <w:rsid w:val="1B02A909"/>
    <w:rsid w:val="1B1B7990"/>
    <w:rsid w:val="1B3C93A3"/>
    <w:rsid w:val="1B45C83A"/>
    <w:rsid w:val="1BDB58FA"/>
    <w:rsid w:val="1C302CAB"/>
    <w:rsid w:val="1C370CBB"/>
    <w:rsid w:val="1C89F593"/>
    <w:rsid w:val="1CA219FF"/>
    <w:rsid w:val="1D2E0953"/>
    <w:rsid w:val="1D6B5162"/>
    <w:rsid w:val="1D71F8D0"/>
    <w:rsid w:val="1DBF5356"/>
    <w:rsid w:val="1DC16F86"/>
    <w:rsid w:val="1DE484B9"/>
    <w:rsid w:val="1E04F8E3"/>
    <w:rsid w:val="1E564DE5"/>
    <w:rsid w:val="1EC88125"/>
    <w:rsid w:val="1F8424D6"/>
    <w:rsid w:val="20462394"/>
    <w:rsid w:val="2086687F"/>
    <w:rsid w:val="208C5B05"/>
    <w:rsid w:val="20A2DE12"/>
    <w:rsid w:val="20A69D8C"/>
    <w:rsid w:val="20BA9C1B"/>
    <w:rsid w:val="20EA0F19"/>
    <w:rsid w:val="20F5686C"/>
    <w:rsid w:val="21CC0452"/>
    <w:rsid w:val="21D7CCB5"/>
    <w:rsid w:val="21E272DD"/>
    <w:rsid w:val="220AA2E4"/>
    <w:rsid w:val="229FE58A"/>
    <w:rsid w:val="22B7272E"/>
    <w:rsid w:val="22CD68EA"/>
    <w:rsid w:val="22F7A5F2"/>
    <w:rsid w:val="22F91BB7"/>
    <w:rsid w:val="23BED1DB"/>
    <w:rsid w:val="23DE3D62"/>
    <w:rsid w:val="23EFBE37"/>
    <w:rsid w:val="248D5C44"/>
    <w:rsid w:val="24C75060"/>
    <w:rsid w:val="24C8236A"/>
    <w:rsid w:val="24D7FC29"/>
    <w:rsid w:val="24FCCF8A"/>
    <w:rsid w:val="252CAFAF"/>
    <w:rsid w:val="252D2407"/>
    <w:rsid w:val="25562853"/>
    <w:rsid w:val="25774B54"/>
    <w:rsid w:val="2625ACC7"/>
    <w:rsid w:val="262AAE42"/>
    <w:rsid w:val="264CEC40"/>
    <w:rsid w:val="26784588"/>
    <w:rsid w:val="26DD7E24"/>
    <w:rsid w:val="272495FA"/>
    <w:rsid w:val="2740B815"/>
    <w:rsid w:val="2791AC10"/>
    <w:rsid w:val="27E90F1A"/>
    <w:rsid w:val="27FCDC3E"/>
    <w:rsid w:val="28228CE7"/>
    <w:rsid w:val="283ACA7B"/>
    <w:rsid w:val="28AEEC16"/>
    <w:rsid w:val="28B9E22B"/>
    <w:rsid w:val="28CAF726"/>
    <w:rsid w:val="28E66CF6"/>
    <w:rsid w:val="296AF037"/>
    <w:rsid w:val="2A6A8ADA"/>
    <w:rsid w:val="2AA4CA5D"/>
    <w:rsid w:val="2B519A7F"/>
    <w:rsid w:val="2B5D47C9"/>
    <w:rsid w:val="2BAC9B19"/>
    <w:rsid w:val="2BC29F35"/>
    <w:rsid w:val="2C148181"/>
    <w:rsid w:val="2C16DBD7"/>
    <w:rsid w:val="2C185D09"/>
    <w:rsid w:val="2C5BBBD1"/>
    <w:rsid w:val="2CAA05EF"/>
    <w:rsid w:val="2D357748"/>
    <w:rsid w:val="2D45C355"/>
    <w:rsid w:val="2D922F85"/>
    <w:rsid w:val="2DA84FAE"/>
    <w:rsid w:val="2DF3693F"/>
    <w:rsid w:val="2E9E951B"/>
    <w:rsid w:val="2EA5FFFD"/>
    <w:rsid w:val="2EA6C5E9"/>
    <w:rsid w:val="2EC8E89F"/>
    <w:rsid w:val="2F1316CB"/>
    <w:rsid w:val="2F2B2D5C"/>
    <w:rsid w:val="2F6E2DCB"/>
    <w:rsid w:val="2FBE200F"/>
    <w:rsid w:val="2FE45BDC"/>
    <w:rsid w:val="305BE49A"/>
    <w:rsid w:val="306BC90E"/>
    <w:rsid w:val="30FF6C4F"/>
    <w:rsid w:val="31212B5A"/>
    <w:rsid w:val="317D247D"/>
    <w:rsid w:val="31DE6A53"/>
    <w:rsid w:val="31F02ACB"/>
    <w:rsid w:val="323CA5FF"/>
    <w:rsid w:val="32669C0A"/>
    <w:rsid w:val="326D7DCF"/>
    <w:rsid w:val="327426DF"/>
    <w:rsid w:val="32AC2A22"/>
    <w:rsid w:val="32C03730"/>
    <w:rsid w:val="32DA5591"/>
    <w:rsid w:val="3333107E"/>
    <w:rsid w:val="335FDB27"/>
    <w:rsid w:val="33790944"/>
    <w:rsid w:val="339D348B"/>
    <w:rsid w:val="33CEE92F"/>
    <w:rsid w:val="33D90C5C"/>
    <w:rsid w:val="33DBF99F"/>
    <w:rsid w:val="341EB4E8"/>
    <w:rsid w:val="34760C4A"/>
    <w:rsid w:val="348623AD"/>
    <w:rsid w:val="34A41A84"/>
    <w:rsid w:val="34A8BB8D"/>
    <w:rsid w:val="3505A10D"/>
    <w:rsid w:val="3513E8B1"/>
    <w:rsid w:val="3551843D"/>
    <w:rsid w:val="3566E2C0"/>
    <w:rsid w:val="35B7B76B"/>
    <w:rsid w:val="35E9CC65"/>
    <w:rsid w:val="362BA433"/>
    <w:rsid w:val="36704345"/>
    <w:rsid w:val="3727F5EE"/>
    <w:rsid w:val="374952F4"/>
    <w:rsid w:val="37EF4C16"/>
    <w:rsid w:val="37F6E104"/>
    <w:rsid w:val="3833B92B"/>
    <w:rsid w:val="3853ED24"/>
    <w:rsid w:val="3854B217"/>
    <w:rsid w:val="3886812D"/>
    <w:rsid w:val="38982184"/>
    <w:rsid w:val="38CFA97F"/>
    <w:rsid w:val="38F58851"/>
    <w:rsid w:val="38FF8817"/>
    <w:rsid w:val="3925A08B"/>
    <w:rsid w:val="39264479"/>
    <w:rsid w:val="393E7229"/>
    <w:rsid w:val="39733443"/>
    <w:rsid w:val="3993408F"/>
    <w:rsid w:val="39E1DD09"/>
    <w:rsid w:val="3A2F2583"/>
    <w:rsid w:val="3A6315E8"/>
    <w:rsid w:val="3A88DC76"/>
    <w:rsid w:val="3AE22B2C"/>
    <w:rsid w:val="3B974FF7"/>
    <w:rsid w:val="3CC9F7EF"/>
    <w:rsid w:val="3CDCF943"/>
    <w:rsid w:val="3D309CA5"/>
    <w:rsid w:val="3D66C645"/>
    <w:rsid w:val="3E5D519E"/>
    <w:rsid w:val="3E674F21"/>
    <w:rsid w:val="3EAE1146"/>
    <w:rsid w:val="3F1B81CD"/>
    <w:rsid w:val="3F3CE05B"/>
    <w:rsid w:val="3F741B0A"/>
    <w:rsid w:val="3FA19C3C"/>
    <w:rsid w:val="3FD97995"/>
    <w:rsid w:val="40528800"/>
    <w:rsid w:val="407A5466"/>
    <w:rsid w:val="40BBCC63"/>
    <w:rsid w:val="40DE3068"/>
    <w:rsid w:val="40E66167"/>
    <w:rsid w:val="41003721"/>
    <w:rsid w:val="41623E32"/>
    <w:rsid w:val="418D4B78"/>
    <w:rsid w:val="41E0D2FD"/>
    <w:rsid w:val="4207BF86"/>
    <w:rsid w:val="4237FA05"/>
    <w:rsid w:val="424337D6"/>
    <w:rsid w:val="4261D871"/>
    <w:rsid w:val="42644C66"/>
    <w:rsid w:val="43131BA5"/>
    <w:rsid w:val="4322A1DC"/>
    <w:rsid w:val="43468CBC"/>
    <w:rsid w:val="43749164"/>
    <w:rsid w:val="4383C486"/>
    <w:rsid w:val="43A14FEE"/>
    <w:rsid w:val="43A67F0D"/>
    <w:rsid w:val="43F27D42"/>
    <w:rsid w:val="43F8D170"/>
    <w:rsid w:val="4408D015"/>
    <w:rsid w:val="44140F31"/>
    <w:rsid w:val="443B104C"/>
    <w:rsid w:val="443DB64B"/>
    <w:rsid w:val="44F810F6"/>
    <w:rsid w:val="45AD0224"/>
    <w:rsid w:val="45D62010"/>
    <w:rsid w:val="4610A633"/>
    <w:rsid w:val="462741A8"/>
    <w:rsid w:val="4629C005"/>
    <w:rsid w:val="46397ABD"/>
    <w:rsid w:val="46508D23"/>
    <w:rsid w:val="46621120"/>
    <w:rsid w:val="46A239EF"/>
    <w:rsid w:val="46D78877"/>
    <w:rsid w:val="46E06B5B"/>
    <w:rsid w:val="46E08E63"/>
    <w:rsid w:val="474F4829"/>
    <w:rsid w:val="47FDE181"/>
    <w:rsid w:val="4820F41F"/>
    <w:rsid w:val="48E12C5A"/>
    <w:rsid w:val="4905B57C"/>
    <w:rsid w:val="49647E61"/>
    <w:rsid w:val="497556C0"/>
    <w:rsid w:val="4987DFF0"/>
    <w:rsid w:val="4A651F2B"/>
    <w:rsid w:val="4ADB0F22"/>
    <w:rsid w:val="4AE2733A"/>
    <w:rsid w:val="4B4D314C"/>
    <w:rsid w:val="4BCB297D"/>
    <w:rsid w:val="4C02560E"/>
    <w:rsid w:val="4C12EC9C"/>
    <w:rsid w:val="4C2686F9"/>
    <w:rsid w:val="4C7AC081"/>
    <w:rsid w:val="4C810666"/>
    <w:rsid w:val="4CDB67C7"/>
    <w:rsid w:val="4CDC342B"/>
    <w:rsid w:val="4D36DF31"/>
    <w:rsid w:val="4D44F8B5"/>
    <w:rsid w:val="4D921EB0"/>
    <w:rsid w:val="4E341093"/>
    <w:rsid w:val="4E4CD261"/>
    <w:rsid w:val="4E77467F"/>
    <w:rsid w:val="4EBFE2ED"/>
    <w:rsid w:val="4EF77D6F"/>
    <w:rsid w:val="4F18B89B"/>
    <w:rsid w:val="4F45B7F2"/>
    <w:rsid w:val="4F7FF735"/>
    <w:rsid w:val="4FB81A58"/>
    <w:rsid w:val="504CD9B6"/>
    <w:rsid w:val="5093C703"/>
    <w:rsid w:val="50BDC8E7"/>
    <w:rsid w:val="50DA96A5"/>
    <w:rsid w:val="50EE74BE"/>
    <w:rsid w:val="50FEAE3B"/>
    <w:rsid w:val="5194523E"/>
    <w:rsid w:val="51AFA54E"/>
    <w:rsid w:val="51C94FAE"/>
    <w:rsid w:val="51DC60AB"/>
    <w:rsid w:val="520686BC"/>
    <w:rsid w:val="5223AC14"/>
    <w:rsid w:val="523CC9B1"/>
    <w:rsid w:val="524FD56F"/>
    <w:rsid w:val="525AA28B"/>
    <w:rsid w:val="52652CD2"/>
    <w:rsid w:val="52A00EBE"/>
    <w:rsid w:val="52AE23F0"/>
    <w:rsid w:val="531E2ABB"/>
    <w:rsid w:val="53A1B8E4"/>
    <w:rsid w:val="53DA59CE"/>
    <w:rsid w:val="54828EBF"/>
    <w:rsid w:val="553EF1C1"/>
    <w:rsid w:val="556F4F4E"/>
    <w:rsid w:val="55BB1F05"/>
    <w:rsid w:val="55CDF582"/>
    <w:rsid w:val="55FA8839"/>
    <w:rsid w:val="562E1841"/>
    <w:rsid w:val="56831671"/>
    <w:rsid w:val="57D1773F"/>
    <w:rsid w:val="57F04614"/>
    <w:rsid w:val="580FD4EF"/>
    <w:rsid w:val="583F1FBF"/>
    <w:rsid w:val="58A4F2A0"/>
    <w:rsid w:val="58BE27C1"/>
    <w:rsid w:val="58E2848E"/>
    <w:rsid w:val="58E73C9F"/>
    <w:rsid w:val="58F320ED"/>
    <w:rsid w:val="5956FDA9"/>
    <w:rsid w:val="5964E788"/>
    <w:rsid w:val="597A714E"/>
    <w:rsid w:val="5996004B"/>
    <w:rsid w:val="59BD3E10"/>
    <w:rsid w:val="5A24F747"/>
    <w:rsid w:val="5A84B8F8"/>
    <w:rsid w:val="5A9CB85F"/>
    <w:rsid w:val="5AC35BA3"/>
    <w:rsid w:val="5ADD4E84"/>
    <w:rsid w:val="5B3C6318"/>
    <w:rsid w:val="5B52B26B"/>
    <w:rsid w:val="5B5BFF3A"/>
    <w:rsid w:val="5B6BEF2A"/>
    <w:rsid w:val="5BB3C316"/>
    <w:rsid w:val="5C558CF9"/>
    <w:rsid w:val="5C5D8A10"/>
    <w:rsid w:val="5CB607FC"/>
    <w:rsid w:val="5D258271"/>
    <w:rsid w:val="5DE4A9D3"/>
    <w:rsid w:val="5E5CE00D"/>
    <w:rsid w:val="5E9E36EE"/>
    <w:rsid w:val="5EDD2772"/>
    <w:rsid w:val="5F0FA5E5"/>
    <w:rsid w:val="5F3CFD34"/>
    <w:rsid w:val="5F45A106"/>
    <w:rsid w:val="5FB020C1"/>
    <w:rsid w:val="5FBAA16C"/>
    <w:rsid w:val="6010D05A"/>
    <w:rsid w:val="603590FA"/>
    <w:rsid w:val="60448CCE"/>
    <w:rsid w:val="60CE73D2"/>
    <w:rsid w:val="6104CE56"/>
    <w:rsid w:val="6192F8FB"/>
    <w:rsid w:val="61943B20"/>
    <w:rsid w:val="61CDA71B"/>
    <w:rsid w:val="6235EE95"/>
    <w:rsid w:val="624D45A5"/>
    <w:rsid w:val="62809C1B"/>
    <w:rsid w:val="62902ECB"/>
    <w:rsid w:val="629B6A04"/>
    <w:rsid w:val="62B7A57D"/>
    <w:rsid w:val="62C99C55"/>
    <w:rsid w:val="63707550"/>
    <w:rsid w:val="6376E413"/>
    <w:rsid w:val="638FF5A6"/>
    <w:rsid w:val="63B0FCF0"/>
    <w:rsid w:val="63C2D0E5"/>
    <w:rsid w:val="63D2E62E"/>
    <w:rsid w:val="63EAFC73"/>
    <w:rsid w:val="63F94D8E"/>
    <w:rsid w:val="64A8E044"/>
    <w:rsid w:val="64AA7F75"/>
    <w:rsid w:val="65003D1B"/>
    <w:rsid w:val="65AA70C9"/>
    <w:rsid w:val="6607EC14"/>
    <w:rsid w:val="661962E0"/>
    <w:rsid w:val="6630093B"/>
    <w:rsid w:val="663F24FD"/>
    <w:rsid w:val="666AEC67"/>
    <w:rsid w:val="667B9333"/>
    <w:rsid w:val="66854BD8"/>
    <w:rsid w:val="668FB082"/>
    <w:rsid w:val="66BFF407"/>
    <w:rsid w:val="67CFC90E"/>
    <w:rsid w:val="67FB32F9"/>
    <w:rsid w:val="6812849F"/>
    <w:rsid w:val="685EAE1F"/>
    <w:rsid w:val="6885B081"/>
    <w:rsid w:val="6893FD46"/>
    <w:rsid w:val="68AB3A44"/>
    <w:rsid w:val="68BB18D8"/>
    <w:rsid w:val="68C51405"/>
    <w:rsid w:val="690FA532"/>
    <w:rsid w:val="6916B1D9"/>
    <w:rsid w:val="695AFF0B"/>
    <w:rsid w:val="695FB6B8"/>
    <w:rsid w:val="69878DF0"/>
    <w:rsid w:val="69BD2373"/>
    <w:rsid w:val="69DD6818"/>
    <w:rsid w:val="69E8C6F6"/>
    <w:rsid w:val="69FBA593"/>
    <w:rsid w:val="6A8B88A8"/>
    <w:rsid w:val="6B0F6AF4"/>
    <w:rsid w:val="6B214BB8"/>
    <w:rsid w:val="6B6C0312"/>
    <w:rsid w:val="6B89E2FC"/>
    <w:rsid w:val="6BB7B9E8"/>
    <w:rsid w:val="6BF2B517"/>
    <w:rsid w:val="6C0CD7BC"/>
    <w:rsid w:val="6D1E3AC9"/>
    <w:rsid w:val="6D53DA9B"/>
    <w:rsid w:val="6DC1D648"/>
    <w:rsid w:val="6DE32268"/>
    <w:rsid w:val="6E4006B1"/>
    <w:rsid w:val="6E47F036"/>
    <w:rsid w:val="6E4F9350"/>
    <w:rsid w:val="6E5A7390"/>
    <w:rsid w:val="6E888E86"/>
    <w:rsid w:val="6E907929"/>
    <w:rsid w:val="6E931149"/>
    <w:rsid w:val="6EA88CF7"/>
    <w:rsid w:val="6EAB19F4"/>
    <w:rsid w:val="6EBCFDE1"/>
    <w:rsid w:val="6EE8141F"/>
    <w:rsid w:val="6EFA3BBA"/>
    <w:rsid w:val="6F0ECC2A"/>
    <w:rsid w:val="6F8E244B"/>
    <w:rsid w:val="6FAD59AD"/>
    <w:rsid w:val="700AD7C6"/>
    <w:rsid w:val="70119C84"/>
    <w:rsid w:val="70516C34"/>
    <w:rsid w:val="707F5E91"/>
    <w:rsid w:val="70FC9510"/>
    <w:rsid w:val="710B3E28"/>
    <w:rsid w:val="7110B4BF"/>
    <w:rsid w:val="71414C1C"/>
    <w:rsid w:val="718F3696"/>
    <w:rsid w:val="71D37C93"/>
    <w:rsid w:val="721E7798"/>
    <w:rsid w:val="722504D5"/>
    <w:rsid w:val="723B1490"/>
    <w:rsid w:val="72736E20"/>
    <w:rsid w:val="72880A13"/>
    <w:rsid w:val="733C5788"/>
    <w:rsid w:val="733C7DC7"/>
    <w:rsid w:val="737D69FC"/>
    <w:rsid w:val="73866FF5"/>
    <w:rsid w:val="73D2EB9A"/>
    <w:rsid w:val="73D61176"/>
    <w:rsid w:val="747107E5"/>
    <w:rsid w:val="747B28A1"/>
    <w:rsid w:val="747E144C"/>
    <w:rsid w:val="74C43DE9"/>
    <w:rsid w:val="74EA862D"/>
    <w:rsid w:val="74ECA950"/>
    <w:rsid w:val="75264CE9"/>
    <w:rsid w:val="75301C26"/>
    <w:rsid w:val="75638F73"/>
    <w:rsid w:val="757CB9A5"/>
    <w:rsid w:val="75A80A81"/>
    <w:rsid w:val="7626015F"/>
    <w:rsid w:val="76722476"/>
    <w:rsid w:val="77715351"/>
    <w:rsid w:val="77BE7E01"/>
    <w:rsid w:val="780F9892"/>
    <w:rsid w:val="782A7E25"/>
    <w:rsid w:val="785AF3B7"/>
    <w:rsid w:val="786A306F"/>
    <w:rsid w:val="78722D97"/>
    <w:rsid w:val="7875CE08"/>
    <w:rsid w:val="789DEBD7"/>
    <w:rsid w:val="78C21C86"/>
    <w:rsid w:val="78FD5F01"/>
    <w:rsid w:val="7903E3E2"/>
    <w:rsid w:val="79311551"/>
    <w:rsid w:val="7951C105"/>
    <w:rsid w:val="79BE17CD"/>
    <w:rsid w:val="79FB69E8"/>
    <w:rsid w:val="7A2E6AF0"/>
    <w:rsid w:val="7A52E836"/>
    <w:rsid w:val="7B492A40"/>
    <w:rsid w:val="7B6F2B1C"/>
    <w:rsid w:val="7B74D8BB"/>
    <w:rsid w:val="7BA46F24"/>
    <w:rsid w:val="7BB46031"/>
    <w:rsid w:val="7BCB5A5C"/>
    <w:rsid w:val="7BFBBEF9"/>
    <w:rsid w:val="7CA44406"/>
    <w:rsid w:val="7CAE9BCF"/>
    <w:rsid w:val="7D6B97DF"/>
    <w:rsid w:val="7DB9FCA1"/>
    <w:rsid w:val="7DE3059E"/>
    <w:rsid w:val="7EC37D4B"/>
    <w:rsid w:val="7EFDF72C"/>
    <w:rsid w:val="7F87E5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9" style="mso-position-horizontal-relative:margin;mso-width-relative:margin;mso-height-relative:margin;v-text-anchor:middle" fillcolor="none [664]" stroke="f">
      <v:fill color="none [664]"/>
      <v:stroke weight="1pt" on="f"/>
    </o:shapedefaults>
    <o:shapelayout v:ext="edit">
      <o:idmap v:ext="edit" data="2"/>
    </o:shapelayout>
  </w:shapeDefaults>
  <w:decimalSymbol w:val=","/>
  <w:listSeparator w:val=";"/>
  <w14:docId w14:val="7828F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AB2"/>
    <w:pPr>
      <w:jc w:val="both"/>
    </w:pPr>
    <w:rPr>
      <w:rFonts w:ascii="EC Square Sans Pro" w:hAnsi="EC Square Sans Pro"/>
      <w:szCs w:val="24"/>
    </w:rPr>
  </w:style>
  <w:style w:type="paragraph" w:styleId="Heading1">
    <w:name w:val="heading 1"/>
    <w:basedOn w:val="Normal"/>
    <w:next w:val="Normal"/>
    <w:link w:val="Heading1Char"/>
    <w:autoRedefine/>
    <w:uiPriority w:val="9"/>
    <w:qFormat/>
    <w:rsid w:val="00A06243"/>
    <w:pPr>
      <w:keepNext/>
      <w:keepLines/>
      <w:numPr>
        <w:numId w:val="2"/>
      </w:numPr>
      <w:spacing w:before="360" w:after="240"/>
      <w:ind w:left="454" w:hanging="454"/>
      <w:jc w:val="left"/>
      <w:outlineLvl w:val="0"/>
    </w:pPr>
    <w:rPr>
      <w:rFonts w:ascii="Times New Roman" w:eastAsiaTheme="majorEastAsia" w:hAnsi="Times New Roman" w:cstheme="majorBidi"/>
      <w:b/>
      <w:caps/>
      <w:noProof/>
      <w:color w:val="00ADDC" w:themeColor="accent2"/>
      <w:sz w:val="36"/>
      <w:szCs w:val="36"/>
    </w:rPr>
  </w:style>
  <w:style w:type="paragraph" w:styleId="Heading2">
    <w:name w:val="heading 2"/>
    <w:basedOn w:val="Normal"/>
    <w:next w:val="Normal"/>
    <w:link w:val="Heading2Char"/>
    <w:autoRedefine/>
    <w:uiPriority w:val="9"/>
    <w:unhideWhenUsed/>
    <w:qFormat/>
    <w:rsid w:val="006260B2"/>
    <w:pPr>
      <w:keepNext/>
      <w:keepLines/>
      <w:numPr>
        <w:ilvl w:val="1"/>
        <w:numId w:val="2"/>
      </w:numPr>
      <w:spacing w:before="360" w:after="240" w:line="240" w:lineRule="auto"/>
      <w:ind w:left="491" w:hanging="491"/>
      <w:outlineLvl w:val="1"/>
    </w:pPr>
    <w:rPr>
      <w:rFonts w:ascii="Times New Roman" w:eastAsiaTheme="majorEastAsia" w:hAnsi="Times New Roman" w:cstheme="majorBidi"/>
      <w:b/>
      <w:bCs/>
      <w:color w:val="00ADDC" w:themeColor="accent2"/>
      <w:sz w:val="28"/>
      <w:szCs w:val="28"/>
    </w:rPr>
  </w:style>
  <w:style w:type="paragraph" w:styleId="Heading3">
    <w:name w:val="heading 3"/>
    <w:basedOn w:val="Normal"/>
    <w:next w:val="Normal"/>
    <w:link w:val="Heading3Char"/>
    <w:uiPriority w:val="9"/>
    <w:unhideWhenUsed/>
    <w:qFormat/>
    <w:rsid w:val="00302172"/>
    <w:pPr>
      <w:keepNext/>
      <w:keepLines/>
      <w:numPr>
        <w:ilvl w:val="2"/>
        <w:numId w:val="48"/>
      </w:numPr>
      <w:spacing w:before="200" w:after="0"/>
      <w:outlineLvl w:val="2"/>
    </w:pPr>
    <w:rPr>
      <w:rFonts w:eastAsiaTheme="majorEastAsia" w:cstheme="majorBidi"/>
      <w:b/>
      <w:bCs/>
      <w:color w:val="000000" w:themeColor="text1"/>
      <w:szCs w:val="22"/>
    </w:rPr>
  </w:style>
  <w:style w:type="paragraph" w:styleId="Heading4">
    <w:name w:val="heading 4"/>
    <w:basedOn w:val="Normal"/>
    <w:next w:val="Normal"/>
    <w:link w:val="Heading4Char"/>
    <w:uiPriority w:val="9"/>
    <w:semiHidden/>
    <w:unhideWhenUsed/>
    <w:qFormat/>
    <w:rsid w:val="00302172"/>
    <w:pPr>
      <w:keepNext/>
      <w:keepLines/>
      <w:numPr>
        <w:ilvl w:val="3"/>
        <w:numId w:val="48"/>
      </w:numPr>
      <w:spacing w:before="200" w:after="0"/>
      <w:outlineLvl w:val="3"/>
    </w:pPr>
    <w:rPr>
      <w:rFonts w:eastAsiaTheme="majorEastAsia" w:cstheme="majorBidi"/>
      <w:b/>
      <w:bCs/>
      <w:i/>
      <w:iCs/>
      <w:color w:val="000000" w:themeColor="text1"/>
      <w:szCs w:val="22"/>
    </w:rPr>
  </w:style>
  <w:style w:type="paragraph" w:styleId="Heading5">
    <w:name w:val="heading 5"/>
    <w:basedOn w:val="Normal"/>
    <w:next w:val="Normal"/>
    <w:link w:val="Heading5Char"/>
    <w:uiPriority w:val="9"/>
    <w:semiHidden/>
    <w:unhideWhenUsed/>
    <w:qFormat/>
    <w:rsid w:val="00302172"/>
    <w:pPr>
      <w:keepNext/>
      <w:keepLines/>
      <w:numPr>
        <w:ilvl w:val="4"/>
        <w:numId w:val="48"/>
      </w:numPr>
      <w:spacing w:before="200" w:after="0"/>
      <w:outlineLvl w:val="4"/>
    </w:pPr>
    <w:rPr>
      <w:rFonts w:eastAsiaTheme="majorEastAsia" w:cstheme="majorBidi"/>
      <w:color w:val="17365D" w:themeColor="text2" w:themeShade="BF"/>
      <w:szCs w:val="22"/>
    </w:rPr>
  </w:style>
  <w:style w:type="paragraph" w:styleId="Heading6">
    <w:name w:val="heading 6"/>
    <w:basedOn w:val="Normal"/>
    <w:next w:val="Normal"/>
    <w:link w:val="Heading6Char"/>
    <w:uiPriority w:val="9"/>
    <w:semiHidden/>
    <w:unhideWhenUsed/>
    <w:qFormat/>
    <w:rsid w:val="00302172"/>
    <w:pPr>
      <w:keepNext/>
      <w:keepLines/>
      <w:numPr>
        <w:ilvl w:val="5"/>
        <w:numId w:val="48"/>
      </w:numPr>
      <w:spacing w:before="200" w:after="0"/>
      <w:outlineLvl w:val="5"/>
    </w:pPr>
    <w:rPr>
      <w:rFonts w:eastAsiaTheme="majorEastAsia" w:cstheme="majorBidi"/>
      <w:i/>
      <w:iCs/>
      <w:color w:val="17365D" w:themeColor="text2" w:themeShade="BF"/>
      <w:szCs w:val="22"/>
    </w:rPr>
  </w:style>
  <w:style w:type="paragraph" w:styleId="Heading7">
    <w:name w:val="heading 7"/>
    <w:basedOn w:val="Normal"/>
    <w:next w:val="Normal"/>
    <w:link w:val="Heading7Char"/>
    <w:uiPriority w:val="9"/>
    <w:semiHidden/>
    <w:unhideWhenUsed/>
    <w:qFormat/>
    <w:rsid w:val="00302172"/>
    <w:pPr>
      <w:keepNext/>
      <w:keepLines/>
      <w:numPr>
        <w:ilvl w:val="6"/>
        <w:numId w:val="48"/>
      </w:numPr>
      <w:spacing w:before="200" w:after="0"/>
      <w:outlineLvl w:val="6"/>
    </w:pPr>
    <w:rPr>
      <w:rFonts w:eastAsiaTheme="majorEastAsia" w:cstheme="majorBidi"/>
      <w:i/>
      <w:iCs/>
      <w:color w:val="404040" w:themeColor="text1" w:themeTint="BF"/>
      <w:szCs w:val="22"/>
    </w:rPr>
  </w:style>
  <w:style w:type="paragraph" w:styleId="Heading8">
    <w:name w:val="heading 8"/>
    <w:basedOn w:val="Normal"/>
    <w:next w:val="Normal"/>
    <w:link w:val="Heading8Char"/>
    <w:uiPriority w:val="9"/>
    <w:semiHidden/>
    <w:unhideWhenUsed/>
    <w:qFormat/>
    <w:rsid w:val="00302172"/>
    <w:pPr>
      <w:keepNext/>
      <w:keepLines/>
      <w:numPr>
        <w:ilvl w:val="7"/>
        <w:numId w:val="48"/>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2172"/>
    <w:pPr>
      <w:keepNext/>
      <w:keepLines/>
      <w:numPr>
        <w:ilvl w:val="8"/>
        <w:numId w:val="48"/>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B54742"/>
    <w:rPr>
      <w:color w:val="0000FF"/>
      <w:shd w:val="clear" w:color="auto" w:fill="auto"/>
    </w:rPr>
  </w:style>
  <w:style w:type="paragraph" w:styleId="Header">
    <w:name w:val="header"/>
    <w:basedOn w:val="Normal"/>
    <w:link w:val="HeaderChar"/>
    <w:autoRedefine/>
    <w:uiPriority w:val="99"/>
    <w:unhideWhenUsed/>
    <w:qFormat/>
    <w:rsid w:val="00302172"/>
    <w:pPr>
      <w:tabs>
        <w:tab w:val="center" w:pos="4513"/>
        <w:tab w:val="right" w:pos="9026"/>
      </w:tabs>
      <w:spacing w:after="0" w:line="240" w:lineRule="auto"/>
      <w:jc w:val="right"/>
    </w:pPr>
    <w:rPr>
      <w:i/>
      <w:sz w:val="18"/>
      <w:szCs w:val="22"/>
    </w:rPr>
  </w:style>
  <w:style w:type="character" w:customStyle="1" w:styleId="HeaderChar">
    <w:name w:val="Header Char"/>
    <w:basedOn w:val="DefaultParagraphFont"/>
    <w:link w:val="Header"/>
    <w:uiPriority w:val="99"/>
    <w:rsid w:val="00302172"/>
    <w:rPr>
      <w:rFonts w:ascii="EC Square Sans Pro" w:hAnsi="EC Square Sans Pro"/>
      <w:i/>
      <w:sz w:val="18"/>
    </w:rPr>
  </w:style>
  <w:style w:type="paragraph" w:styleId="Footer">
    <w:name w:val="footer"/>
    <w:basedOn w:val="Normal"/>
    <w:link w:val="FooterChar"/>
    <w:uiPriority w:val="99"/>
    <w:unhideWhenUsed/>
    <w:rsid w:val="00B54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742"/>
  </w:style>
  <w:style w:type="paragraph" w:customStyle="1" w:styleId="Pagedecouverture">
    <w:name w:val="Page de couverture"/>
    <w:basedOn w:val="Normal"/>
    <w:next w:val="Normal"/>
    <w:rsid w:val="00B54742"/>
    <w:pPr>
      <w:spacing w:after="0" w:line="240" w:lineRule="auto"/>
    </w:pPr>
    <w:rPr>
      <w:rFonts w:ascii="Times New Roman" w:hAnsi="Times New Roman" w:cs="Times New Roman"/>
      <w:sz w:val="24"/>
    </w:rPr>
  </w:style>
  <w:style w:type="paragraph" w:customStyle="1" w:styleId="FooterCoverPage">
    <w:name w:val="Footer Cover Page"/>
    <w:basedOn w:val="Normal"/>
    <w:link w:val="FooterCoverPageChar"/>
    <w:rsid w:val="00B54742"/>
    <w:pPr>
      <w:tabs>
        <w:tab w:val="center" w:pos="4535"/>
        <w:tab w:val="right" w:pos="9071"/>
        <w:tab w:val="right" w:pos="9921"/>
      </w:tabs>
      <w:spacing w:before="360" w:after="0" w:line="240" w:lineRule="auto"/>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sid w:val="00B54742"/>
    <w:rPr>
      <w:rFonts w:ascii="Times New Roman" w:hAnsi="Times New Roman" w:cs="Times New Roman"/>
      <w:sz w:val="24"/>
      <w:szCs w:val="24"/>
    </w:rPr>
  </w:style>
  <w:style w:type="paragraph" w:customStyle="1" w:styleId="FooterSensitivity">
    <w:name w:val="Footer Sensitivity"/>
    <w:basedOn w:val="Normal"/>
    <w:link w:val="FooterSensitivityChar"/>
    <w:rsid w:val="00B54742"/>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B54742"/>
    <w:rPr>
      <w:rFonts w:ascii="Times New Roman" w:hAnsi="Times New Roman" w:cs="Times New Roman"/>
      <w:b/>
      <w:sz w:val="32"/>
      <w:szCs w:val="24"/>
    </w:rPr>
  </w:style>
  <w:style w:type="paragraph" w:customStyle="1" w:styleId="HeaderCoverPage">
    <w:name w:val="Header Cover Page"/>
    <w:basedOn w:val="Normal"/>
    <w:link w:val="HeaderCoverPageChar"/>
    <w:rsid w:val="00B54742"/>
    <w:pPr>
      <w:tabs>
        <w:tab w:val="center" w:pos="4535"/>
        <w:tab w:val="right" w:pos="9071"/>
      </w:tabs>
      <w:spacing w:after="120" w:line="240" w:lineRule="auto"/>
    </w:pPr>
    <w:rPr>
      <w:rFonts w:ascii="Times New Roman" w:hAnsi="Times New Roman" w:cs="Times New Roman"/>
      <w:sz w:val="24"/>
    </w:rPr>
  </w:style>
  <w:style w:type="character" w:customStyle="1" w:styleId="HeaderCoverPageChar">
    <w:name w:val="Header Cover Page Char"/>
    <w:basedOn w:val="DefaultParagraphFont"/>
    <w:link w:val="HeaderCoverPage"/>
    <w:rsid w:val="00B54742"/>
    <w:rPr>
      <w:rFonts w:ascii="Times New Roman" w:hAnsi="Times New Roman" w:cs="Times New Roman"/>
      <w:sz w:val="24"/>
      <w:szCs w:val="24"/>
    </w:rPr>
  </w:style>
  <w:style w:type="paragraph" w:customStyle="1" w:styleId="HeaderSensitivity">
    <w:name w:val="Header Sensitivity"/>
    <w:basedOn w:val="Normal"/>
    <w:link w:val="HeaderSensitivityChar"/>
    <w:rsid w:val="00B54742"/>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B54742"/>
    <w:rPr>
      <w:rFonts w:ascii="Times New Roman" w:hAnsi="Times New Roman" w:cs="Times New Roman"/>
      <w:b/>
      <w:sz w:val="32"/>
      <w:szCs w:val="24"/>
    </w:rPr>
  </w:style>
  <w:style w:type="paragraph" w:customStyle="1" w:styleId="HeaderSensitivityRight">
    <w:name w:val="Header Sensitivity Right"/>
    <w:basedOn w:val="Normal"/>
    <w:link w:val="HeaderSensitivityRightChar"/>
    <w:rsid w:val="00B54742"/>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B54742"/>
    <w:rPr>
      <w:rFonts w:ascii="Times New Roman" w:hAnsi="Times New Roman" w:cs="Times New Roman"/>
      <w:sz w:val="28"/>
      <w:szCs w:val="24"/>
    </w:rPr>
  </w:style>
  <w:style w:type="paragraph" w:styleId="ListParagraph">
    <w:name w:val="List Paragraph"/>
    <w:aliases w:val="Fiche List Paragraph,OBC Bullet,Dot pt,F5 List Paragraph,List Paragraph1,No Spacing1,List Paragraph Char Char Char,Indicator Text,Colorful List - Accent 11,Numbered Para 1,Bullet 1,Bullet Points,MAIN CONTENT,List Paragraph11,2,Bullet St,L"/>
    <w:basedOn w:val="Normal"/>
    <w:link w:val="ListParagraphChar"/>
    <w:autoRedefine/>
    <w:uiPriority w:val="34"/>
    <w:qFormat/>
    <w:rsid w:val="006260B2"/>
    <w:pPr>
      <w:numPr>
        <w:numId w:val="15"/>
      </w:numPr>
      <w:spacing w:after="80" w:line="240" w:lineRule="auto"/>
      <w:ind w:left="714" w:right="57" w:hanging="357"/>
    </w:pPr>
    <w:rPr>
      <w:rFonts w:ascii="Times New Roman" w:hAnsi="Times New Roman" w:cs="Times New Roman"/>
      <w:sz w:val="24"/>
      <w:szCs w:val="22"/>
    </w:rPr>
  </w:style>
  <w:style w:type="character" w:customStyle="1" w:styleId="Heading1Char">
    <w:name w:val="Heading 1 Char"/>
    <w:basedOn w:val="DefaultParagraphFont"/>
    <w:link w:val="Heading1"/>
    <w:uiPriority w:val="9"/>
    <w:rsid w:val="00A06243"/>
    <w:rPr>
      <w:rFonts w:ascii="Times New Roman" w:eastAsiaTheme="majorEastAsia" w:hAnsi="Times New Roman" w:cstheme="majorBidi"/>
      <w:b/>
      <w:caps/>
      <w:noProof/>
      <w:color w:val="00ADDC" w:themeColor="accent2"/>
      <w:sz w:val="36"/>
      <w:szCs w:val="36"/>
    </w:rPr>
  </w:style>
  <w:style w:type="character" w:customStyle="1" w:styleId="Heading2Char">
    <w:name w:val="Heading 2 Char"/>
    <w:basedOn w:val="DefaultParagraphFont"/>
    <w:link w:val="Heading2"/>
    <w:uiPriority w:val="9"/>
    <w:rsid w:val="00B36950"/>
    <w:rPr>
      <w:rFonts w:ascii="Times New Roman" w:eastAsiaTheme="majorEastAsia" w:hAnsi="Times New Roman" w:cstheme="majorBidi"/>
      <w:b/>
      <w:bCs/>
      <w:color w:val="00ADDC" w:themeColor="accent2"/>
      <w:sz w:val="28"/>
      <w:szCs w:val="28"/>
      <w:lang w:val="bg-BG"/>
    </w:rPr>
  </w:style>
  <w:style w:type="paragraph" w:styleId="CommentText">
    <w:name w:val="annotation text"/>
    <w:basedOn w:val="Normal"/>
    <w:link w:val="CommentTextChar"/>
    <w:uiPriority w:val="99"/>
    <w:unhideWhenUsed/>
    <w:rsid w:val="003603EB"/>
    <w:pPr>
      <w:spacing w:line="240" w:lineRule="auto"/>
    </w:pPr>
    <w:rPr>
      <w:sz w:val="20"/>
      <w:szCs w:val="20"/>
    </w:rPr>
  </w:style>
  <w:style w:type="character" w:customStyle="1" w:styleId="CommentTextChar">
    <w:name w:val="Comment Text Char"/>
    <w:basedOn w:val="DefaultParagraphFont"/>
    <w:link w:val="CommentText"/>
    <w:uiPriority w:val="99"/>
    <w:rsid w:val="003603EB"/>
    <w:rPr>
      <w:sz w:val="20"/>
      <w:szCs w:val="20"/>
    </w:rPr>
  </w:style>
  <w:style w:type="paragraph" w:styleId="FootnoteText">
    <w:name w:val="footnote text"/>
    <w:basedOn w:val="Normal"/>
    <w:link w:val="FootnoteTextChar"/>
    <w:uiPriority w:val="99"/>
    <w:unhideWhenUsed/>
    <w:rsid w:val="00DE4A7D"/>
    <w:pPr>
      <w:spacing w:after="0" w:line="240" w:lineRule="auto"/>
    </w:pPr>
    <w:rPr>
      <w:sz w:val="20"/>
      <w:szCs w:val="20"/>
    </w:rPr>
  </w:style>
  <w:style w:type="character" w:customStyle="1" w:styleId="FootnoteTextChar">
    <w:name w:val="Footnote Text Char"/>
    <w:basedOn w:val="DefaultParagraphFont"/>
    <w:link w:val="FootnoteText"/>
    <w:uiPriority w:val="99"/>
    <w:rsid w:val="00DE4A7D"/>
    <w:rPr>
      <w:rFonts w:ascii="EC Square Sans Pro" w:hAnsi="EC Square Sans Pro"/>
      <w:sz w:val="20"/>
      <w:szCs w:val="20"/>
    </w:rPr>
  </w:style>
  <w:style w:type="character" w:styleId="CommentReference">
    <w:name w:val="annotation reference"/>
    <w:basedOn w:val="DefaultParagraphFont"/>
    <w:uiPriority w:val="99"/>
    <w:semiHidden/>
    <w:unhideWhenUsed/>
    <w:rsid w:val="003603EB"/>
    <w:rPr>
      <w:sz w:val="16"/>
      <w:szCs w:val="16"/>
    </w:rPr>
  </w:style>
  <w:style w:type="character" w:styleId="FootnoteReference">
    <w:name w:val="footnote reference"/>
    <w:basedOn w:val="DefaultParagraphFont"/>
    <w:uiPriority w:val="99"/>
    <w:semiHidden/>
    <w:unhideWhenUsed/>
    <w:rsid w:val="003603EB"/>
    <w:rPr>
      <w:vertAlign w:val="superscript"/>
    </w:rPr>
  </w:style>
  <w:style w:type="paragraph" w:styleId="CommentSubject">
    <w:name w:val="annotation subject"/>
    <w:basedOn w:val="CommentText"/>
    <w:next w:val="CommentText"/>
    <w:link w:val="CommentSubjectChar"/>
    <w:uiPriority w:val="99"/>
    <w:semiHidden/>
    <w:unhideWhenUsed/>
    <w:rsid w:val="008274C6"/>
    <w:rPr>
      <w:b/>
      <w:bCs/>
    </w:rPr>
  </w:style>
  <w:style w:type="character" w:customStyle="1" w:styleId="CommentSubjectChar">
    <w:name w:val="Comment Subject Char"/>
    <w:basedOn w:val="CommentTextChar"/>
    <w:link w:val="CommentSubject"/>
    <w:uiPriority w:val="99"/>
    <w:semiHidden/>
    <w:rsid w:val="008274C6"/>
    <w:rPr>
      <w:b/>
      <w:bCs/>
      <w:sz w:val="20"/>
      <w:szCs w:val="20"/>
    </w:rPr>
  </w:style>
  <w:style w:type="table" w:styleId="TableGrid">
    <w:name w:val="Table Grid"/>
    <w:basedOn w:val="TableNormal"/>
    <w:uiPriority w:val="39"/>
    <w:rsid w:val="0017277F"/>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7277F"/>
  </w:style>
  <w:style w:type="character" w:customStyle="1" w:styleId="eop">
    <w:name w:val="eop"/>
    <w:basedOn w:val="DefaultParagraphFont"/>
    <w:rsid w:val="0017277F"/>
  </w:style>
  <w:style w:type="character" w:customStyle="1" w:styleId="ListParagraphChar">
    <w:name w:val="List Paragraph Char"/>
    <w:aliases w:val="Fiche List Paragraph Char,OBC Bullet Char,Dot pt Char,F5 List Paragraph Char,List Paragraph1 Char,No Spacing1 Char,List Paragraph Char Char Char Char,Indicator Text Char,Colorful List - Accent 11 Char,Numbered Para 1 Char,2 Char"/>
    <w:basedOn w:val="DefaultParagraphFont"/>
    <w:link w:val="ListParagraph"/>
    <w:uiPriority w:val="34"/>
    <w:qFormat/>
    <w:rsid w:val="004E1DBA"/>
    <w:rPr>
      <w:rFonts w:ascii="Times New Roman" w:hAnsi="Times New Roman" w:cs="Times New Roman"/>
      <w:sz w:val="24"/>
      <w:lang w:val="bg-BG"/>
    </w:rPr>
  </w:style>
  <w:style w:type="paragraph" w:customStyle="1" w:styleId="paragraph">
    <w:name w:val="paragraph"/>
    <w:basedOn w:val="Normal"/>
    <w:rsid w:val="00C4723B"/>
    <w:pPr>
      <w:spacing w:before="100" w:beforeAutospacing="1" w:after="100" w:afterAutospacing="1" w:line="240" w:lineRule="auto"/>
    </w:pPr>
    <w:rPr>
      <w:rFonts w:ascii="Times New Roman" w:eastAsia="Times New Roman" w:hAnsi="Times New Roman" w:cs="Times New Roman"/>
      <w:sz w:val="24"/>
      <w:lang w:eastAsia="en-IE"/>
    </w:rPr>
  </w:style>
  <w:style w:type="paragraph" w:styleId="Revision">
    <w:name w:val="Revision"/>
    <w:hidden/>
    <w:uiPriority w:val="99"/>
    <w:semiHidden/>
    <w:rsid w:val="005B68A2"/>
    <w:pPr>
      <w:spacing w:after="0" w:line="240" w:lineRule="auto"/>
    </w:pPr>
  </w:style>
  <w:style w:type="character" w:customStyle="1" w:styleId="Mention1">
    <w:name w:val="Mention1"/>
    <w:basedOn w:val="DefaultParagraphFont"/>
    <w:uiPriority w:val="99"/>
    <w:unhideWhenUsed/>
    <w:rsid w:val="00A83504"/>
    <w:rPr>
      <w:color w:val="2B579A"/>
      <w:shd w:val="clear" w:color="auto" w:fill="E1DFDD"/>
    </w:rPr>
  </w:style>
  <w:style w:type="character" w:styleId="Hyperlink">
    <w:name w:val="Hyperlink"/>
    <w:basedOn w:val="DefaultParagraphFont"/>
    <w:uiPriority w:val="99"/>
    <w:unhideWhenUsed/>
    <w:rsid w:val="007B3E2F"/>
    <w:rPr>
      <w:color w:val="0000FF" w:themeColor="hyperlink"/>
      <w:u w:val="single"/>
    </w:rPr>
  </w:style>
  <w:style w:type="character" w:customStyle="1" w:styleId="UnresolvedMention1">
    <w:name w:val="Unresolved Mention1"/>
    <w:basedOn w:val="DefaultParagraphFont"/>
    <w:uiPriority w:val="99"/>
    <w:semiHidden/>
    <w:unhideWhenUsed/>
    <w:rsid w:val="00E22433"/>
    <w:rPr>
      <w:color w:val="605E5C"/>
      <w:shd w:val="clear" w:color="auto" w:fill="E1DFDD"/>
    </w:rPr>
  </w:style>
  <w:style w:type="paragraph" w:customStyle="1" w:styleId="pf0">
    <w:name w:val="pf0"/>
    <w:basedOn w:val="Normal"/>
    <w:rsid w:val="002E727D"/>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cf01">
    <w:name w:val="cf01"/>
    <w:basedOn w:val="DefaultParagraphFont"/>
    <w:rsid w:val="00B22E6D"/>
    <w:rPr>
      <w:rFonts w:ascii="Segoe UI" w:hAnsi="Segoe UI" w:cs="Segoe UI" w:hint="default"/>
      <w:sz w:val="22"/>
      <w:szCs w:val="22"/>
    </w:rPr>
  </w:style>
  <w:style w:type="character" w:customStyle="1" w:styleId="cf11">
    <w:name w:val="cf11"/>
    <w:basedOn w:val="DefaultParagraphFont"/>
    <w:rsid w:val="00B22E6D"/>
    <w:rPr>
      <w:rFonts w:ascii="Segoe UI" w:hAnsi="Segoe UI" w:cs="Segoe UI" w:hint="default"/>
      <w:sz w:val="22"/>
      <w:szCs w:val="22"/>
    </w:rPr>
  </w:style>
  <w:style w:type="character" w:customStyle="1" w:styleId="cf21">
    <w:name w:val="cf21"/>
    <w:basedOn w:val="DefaultParagraphFont"/>
    <w:rsid w:val="00B22E6D"/>
    <w:rPr>
      <w:rFonts w:ascii="Segoe UI" w:hAnsi="Segoe UI" w:cs="Segoe UI" w:hint="default"/>
      <w:sz w:val="22"/>
      <w:szCs w:val="22"/>
      <w:shd w:val="clear" w:color="auto" w:fill="FFFF00"/>
    </w:rPr>
  </w:style>
  <w:style w:type="paragraph" w:customStyle="1" w:styleId="Disclaimer">
    <w:name w:val="Disclaimer"/>
    <w:basedOn w:val="Normal"/>
    <w:rsid w:val="00C273FE"/>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pPr>
    <w:rPr>
      <w:rFonts w:ascii="Times New Roman" w:hAnsi="Times New Roman" w:cs="Times New Roman"/>
      <w:sz w:val="24"/>
    </w:rPr>
  </w:style>
  <w:style w:type="paragraph" w:customStyle="1" w:styleId="SecurityMarking">
    <w:name w:val="SecurityMarking"/>
    <w:basedOn w:val="Normal"/>
    <w:rsid w:val="00C273FE"/>
    <w:pPr>
      <w:spacing w:after="0" w:line="276" w:lineRule="auto"/>
      <w:ind w:left="5103"/>
    </w:pPr>
    <w:rPr>
      <w:rFonts w:ascii="Times New Roman" w:hAnsi="Times New Roman" w:cs="Times New Roman"/>
      <w:sz w:val="28"/>
    </w:rPr>
  </w:style>
  <w:style w:type="paragraph" w:customStyle="1" w:styleId="DateMarking">
    <w:name w:val="DateMarking"/>
    <w:basedOn w:val="Normal"/>
    <w:rsid w:val="00C273FE"/>
    <w:pPr>
      <w:spacing w:after="0" w:line="276" w:lineRule="auto"/>
      <w:ind w:left="5103"/>
    </w:pPr>
    <w:rPr>
      <w:rFonts w:ascii="Times New Roman" w:hAnsi="Times New Roman" w:cs="Times New Roman"/>
      <w:i/>
      <w:sz w:val="28"/>
    </w:rPr>
  </w:style>
  <w:style w:type="paragraph" w:customStyle="1" w:styleId="ReleasableTo">
    <w:name w:val="ReleasableTo"/>
    <w:basedOn w:val="Normal"/>
    <w:rsid w:val="00C273FE"/>
    <w:pPr>
      <w:spacing w:after="0" w:line="276" w:lineRule="auto"/>
      <w:ind w:left="5103"/>
    </w:pPr>
    <w:rPr>
      <w:rFonts w:ascii="Times New Roman" w:hAnsi="Times New Roman" w:cs="Times New Roman"/>
      <w:i/>
      <w:sz w:val="28"/>
    </w:rPr>
  </w:style>
  <w:style w:type="paragraph" w:customStyle="1" w:styleId="Text1">
    <w:name w:val="Text 1"/>
    <w:basedOn w:val="Normal"/>
    <w:uiPriority w:val="1"/>
    <w:qFormat/>
    <w:rsid w:val="00302172"/>
    <w:pPr>
      <w:spacing w:after="240" w:line="240" w:lineRule="auto"/>
      <w:ind w:left="482"/>
    </w:pPr>
    <w:rPr>
      <w:rFonts w:eastAsia="Times New Roman" w:cs="Times New Roman"/>
      <w:szCs w:val="20"/>
      <w:lang w:eastAsia="en-GB"/>
    </w:rPr>
  </w:style>
  <w:style w:type="paragraph" w:customStyle="1" w:styleId="Style1">
    <w:name w:val="Style1"/>
    <w:basedOn w:val="Heading1"/>
    <w:autoRedefine/>
    <w:qFormat/>
    <w:rsid w:val="00302172"/>
    <w:pPr>
      <w:numPr>
        <w:numId w:val="0"/>
      </w:numPr>
      <w:spacing w:before="0" w:after="0"/>
      <w:jc w:val="right"/>
    </w:pPr>
    <w:rPr>
      <w:i/>
      <w:caps w:val="0"/>
      <w:sz w:val="18"/>
    </w:rPr>
  </w:style>
  <w:style w:type="paragraph" w:customStyle="1" w:styleId="Annexes">
    <w:name w:val="Annexes"/>
    <w:basedOn w:val="Heading1"/>
    <w:autoRedefine/>
    <w:qFormat/>
    <w:rsid w:val="000B5CE0"/>
    <w:pPr>
      <w:numPr>
        <w:numId w:val="0"/>
      </w:numPr>
    </w:pPr>
  </w:style>
  <w:style w:type="paragraph" w:customStyle="1" w:styleId="TitleGuidelines">
    <w:name w:val="Title Guidelines"/>
    <w:basedOn w:val="Normal"/>
    <w:qFormat/>
    <w:rsid w:val="00302172"/>
    <w:rPr>
      <w:rFonts w:cs="Times New Roman"/>
      <w:b/>
      <w:bCs/>
      <w:color w:val="948A54" w:themeColor="background2" w:themeShade="80"/>
      <w:sz w:val="28"/>
      <w:szCs w:val="28"/>
    </w:rPr>
  </w:style>
  <w:style w:type="paragraph" w:customStyle="1" w:styleId="Covertitle">
    <w:name w:val="Cover title"/>
    <w:basedOn w:val="Normal"/>
    <w:qFormat/>
    <w:rsid w:val="00302172"/>
    <w:pPr>
      <w:suppressAutoHyphens/>
      <w:spacing w:line="192" w:lineRule="auto"/>
      <w:ind w:left="3828" w:right="-995"/>
      <w:jc w:val="left"/>
    </w:pPr>
    <w:rPr>
      <w:rFonts w:ascii="EC Square Sans Cond Pro Medium" w:hAnsi="EC Square Sans Cond Pro Medium" w:cs="Times New Roman"/>
      <w:caps/>
      <w:color w:val="FFC000"/>
      <w:sz w:val="68"/>
      <w:szCs w:val="68"/>
    </w:rPr>
  </w:style>
  <w:style w:type="paragraph" w:customStyle="1" w:styleId="Paragraphedelisteindent">
    <w:name w:val="Paragraphe de liste indent"/>
    <w:basedOn w:val="ListParagraph"/>
    <w:qFormat/>
    <w:rsid w:val="00302172"/>
    <w:pPr>
      <w:numPr>
        <w:numId w:val="0"/>
      </w:numPr>
      <w:ind w:left="1134"/>
    </w:pPr>
    <w:rPr>
      <w:i/>
    </w:rPr>
  </w:style>
  <w:style w:type="paragraph" w:customStyle="1" w:styleId="Paragraphedelistebullets">
    <w:name w:val="Paragraphe de liste bullets"/>
    <w:basedOn w:val="ListParagraph"/>
    <w:qFormat/>
    <w:rsid w:val="006260B2"/>
    <w:pPr>
      <w:numPr>
        <w:numId w:val="36"/>
      </w:numPr>
      <w:spacing w:after="120"/>
      <w:ind w:left="317" w:hanging="241"/>
      <w:jc w:val="left"/>
    </w:pPr>
    <w:rPr>
      <w:szCs w:val="20"/>
    </w:rPr>
  </w:style>
  <w:style w:type="paragraph" w:customStyle="1" w:styleId="Title2nonumbers">
    <w:name w:val="Title 2 no numbers"/>
    <w:basedOn w:val="Heading2"/>
    <w:qFormat/>
    <w:rsid w:val="00302172"/>
    <w:pPr>
      <w:numPr>
        <w:ilvl w:val="0"/>
        <w:numId w:val="0"/>
      </w:numPr>
    </w:pPr>
  </w:style>
  <w:style w:type="paragraph" w:customStyle="1" w:styleId="Coversubtitle">
    <w:name w:val="Cover subtitle"/>
    <w:basedOn w:val="Normal"/>
    <w:qFormat/>
    <w:rsid w:val="00302172"/>
    <w:pPr>
      <w:ind w:left="3828" w:right="-995"/>
      <w:jc w:val="left"/>
    </w:pPr>
    <w:rPr>
      <w:rFonts w:ascii="EC Square Sans Pro Medium" w:hAnsi="EC Square Sans Pro Medium" w:cs="Times New Roman"/>
      <w:color w:val="FFFFFF" w:themeColor="background1"/>
      <w:sz w:val="48"/>
      <w:szCs w:val="48"/>
    </w:rPr>
  </w:style>
  <w:style w:type="paragraph" w:customStyle="1" w:styleId="Tickbullets">
    <w:name w:val="Tick bullets"/>
    <w:basedOn w:val="ListParagraph"/>
    <w:qFormat/>
    <w:rsid w:val="00302172"/>
    <w:pPr>
      <w:numPr>
        <w:numId w:val="50"/>
      </w:numPr>
    </w:pPr>
  </w:style>
  <w:style w:type="character" w:customStyle="1" w:styleId="Heading3Char">
    <w:name w:val="Heading 3 Char"/>
    <w:basedOn w:val="DefaultParagraphFont"/>
    <w:link w:val="Heading3"/>
    <w:uiPriority w:val="9"/>
    <w:rsid w:val="00302172"/>
    <w:rPr>
      <w:rFonts w:ascii="EC Square Sans Pro" w:eastAsiaTheme="majorEastAsia" w:hAnsi="EC Square Sans Pro" w:cstheme="majorBidi"/>
      <w:b/>
      <w:bCs/>
      <w:color w:val="000000" w:themeColor="text1"/>
    </w:rPr>
  </w:style>
  <w:style w:type="character" w:customStyle="1" w:styleId="Heading4Char">
    <w:name w:val="Heading 4 Char"/>
    <w:basedOn w:val="DefaultParagraphFont"/>
    <w:link w:val="Heading4"/>
    <w:uiPriority w:val="9"/>
    <w:semiHidden/>
    <w:rsid w:val="00302172"/>
    <w:rPr>
      <w:rFonts w:ascii="EC Square Sans Pro" w:eastAsiaTheme="majorEastAsia" w:hAnsi="EC Square Sans Pro" w:cstheme="majorBidi"/>
      <w:b/>
      <w:bCs/>
      <w:i/>
      <w:iCs/>
      <w:color w:val="000000" w:themeColor="text1"/>
    </w:rPr>
  </w:style>
  <w:style w:type="character" w:customStyle="1" w:styleId="Heading5Char">
    <w:name w:val="Heading 5 Char"/>
    <w:basedOn w:val="DefaultParagraphFont"/>
    <w:link w:val="Heading5"/>
    <w:uiPriority w:val="9"/>
    <w:semiHidden/>
    <w:rsid w:val="00302172"/>
    <w:rPr>
      <w:rFonts w:ascii="EC Square Sans Pro" w:eastAsiaTheme="majorEastAsia" w:hAnsi="EC Square Sans Pro" w:cstheme="majorBidi"/>
      <w:color w:val="17365D" w:themeColor="text2" w:themeShade="BF"/>
    </w:rPr>
  </w:style>
  <w:style w:type="character" w:customStyle="1" w:styleId="Heading6Char">
    <w:name w:val="Heading 6 Char"/>
    <w:basedOn w:val="DefaultParagraphFont"/>
    <w:link w:val="Heading6"/>
    <w:uiPriority w:val="9"/>
    <w:semiHidden/>
    <w:rsid w:val="00302172"/>
    <w:rPr>
      <w:rFonts w:ascii="EC Square Sans Pro" w:eastAsiaTheme="majorEastAsia" w:hAnsi="EC Square Sans Pro" w:cstheme="majorBidi"/>
      <w:i/>
      <w:iCs/>
      <w:color w:val="17365D" w:themeColor="text2" w:themeShade="BF"/>
    </w:rPr>
  </w:style>
  <w:style w:type="character" w:customStyle="1" w:styleId="Heading7Char">
    <w:name w:val="Heading 7 Char"/>
    <w:basedOn w:val="DefaultParagraphFont"/>
    <w:link w:val="Heading7"/>
    <w:uiPriority w:val="9"/>
    <w:semiHidden/>
    <w:rsid w:val="00302172"/>
    <w:rPr>
      <w:rFonts w:ascii="EC Square Sans Pro" w:eastAsiaTheme="majorEastAsia" w:hAnsi="EC Square Sans Pro" w:cstheme="majorBidi"/>
      <w:i/>
      <w:iCs/>
      <w:color w:val="404040" w:themeColor="text1" w:themeTint="BF"/>
    </w:rPr>
  </w:style>
  <w:style w:type="character" w:customStyle="1" w:styleId="Heading8Char">
    <w:name w:val="Heading 8 Char"/>
    <w:basedOn w:val="DefaultParagraphFont"/>
    <w:link w:val="Heading8"/>
    <w:uiPriority w:val="9"/>
    <w:semiHidden/>
    <w:rsid w:val="00302172"/>
    <w:rPr>
      <w:rFonts w:ascii="EC Square Sans Pro" w:eastAsiaTheme="majorEastAsia" w:hAnsi="EC Square Sans Pro"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02172"/>
    <w:rPr>
      <w:rFonts w:ascii="EC Square Sans Pro" w:eastAsiaTheme="majorEastAsia" w:hAnsi="EC Square Sans Pro" w:cstheme="majorBidi"/>
      <w:i/>
      <w:iCs/>
      <w:color w:val="404040" w:themeColor="text1" w:themeTint="BF"/>
      <w:sz w:val="20"/>
      <w:szCs w:val="20"/>
    </w:rPr>
  </w:style>
  <w:style w:type="paragraph" w:styleId="Caption">
    <w:name w:val="caption"/>
    <w:basedOn w:val="Normal"/>
    <w:next w:val="Normal"/>
    <w:uiPriority w:val="35"/>
    <w:unhideWhenUsed/>
    <w:qFormat/>
    <w:rsid w:val="006260B2"/>
    <w:pPr>
      <w:spacing w:after="200" w:line="240" w:lineRule="auto"/>
    </w:pPr>
    <w:rPr>
      <w:rFonts w:cs="Times New Roman"/>
      <w:i/>
      <w:iCs/>
      <w:color w:val="1F497D" w:themeColor="text2"/>
      <w:sz w:val="18"/>
      <w:szCs w:val="18"/>
    </w:rPr>
  </w:style>
  <w:style w:type="paragraph" w:styleId="Title">
    <w:name w:val="Title"/>
    <w:basedOn w:val="Normal"/>
    <w:next w:val="Normal"/>
    <w:link w:val="TitleChar"/>
    <w:uiPriority w:val="10"/>
    <w:qFormat/>
    <w:rsid w:val="00302172"/>
    <w:pPr>
      <w:spacing w:after="0" w:line="240" w:lineRule="auto"/>
      <w:contextualSpacing/>
    </w:pPr>
    <w:rPr>
      <w:rFonts w:eastAsiaTheme="majorEastAsia" w:cstheme="majorBidi"/>
      <w:color w:val="000000" w:themeColor="text1"/>
      <w:sz w:val="56"/>
      <w:szCs w:val="56"/>
    </w:rPr>
  </w:style>
  <w:style w:type="character" w:customStyle="1" w:styleId="TitleChar">
    <w:name w:val="Title Char"/>
    <w:basedOn w:val="DefaultParagraphFont"/>
    <w:link w:val="Title"/>
    <w:uiPriority w:val="10"/>
    <w:rsid w:val="00302172"/>
    <w:rPr>
      <w:rFonts w:ascii="EC Square Sans Pro" w:eastAsiaTheme="majorEastAsia" w:hAnsi="EC Square Sans Pro" w:cstheme="majorBidi"/>
      <w:color w:val="000000" w:themeColor="text1"/>
      <w:sz w:val="56"/>
      <w:szCs w:val="56"/>
    </w:rPr>
  </w:style>
  <w:style w:type="paragraph" w:styleId="Subtitle">
    <w:name w:val="Subtitle"/>
    <w:aliases w:val="Graph title"/>
    <w:basedOn w:val="Normal"/>
    <w:next w:val="Normal"/>
    <w:link w:val="SubtitleChar"/>
    <w:uiPriority w:val="11"/>
    <w:qFormat/>
    <w:rsid w:val="00695AB2"/>
    <w:pPr>
      <w:keepNext/>
      <w:numPr>
        <w:ilvl w:val="1"/>
      </w:numPr>
      <w:jc w:val="center"/>
    </w:pPr>
    <w:rPr>
      <w:rFonts w:cs="Times New Roman"/>
      <w:b/>
      <w:bCs/>
      <w:caps/>
      <w:spacing w:val="10"/>
      <w:sz w:val="21"/>
      <w:szCs w:val="21"/>
    </w:rPr>
  </w:style>
  <w:style w:type="character" w:customStyle="1" w:styleId="SubtitleChar">
    <w:name w:val="Subtitle Char"/>
    <w:aliases w:val="Graph title Char"/>
    <w:basedOn w:val="DefaultParagraphFont"/>
    <w:link w:val="Subtitle"/>
    <w:uiPriority w:val="11"/>
    <w:rsid w:val="00695AB2"/>
    <w:rPr>
      <w:rFonts w:ascii="EC Square Sans Pro" w:hAnsi="EC Square Sans Pro" w:cs="Times New Roman"/>
      <w:b/>
      <w:bCs/>
      <w:caps/>
      <w:spacing w:val="10"/>
      <w:sz w:val="21"/>
      <w:szCs w:val="21"/>
    </w:rPr>
  </w:style>
  <w:style w:type="character" w:styleId="Strong">
    <w:name w:val="Strong"/>
    <w:basedOn w:val="DefaultParagraphFont"/>
    <w:uiPriority w:val="22"/>
    <w:qFormat/>
    <w:rsid w:val="00302172"/>
    <w:rPr>
      <w:b/>
      <w:bCs/>
      <w:color w:val="000000" w:themeColor="text1"/>
    </w:rPr>
  </w:style>
  <w:style w:type="character" w:styleId="Emphasis">
    <w:name w:val="Emphasis"/>
    <w:basedOn w:val="DefaultParagraphFont"/>
    <w:uiPriority w:val="20"/>
    <w:qFormat/>
    <w:rsid w:val="00302172"/>
    <w:rPr>
      <w:i/>
      <w:iCs/>
      <w:color w:val="auto"/>
    </w:rPr>
  </w:style>
  <w:style w:type="paragraph" w:styleId="NoSpacing">
    <w:name w:val="No Spacing"/>
    <w:uiPriority w:val="1"/>
    <w:qFormat/>
    <w:rsid w:val="00302172"/>
    <w:pPr>
      <w:spacing w:after="0" w:line="240" w:lineRule="auto"/>
    </w:pPr>
    <w:rPr>
      <w:rFonts w:ascii="EC Square Sans Pro" w:hAnsi="EC Square Sans Pro"/>
    </w:rPr>
  </w:style>
  <w:style w:type="paragraph" w:styleId="Quote">
    <w:name w:val="Quote"/>
    <w:basedOn w:val="Normal"/>
    <w:next w:val="Normal"/>
    <w:link w:val="QuoteChar"/>
    <w:uiPriority w:val="29"/>
    <w:qFormat/>
    <w:rsid w:val="00302172"/>
    <w:pPr>
      <w:spacing w:before="160"/>
      <w:ind w:left="720" w:right="720"/>
    </w:pPr>
    <w:rPr>
      <w:i/>
      <w:iCs/>
      <w:color w:val="000000" w:themeColor="text1"/>
      <w:szCs w:val="22"/>
    </w:rPr>
  </w:style>
  <w:style w:type="character" w:customStyle="1" w:styleId="QuoteChar">
    <w:name w:val="Quote Char"/>
    <w:basedOn w:val="DefaultParagraphFont"/>
    <w:link w:val="Quote"/>
    <w:uiPriority w:val="29"/>
    <w:rsid w:val="00302172"/>
    <w:rPr>
      <w:rFonts w:ascii="EC Square Sans Pro" w:hAnsi="EC Square Sans Pro"/>
      <w:i/>
      <w:iCs/>
      <w:color w:val="000000" w:themeColor="text1"/>
    </w:rPr>
  </w:style>
  <w:style w:type="paragraph" w:styleId="IntenseQuote">
    <w:name w:val="Intense Quote"/>
    <w:basedOn w:val="Normal"/>
    <w:next w:val="Normal"/>
    <w:link w:val="IntenseQuoteChar"/>
    <w:uiPriority w:val="30"/>
    <w:qFormat/>
    <w:rsid w:val="0030217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szCs w:val="22"/>
    </w:rPr>
  </w:style>
  <w:style w:type="character" w:customStyle="1" w:styleId="IntenseQuoteChar">
    <w:name w:val="Intense Quote Char"/>
    <w:basedOn w:val="DefaultParagraphFont"/>
    <w:link w:val="IntenseQuote"/>
    <w:uiPriority w:val="30"/>
    <w:rsid w:val="00302172"/>
    <w:rPr>
      <w:rFonts w:ascii="EC Square Sans Pro" w:hAnsi="EC Square Sans Pro"/>
      <w:color w:val="000000" w:themeColor="text1"/>
      <w:shd w:val="clear" w:color="auto" w:fill="F2F2F2" w:themeFill="background1" w:themeFillShade="F2"/>
    </w:rPr>
  </w:style>
  <w:style w:type="character" w:styleId="SubtleEmphasis">
    <w:name w:val="Subtle Emphasis"/>
    <w:basedOn w:val="DefaultParagraphFont"/>
    <w:uiPriority w:val="19"/>
    <w:qFormat/>
    <w:rsid w:val="00302172"/>
    <w:rPr>
      <w:i/>
      <w:iCs/>
      <w:color w:val="404040" w:themeColor="text1" w:themeTint="BF"/>
    </w:rPr>
  </w:style>
  <w:style w:type="character" w:styleId="IntenseEmphasis">
    <w:name w:val="Intense Emphasis"/>
    <w:basedOn w:val="DefaultParagraphFont"/>
    <w:uiPriority w:val="21"/>
    <w:qFormat/>
    <w:rsid w:val="00302172"/>
    <w:rPr>
      <w:b/>
      <w:bCs/>
      <w:i/>
      <w:iCs/>
      <w:caps/>
    </w:rPr>
  </w:style>
  <w:style w:type="character" w:styleId="SubtleReference">
    <w:name w:val="Subtle Reference"/>
    <w:basedOn w:val="DefaultParagraphFont"/>
    <w:uiPriority w:val="31"/>
    <w:qFormat/>
    <w:rsid w:val="0030217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02172"/>
    <w:rPr>
      <w:b/>
      <w:bCs/>
      <w:smallCaps/>
      <w:u w:val="single"/>
    </w:rPr>
  </w:style>
  <w:style w:type="character" w:styleId="BookTitle">
    <w:name w:val="Book Title"/>
    <w:basedOn w:val="DefaultParagraphFont"/>
    <w:uiPriority w:val="33"/>
    <w:qFormat/>
    <w:rsid w:val="00302172"/>
    <w:rPr>
      <w:b w:val="0"/>
      <w:bCs w:val="0"/>
      <w:smallCaps/>
      <w:spacing w:val="5"/>
    </w:rPr>
  </w:style>
  <w:style w:type="paragraph" w:styleId="TOCHeading">
    <w:name w:val="TOC Heading"/>
    <w:basedOn w:val="Heading1"/>
    <w:next w:val="Normal"/>
    <w:uiPriority w:val="39"/>
    <w:semiHidden/>
    <w:unhideWhenUsed/>
    <w:qFormat/>
    <w:rsid w:val="00302172"/>
    <w:pPr>
      <w:ind w:left="432" w:hanging="432"/>
      <w:outlineLvl w:val="9"/>
    </w:pPr>
  </w:style>
  <w:style w:type="paragraph" w:customStyle="1" w:styleId="Boxbody">
    <w:name w:val="Box body"/>
    <w:basedOn w:val="Normal"/>
    <w:qFormat/>
    <w:rsid w:val="00DE4A7D"/>
    <w:pPr>
      <w:spacing w:after="240" w:line="240" w:lineRule="auto"/>
    </w:pPr>
    <w:rPr>
      <w:rFonts w:eastAsia="Times New Roman" w:cs="Times New Roman"/>
      <w:bCs/>
      <w:sz w:val="20"/>
      <w:szCs w:val="20"/>
      <w:lang w:eastAsia="en-IE"/>
    </w:rPr>
  </w:style>
  <w:style w:type="paragraph" w:customStyle="1" w:styleId="Boxtitle">
    <w:name w:val="Box title"/>
    <w:basedOn w:val="Normal"/>
    <w:qFormat/>
    <w:rsid w:val="00637EF0"/>
    <w:pPr>
      <w:spacing w:after="120" w:line="240" w:lineRule="auto"/>
      <w:jc w:val="left"/>
    </w:pPr>
    <w:rPr>
      <w:rFonts w:cs="Times New Roman"/>
      <w:b/>
      <w:color w:val="1A8482" w:themeColor="accent5" w:themeShade="80"/>
      <w:sz w:val="24"/>
      <w:lang w:eastAsia="en-IE"/>
    </w:rPr>
  </w:style>
  <w:style w:type="paragraph" w:customStyle="1" w:styleId="Framebody">
    <w:name w:val="Frame body"/>
    <w:basedOn w:val="Boxbody"/>
    <w:qFormat/>
    <w:rsid w:val="006260B2"/>
    <w:pPr>
      <w:spacing w:after="0"/>
      <w:jc w:val="center"/>
    </w:pPr>
    <w:rPr>
      <w:rFonts w:ascii="Times New Roman" w:hAnsi="Times New Roman"/>
    </w:rPr>
  </w:style>
  <w:style w:type="paragraph" w:customStyle="1" w:styleId="Framesubtitle">
    <w:name w:val="Frame subtitle"/>
    <w:basedOn w:val="paragraph"/>
    <w:qFormat/>
    <w:rsid w:val="00406AA2"/>
    <w:pPr>
      <w:spacing w:after="120" w:afterAutospacing="0"/>
    </w:pPr>
    <w:rPr>
      <w:rFonts w:ascii="EC Square Sans Pro" w:hAnsi="EC Square Sans Pro"/>
      <w:b/>
      <w:bCs/>
      <w:iCs/>
      <w:color w:val="1A8482" w:themeColor="accent5" w:themeShade="80"/>
      <w:sz w:val="20"/>
      <w:szCs w:val="20"/>
    </w:rPr>
  </w:style>
  <w:style w:type="character" w:customStyle="1" w:styleId="Mention2">
    <w:name w:val="Mention2"/>
    <w:basedOn w:val="DefaultParagraphFont"/>
    <w:uiPriority w:val="99"/>
    <w:unhideWhenUsed/>
    <w:rsid w:val="003E1304"/>
    <w:rPr>
      <w:color w:val="2B579A"/>
      <w:shd w:val="clear" w:color="auto" w:fill="E1DFDD"/>
    </w:rPr>
  </w:style>
  <w:style w:type="paragraph" w:customStyle="1" w:styleId="title-bold">
    <w:name w:val="title-bold"/>
    <w:basedOn w:val="Normal"/>
    <w:rsid w:val="00787EB1"/>
    <w:pPr>
      <w:spacing w:before="100" w:beforeAutospacing="1" w:after="100" w:afterAutospacing="1" w:line="240" w:lineRule="auto"/>
      <w:jc w:val="left"/>
    </w:pPr>
    <w:rPr>
      <w:rFonts w:ascii="Times New Roman" w:eastAsia="Times New Roman" w:hAnsi="Times New Roman" w:cs="Times New Roman"/>
      <w:sz w:val="24"/>
      <w:lang w:eastAsia="en-IE"/>
    </w:rPr>
  </w:style>
  <w:style w:type="paragraph" w:styleId="NormalWeb">
    <w:name w:val="Normal (Web)"/>
    <w:basedOn w:val="Normal"/>
    <w:uiPriority w:val="99"/>
    <w:semiHidden/>
    <w:unhideWhenUsed/>
    <w:rsid w:val="00787EB1"/>
    <w:pPr>
      <w:spacing w:before="100" w:beforeAutospacing="1" w:after="100" w:afterAutospacing="1" w:line="240" w:lineRule="auto"/>
      <w:jc w:val="left"/>
    </w:pPr>
    <w:rPr>
      <w:rFonts w:ascii="Times New Roman" w:eastAsia="Times New Roman" w:hAnsi="Times New Roman" w:cs="Times New Roman"/>
      <w:sz w:val="24"/>
      <w:lang w:eastAsia="en-IE"/>
    </w:rPr>
  </w:style>
  <w:style w:type="character" w:customStyle="1" w:styleId="UnresolvedMention2">
    <w:name w:val="Unresolved Mention2"/>
    <w:basedOn w:val="DefaultParagraphFont"/>
    <w:uiPriority w:val="99"/>
    <w:semiHidden/>
    <w:unhideWhenUsed/>
    <w:rsid w:val="00B32993"/>
    <w:rPr>
      <w:color w:val="605E5C"/>
      <w:shd w:val="clear" w:color="auto" w:fill="E1DFDD"/>
    </w:rPr>
  </w:style>
  <w:style w:type="paragraph" w:styleId="BalloonText">
    <w:name w:val="Balloon Text"/>
    <w:basedOn w:val="Normal"/>
    <w:link w:val="BalloonTextChar"/>
    <w:uiPriority w:val="99"/>
    <w:semiHidden/>
    <w:unhideWhenUsed/>
    <w:rsid w:val="00C67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0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2058">
      <w:bodyDiv w:val="1"/>
      <w:marLeft w:val="0"/>
      <w:marRight w:val="0"/>
      <w:marTop w:val="0"/>
      <w:marBottom w:val="0"/>
      <w:divBdr>
        <w:top w:val="none" w:sz="0" w:space="0" w:color="auto"/>
        <w:left w:val="none" w:sz="0" w:space="0" w:color="auto"/>
        <w:bottom w:val="none" w:sz="0" w:space="0" w:color="auto"/>
        <w:right w:val="none" w:sz="0" w:space="0" w:color="auto"/>
      </w:divBdr>
    </w:div>
    <w:div w:id="95028271">
      <w:bodyDiv w:val="1"/>
      <w:marLeft w:val="0"/>
      <w:marRight w:val="0"/>
      <w:marTop w:val="0"/>
      <w:marBottom w:val="0"/>
      <w:divBdr>
        <w:top w:val="none" w:sz="0" w:space="0" w:color="auto"/>
        <w:left w:val="none" w:sz="0" w:space="0" w:color="auto"/>
        <w:bottom w:val="none" w:sz="0" w:space="0" w:color="auto"/>
        <w:right w:val="none" w:sz="0" w:space="0" w:color="auto"/>
      </w:divBdr>
    </w:div>
    <w:div w:id="128862843">
      <w:bodyDiv w:val="1"/>
      <w:marLeft w:val="0"/>
      <w:marRight w:val="0"/>
      <w:marTop w:val="0"/>
      <w:marBottom w:val="0"/>
      <w:divBdr>
        <w:top w:val="none" w:sz="0" w:space="0" w:color="auto"/>
        <w:left w:val="none" w:sz="0" w:space="0" w:color="auto"/>
        <w:bottom w:val="none" w:sz="0" w:space="0" w:color="auto"/>
        <w:right w:val="none" w:sz="0" w:space="0" w:color="auto"/>
      </w:divBdr>
    </w:div>
    <w:div w:id="171994429">
      <w:bodyDiv w:val="1"/>
      <w:marLeft w:val="0"/>
      <w:marRight w:val="0"/>
      <w:marTop w:val="0"/>
      <w:marBottom w:val="0"/>
      <w:divBdr>
        <w:top w:val="none" w:sz="0" w:space="0" w:color="auto"/>
        <w:left w:val="none" w:sz="0" w:space="0" w:color="auto"/>
        <w:bottom w:val="none" w:sz="0" w:space="0" w:color="auto"/>
        <w:right w:val="none" w:sz="0" w:space="0" w:color="auto"/>
      </w:divBdr>
    </w:div>
    <w:div w:id="216357764">
      <w:bodyDiv w:val="1"/>
      <w:marLeft w:val="0"/>
      <w:marRight w:val="0"/>
      <w:marTop w:val="0"/>
      <w:marBottom w:val="0"/>
      <w:divBdr>
        <w:top w:val="none" w:sz="0" w:space="0" w:color="auto"/>
        <w:left w:val="none" w:sz="0" w:space="0" w:color="auto"/>
        <w:bottom w:val="none" w:sz="0" w:space="0" w:color="auto"/>
        <w:right w:val="none" w:sz="0" w:space="0" w:color="auto"/>
      </w:divBdr>
    </w:div>
    <w:div w:id="422847928">
      <w:bodyDiv w:val="1"/>
      <w:marLeft w:val="0"/>
      <w:marRight w:val="0"/>
      <w:marTop w:val="0"/>
      <w:marBottom w:val="0"/>
      <w:divBdr>
        <w:top w:val="none" w:sz="0" w:space="0" w:color="auto"/>
        <w:left w:val="none" w:sz="0" w:space="0" w:color="auto"/>
        <w:bottom w:val="none" w:sz="0" w:space="0" w:color="auto"/>
        <w:right w:val="none" w:sz="0" w:space="0" w:color="auto"/>
      </w:divBdr>
    </w:div>
    <w:div w:id="449979600">
      <w:bodyDiv w:val="1"/>
      <w:marLeft w:val="0"/>
      <w:marRight w:val="0"/>
      <w:marTop w:val="0"/>
      <w:marBottom w:val="0"/>
      <w:divBdr>
        <w:top w:val="none" w:sz="0" w:space="0" w:color="auto"/>
        <w:left w:val="none" w:sz="0" w:space="0" w:color="auto"/>
        <w:bottom w:val="none" w:sz="0" w:space="0" w:color="auto"/>
        <w:right w:val="none" w:sz="0" w:space="0" w:color="auto"/>
      </w:divBdr>
    </w:div>
    <w:div w:id="509949907">
      <w:bodyDiv w:val="1"/>
      <w:marLeft w:val="0"/>
      <w:marRight w:val="0"/>
      <w:marTop w:val="0"/>
      <w:marBottom w:val="0"/>
      <w:divBdr>
        <w:top w:val="none" w:sz="0" w:space="0" w:color="auto"/>
        <w:left w:val="none" w:sz="0" w:space="0" w:color="auto"/>
        <w:bottom w:val="none" w:sz="0" w:space="0" w:color="auto"/>
        <w:right w:val="none" w:sz="0" w:space="0" w:color="auto"/>
      </w:divBdr>
    </w:div>
    <w:div w:id="536509008">
      <w:bodyDiv w:val="1"/>
      <w:marLeft w:val="0"/>
      <w:marRight w:val="0"/>
      <w:marTop w:val="0"/>
      <w:marBottom w:val="0"/>
      <w:divBdr>
        <w:top w:val="none" w:sz="0" w:space="0" w:color="auto"/>
        <w:left w:val="none" w:sz="0" w:space="0" w:color="auto"/>
        <w:bottom w:val="none" w:sz="0" w:space="0" w:color="auto"/>
        <w:right w:val="none" w:sz="0" w:space="0" w:color="auto"/>
      </w:divBdr>
    </w:div>
    <w:div w:id="558250672">
      <w:bodyDiv w:val="1"/>
      <w:marLeft w:val="0"/>
      <w:marRight w:val="0"/>
      <w:marTop w:val="0"/>
      <w:marBottom w:val="0"/>
      <w:divBdr>
        <w:top w:val="none" w:sz="0" w:space="0" w:color="auto"/>
        <w:left w:val="none" w:sz="0" w:space="0" w:color="auto"/>
        <w:bottom w:val="none" w:sz="0" w:space="0" w:color="auto"/>
        <w:right w:val="none" w:sz="0" w:space="0" w:color="auto"/>
      </w:divBdr>
    </w:div>
    <w:div w:id="665858579">
      <w:bodyDiv w:val="1"/>
      <w:marLeft w:val="0"/>
      <w:marRight w:val="0"/>
      <w:marTop w:val="0"/>
      <w:marBottom w:val="0"/>
      <w:divBdr>
        <w:top w:val="none" w:sz="0" w:space="0" w:color="auto"/>
        <w:left w:val="none" w:sz="0" w:space="0" w:color="auto"/>
        <w:bottom w:val="none" w:sz="0" w:space="0" w:color="auto"/>
        <w:right w:val="none" w:sz="0" w:space="0" w:color="auto"/>
      </w:divBdr>
    </w:div>
    <w:div w:id="794907612">
      <w:bodyDiv w:val="1"/>
      <w:marLeft w:val="0"/>
      <w:marRight w:val="0"/>
      <w:marTop w:val="0"/>
      <w:marBottom w:val="0"/>
      <w:divBdr>
        <w:top w:val="none" w:sz="0" w:space="0" w:color="auto"/>
        <w:left w:val="none" w:sz="0" w:space="0" w:color="auto"/>
        <w:bottom w:val="none" w:sz="0" w:space="0" w:color="auto"/>
        <w:right w:val="none" w:sz="0" w:space="0" w:color="auto"/>
      </w:divBdr>
    </w:div>
    <w:div w:id="857620014">
      <w:bodyDiv w:val="1"/>
      <w:marLeft w:val="0"/>
      <w:marRight w:val="0"/>
      <w:marTop w:val="0"/>
      <w:marBottom w:val="0"/>
      <w:divBdr>
        <w:top w:val="none" w:sz="0" w:space="0" w:color="auto"/>
        <w:left w:val="none" w:sz="0" w:space="0" w:color="auto"/>
        <w:bottom w:val="none" w:sz="0" w:space="0" w:color="auto"/>
        <w:right w:val="none" w:sz="0" w:space="0" w:color="auto"/>
      </w:divBdr>
      <w:divsChild>
        <w:div w:id="766728196">
          <w:marLeft w:val="0"/>
          <w:marRight w:val="0"/>
          <w:marTop w:val="0"/>
          <w:marBottom w:val="0"/>
          <w:divBdr>
            <w:top w:val="none" w:sz="0" w:space="0" w:color="auto"/>
            <w:left w:val="none" w:sz="0" w:space="0" w:color="auto"/>
            <w:bottom w:val="none" w:sz="0" w:space="0" w:color="auto"/>
            <w:right w:val="none" w:sz="0" w:space="0" w:color="auto"/>
          </w:divBdr>
          <w:divsChild>
            <w:div w:id="721832322">
              <w:marLeft w:val="0"/>
              <w:marRight w:val="0"/>
              <w:marTop w:val="0"/>
              <w:marBottom w:val="0"/>
              <w:divBdr>
                <w:top w:val="none" w:sz="0" w:space="0" w:color="auto"/>
                <w:left w:val="none" w:sz="0" w:space="0" w:color="auto"/>
                <w:bottom w:val="none" w:sz="0" w:space="0" w:color="auto"/>
                <w:right w:val="none" w:sz="0" w:space="0" w:color="auto"/>
              </w:divBdr>
            </w:div>
          </w:divsChild>
        </w:div>
        <w:div w:id="807088922">
          <w:marLeft w:val="0"/>
          <w:marRight w:val="0"/>
          <w:marTop w:val="0"/>
          <w:marBottom w:val="0"/>
          <w:divBdr>
            <w:top w:val="none" w:sz="0" w:space="0" w:color="auto"/>
            <w:left w:val="none" w:sz="0" w:space="0" w:color="auto"/>
            <w:bottom w:val="none" w:sz="0" w:space="0" w:color="auto"/>
            <w:right w:val="none" w:sz="0" w:space="0" w:color="auto"/>
          </w:divBdr>
          <w:divsChild>
            <w:div w:id="217518002">
              <w:marLeft w:val="0"/>
              <w:marRight w:val="0"/>
              <w:marTop w:val="0"/>
              <w:marBottom w:val="0"/>
              <w:divBdr>
                <w:top w:val="none" w:sz="0" w:space="0" w:color="auto"/>
                <w:left w:val="none" w:sz="0" w:space="0" w:color="auto"/>
                <w:bottom w:val="none" w:sz="0" w:space="0" w:color="auto"/>
                <w:right w:val="none" w:sz="0" w:space="0" w:color="auto"/>
              </w:divBdr>
            </w:div>
          </w:divsChild>
        </w:div>
        <w:div w:id="863402457">
          <w:marLeft w:val="0"/>
          <w:marRight w:val="0"/>
          <w:marTop w:val="0"/>
          <w:marBottom w:val="0"/>
          <w:divBdr>
            <w:top w:val="none" w:sz="0" w:space="0" w:color="auto"/>
            <w:left w:val="none" w:sz="0" w:space="0" w:color="auto"/>
            <w:bottom w:val="none" w:sz="0" w:space="0" w:color="auto"/>
            <w:right w:val="none" w:sz="0" w:space="0" w:color="auto"/>
          </w:divBdr>
          <w:divsChild>
            <w:div w:id="1665357047">
              <w:marLeft w:val="0"/>
              <w:marRight w:val="0"/>
              <w:marTop w:val="0"/>
              <w:marBottom w:val="0"/>
              <w:divBdr>
                <w:top w:val="none" w:sz="0" w:space="0" w:color="auto"/>
                <w:left w:val="none" w:sz="0" w:space="0" w:color="auto"/>
                <w:bottom w:val="none" w:sz="0" w:space="0" w:color="auto"/>
                <w:right w:val="none" w:sz="0" w:space="0" w:color="auto"/>
              </w:divBdr>
            </w:div>
          </w:divsChild>
        </w:div>
        <w:div w:id="1322544266">
          <w:marLeft w:val="0"/>
          <w:marRight w:val="0"/>
          <w:marTop w:val="0"/>
          <w:marBottom w:val="0"/>
          <w:divBdr>
            <w:top w:val="none" w:sz="0" w:space="0" w:color="auto"/>
            <w:left w:val="none" w:sz="0" w:space="0" w:color="auto"/>
            <w:bottom w:val="none" w:sz="0" w:space="0" w:color="auto"/>
            <w:right w:val="none" w:sz="0" w:space="0" w:color="auto"/>
          </w:divBdr>
          <w:divsChild>
            <w:div w:id="1826897963">
              <w:marLeft w:val="0"/>
              <w:marRight w:val="0"/>
              <w:marTop w:val="0"/>
              <w:marBottom w:val="0"/>
              <w:divBdr>
                <w:top w:val="none" w:sz="0" w:space="0" w:color="auto"/>
                <w:left w:val="none" w:sz="0" w:space="0" w:color="auto"/>
                <w:bottom w:val="none" w:sz="0" w:space="0" w:color="auto"/>
                <w:right w:val="none" w:sz="0" w:space="0" w:color="auto"/>
              </w:divBdr>
            </w:div>
          </w:divsChild>
        </w:div>
        <w:div w:id="1707101120">
          <w:marLeft w:val="0"/>
          <w:marRight w:val="0"/>
          <w:marTop w:val="0"/>
          <w:marBottom w:val="0"/>
          <w:divBdr>
            <w:top w:val="none" w:sz="0" w:space="0" w:color="auto"/>
            <w:left w:val="none" w:sz="0" w:space="0" w:color="auto"/>
            <w:bottom w:val="none" w:sz="0" w:space="0" w:color="auto"/>
            <w:right w:val="none" w:sz="0" w:space="0" w:color="auto"/>
          </w:divBdr>
          <w:divsChild>
            <w:div w:id="718365028">
              <w:marLeft w:val="0"/>
              <w:marRight w:val="0"/>
              <w:marTop w:val="0"/>
              <w:marBottom w:val="0"/>
              <w:divBdr>
                <w:top w:val="none" w:sz="0" w:space="0" w:color="auto"/>
                <w:left w:val="none" w:sz="0" w:space="0" w:color="auto"/>
                <w:bottom w:val="none" w:sz="0" w:space="0" w:color="auto"/>
                <w:right w:val="none" w:sz="0" w:space="0" w:color="auto"/>
              </w:divBdr>
            </w:div>
          </w:divsChild>
        </w:div>
        <w:div w:id="1810515905">
          <w:marLeft w:val="0"/>
          <w:marRight w:val="0"/>
          <w:marTop w:val="0"/>
          <w:marBottom w:val="0"/>
          <w:divBdr>
            <w:top w:val="none" w:sz="0" w:space="0" w:color="auto"/>
            <w:left w:val="none" w:sz="0" w:space="0" w:color="auto"/>
            <w:bottom w:val="none" w:sz="0" w:space="0" w:color="auto"/>
            <w:right w:val="none" w:sz="0" w:space="0" w:color="auto"/>
          </w:divBdr>
          <w:divsChild>
            <w:div w:id="45373025">
              <w:marLeft w:val="0"/>
              <w:marRight w:val="0"/>
              <w:marTop w:val="0"/>
              <w:marBottom w:val="0"/>
              <w:divBdr>
                <w:top w:val="none" w:sz="0" w:space="0" w:color="auto"/>
                <w:left w:val="none" w:sz="0" w:space="0" w:color="auto"/>
                <w:bottom w:val="none" w:sz="0" w:space="0" w:color="auto"/>
                <w:right w:val="none" w:sz="0" w:space="0" w:color="auto"/>
              </w:divBdr>
            </w:div>
          </w:divsChild>
        </w:div>
        <w:div w:id="1844320650">
          <w:marLeft w:val="0"/>
          <w:marRight w:val="0"/>
          <w:marTop w:val="0"/>
          <w:marBottom w:val="0"/>
          <w:divBdr>
            <w:top w:val="none" w:sz="0" w:space="0" w:color="auto"/>
            <w:left w:val="none" w:sz="0" w:space="0" w:color="auto"/>
            <w:bottom w:val="none" w:sz="0" w:space="0" w:color="auto"/>
            <w:right w:val="none" w:sz="0" w:space="0" w:color="auto"/>
          </w:divBdr>
          <w:divsChild>
            <w:div w:id="364136332">
              <w:marLeft w:val="0"/>
              <w:marRight w:val="0"/>
              <w:marTop w:val="0"/>
              <w:marBottom w:val="0"/>
              <w:divBdr>
                <w:top w:val="none" w:sz="0" w:space="0" w:color="auto"/>
                <w:left w:val="none" w:sz="0" w:space="0" w:color="auto"/>
                <w:bottom w:val="none" w:sz="0" w:space="0" w:color="auto"/>
                <w:right w:val="none" w:sz="0" w:space="0" w:color="auto"/>
              </w:divBdr>
            </w:div>
          </w:divsChild>
        </w:div>
        <w:div w:id="1871340251">
          <w:marLeft w:val="0"/>
          <w:marRight w:val="0"/>
          <w:marTop w:val="0"/>
          <w:marBottom w:val="0"/>
          <w:divBdr>
            <w:top w:val="none" w:sz="0" w:space="0" w:color="auto"/>
            <w:left w:val="none" w:sz="0" w:space="0" w:color="auto"/>
            <w:bottom w:val="none" w:sz="0" w:space="0" w:color="auto"/>
            <w:right w:val="none" w:sz="0" w:space="0" w:color="auto"/>
          </w:divBdr>
          <w:divsChild>
            <w:div w:id="115522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1832">
      <w:bodyDiv w:val="1"/>
      <w:marLeft w:val="0"/>
      <w:marRight w:val="0"/>
      <w:marTop w:val="0"/>
      <w:marBottom w:val="0"/>
      <w:divBdr>
        <w:top w:val="none" w:sz="0" w:space="0" w:color="auto"/>
        <w:left w:val="none" w:sz="0" w:space="0" w:color="auto"/>
        <w:bottom w:val="none" w:sz="0" w:space="0" w:color="auto"/>
        <w:right w:val="none" w:sz="0" w:space="0" w:color="auto"/>
      </w:divBdr>
    </w:div>
    <w:div w:id="1024284880">
      <w:bodyDiv w:val="1"/>
      <w:marLeft w:val="0"/>
      <w:marRight w:val="0"/>
      <w:marTop w:val="0"/>
      <w:marBottom w:val="0"/>
      <w:divBdr>
        <w:top w:val="none" w:sz="0" w:space="0" w:color="auto"/>
        <w:left w:val="none" w:sz="0" w:space="0" w:color="auto"/>
        <w:bottom w:val="none" w:sz="0" w:space="0" w:color="auto"/>
        <w:right w:val="none" w:sz="0" w:space="0" w:color="auto"/>
      </w:divBdr>
    </w:div>
    <w:div w:id="1025643300">
      <w:bodyDiv w:val="1"/>
      <w:marLeft w:val="0"/>
      <w:marRight w:val="0"/>
      <w:marTop w:val="0"/>
      <w:marBottom w:val="0"/>
      <w:divBdr>
        <w:top w:val="none" w:sz="0" w:space="0" w:color="auto"/>
        <w:left w:val="none" w:sz="0" w:space="0" w:color="auto"/>
        <w:bottom w:val="none" w:sz="0" w:space="0" w:color="auto"/>
        <w:right w:val="none" w:sz="0" w:space="0" w:color="auto"/>
      </w:divBdr>
    </w:div>
    <w:div w:id="1047726179">
      <w:bodyDiv w:val="1"/>
      <w:marLeft w:val="0"/>
      <w:marRight w:val="0"/>
      <w:marTop w:val="0"/>
      <w:marBottom w:val="0"/>
      <w:divBdr>
        <w:top w:val="none" w:sz="0" w:space="0" w:color="auto"/>
        <w:left w:val="none" w:sz="0" w:space="0" w:color="auto"/>
        <w:bottom w:val="none" w:sz="0" w:space="0" w:color="auto"/>
        <w:right w:val="none" w:sz="0" w:space="0" w:color="auto"/>
      </w:divBdr>
    </w:div>
    <w:div w:id="1063288412">
      <w:bodyDiv w:val="1"/>
      <w:marLeft w:val="0"/>
      <w:marRight w:val="0"/>
      <w:marTop w:val="0"/>
      <w:marBottom w:val="0"/>
      <w:divBdr>
        <w:top w:val="none" w:sz="0" w:space="0" w:color="auto"/>
        <w:left w:val="none" w:sz="0" w:space="0" w:color="auto"/>
        <w:bottom w:val="none" w:sz="0" w:space="0" w:color="auto"/>
        <w:right w:val="none" w:sz="0" w:space="0" w:color="auto"/>
      </w:divBdr>
      <w:divsChild>
        <w:div w:id="800734250">
          <w:marLeft w:val="0"/>
          <w:marRight w:val="0"/>
          <w:marTop w:val="0"/>
          <w:marBottom w:val="0"/>
          <w:divBdr>
            <w:top w:val="none" w:sz="0" w:space="0" w:color="auto"/>
            <w:left w:val="none" w:sz="0" w:space="0" w:color="auto"/>
            <w:bottom w:val="none" w:sz="0" w:space="0" w:color="auto"/>
            <w:right w:val="none" w:sz="0" w:space="0" w:color="auto"/>
          </w:divBdr>
        </w:div>
      </w:divsChild>
    </w:div>
    <w:div w:id="1111894151">
      <w:bodyDiv w:val="1"/>
      <w:marLeft w:val="0"/>
      <w:marRight w:val="0"/>
      <w:marTop w:val="0"/>
      <w:marBottom w:val="0"/>
      <w:divBdr>
        <w:top w:val="none" w:sz="0" w:space="0" w:color="auto"/>
        <w:left w:val="none" w:sz="0" w:space="0" w:color="auto"/>
        <w:bottom w:val="none" w:sz="0" w:space="0" w:color="auto"/>
        <w:right w:val="none" w:sz="0" w:space="0" w:color="auto"/>
      </w:divBdr>
    </w:div>
    <w:div w:id="1132019842">
      <w:bodyDiv w:val="1"/>
      <w:marLeft w:val="0"/>
      <w:marRight w:val="0"/>
      <w:marTop w:val="0"/>
      <w:marBottom w:val="0"/>
      <w:divBdr>
        <w:top w:val="none" w:sz="0" w:space="0" w:color="auto"/>
        <w:left w:val="none" w:sz="0" w:space="0" w:color="auto"/>
        <w:bottom w:val="none" w:sz="0" w:space="0" w:color="auto"/>
        <w:right w:val="none" w:sz="0" w:space="0" w:color="auto"/>
      </w:divBdr>
    </w:div>
    <w:div w:id="1169175689">
      <w:bodyDiv w:val="1"/>
      <w:marLeft w:val="0"/>
      <w:marRight w:val="0"/>
      <w:marTop w:val="0"/>
      <w:marBottom w:val="0"/>
      <w:divBdr>
        <w:top w:val="none" w:sz="0" w:space="0" w:color="auto"/>
        <w:left w:val="none" w:sz="0" w:space="0" w:color="auto"/>
        <w:bottom w:val="none" w:sz="0" w:space="0" w:color="auto"/>
        <w:right w:val="none" w:sz="0" w:space="0" w:color="auto"/>
      </w:divBdr>
    </w:div>
    <w:div w:id="1207910712">
      <w:bodyDiv w:val="1"/>
      <w:marLeft w:val="0"/>
      <w:marRight w:val="0"/>
      <w:marTop w:val="0"/>
      <w:marBottom w:val="0"/>
      <w:divBdr>
        <w:top w:val="none" w:sz="0" w:space="0" w:color="auto"/>
        <w:left w:val="none" w:sz="0" w:space="0" w:color="auto"/>
        <w:bottom w:val="none" w:sz="0" w:space="0" w:color="auto"/>
        <w:right w:val="none" w:sz="0" w:space="0" w:color="auto"/>
      </w:divBdr>
    </w:div>
    <w:div w:id="1212232272">
      <w:bodyDiv w:val="1"/>
      <w:marLeft w:val="0"/>
      <w:marRight w:val="0"/>
      <w:marTop w:val="0"/>
      <w:marBottom w:val="0"/>
      <w:divBdr>
        <w:top w:val="none" w:sz="0" w:space="0" w:color="auto"/>
        <w:left w:val="none" w:sz="0" w:space="0" w:color="auto"/>
        <w:bottom w:val="none" w:sz="0" w:space="0" w:color="auto"/>
        <w:right w:val="none" w:sz="0" w:space="0" w:color="auto"/>
      </w:divBdr>
    </w:div>
    <w:div w:id="1304118549">
      <w:bodyDiv w:val="1"/>
      <w:marLeft w:val="0"/>
      <w:marRight w:val="0"/>
      <w:marTop w:val="0"/>
      <w:marBottom w:val="0"/>
      <w:divBdr>
        <w:top w:val="none" w:sz="0" w:space="0" w:color="auto"/>
        <w:left w:val="none" w:sz="0" w:space="0" w:color="auto"/>
        <w:bottom w:val="none" w:sz="0" w:space="0" w:color="auto"/>
        <w:right w:val="none" w:sz="0" w:space="0" w:color="auto"/>
      </w:divBdr>
    </w:div>
    <w:div w:id="1383017383">
      <w:bodyDiv w:val="1"/>
      <w:marLeft w:val="0"/>
      <w:marRight w:val="0"/>
      <w:marTop w:val="0"/>
      <w:marBottom w:val="0"/>
      <w:divBdr>
        <w:top w:val="none" w:sz="0" w:space="0" w:color="auto"/>
        <w:left w:val="none" w:sz="0" w:space="0" w:color="auto"/>
        <w:bottom w:val="none" w:sz="0" w:space="0" w:color="auto"/>
        <w:right w:val="none" w:sz="0" w:space="0" w:color="auto"/>
      </w:divBdr>
    </w:div>
    <w:div w:id="1403330387">
      <w:bodyDiv w:val="1"/>
      <w:marLeft w:val="0"/>
      <w:marRight w:val="0"/>
      <w:marTop w:val="0"/>
      <w:marBottom w:val="0"/>
      <w:divBdr>
        <w:top w:val="none" w:sz="0" w:space="0" w:color="auto"/>
        <w:left w:val="none" w:sz="0" w:space="0" w:color="auto"/>
        <w:bottom w:val="none" w:sz="0" w:space="0" w:color="auto"/>
        <w:right w:val="none" w:sz="0" w:space="0" w:color="auto"/>
      </w:divBdr>
      <w:divsChild>
        <w:div w:id="1184590065">
          <w:marLeft w:val="0"/>
          <w:marRight w:val="0"/>
          <w:marTop w:val="0"/>
          <w:marBottom w:val="0"/>
          <w:divBdr>
            <w:top w:val="none" w:sz="0" w:space="0" w:color="auto"/>
            <w:left w:val="none" w:sz="0" w:space="0" w:color="auto"/>
            <w:bottom w:val="none" w:sz="0" w:space="0" w:color="auto"/>
            <w:right w:val="none" w:sz="0" w:space="0" w:color="auto"/>
          </w:divBdr>
        </w:div>
      </w:divsChild>
    </w:div>
    <w:div w:id="1426801691">
      <w:bodyDiv w:val="1"/>
      <w:marLeft w:val="0"/>
      <w:marRight w:val="0"/>
      <w:marTop w:val="0"/>
      <w:marBottom w:val="0"/>
      <w:divBdr>
        <w:top w:val="none" w:sz="0" w:space="0" w:color="auto"/>
        <w:left w:val="none" w:sz="0" w:space="0" w:color="auto"/>
        <w:bottom w:val="none" w:sz="0" w:space="0" w:color="auto"/>
        <w:right w:val="none" w:sz="0" w:space="0" w:color="auto"/>
      </w:divBdr>
    </w:div>
    <w:div w:id="1522431181">
      <w:bodyDiv w:val="1"/>
      <w:marLeft w:val="0"/>
      <w:marRight w:val="0"/>
      <w:marTop w:val="0"/>
      <w:marBottom w:val="0"/>
      <w:divBdr>
        <w:top w:val="none" w:sz="0" w:space="0" w:color="auto"/>
        <w:left w:val="none" w:sz="0" w:space="0" w:color="auto"/>
        <w:bottom w:val="none" w:sz="0" w:space="0" w:color="auto"/>
        <w:right w:val="none" w:sz="0" w:space="0" w:color="auto"/>
      </w:divBdr>
      <w:divsChild>
        <w:div w:id="1359040567">
          <w:marLeft w:val="0"/>
          <w:marRight w:val="0"/>
          <w:marTop w:val="0"/>
          <w:marBottom w:val="0"/>
          <w:divBdr>
            <w:top w:val="none" w:sz="0" w:space="0" w:color="auto"/>
            <w:left w:val="none" w:sz="0" w:space="0" w:color="auto"/>
            <w:bottom w:val="none" w:sz="0" w:space="0" w:color="auto"/>
            <w:right w:val="none" w:sz="0" w:space="0" w:color="auto"/>
          </w:divBdr>
          <w:divsChild>
            <w:div w:id="570429917">
              <w:marLeft w:val="0"/>
              <w:marRight w:val="0"/>
              <w:marTop w:val="0"/>
              <w:marBottom w:val="0"/>
              <w:divBdr>
                <w:top w:val="none" w:sz="0" w:space="0" w:color="auto"/>
                <w:left w:val="none" w:sz="0" w:space="0" w:color="auto"/>
                <w:bottom w:val="none" w:sz="0" w:space="0" w:color="auto"/>
                <w:right w:val="none" w:sz="0" w:space="0" w:color="auto"/>
              </w:divBdr>
              <w:divsChild>
                <w:div w:id="16626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6104">
      <w:bodyDiv w:val="1"/>
      <w:marLeft w:val="0"/>
      <w:marRight w:val="0"/>
      <w:marTop w:val="0"/>
      <w:marBottom w:val="0"/>
      <w:divBdr>
        <w:top w:val="none" w:sz="0" w:space="0" w:color="auto"/>
        <w:left w:val="none" w:sz="0" w:space="0" w:color="auto"/>
        <w:bottom w:val="none" w:sz="0" w:space="0" w:color="auto"/>
        <w:right w:val="none" w:sz="0" w:space="0" w:color="auto"/>
      </w:divBdr>
    </w:div>
    <w:div w:id="1634170432">
      <w:bodyDiv w:val="1"/>
      <w:marLeft w:val="0"/>
      <w:marRight w:val="0"/>
      <w:marTop w:val="0"/>
      <w:marBottom w:val="0"/>
      <w:divBdr>
        <w:top w:val="none" w:sz="0" w:space="0" w:color="auto"/>
        <w:left w:val="none" w:sz="0" w:space="0" w:color="auto"/>
        <w:bottom w:val="none" w:sz="0" w:space="0" w:color="auto"/>
        <w:right w:val="none" w:sz="0" w:space="0" w:color="auto"/>
      </w:divBdr>
    </w:div>
    <w:div w:id="1659647741">
      <w:bodyDiv w:val="1"/>
      <w:marLeft w:val="0"/>
      <w:marRight w:val="0"/>
      <w:marTop w:val="0"/>
      <w:marBottom w:val="0"/>
      <w:divBdr>
        <w:top w:val="none" w:sz="0" w:space="0" w:color="auto"/>
        <w:left w:val="none" w:sz="0" w:space="0" w:color="auto"/>
        <w:bottom w:val="none" w:sz="0" w:space="0" w:color="auto"/>
        <w:right w:val="none" w:sz="0" w:space="0" w:color="auto"/>
      </w:divBdr>
    </w:div>
    <w:div w:id="1740518176">
      <w:bodyDiv w:val="1"/>
      <w:marLeft w:val="0"/>
      <w:marRight w:val="0"/>
      <w:marTop w:val="0"/>
      <w:marBottom w:val="0"/>
      <w:divBdr>
        <w:top w:val="none" w:sz="0" w:space="0" w:color="auto"/>
        <w:left w:val="none" w:sz="0" w:space="0" w:color="auto"/>
        <w:bottom w:val="none" w:sz="0" w:space="0" w:color="auto"/>
        <w:right w:val="none" w:sz="0" w:space="0" w:color="auto"/>
      </w:divBdr>
    </w:div>
    <w:div w:id="1816600815">
      <w:bodyDiv w:val="1"/>
      <w:marLeft w:val="0"/>
      <w:marRight w:val="0"/>
      <w:marTop w:val="0"/>
      <w:marBottom w:val="0"/>
      <w:divBdr>
        <w:top w:val="none" w:sz="0" w:space="0" w:color="auto"/>
        <w:left w:val="none" w:sz="0" w:space="0" w:color="auto"/>
        <w:bottom w:val="none" w:sz="0" w:space="0" w:color="auto"/>
        <w:right w:val="none" w:sz="0" w:space="0" w:color="auto"/>
      </w:divBdr>
    </w:div>
    <w:div w:id="1871452943">
      <w:bodyDiv w:val="1"/>
      <w:marLeft w:val="0"/>
      <w:marRight w:val="0"/>
      <w:marTop w:val="0"/>
      <w:marBottom w:val="0"/>
      <w:divBdr>
        <w:top w:val="none" w:sz="0" w:space="0" w:color="auto"/>
        <w:left w:val="none" w:sz="0" w:space="0" w:color="auto"/>
        <w:bottom w:val="none" w:sz="0" w:space="0" w:color="auto"/>
        <w:right w:val="none" w:sz="0" w:space="0" w:color="auto"/>
      </w:divBdr>
    </w:div>
    <w:div w:id="1883177815">
      <w:bodyDiv w:val="1"/>
      <w:marLeft w:val="0"/>
      <w:marRight w:val="0"/>
      <w:marTop w:val="0"/>
      <w:marBottom w:val="0"/>
      <w:divBdr>
        <w:top w:val="none" w:sz="0" w:space="0" w:color="auto"/>
        <w:left w:val="none" w:sz="0" w:space="0" w:color="auto"/>
        <w:bottom w:val="none" w:sz="0" w:space="0" w:color="auto"/>
        <w:right w:val="none" w:sz="0" w:space="0" w:color="auto"/>
      </w:divBdr>
    </w:div>
    <w:div w:id="1929464818">
      <w:bodyDiv w:val="1"/>
      <w:marLeft w:val="0"/>
      <w:marRight w:val="0"/>
      <w:marTop w:val="0"/>
      <w:marBottom w:val="0"/>
      <w:divBdr>
        <w:top w:val="none" w:sz="0" w:space="0" w:color="auto"/>
        <w:left w:val="none" w:sz="0" w:space="0" w:color="auto"/>
        <w:bottom w:val="none" w:sz="0" w:space="0" w:color="auto"/>
        <w:right w:val="none" w:sz="0" w:space="0" w:color="auto"/>
      </w:divBdr>
    </w:div>
    <w:div w:id="1941452534">
      <w:bodyDiv w:val="1"/>
      <w:marLeft w:val="0"/>
      <w:marRight w:val="0"/>
      <w:marTop w:val="0"/>
      <w:marBottom w:val="0"/>
      <w:divBdr>
        <w:top w:val="none" w:sz="0" w:space="0" w:color="auto"/>
        <w:left w:val="none" w:sz="0" w:space="0" w:color="auto"/>
        <w:bottom w:val="none" w:sz="0" w:space="0" w:color="auto"/>
        <w:right w:val="none" w:sz="0" w:space="0" w:color="auto"/>
      </w:divBdr>
    </w:div>
    <w:div w:id="1951938427">
      <w:bodyDiv w:val="1"/>
      <w:marLeft w:val="0"/>
      <w:marRight w:val="0"/>
      <w:marTop w:val="0"/>
      <w:marBottom w:val="0"/>
      <w:divBdr>
        <w:top w:val="none" w:sz="0" w:space="0" w:color="auto"/>
        <w:left w:val="none" w:sz="0" w:space="0" w:color="auto"/>
        <w:bottom w:val="none" w:sz="0" w:space="0" w:color="auto"/>
        <w:right w:val="none" w:sz="0" w:space="0" w:color="auto"/>
      </w:divBdr>
    </w:div>
    <w:div w:id="1988318330">
      <w:bodyDiv w:val="1"/>
      <w:marLeft w:val="0"/>
      <w:marRight w:val="0"/>
      <w:marTop w:val="0"/>
      <w:marBottom w:val="0"/>
      <w:divBdr>
        <w:top w:val="none" w:sz="0" w:space="0" w:color="auto"/>
        <w:left w:val="none" w:sz="0" w:space="0" w:color="auto"/>
        <w:bottom w:val="none" w:sz="0" w:space="0" w:color="auto"/>
        <w:right w:val="none" w:sz="0" w:space="0" w:color="auto"/>
      </w:divBdr>
    </w:div>
    <w:div w:id="2029214791">
      <w:bodyDiv w:val="1"/>
      <w:marLeft w:val="0"/>
      <w:marRight w:val="0"/>
      <w:marTop w:val="0"/>
      <w:marBottom w:val="0"/>
      <w:divBdr>
        <w:top w:val="none" w:sz="0" w:space="0" w:color="auto"/>
        <w:left w:val="none" w:sz="0" w:space="0" w:color="auto"/>
        <w:bottom w:val="none" w:sz="0" w:space="0" w:color="auto"/>
        <w:right w:val="none" w:sz="0" w:space="0" w:color="auto"/>
      </w:divBdr>
    </w:div>
    <w:div w:id="2086604844">
      <w:bodyDiv w:val="1"/>
      <w:marLeft w:val="0"/>
      <w:marRight w:val="0"/>
      <w:marTop w:val="0"/>
      <w:marBottom w:val="0"/>
      <w:divBdr>
        <w:top w:val="none" w:sz="0" w:space="0" w:color="auto"/>
        <w:left w:val="none" w:sz="0" w:space="0" w:color="auto"/>
        <w:bottom w:val="none" w:sz="0" w:space="0" w:color="auto"/>
        <w:right w:val="none" w:sz="0" w:space="0" w:color="auto"/>
      </w:divBdr>
    </w:div>
    <w:div w:id="2094890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knowsdgs.jrc.ec.europa.eu/cfc"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463766724281421E-2"/>
          <c:y val="4.0553572226870095E-2"/>
          <c:w val="0.86963590679213876"/>
          <c:h val="0.79574527131413897"/>
        </c:manualLayout>
      </c:layout>
      <c:scatterChart>
        <c:scatterStyle val="lineMarker"/>
        <c:varyColors val="0"/>
        <c:ser>
          <c:idx val="0"/>
          <c:order val="0"/>
          <c:spPr>
            <a:ln w="25400" cap="rnd">
              <a:noFill/>
              <a:round/>
            </a:ln>
            <a:effectLst/>
          </c:spPr>
          <c:marker>
            <c:symbol val="circle"/>
            <c:size val="5"/>
            <c:spPr>
              <a:solidFill>
                <a:srgbClr val="0070C0"/>
              </a:solidFill>
              <a:ln w="31750">
                <a:solidFill>
                  <a:srgbClr val="0070C0">
                    <a:alpha val="99000"/>
                  </a:srgbClr>
                </a:solidFill>
              </a:ln>
              <a:effectLst/>
            </c:spPr>
          </c:marker>
          <c:dLbls>
            <c:dLbl>
              <c:idx val="0"/>
              <c:layout>
                <c:manualLayout>
                  <c:x val="-2.0325203252032522E-3"/>
                  <c:y val="-1.1060065152782753E-2"/>
                </c:manualLayout>
              </c:layout>
              <c:tx>
                <c:rich>
                  <a:bodyPr/>
                  <a:lstStyle/>
                  <a:p>
                    <a:r>
                      <a:rPr lang="bg-BG"/>
                      <a:t>Белгия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EF-417B-84B8-438C9BAEE732}"/>
                </c:ext>
              </c:extLst>
            </c:dLbl>
            <c:dLbl>
              <c:idx val="1"/>
              <c:tx>
                <c:rich>
                  <a:bodyPr/>
                  <a:lstStyle/>
                  <a:p>
                    <a:r>
                      <a:rPr lang="bg-BG"/>
                      <a:t>България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EF-417B-84B8-438C9BAEE732}"/>
                </c:ext>
              </c:extLst>
            </c:dLbl>
            <c:dLbl>
              <c:idx val="2"/>
              <c:tx>
                <c:rich>
                  <a:bodyPr/>
                  <a:lstStyle/>
                  <a:p>
                    <a:r>
                      <a:rPr lang="bg-BG"/>
                      <a:t>Чехия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EF-417B-84B8-438C9BAEE732}"/>
                </c:ext>
              </c:extLst>
            </c:dLbl>
            <c:dLbl>
              <c:idx val="3"/>
              <c:tx>
                <c:rich>
                  <a:bodyPr/>
                  <a:lstStyle/>
                  <a:p>
                    <a:r>
                      <a:rPr lang="bg-BG"/>
                      <a:t>Дания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EF-417B-84B8-438C9BAEE732}"/>
                </c:ext>
              </c:extLst>
            </c:dLbl>
            <c:dLbl>
              <c:idx val="4"/>
              <c:tx>
                <c:rich>
                  <a:bodyPr/>
                  <a:lstStyle/>
                  <a:p>
                    <a:r>
                      <a:rPr lang="bg-BG"/>
                      <a:t>Германия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EF-417B-84B8-438C9BAEE732}"/>
                </c:ext>
              </c:extLst>
            </c:dLbl>
            <c:dLbl>
              <c:idx val="5"/>
              <c:tx>
                <c:rich>
                  <a:bodyPr/>
                  <a:lstStyle/>
                  <a:p>
                    <a:r>
                      <a:rPr lang="bg-BG"/>
                      <a:t>Естония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EF-417B-84B8-438C9BAEE732}"/>
                </c:ext>
              </c:extLst>
            </c:dLbl>
            <c:dLbl>
              <c:idx val="6"/>
              <c:tx>
                <c:rich>
                  <a:bodyPr/>
                  <a:lstStyle/>
                  <a:p>
                    <a:r>
                      <a:rPr lang="bg-BG"/>
                      <a:t>Ирландия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EF-417B-84B8-438C9BAEE732}"/>
                </c:ext>
              </c:extLst>
            </c:dLbl>
            <c:dLbl>
              <c:idx val="7"/>
              <c:tx>
                <c:rich>
                  <a:bodyPr/>
                  <a:lstStyle/>
                  <a:p>
                    <a:r>
                      <a:rPr lang="bg-BG"/>
                      <a:t>Гърция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EF-417B-84B8-438C9BAEE732}"/>
                </c:ext>
              </c:extLst>
            </c:dLbl>
            <c:dLbl>
              <c:idx val="8"/>
              <c:tx>
                <c:rich>
                  <a:bodyPr/>
                  <a:lstStyle/>
                  <a:p>
                    <a:r>
                      <a:rPr lang="bg-BG"/>
                      <a:t>Испания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EF-417B-84B8-438C9BAEE732}"/>
                </c:ext>
              </c:extLst>
            </c:dLbl>
            <c:dLbl>
              <c:idx val="9"/>
              <c:layout>
                <c:manualLayout>
                  <c:x val="-8.1300813008131564E-3"/>
                  <c:y val="-1.1060065152782753E-2"/>
                </c:manualLayout>
              </c:layout>
              <c:tx>
                <c:rich>
                  <a:bodyPr/>
                  <a:lstStyle/>
                  <a:p>
                    <a:r>
                      <a:rPr lang="bg-BG"/>
                      <a:t>Франция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EF-417B-84B8-438C9BAEE732}"/>
                </c:ext>
              </c:extLst>
            </c:dLbl>
            <c:dLbl>
              <c:idx val="10"/>
              <c:tx>
                <c:rich>
                  <a:bodyPr/>
                  <a:lstStyle/>
                  <a:p>
                    <a:r>
                      <a:rPr lang="bg-BG"/>
                      <a:t>Хърватия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EF-417B-84B8-438C9BAEE732}"/>
                </c:ext>
              </c:extLst>
            </c:dLbl>
            <c:dLbl>
              <c:idx val="11"/>
              <c:tx>
                <c:rich>
                  <a:bodyPr/>
                  <a:lstStyle/>
                  <a:p>
                    <a:r>
                      <a:rPr lang="bg-BG"/>
                      <a:t>Италия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EF-417B-84B8-438C9BAEE732}"/>
                </c:ext>
              </c:extLst>
            </c:dLbl>
            <c:dLbl>
              <c:idx val="12"/>
              <c:layout>
                <c:manualLayout>
                  <c:x val="-1.016260162601626E-2"/>
                  <c:y val="-2.2120130305565505E-2"/>
                </c:manualLayout>
              </c:layout>
              <c:tx>
                <c:rich>
                  <a:bodyPr/>
                  <a:lstStyle/>
                  <a:p>
                    <a:r>
                      <a:rPr lang="bg-BG"/>
                      <a:t>Кипър</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0EF-417B-84B8-438C9BAEE732}"/>
                </c:ext>
              </c:extLst>
            </c:dLbl>
            <c:dLbl>
              <c:idx val="13"/>
              <c:tx>
                <c:rich>
                  <a:bodyPr/>
                  <a:lstStyle/>
                  <a:p>
                    <a:r>
                      <a:rPr lang="bg-BG"/>
                      <a:t>Латвия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0EF-417B-84B8-438C9BAEE732}"/>
                </c:ext>
              </c:extLst>
            </c:dLbl>
            <c:dLbl>
              <c:idx val="14"/>
              <c:tx>
                <c:rich>
                  <a:bodyPr/>
                  <a:lstStyle/>
                  <a:p>
                    <a:r>
                      <a:rPr lang="bg-BG"/>
                      <a:t>Литва</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0EF-417B-84B8-438C9BAEE732}"/>
                </c:ext>
              </c:extLst>
            </c:dLbl>
            <c:dLbl>
              <c:idx val="15"/>
              <c:tx>
                <c:rich>
                  <a:bodyPr/>
                  <a:lstStyle/>
                  <a:p>
                    <a:r>
                      <a:rPr lang="bg-BG"/>
                      <a:t>Люксембург</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0EF-417B-84B8-438C9BAEE732}"/>
                </c:ext>
              </c:extLst>
            </c:dLbl>
            <c:dLbl>
              <c:idx val="16"/>
              <c:tx>
                <c:rich>
                  <a:bodyPr/>
                  <a:lstStyle/>
                  <a:p>
                    <a:r>
                      <a:rPr lang="bg-BG"/>
                      <a:t>Унгария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0EF-417B-84B8-438C9BAEE732}"/>
                </c:ext>
              </c:extLst>
            </c:dLbl>
            <c:dLbl>
              <c:idx val="17"/>
              <c:tx>
                <c:rich>
                  <a:bodyPr/>
                  <a:lstStyle/>
                  <a:p>
                    <a:r>
                      <a:rPr lang="bg-BG"/>
                      <a:t>Малта</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0EF-417B-84B8-438C9BAEE732}"/>
                </c:ext>
              </c:extLst>
            </c:dLbl>
            <c:dLbl>
              <c:idx val="18"/>
              <c:layout>
                <c:manualLayout>
                  <c:x val="-4.0650406504065045E-3"/>
                  <c:y val="-1.4746753537043704E-2"/>
                </c:manualLayout>
              </c:layout>
              <c:tx>
                <c:rich>
                  <a:bodyPr/>
                  <a:lstStyle/>
                  <a:p>
                    <a:r>
                      <a:rPr lang="bg-BG"/>
                      <a:t>Нидерландия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0EF-417B-84B8-438C9BAEE732}"/>
                </c:ext>
              </c:extLst>
            </c:dLbl>
            <c:dLbl>
              <c:idx val="19"/>
              <c:tx>
                <c:rich>
                  <a:bodyPr/>
                  <a:lstStyle/>
                  <a:p>
                    <a:r>
                      <a:rPr lang="bg-BG"/>
                      <a:t>Австрия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0EF-417B-84B8-438C9BAEE732}"/>
                </c:ext>
              </c:extLst>
            </c:dLbl>
            <c:dLbl>
              <c:idx val="20"/>
              <c:tx>
                <c:rich>
                  <a:bodyPr/>
                  <a:lstStyle/>
                  <a:p>
                    <a:r>
                      <a:rPr lang="bg-BG"/>
                      <a:t>Полша</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0EF-417B-84B8-438C9BAEE732}"/>
                </c:ext>
              </c:extLst>
            </c:dLbl>
            <c:dLbl>
              <c:idx val="21"/>
              <c:layout>
                <c:manualLayout>
                  <c:x val="-2.0325203252032522E-3"/>
                  <c:y val="3.6866883842609178E-3"/>
                </c:manualLayout>
              </c:layout>
              <c:tx>
                <c:rich>
                  <a:bodyPr/>
                  <a:lstStyle/>
                  <a:p>
                    <a:r>
                      <a:rPr lang="bg-BG"/>
                      <a:t>Португалия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0EF-417B-84B8-438C9BAEE732}"/>
                </c:ext>
              </c:extLst>
            </c:dLbl>
            <c:dLbl>
              <c:idx val="22"/>
              <c:tx>
                <c:rich>
                  <a:bodyPr/>
                  <a:lstStyle/>
                  <a:p>
                    <a:r>
                      <a:rPr lang="bg-BG"/>
                      <a:t>Румъния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0EF-417B-84B8-438C9BAEE732}"/>
                </c:ext>
              </c:extLst>
            </c:dLbl>
            <c:dLbl>
              <c:idx val="23"/>
              <c:tx>
                <c:rich>
                  <a:bodyPr/>
                  <a:lstStyle/>
                  <a:p>
                    <a:r>
                      <a:rPr lang="bg-BG"/>
                      <a:t>Словения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0EF-417B-84B8-438C9BAEE732}"/>
                </c:ext>
              </c:extLst>
            </c:dLbl>
            <c:dLbl>
              <c:idx val="24"/>
              <c:layout>
                <c:manualLayout>
                  <c:x val="-4.0650406504065045E-3"/>
                  <c:y val="7.3733767685218018E-3"/>
                </c:manualLayout>
              </c:layout>
              <c:tx>
                <c:rich>
                  <a:bodyPr/>
                  <a:lstStyle/>
                  <a:p>
                    <a:r>
                      <a:rPr lang="bg-BG"/>
                      <a:t>Словакия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0EF-417B-84B8-438C9BAEE732}"/>
                </c:ext>
              </c:extLst>
            </c:dLbl>
            <c:dLbl>
              <c:idx val="25"/>
              <c:tx>
                <c:rich>
                  <a:bodyPr/>
                  <a:lstStyle/>
                  <a:p>
                    <a:r>
                      <a:rPr lang="bg-BG"/>
                      <a:t>Финландия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0EF-417B-84B8-438C9BAEE732}"/>
                </c:ext>
              </c:extLst>
            </c:dLbl>
            <c:dLbl>
              <c:idx val="26"/>
              <c:tx>
                <c:rich>
                  <a:bodyPr/>
                  <a:lstStyle/>
                  <a:p>
                    <a:r>
                      <a:rPr lang="bg-BG"/>
                      <a:t>Швеция</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0EF-417B-84B8-438C9BAEE732}"/>
                </c:ext>
              </c:extLst>
            </c:dLbl>
            <c:spPr>
              <a:noFill/>
              <a:ln>
                <a:noFill/>
              </a:ln>
              <a:effectLst/>
            </c:spPr>
            <c:txPr>
              <a:bodyPr rot="0" vert="horz"/>
              <a:lstStyle/>
              <a:p>
                <a:pPr>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1"/>
                <c15:leaderLines>
                  <c:spPr>
                    <a:ln w="9525" cap="flat" cmpd="sng" algn="ctr">
                      <a:solidFill>
                        <a:schemeClr val="tx1">
                          <a:lumMod val="35000"/>
                          <a:lumOff val="65000"/>
                        </a:schemeClr>
                      </a:solidFill>
                      <a:round/>
                    </a:ln>
                    <a:effectLst/>
                  </c:spPr>
                </c15:leaderLines>
              </c:ext>
            </c:extLst>
          </c:dLbls>
          <c:xVal>
            <c:numRef>
              <c:f>Chart!$B$3:$B$29</c:f>
              <c:numCache>
                <c:formatCode>#,##0.##########</c:formatCode>
                <c:ptCount val="27"/>
                <c:pt idx="0">
                  <c:v>66.8</c:v>
                </c:pt>
                <c:pt idx="1">
                  <c:v>68.900000000000006</c:v>
                </c:pt>
                <c:pt idx="2">
                  <c:v>72.099999999999994</c:v>
                </c:pt>
                <c:pt idx="3">
                  <c:v>75.599999999999994</c:v>
                </c:pt>
                <c:pt idx="4">
                  <c:v>75.599999999999994</c:v>
                </c:pt>
                <c:pt idx="5">
                  <c:v>77.5</c:v>
                </c:pt>
                <c:pt idx="6">
                  <c:v>70</c:v>
                </c:pt>
                <c:pt idx="7">
                  <c:v>52.7</c:v>
                </c:pt>
                <c:pt idx="8">
                  <c:v>62.4</c:v>
                </c:pt>
                <c:pt idx="9">
                  <c:v>70.2</c:v>
                </c:pt>
                <c:pt idx="10">
                  <c:v>62.9</c:v>
                </c:pt>
                <c:pt idx="11">
                  <c:v>53.2</c:v>
                </c:pt>
                <c:pt idx="12">
                  <c:v>70</c:v>
                </c:pt>
                <c:pt idx="13">
                  <c:v>72.900000000000006</c:v>
                </c:pt>
                <c:pt idx="14">
                  <c:v>76.7</c:v>
                </c:pt>
                <c:pt idx="15">
                  <c:v>70.3</c:v>
                </c:pt>
                <c:pt idx="16">
                  <c:v>73.5</c:v>
                </c:pt>
                <c:pt idx="17">
                  <c:v>70.3</c:v>
                </c:pt>
                <c:pt idx="18">
                  <c:v>77.5</c:v>
                </c:pt>
                <c:pt idx="19">
                  <c:v>71.3</c:v>
                </c:pt>
                <c:pt idx="20">
                  <c:v>68.400000000000006</c:v>
                </c:pt>
                <c:pt idx="21">
                  <c:v>73.099999999999994</c:v>
                </c:pt>
                <c:pt idx="22">
                  <c:v>56.9</c:v>
                </c:pt>
                <c:pt idx="23">
                  <c:v>72.599999999999994</c:v>
                </c:pt>
                <c:pt idx="24">
                  <c:v>70.400000000000006</c:v>
                </c:pt>
                <c:pt idx="25">
                  <c:v>75.8</c:v>
                </c:pt>
                <c:pt idx="26">
                  <c:v>78</c:v>
                </c:pt>
              </c:numCache>
            </c:numRef>
          </c:xVal>
          <c:yVal>
            <c:numRef>
              <c:f>Chart!$C$3:$C$29</c:f>
              <c:numCache>
                <c:formatCode>General</c:formatCode>
                <c:ptCount val="27"/>
                <c:pt idx="0">
                  <c:v>1.6</c:v>
                </c:pt>
                <c:pt idx="1">
                  <c:v>1.58</c:v>
                </c:pt>
                <c:pt idx="2">
                  <c:v>1.83</c:v>
                </c:pt>
                <c:pt idx="3">
                  <c:v>1.72</c:v>
                </c:pt>
                <c:pt idx="4">
                  <c:v>1.58</c:v>
                </c:pt>
                <c:pt idx="5">
                  <c:v>1.61</c:v>
                </c:pt>
                <c:pt idx="6">
                  <c:v>1.78</c:v>
                </c:pt>
                <c:pt idx="7">
                  <c:v>1.43</c:v>
                </c:pt>
                <c:pt idx="8">
                  <c:v>1.19</c:v>
                </c:pt>
                <c:pt idx="9">
                  <c:v>1.84</c:v>
                </c:pt>
                <c:pt idx="10">
                  <c:v>1.58</c:v>
                </c:pt>
                <c:pt idx="11">
                  <c:v>1.25</c:v>
                </c:pt>
                <c:pt idx="12">
                  <c:v>1.39</c:v>
                </c:pt>
                <c:pt idx="13">
                  <c:v>1.57</c:v>
                </c:pt>
                <c:pt idx="14">
                  <c:v>1.36</c:v>
                </c:pt>
                <c:pt idx="15">
                  <c:v>1.38</c:v>
                </c:pt>
                <c:pt idx="16">
                  <c:v>1.61</c:v>
                </c:pt>
                <c:pt idx="17">
                  <c:v>1.1299999999999999</c:v>
                </c:pt>
                <c:pt idx="18">
                  <c:v>1.62</c:v>
                </c:pt>
                <c:pt idx="19">
                  <c:v>1.48</c:v>
                </c:pt>
                <c:pt idx="20">
                  <c:v>1.33</c:v>
                </c:pt>
                <c:pt idx="21">
                  <c:v>1.35</c:v>
                </c:pt>
                <c:pt idx="22">
                  <c:v>1.81</c:v>
                </c:pt>
                <c:pt idx="23">
                  <c:v>1.64</c:v>
                </c:pt>
                <c:pt idx="24">
                  <c:v>1.63</c:v>
                </c:pt>
                <c:pt idx="25">
                  <c:v>1.46</c:v>
                </c:pt>
                <c:pt idx="26">
                  <c:v>1.67</c:v>
                </c:pt>
              </c:numCache>
            </c:numRef>
          </c:yVal>
          <c:smooth val="0"/>
          <c:extLst>
            <c:ext xmlns:c15="http://schemas.microsoft.com/office/drawing/2012/chart" uri="{02D57815-91ED-43cb-92C2-25804820EDAC}">
              <c15:datalabelsRange>
                <c15:f>Chart!$A$3:$A$29</c15:f>
                <c15:dlblRangeCache>
                  <c:ptCount val="27"/>
                  <c:pt idx="0">
                    <c:v>Belgium</c:v>
                  </c:pt>
                  <c:pt idx="1">
                    <c:v>Bulgaria</c:v>
                  </c:pt>
                  <c:pt idx="2">
                    <c:v>Czechia</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15:dlblRangeCache>
              </c15:datalabelsRange>
            </c:ext>
            <c:ext xmlns:c16="http://schemas.microsoft.com/office/drawing/2014/chart" uri="{C3380CC4-5D6E-409C-BE32-E72D297353CC}">
              <c16:uniqueId val="{0000001B-B0EF-417B-84B8-438C9BAEE732}"/>
            </c:ext>
          </c:extLst>
        </c:ser>
        <c:dLbls>
          <c:showLegendKey val="0"/>
          <c:showVal val="1"/>
          <c:showCatName val="0"/>
          <c:showSerName val="0"/>
          <c:showPercent val="0"/>
          <c:showBubbleSize val="0"/>
        </c:dLbls>
        <c:axId val="878531648"/>
        <c:axId val="616046720"/>
      </c:scatterChart>
      <c:valAx>
        <c:axId val="878531648"/>
        <c:scaling>
          <c:orientation val="minMax"/>
          <c:max val="80"/>
          <c:min val="5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1000"/>
                </a:pPr>
                <a:r>
                  <a:rPr lang="bg-BG" sz="1000"/>
                  <a:t>Равнище на заетост</a:t>
                </a:r>
                <a:r>
                  <a:rPr lang="bg-BG" sz="1000" baseline="0"/>
                  <a:t> на жените </a:t>
                </a:r>
                <a:r>
                  <a:rPr lang="en-IE" sz="1000"/>
                  <a:t>(</a:t>
                </a:r>
                <a:r>
                  <a:rPr lang="bg-BG" sz="1000"/>
                  <a:t>в</a:t>
                </a:r>
                <a:r>
                  <a:rPr lang="en-IE" sz="1000"/>
                  <a:t> %</a:t>
                </a:r>
                <a:r>
                  <a:rPr lang="bg-BG" sz="1000"/>
                  <a:t> от общото женско население в трудоспособна възраст</a:t>
                </a:r>
                <a:r>
                  <a:rPr lang="en-IE" sz="1000"/>
                  <a:t>), 2021</a:t>
                </a:r>
                <a:r>
                  <a:rPr lang="bg-BG" sz="1000"/>
                  <a:t> г.</a:t>
                </a:r>
                <a:endParaRPr lang="en-IE" sz="1000"/>
              </a:p>
            </c:rich>
          </c:tx>
          <c:layout>
            <c:manualLayout>
              <c:xMode val="edge"/>
              <c:yMode val="edge"/>
              <c:x val="0.13480937478968974"/>
              <c:y val="0.88983978908943417"/>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616046720"/>
        <c:crosses val="autoZero"/>
        <c:crossBetween val="midCat"/>
        <c:majorUnit val="5"/>
      </c:valAx>
      <c:valAx>
        <c:axId val="616046720"/>
        <c:scaling>
          <c:orientation val="minMax"/>
          <c:min val="1.100000000000000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rtl="0">
                  <a:defRPr sz="1000"/>
                </a:pPr>
                <a:r>
                  <a:rPr lang="bg-BG" sz="1000"/>
                  <a:t>Общ коефициент</a:t>
                </a:r>
                <a:r>
                  <a:rPr lang="bg-BG" sz="1000" baseline="0"/>
                  <a:t> на плодовитост, 2021 г.</a:t>
                </a:r>
                <a:endParaRPr lang="en-IE" sz="10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87853164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0">
          <a:latin typeface="EC Square Sans Cond Pro" panose="020B0506040000020004"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0.77009</cdr:x>
      <cdr:y>0.9213</cdr:y>
    </cdr:from>
    <cdr:to>
      <cdr:x>0.99268</cdr:x>
      <cdr:y>0.99074</cdr:y>
    </cdr:to>
    <cdr:sp macro="" textlink="">
      <cdr:nvSpPr>
        <cdr:cNvPr id="2" name="TextBox 1">
          <a:extLst xmlns:a="http://schemas.openxmlformats.org/drawingml/2006/main">
            <a:ext uri="{FF2B5EF4-FFF2-40B4-BE49-F238E27FC236}">
              <a16:creationId xmlns:a16="http://schemas.microsoft.com/office/drawing/2014/main" id="{E89B8B72-2F73-7991-C3F4-7CA37ACF6249}"/>
            </a:ext>
          </a:extLst>
        </cdr:cNvPr>
        <cdr:cNvSpPr txBox="1"/>
      </cdr:nvSpPr>
      <cdr:spPr>
        <a:xfrm xmlns:a="http://schemas.openxmlformats.org/drawingml/2006/main">
          <a:off x="4577080" y="2884761"/>
          <a:ext cx="1323013" cy="2174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bg-BG" sz="1050">
              <a:latin typeface="EC Square Sans Cond Pro" panose="020B0506040000020004" pitchFamily="34" charset="0"/>
            </a:rPr>
            <a:t>Източник</a:t>
          </a:r>
          <a:r>
            <a:rPr lang="en-IE" sz="1050">
              <a:latin typeface="EC Square Sans Cond Pro" panose="020B0506040000020004" pitchFamily="34" charset="0"/>
            </a:rPr>
            <a:t>: </a:t>
          </a:r>
          <a:r>
            <a:rPr lang="bg-BG" sz="1050">
              <a:latin typeface="EC Square Sans Cond Pro" panose="020B0506040000020004" pitchFamily="34" charset="0"/>
            </a:rPr>
            <a:t>Евростат</a:t>
          </a:r>
          <a:endParaRPr lang="en-IE" sz="1050">
            <a:latin typeface="EC Square Sans Cond Pro" panose="020B0506040000020004" pitchFamily="34" charset="0"/>
          </a:endParaRPr>
        </a:p>
      </cdr:txBody>
    </cdr:sp>
  </cdr:relSizeAnchor>
</c:userShapes>
</file>

<file path=word/theme/theme1.xml><?xml version="1.0" encoding="utf-8"?>
<a:theme xmlns:a="http://schemas.openxmlformats.org/drawingml/2006/main" name="Office Theme">
  <a:themeElements>
    <a:clrScheme name="Democracy">
      <a:dk1>
        <a:sysClr val="windowText" lastClr="000000"/>
      </a:dk1>
      <a:lt1>
        <a:sysClr val="window" lastClr="FFFFFF"/>
      </a:lt1>
      <a:dk2>
        <a:srgbClr val="1F497D"/>
      </a:dk2>
      <a:lt2>
        <a:srgbClr val="EEECE1"/>
      </a:lt2>
      <a:accent1>
        <a:srgbClr val="FFC000"/>
      </a:accent1>
      <a:accent2>
        <a:srgbClr val="00ADDC"/>
      </a:accent2>
      <a:accent3>
        <a:srgbClr val="0070C0"/>
      </a:accent3>
      <a:accent4>
        <a:srgbClr val="1D2C65"/>
      </a:accent4>
      <a:accent5>
        <a:srgbClr val="5FDFDC"/>
      </a:accent5>
      <a:accent6>
        <a:srgbClr val="EB6E19"/>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A6791DDFFC024DAA4136D92359EB10" ma:contentTypeVersion="16" ma:contentTypeDescription="Create a new document." ma:contentTypeScope="" ma:versionID="9a7603c524114638343658be406d78a5">
  <xsd:schema xmlns:xsd="http://www.w3.org/2001/XMLSchema" xmlns:xs="http://www.w3.org/2001/XMLSchema" xmlns:p="http://schemas.microsoft.com/office/2006/metadata/properties" xmlns:ns1="http://schemas.microsoft.com/sharepoint/v3" xmlns:ns2="cce4269c-1bca-4c47-bcbd-0ca0cb14aa6e" xmlns:ns3="96a7f24e-e0df-4592-b6e0-4a62e251a0e5" targetNamespace="http://schemas.microsoft.com/office/2006/metadata/properties" ma:root="true" ma:fieldsID="89cdbf63be496cba8f4c6891d88c3452" ns1:_="" ns2:_="" ns3:_="">
    <xsd:import namespace="http://schemas.microsoft.com/sharepoint/v3"/>
    <xsd:import namespace="cce4269c-1bca-4c47-bcbd-0ca0cb14aa6e"/>
    <xsd:import namespace="96a7f24e-e0df-4592-b6e0-4a62e251a0e5"/>
    <xsd:element name="properties">
      <xsd:complexType>
        <xsd:sequence>
          <xsd:element name="documentManagement">
            <xsd:complexType>
              <xsd:all>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Language"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ce4269c-1bca-4c47-bcbd-0ca0cb14aa6e" elementFormDefault="qualified">
    <xsd:import namespace="http://schemas.microsoft.com/office/2006/documentManagement/types"/>
    <xsd:import namespace="http://schemas.microsoft.com/office/infopath/2007/PartnerControls"/>
    <xsd:element name="Topic" ma:index="8" nillable="true" ma:displayName="Topic" ma:format="Dropdown" ma:internalName="Topic">
      <xsd:complexType>
        <xsd:complexContent>
          <xsd:extension base="dms:MultiChoice">
            <xsd:sequence>
              <xsd:element name="Value" maxOccurs="unbounded" minOccurs="0" nillable="true">
                <xsd:simpleType>
                  <xsd:restriction base="dms:Choice">
                    <xsd:enumeration value="FISMA"/>
                    <xsd:enumeration value="ESTAT"/>
                    <xsd:enumeration value="TAXUD"/>
                    <xsd:enumeration value="BUDGET"/>
                    <xsd:enumeration value="MANAGEMENT"/>
                    <xsd:enumeration value="LPPS"/>
                    <xsd:enumeration value="Choice 7"/>
                  </xsd:restriction>
                </xsd:simple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a7f24e-e0df-4592-b6e0-4a62e251a0e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ddeed7-3f14-4cbc-be1d-0468071a0c24}" ma:internalName="TaxCatchAll" ma:showField="CatchAllData" ma:web="96a7f24e-e0df-4592-b6e0-4a62e251a0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opic xmlns="cce4269c-1bca-4c47-bcbd-0ca0cb14aa6e" xsi:nil="true"/>
    <TaxCatchAll xmlns="96a7f24e-e0df-4592-b6e0-4a62e251a0e5" xsi:nil="true"/>
    <lcf76f155ced4ddcb4097134ff3c332f xmlns="cce4269c-1bca-4c47-bcbd-0ca0cb14aa6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2EB72-E56D-49CC-90E9-5590CEA4B168}">
  <ds:schemaRefs>
    <ds:schemaRef ds:uri="http://schemas.microsoft.com/sharepoint/v3/contenttype/forms"/>
  </ds:schemaRefs>
</ds:datastoreItem>
</file>

<file path=customXml/itemProps2.xml><?xml version="1.0" encoding="utf-8"?>
<ds:datastoreItem xmlns:ds="http://schemas.openxmlformats.org/officeDocument/2006/customXml" ds:itemID="{C970C528-603E-4F98-BBE2-84B543A44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e4269c-1bca-4c47-bcbd-0ca0cb14aa6e"/>
    <ds:schemaRef ds:uri="96a7f24e-e0df-4592-b6e0-4a62e251a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C0915C-A0EC-4882-BEC9-AF7316653FC3}">
  <ds:schemaRefs>
    <ds:schemaRef ds:uri="http://schemas.microsoft.com/office/2006/metadata/properties"/>
    <ds:schemaRef ds:uri="http://schemas.microsoft.com/office/infopath/2007/PartnerControls"/>
    <ds:schemaRef ds:uri="http://schemas.microsoft.com/sharepoint/v3"/>
    <ds:schemaRef ds:uri="cce4269c-1bca-4c47-bcbd-0ca0cb14aa6e"/>
    <ds:schemaRef ds:uri="96a7f24e-e0df-4592-b6e0-4a62e251a0e5"/>
  </ds:schemaRefs>
</ds:datastoreItem>
</file>

<file path=customXml/itemProps4.xml><?xml version="1.0" encoding="utf-8"?>
<ds:datastoreItem xmlns:ds="http://schemas.openxmlformats.org/officeDocument/2006/customXml" ds:itemID="{1C6AC07B-99DF-471A-B4A9-10BFC8020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9736</Words>
  <Characters>57155</Characters>
  <Application>Microsoft Office Word</Application>
  <DocSecurity>0</DocSecurity>
  <Lines>936</Lines>
  <Paragraphs>164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66727</CharactersWithSpaces>
  <SharedDoc>false</SharedDoc>
  <HLinks>
    <vt:vector size="6" baseType="variant">
      <vt:variant>
        <vt:i4>655390</vt:i4>
      </vt:variant>
      <vt:variant>
        <vt:i4>0</vt:i4>
      </vt:variant>
      <vt:variant>
        <vt:i4>0</vt:i4>
      </vt:variant>
      <vt:variant>
        <vt:i4>5</vt:i4>
      </vt:variant>
      <vt:variant>
        <vt:lpwstr>https://knowsdgs.jrc.ec.europa.eu/cfc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2023-10-08T09:48:00Z</dcterms:created>
  <dcterms:modified xsi:type="dcterms:W3CDTF">2023-10-20T13:41:00Z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2023-09-20T15:06:19Z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a86e63f8-2795-4680-9480-17587fb6c5bb</vt:lpwstr>
  </property>
  <property fmtid="{D5CDD505-2E9C-101B-9397-08002B2CF9AE}" pid="8" name="MSIP_Label_6bd9ddd1-4d20-43f6-abfa-fc3c07406f94_ContentBits">
    <vt:lpwstr>0</vt:lpwstr>
  </property>
  <property fmtid="{D5CDD505-2E9C-101B-9397-08002B2CF9AE}" pid="9" name="ContentTypeId">
    <vt:lpwstr>0x0101008BA6791DDFFC024DAA4136D92359EB10</vt:lpwstr>
  </property>
  <property fmtid="{D5CDD505-2E9C-101B-9397-08002B2CF9AE}" pid="10" name="Level of sensitivity">
    <vt:lpwstr>Standard treatment</vt:lpwstr>
  </property>
  <property fmtid="{D5CDD505-2E9C-101B-9397-08002B2CF9AE}" pid="11" name="Last edited using">
    <vt:lpwstr>LW 9.0, Build 20230317</vt:lpwstr>
  </property>
  <property fmtid="{D5CDD505-2E9C-101B-9397-08002B2CF9AE}" pid="12" name="DocStatus">
    <vt:lpwstr>Green</vt:lpwstr>
  </property>
  <property fmtid="{D5CDD505-2E9C-101B-9397-08002B2CF9AE}" pid="13" name="Part">
    <vt:lpwstr>1</vt:lpwstr>
  </property>
  <property fmtid="{D5CDD505-2E9C-101B-9397-08002B2CF9AE}" pid="14" name="Total parts">
    <vt:lpwstr>1</vt:lpwstr>
  </property>
  <property fmtid="{D5CDD505-2E9C-101B-9397-08002B2CF9AE}" pid="15" name="CPTemplateID">
    <vt:lpwstr>CP-014</vt:lpwstr>
  </property>
  <property fmtid="{D5CDD505-2E9C-101B-9397-08002B2CF9AE}" pid="16" name="MediaServiceImageTags">
    <vt:lpwstr/>
  </property>
</Properties>
</file>