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DCB67" w14:textId="2BD6F06B" w:rsidR="00A577DD" w:rsidRPr="00BB1F09" w:rsidRDefault="00D37BD6" w:rsidP="00D37BD6">
      <w:pPr>
        <w:pStyle w:val="Pagedecouverture"/>
        <w:rPr>
          <w:noProof/>
        </w:rPr>
      </w:pPr>
      <w:bookmarkStart w:id="0" w:name="_Hlk124758325"/>
      <w:r>
        <w:rPr>
          <w:noProof/>
        </w:rPr>
        <w:pict w14:anchorId="71C19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A0D09FB-8462-4202-8D7E-D0C945714428" style="width:455.25pt;height:438.75pt">
            <v:imagedata r:id="rId8" o:title=""/>
          </v:shape>
        </w:pict>
      </w:r>
    </w:p>
    <w:p w14:paraId="4DA103B0" w14:textId="77777777" w:rsidR="00A577DD" w:rsidRPr="00BB1F09" w:rsidRDefault="00A577DD" w:rsidP="00A577DD">
      <w:pPr>
        <w:rPr>
          <w:noProof/>
        </w:rPr>
        <w:sectPr w:rsidR="00A577DD" w:rsidRPr="00BB1F09" w:rsidSect="00D37BD6">
          <w:footerReference w:type="default" r:id="rId9"/>
          <w:pgSz w:w="11907" w:h="16839"/>
          <w:pgMar w:top="1134" w:right="1417" w:bottom="1134" w:left="1417" w:header="709" w:footer="709" w:gutter="0"/>
          <w:pgNumType w:start="0"/>
          <w:cols w:space="720"/>
          <w:docGrid w:linePitch="360"/>
        </w:sectPr>
      </w:pPr>
    </w:p>
    <w:p w14:paraId="3517458A" w14:textId="77777777" w:rsidR="00B86C65" w:rsidRPr="00BB1F09" w:rsidRDefault="00B86C65" w:rsidP="00B86C65">
      <w:pPr>
        <w:pStyle w:val="Exposdesmotifstitre"/>
        <w:rPr>
          <w:noProof/>
        </w:rPr>
      </w:pPr>
      <w:bookmarkStart w:id="1" w:name="_GoBack"/>
      <w:bookmarkEnd w:id="1"/>
      <w:r w:rsidRPr="00BB1F09">
        <w:rPr>
          <w:noProof/>
        </w:rPr>
        <w:lastRenderedPageBreak/>
        <w:t>INDOKOLÁS</w:t>
      </w:r>
    </w:p>
    <w:p w14:paraId="58D3875D" w14:textId="77777777" w:rsidR="00A577DD" w:rsidRPr="00BB1F09" w:rsidRDefault="00A577DD" w:rsidP="00A577DD">
      <w:pPr>
        <w:pStyle w:val="ManualHeading1"/>
        <w:rPr>
          <w:noProof/>
        </w:rPr>
      </w:pPr>
      <w:r w:rsidRPr="00BB1F09">
        <w:rPr>
          <w:noProof/>
        </w:rPr>
        <w:t>1.</w:t>
      </w:r>
      <w:r w:rsidRPr="00BB1F09">
        <w:rPr>
          <w:noProof/>
        </w:rPr>
        <w:tab/>
        <w:t>A JAVASLAT TÁRGYA</w:t>
      </w:r>
    </w:p>
    <w:p w14:paraId="179F9188" w14:textId="3C6D4CDF" w:rsidR="00F22135" w:rsidRPr="00BB1F09" w:rsidRDefault="00A577DD" w:rsidP="00F22135">
      <w:pPr>
        <w:rPr>
          <w:b/>
          <w:smallCaps/>
          <w:noProof/>
        </w:rPr>
      </w:pPr>
      <w:r w:rsidRPr="00BB1F09">
        <w:rPr>
          <w:noProof/>
        </w:rPr>
        <w:t>E javaslat tárgya az ENSZ Európai Gazdasági Bizottsága (ENSZ EGB) által működtetett Járműelőírások Harmonizálása Világfórumon (a továbbiakban: 29. munkacsoport) már meglévő ENSZ-előírások módosításainak, egy kölcsönösen elfogadott határozatnak és két új ENSZ-előírásnak az elfogadásával kapcsolatban képviselendő uniós álláspontról szóló határozat.</w:t>
      </w:r>
    </w:p>
    <w:p w14:paraId="100B4913" w14:textId="77777777" w:rsidR="00A577DD" w:rsidRPr="00BB1F09" w:rsidRDefault="00A577DD" w:rsidP="00A577DD">
      <w:pPr>
        <w:pStyle w:val="ManualHeading1"/>
        <w:rPr>
          <w:noProof/>
        </w:rPr>
      </w:pPr>
      <w:r w:rsidRPr="00BB1F09">
        <w:rPr>
          <w:noProof/>
        </w:rPr>
        <w:t>2.</w:t>
      </w:r>
      <w:r w:rsidRPr="00BB1F09">
        <w:rPr>
          <w:noProof/>
        </w:rPr>
        <w:tab/>
        <w:t>A JAVASLAT HÁTTERE</w:t>
      </w:r>
    </w:p>
    <w:p w14:paraId="1BFF20D1" w14:textId="77777777" w:rsidR="00A577DD" w:rsidRPr="00BB1F09" w:rsidRDefault="00A577DD" w:rsidP="00E573C2">
      <w:pPr>
        <w:pStyle w:val="ManualHeading2"/>
        <w:rPr>
          <w:noProof/>
        </w:rPr>
      </w:pPr>
      <w:r w:rsidRPr="00BB1F09">
        <w:rPr>
          <w:noProof/>
        </w:rPr>
        <w:t>2.1.</w:t>
      </w:r>
      <w:r w:rsidRPr="00BB1F09">
        <w:rPr>
          <w:noProof/>
        </w:rPr>
        <w:tab/>
        <w:t>Az 1958. évi felülvizsgált megállapodás és a párhuzamos megállapodás</w:t>
      </w:r>
    </w:p>
    <w:p w14:paraId="259AAD45" w14:textId="77777777" w:rsidR="005638C0" w:rsidRPr="00BB1F09" w:rsidRDefault="005638C0" w:rsidP="00A577DD">
      <w:pPr>
        <w:rPr>
          <w:noProof/>
        </w:rPr>
      </w:pPr>
      <w:r w:rsidRPr="00BB1F09">
        <w:rPr>
          <w:noProof/>
        </w:rPr>
        <w:t>Két megállapodás van hatályban olyan harmonizált követelmények kidolgozásáról, amelyek az ENSZ Európai Gazdasági Bizottsága (ENSZ EGB) szerződő felei közötti gépjármű-kereskedelem technikai akadályait hivatottak felszámolni, valamint biztosítani kívánják, hogy a gépjárművek nagy fokú biztonságot nyújtsanak és óvják a környezetet. Ezek a következők:</w:t>
      </w:r>
    </w:p>
    <w:p w14:paraId="39F60483" w14:textId="77777777" w:rsidR="005638C0" w:rsidRPr="00BB1F09" w:rsidRDefault="00DC2B6E" w:rsidP="00745A28">
      <w:pPr>
        <w:pStyle w:val="Tiret0"/>
        <w:numPr>
          <w:ilvl w:val="0"/>
          <w:numId w:val="11"/>
        </w:numPr>
        <w:rPr>
          <w:noProof/>
        </w:rPr>
      </w:pPr>
      <w:r w:rsidRPr="00BB1F09">
        <w:rPr>
          <w:noProof/>
        </w:rPr>
        <w:t xml:space="preserve">a kerekes járművekre és az azokba szerelhető, illetve az azokon használható berendezésekre és tartozékokra vonatkozó egységes műszaki előírások elfogadásáról, valamint az ezen előírások alapján kibocsátott jóváhagyások kölcsönös elismerésének feltételeiről szóló ENSZ EGB-megállapodás (a továbbiakban: az 1958. évi felülvizsgált megállapodás); valamint </w:t>
      </w:r>
    </w:p>
    <w:p w14:paraId="2E17E444" w14:textId="77777777" w:rsidR="00BD4A91" w:rsidRPr="00BB1F09" w:rsidRDefault="00A577DD" w:rsidP="00745A28">
      <w:pPr>
        <w:pStyle w:val="Tiret0"/>
        <w:rPr>
          <w:noProof/>
        </w:rPr>
      </w:pPr>
      <w:r w:rsidRPr="00BB1F09">
        <w:rPr>
          <w:noProof/>
        </w:rPr>
        <w:t xml:space="preserve">a kerekes járművekről, valamint a kerekes járművekre felszerelhető és/vagy azokon használható berendezésekre és felszerelésekre vonatkozó globális műszaki előírások kidolgozásáról szóló megállapodás (a továbbiakban: párhuzamos megállapodás). </w:t>
      </w:r>
    </w:p>
    <w:p w14:paraId="659CD3E6" w14:textId="77777777" w:rsidR="00A577DD" w:rsidRPr="00BB1F09" w:rsidRDefault="00A577DD" w:rsidP="00A577DD">
      <w:pPr>
        <w:rPr>
          <w:noProof/>
        </w:rPr>
      </w:pPr>
      <w:r w:rsidRPr="00BB1F09">
        <w:rPr>
          <w:noProof/>
        </w:rPr>
        <w:t>A megállapodások az EU vonatkozásában 1998. március 24-én, illetve 2000. február 15-én léptek hatályba. A megállapodásokkal kapcsolatos munkákat a 29. munkacsoport felügyeli.</w:t>
      </w:r>
    </w:p>
    <w:p w14:paraId="4C7A1E88" w14:textId="77777777" w:rsidR="00A577DD" w:rsidRPr="00BB1F09" w:rsidRDefault="00A577DD" w:rsidP="00E573C2">
      <w:pPr>
        <w:pStyle w:val="ManualHeading2"/>
        <w:rPr>
          <w:noProof/>
        </w:rPr>
      </w:pPr>
      <w:r w:rsidRPr="00BB1F09">
        <w:rPr>
          <w:noProof/>
        </w:rPr>
        <w:t xml:space="preserve">2.2. </w:t>
      </w:r>
      <w:r w:rsidRPr="00BB1F09">
        <w:rPr>
          <w:noProof/>
        </w:rPr>
        <w:tab/>
        <w:t>Az ENSZ EGB keretében működő Járműelőírások Harmonizálása Világfórum</w:t>
      </w:r>
    </w:p>
    <w:p w14:paraId="03F22A8A" w14:textId="77777777" w:rsidR="00A577DD" w:rsidRPr="00BB1F09" w:rsidRDefault="00A577DD" w:rsidP="00A577DD">
      <w:pPr>
        <w:rPr>
          <w:noProof/>
        </w:rPr>
      </w:pPr>
      <w:r w:rsidRPr="00BB1F09">
        <w:rPr>
          <w:noProof/>
        </w:rPr>
        <w:t>A 29. munkacsoport egyedülálló keretet biztosít a gépjárművekkel kapcsolatos előírások globális összehangolásához. Ez egy állandó munkacsoport az ENSZ intézményi keretén belül, amelynek külön megbízatása és eljárási szabályzata van. Globális fórumként működik, ahol az érdekeltek szabadon megvitathatják a gépjárművekre vonatkozó előírásokat, valamint az 1958. évi felülvizsgált megállapodás és a párhuzamos megállapodás végrehajtását. Az ENSZ bármely tagállama, illetve az ENSZ tagállamai által létrehozott bármely regionális gazdasági integrációs szervezet teljeskörűen részt vehet a 29. munkacsoport tevékenységében, és a 29. munkacsoport által felügyelt, gépjárművekről szóló megállapodások szerződő felévé válhat. Az EU e megállapodásoknak</w:t>
      </w:r>
      <w:r w:rsidRPr="00BB1F09">
        <w:rPr>
          <w:rStyle w:val="FootnoteReference"/>
          <w:noProof/>
        </w:rPr>
        <w:footnoteReference w:id="1"/>
      </w:r>
      <w:r w:rsidRPr="00BB1F09">
        <w:rPr>
          <w:noProof/>
        </w:rPr>
        <w:t xml:space="preserve"> részes fele. </w:t>
      </w:r>
    </w:p>
    <w:p w14:paraId="7C56AF85" w14:textId="77777777" w:rsidR="00BD4A91" w:rsidRPr="00BB1F09" w:rsidRDefault="00A577DD" w:rsidP="00A577DD">
      <w:pPr>
        <w:rPr>
          <w:noProof/>
        </w:rPr>
      </w:pPr>
      <w:r w:rsidRPr="00BB1F09">
        <w:rPr>
          <w:noProof/>
        </w:rPr>
        <w:t>Az ENSZ EGB 29. munkacsoportja minden évben háromszor – márciusban, júniusban és novemberben – tart ülést. A technikai fejlődés figyelembevétele érdekében a 29. munkacsoport minden ülésen elfogadhat:</w:t>
      </w:r>
    </w:p>
    <w:p w14:paraId="249874C8" w14:textId="77777777" w:rsidR="00BD4A91" w:rsidRPr="00BB1F09" w:rsidRDefault="00A577DD" w:rsidP="008C391C">
      <w:pPr>
        <w:rPr>
          <w:noProof/>
        </w:rPr>
      </w:pPr>
      <w:r w:rsidRPr="00BB1F09">
        <w:rPr>
          <w:noProof/>
        </w:rPr>
        <w:t>új ENSZ-előírásokat;</w:t>
      </w:r>
    </w:p>
    <w:p w14:paraId="07C4F30D" w14:textId="77777777" w:rsidR="00BD4A91" w:rsidRPr="00BB1F09" w:rsidRDefault="00EB543D" w:rsidP="008C391C">
      <w:pPr>
        <w:rPr>
          <w:noProof/>
        </w:rPr>
      </w:pPr>
      <w:r w:rsidRPr="00BB1F09">
        <w:rPr>
          <w:noProof/>
        </w:rPr>
        <w:t>új ENSZ-határozatokat;</w:t>
      </w:r>
    </w:p>
    <w:p w14:paraId="29ACFDC2" w14:textId="0B35B928" w:rsidR="00BD4A91" w:rsidRPr="00BB1F09" w:rsidRDefault="00A577DD" w:rsidP="008C391C">
      <w:pPr>
        <w:rPr>
          <w:noProof/>
        </w:rPr>
      </w:pPr>
      <w:r w:rsidRPr="00BB1F09">
        <w:rPr>
          <w:noProof/>
        </w:rPr>
        <w:t>új globális műszaki előírásokat (GTR-ek);</w:t>
      </w:r>
    </w:p>
    <w:p w14:paraId="6C8FD29E" w14:textId="77777777" w:rsidR="00BD4A91" w:rsidRPr="00BB1F09" w:rsidRDefault="00A577DD" w:rsidP="008C391C">
      <w:pPr>
        <w:rPr>
          <w:noProof/>
        </w:rPr>
      </w:pPr>
      <w:r w:rsidRPr="00BB1F09">
        <w:rPr>
          <w:noProof/>
        </w:rPr>
        <w:t>az 1958. évi felülvizsgált megállapodás szerinti ENSZ-előírások és -határozatok módosításait; valamint</w:t>
      </w:r>
    </w:p>
    <w:p w14:paraId="648FDAC0" w14:textId="77777777" w:rsidR="00BD4A91" w:rsidRPr="00BB1F09" w:rsidRDefault="00A577DD" w:rsidP="008C391C">
      <w:pPr>
        <w:rPr>
          <w:noProof/>
        </w:rPr>
      </w:pPr>
      <w:r w:rsidRPr="00BB1F09">
        <w:rPr>
          <w:noProof/>
        </w:rPr>
        <w:t>a párhuzamos megállapodás szerinti GTR-ek és határozatok módosításait.</w:t>
      </w:r>
    </w:p>
    <w:p w14:paraId="7DC7F28E" w14:textId="77777777" w:rsidR="00A577DD" w:rsidRPr="00BB1F09" w:rsidRDefault="00B93651" w:rsidP="00A577DD">
      <w:pPr>
        <w:rPr>
          <w:noProof/>
        </w:rPr>
      </w:pPr>
      <w:r w:rsidRPr="00BB1F09">
        <w:rPr>
          <w:noProof/>
        </w:rPr>
        <w:t>A 29. munkacsoport üléseit megelőzően ezeket a módosításokat szakmai szempontból megvitatják a 29. munkacsoport szakosodott kisegítő testületei.</w:t>
      </w:r>
    </w:p>
    <w:p w14:paraId="7AB1269F" w14:textId="77777777" w:rsidR="00B93651" w:rsidRPr="00BB1F09" w:rsidRDefault="00A577DD" w:rsidP="00A577DD">
      <w:pPr>
        <w:rPr>
          <w:noProof/>
        </w:rPr>
      </w:pPr>
      <w:r w:rsidRPr="00BB1F09">
        <w:rPr>
          <w:noProof/>
        </w:rPr>
        <w:t>Ezt követően a 29. munkacsoport javaslatokat fogadhat el:</w:t>
      </w:r>
    </w:p>
    <w:p w14:paraId="79239779" w14:textId="77777777" w:rsidR="00B93651" w:rsidRPr="00BB1F09" w:rsidRDefault="00A577DD" w:rsidP="008C391C">
      <w:pPr>
        <w:rPr>
          <w:noProof/>
        </w:rPr>
      </w:pPr>
      <w:r w:rsidRPr="00BB1F09">
        <w:rPr>
          <w:noProof/>
        </w:rPr>
        <w:t>az 1958. évi felülvizsgált megállapodás szerinti javaslatok esetében a jelen lévő szerződő felek minősített többségével; vagy</w:t>
      </w:r>
    </w:p>
    <w:p w14:paraId="6576E495" w14:textId="77777777" w:rsidR="00A577DD" w:rsidRPr="00BB1F09" w:rsidRDefault="00A577DD" w:rsidP="008C391C">
      <w:pPr>
        <w:rPr>
          <w:noProof/>
        </w:rPr>
      </w:pPr>
      <w:r w:rsidRPr="00BB1F09">
        <w:rPr>
          <w:noProof/>
        </w:rPr>
        <w:t xml:space="preserve">a párhuzamos megállapodás szerinti javaslatok esetében a jelen lévő részes felek egyhangú szavazatával. </w:t>
      </w:r>
    </w:p>
    <w:p w14:paraId="1D2C0A10" w14:textId="77777777" w:rsidR="00B93651" w:rsidRPr="00BB1F09" w:rsidRDefault="00B93651" w:rsidP="00A577DD">
      <w:pPr>
        <w:rPr>
          <w:noProof/>
        </w:rPr>
      </w:pPr>
      <w:r w:rsidRPr="00BB1F09">
        <w:rPr>
          <w:noProof/>
        </w:rPr>
        <w:t>A 29. munkacsoport minden ülését megelőzően az Európai Unió működéséről szóló szerződés (EUMSZ) 218. cikkének (9) bekezdése szerinti tanácsi határozat kerül elfogadásra, amely meghatározza a következőkkel kapcsolatban az EU által képviselendő álláspontot:</w:t>
      </w:r>
    </w:p>
    <w:p w14:paraId="3D8ACACD" w14:textId="77777777" w:rsidR="00244237" w:rsidRPr="00BB1F09" w:rsidRDefault="00A577DD" w:rsidP="008C391C">
      <w:pPr>
        <w:rPr>
          <w:noProof/>
        </w:rPr>
      </w:pPr>
      <w:r w:rsidRPr="00BB1F09">
        <w:rPr>
          <w:noProof/>
        </w:rPr>
        <w:t>új ENSZ-előírások, GTR-ek és ENSZ-határozatok; valamint</w:t>
      </w:r>
    </w:p>
    <w:p w14:paraId="1092DCCA" w14:textId="77777777" w:rsidR="00A577DD" w:rsidRPr="00BB1F09" w:rsidRDefault="00A577DD" w:rsidP="008C391C">
      <w:pPr>
        <w:rPr>
          <w:noProof/>
        </w:rPr>
      </w:pPr>
      <w:r w:rsidRPr="00BB1F09">
        <w:rPr>
          <w:noProof/>
        </w:rPr>
        <w:t xml:space="preserve">a meglévő ENSZ-előírások, GTR-ek és ENSZ-határozatok módosításai, kiegészítései és helyesbítései. </w:t>
      </w:r>
    </w:p>
    <w:p w14:paraId="6D2CDB57" w14:textId="77777777" w:rsidR="00A577DD" w:rsidRPr="00BB1F09" w:rsidRDefault="00A577DD" w:rsidP="00E573C2">
      <w:pPr>
        <w:pStyle w:val="ManualHeading2"/>
        <w:rPr>
          <w:noProof/>
        </w:rPr>
      </w:pPr>
      <w:r w:rsidRPr="00BB1F09">
        <w:rPr>
          <w:noProof/>
        </w:rPr>
        <w:t xml:space="preserve">2.3. </w:t>
      </w:r>
      <w:r w:rsidRPr="00BB1F09">
        <w:rPr>
          <w:noProof/>
        </w:rPr>
        <w:tab/>
        <w:t>A 29. munkacsoport tervezett jogi aktusa</w:t>
      </w:r>
    </w:p>
    <w:p w14:paraId="6CE78E04" w14:textId="349701EF" w:rsidR="00972922" w:rsidRPr="00BB1F09" w:rsidRDefault="00972922" w:rsidP="00A577DD">
      <w:pPr>
        <w:rPr>
          <w:noProof/>
        </w:rPr>
      </w:pPr>
      <w:r w:rsidRPr="00BB1F09">
        <w:rPr>
          <w:noProof/>
        </w:rPr>
        <w:t>A 29. munkacsoport a 2023. november 14–16-i 191. ülésszakán elfogadhatja a következőket:</w:t>
      </w:r>
    </w:p>
    <w:p w14:paraId="00504B28" w14:textId="2FCEE469" w:rsidR="00D71EDB" w:rsidRPr="00BB1F09" w:rsidRDefault="00D71EDB" w:rsidP="00A577DD">
      <w:pPr>
        <w:rPr>
          <w:noProof/>
        </w:rPr>
      </w:pPr>
      <w:r w:rsidRPr="00BB1F09">
        <w:rPr>
          <w:noProof/>
        </w:rPr>
        <w:t>a 0., 14., 16., 17., 24., 43., 48., 53., 74., 86., 90., 94., 95., 100., 122., 129., 134., 135., 137., 145., 149., 153., 154., 157., 160., 161. és 162. számú ENSZ-előírások módosításaira irányuló javaslatok;</w:t>
      </w:r>
    </w:p>
    <w:p w14:paraId="78B567C4" w14:textId="01CE122E" w:rsidR="00D71EDB" w:rsidRPr="00BB1F09" w:rsidRDefault="00D71EDB" w:rsidP="00D71EDB">
      <w:pPr>
        <w:rPr>
          <w:noProof/>
        </w:rPr>
      </w:pPr>
      <w:r w:rsidRPr="00BB1F09">
        <w:rPr>
          <w:noProof/>
        </w:rPr>
        <w:t>a nehézgépjárművek eseményadat-rögzítőiről, illetve a gyermekek autóbuszon történő biztonságosabb szállítását szolgáló gyermekbiztonsági rendszerekről szóló egy-egy új ENSZ-előírásra irányuló javaslatok; valamint</w:t>
      </w:r>
    </w:p>
    <w:p w14:paraId="2F1D5036" w14:textId="1C121190" w:rsidR="00D71EDB" w:rsidRPr="00BB1F09" w:rsidRDefault="00D71EDB" w:rsidP="00A577DD">
      <w:pPr>
        <w:rPr>
          <w:noProof/>
        </w:rPr>
      </w:pPr>
      <w:r w:rsidRPr="00BB1F09">
        <w:rPr>
          <w:noProof/>
        </w:rPr>
        <w:t>az ENSZ 1. számú kölcsönösen elfogadott határozatának módosítására irányuló javaslat.</w:t>
      </w:r>
    </w:p>
    <w:p w14:paraId="0015F5B1" w14:textId="77777777" w:rsidR="00A577DD" w:rsidRPr="00BB1F09" w:rsidRDefault="00A577DD" w:rsidP="00A577DD">
      <w:pPr>
        <w:pStyle w:val="ManualHeading1"/>
        <w:rPr>
          <w:noProof/>
        </w:rPr>
      </w:pPr>
      <w:r w:rsidRPr="00BB1F09">
        <w:rPr>
          <w:noProof/>
        </w:rPr>
        <w:t xml:space="preserve">3. </w:t>
      </w:r>
      <w:r w:rsidRPr="00BB1F09">
        <w:rPr>
          <w:noProof/>
        </w:rPr>
        <w:tab/>
        <w:t>AZ UNIÓ ÁLTAL KÉPVISELENDŐ ÁLLÁSPONT</w:t>
      </w:r>
    </w:p>
    <w:p w14:paraId="657F287E" w14:textId="77777777" w:rsidR="00A95DB4" w:rsidRPr="00BB1F09" w:rsidRDefault="00A577DD" w:rsidP="00A577DD">
      <w:pPr>
        <w:rPr>
          <w:noProof/>
        </w:rPr>
      </w:pPr>
      <w:r w:rsidRPr="00BB1F09">
        <w:rPr>
          <w:noProof/>
        </w:rPr>
        <w:t>A 29. munkacsoport működése elősegíti a járművekre vonatkozó szabványok nemzetközi összehangolását. Az 1958. évi felülvizsgált megállapodás kulcsszerepet játszik e célkitűzés elérésében. Az uniós gyártók annak tudatában alkalmazhatják a közös típusjóváhagyási előírásokat, hogy az általuk gyártott termékeket a szerződő felek a nemzeti jogszabályaiknak megfelelőként fogják elismerni.</w:t>
      </w:r>
    </w:p>
    <w:p w14:paraId="5A415585" w14:textId="77777777" w:rsidR="00A577DD" w:rsidRPr="00BB1F09" w:rsidRDefault="00A577DD" w:rsidP="00A577DD">
      <w:pPr>
        <w:rPr>
          <w:noProof/>
        </w:rPr>
      </w:pPr>
      <w:r w:rsidRPr="00BB1F09">
        <w:rPr>
          <w:noProof/>
        </w:rPr>
        <w:t>Így a gépjárművek általános biztonságáról szóló 661/2009/EK rendelettel több mint 50 uniós irányelvet hatályon kívül lehetett helyezni és az 1958. évi felülvizsgált megállapodás keretében elfogadott megfelelő előírásokkal fel lehetett váltani.</w:t>
      </w:r>
    </w:p>
    <w:p w14:paraId="177ABE70" w14:textId="77777777" w:rsidR="00A577DD" w:rsidRPr="00BB1F09" w:rsidRDefault="00A577DD" w:rsidP="00A577DD">
      <w:pPr>
        <w:rPr>
          <w:noProof/>
        </w:rPr>
      </w:pPr>
      <w:r w:rsidRPr="00BB1F09">
        <w:rPr>
          <w:noProof/>
        </w:rPr>
        <w:t>Az (EU) 2018/858 európai parlamenti és tanácsi rendelet</w:t>
      </w:r>
      <w:r w:rsidRPr="00BB1F09">
        <w:rPr>
          <w:rStyle w:val="FootnoteReference"/>
          <w:noProof/>
        </w:rPr>
        <w:footnoteReference w:id="2"/>
      </w:r>
      <w:r w:rsidRPr="00BB1F09">
        <w:rPr>
          <w:noProof/>
        </w:rPr>
        <w:t xml:space="preserve"> hasonló megközelítést követ. Közigazgatási rendelkezéseket és műszaki követelményeket állapít meg minden új jármű, rendszer, alkotóelem és önálló műszaki egység típusjóváhagyására és forgalomba hozatalára vonatkozóan. Az említett rendelet típusjóváhagyási követelmények formájában vagy az uniós jogszabályok alternatíváiként beépíti az 1958. évi felülvizsgált megállapodás alapján elfogadott előírásokat az EU típusjóváhagyási rendszerébe. </w:t>
      </w:r>
    </w:p>
    <w:p w14:paraId="5AE89079" w14:textId="77777777" w:rsidR="00A577DD" w:rsidRPr="00BB1F09" w:rsidRDefault="00A577DD" w:rsidP="00A577DD">
      <w:pPr>
        <w:rPr>
          <w:noProof/>
        </w:rPr>
      </w:pPr>
      <w:r w:rsidRPr="00BB1F09">
        <w:rPr>
          <w:noProof/>
        </w:rPr>
        <w:t xml:space="preserve">Amint a 29. munkacsoport elfogad egy új ENSZ-előírásra vagy egy már létező ENSZ-előírás módosítására irányuló javaslatot, az ENSZ EGB ügyvezető titkára értesíti a szerződő feleket a vonatkozó jogi aktusról. A jogi aktus hatályba lép, kivéve, ha a szerződő felek blokkoló kisebbsége hat hónapon belül kifogást emel. Ezt követően minden szerződő fél átültetheti a jogi aktust nemzeti jogrendjébe. Az Európai Unióban az átültetés azt követően válik befejezetté, hogy a jogi aktust kihirdették az </w:t>
      </w:r>
      <w:r w:rsidRPr="00BB1F09">
        <w:rPr>
          <w:i/>
          <w:iCs/>
          <w:noProof/>
        </w:rPr>
        <w:t>Európai Unió Hivatalos Lapjában</w:t>
      </w:r>
      <w:r w:rsidRPr="00BB1F09">
        <w:rPr>
          <w:noProof/>
        </w:rPr>
        <w:t xml:space="preserve">. </w:t>
      </w:r>
    </w:p>
    <w:p w14:paraId="26FB5E3B" w14:textId="77777777" w:rsidR="00A577DD" w:rsidRPr="00BB1F09" w:rsidRDefault="007A1839" w:rsidP="00E573C2">
      <w:pPr>
        <w:rPr>
          <w:b/>
          <w:smallCaps/>
          <w:noProof/>
        </w:rPr>
      </w:pPr>
      <w:r w:rsidRPr="00BB1F09">
        <w:rPr>
          <w:noProof/>
        </w:rPr>
        <w:t>A következő jogi aktusokkal kapcsolatban kell uniós álláspontot kialakítani:</w:t>
      </w:r>
    </w:p>
    <w:p w14:paraId="145AC2F8" w14:textId="1BA67404" w:rsidR="006352AB" w:rsidRPr="00BB1F09" w:rsidRDefault="006352AB" w:rsidP="004E20E8">
      <w:pPr>
        <w:pStyle w:val="Tiret0"/>
        <w:numPr>
          <w:ilvl w:val="0"/>
          <w:numId w:val="10"/>
        </w:numPr>
        <w:spacing w:after="0"/>
        <w:ind w:right="141"/>
        <w:rPr>
          <w:noProof/>
        </w:rPr>
      </w:pPr>
      <w:r w:rsidRPr="00BB1F09">
        <w:rPr>
          <w:noProof/>
        </w:rPr>
        <w:t>a 0., 14., 16., 17., 24., 43., 48., 53., 74., 86., 90., 94., 95., 100., 122., 129., 134., 135., 137., 145., 149., 153., 154., 157., 160., 161. és 162. számú ENSZ-előírások módosítására irányuló javaslatok a következőkre vonatkozó rendelkezések aktualizálása érdekében:</w:t>
      </w:r>
    </w:p>
    <w:p w14:paraId="579993DB" w14:textId="76264C42" w:rsidR="00567807" w:rsidRPr="00BB1F09" w:rsidRDefault="00567807" w:rsidP="00D50061">
      <w:pPr>
        <w:pStyle w:val="Tiret0"/>
        <w:numPr>
          <w:ilvl w:val="0"/>
          <w:numId w:val="10"/>
        </w:numPr>
        <w:tabs>
          <w:tab w:val="clear" w:pos="850"/>
          <w:tab w:val="num" w:pos="1570"/>
        </w:tabs>
        <w:spacing w:after="0"/>
        <w:ind w:left="1570" w:right="141"/>
        <w:rPr>
          <w:noProof/>
        </w:rPr>
      </w:pPr>
      <w:r w:rsidRPr="00BB1F09">
        <w:rPr>
          <w:noProof/>
        </w:rPr>
        <w:t>nemzetközi egészjárműtípus-jóváhagyás: a nemzetközi egészjármű-típusjóváhagyás keretében alkalmazandó előírások új módosítássorozataira vonatkozó átmeneti rendelkezések aktualizálása;</w:t>
      </w:r>
    </w:p>
    <w:p w14:paraId="2C166F77" w14:textId="49E46C42" w:rsidR="00567807" w:rsidRPr="00BB1F09" w:rsidRDefault="00567807" w:rsidP="00D50061">
      <w:pPr>
        <w:pStyle w:val="Tiret0"/>
        <w:numPr>
          <w:ilvl w:val="0"/>
          <w:numId w:val="10"/>
        </w:numPr>
        <w:tabs>
          <w:tab w:val="clear" w:pos="850"/>
          <w:tab w:val="num" w:pos="1570"/>
        </w:tabs>
        <w:spacing w:after="0"/>
        <w:ind w:left="1570" w:right="141"/>
        <w:rPr>
          <w:noProof/>
        </w:rPr>
      </w:pPr>
      <w:r w:rsidRPr="00BB1F09">
        <w:rPr>
          <w:noProof/>
        </w:rPr>
        <w:t>biztonsági övek rögzítési pontjai: azon M</w:t>
      </w:r>
      <w:r w:rsidRPr="00BB1F09">
        <w:rPr>
          <w:noProof/>
          <w:vertAlign w:val="subscript"/>
        </w:rPr>
        <w:t>2</w:t>
      </w:r>
      <w:r w:rsidRPr="00BB1F09">
        <w:rPr>
          <w:noProof/>
        </w:rPr>
        <w:t xml:space="preserve"> és M</w:t>
      </w:r>
      <w:r w:rsidRPr="00BB1F09">
        <w:rPr>
          <w:noProof/>
          <w:vertAlign w:val="subscript"/>
        </w:rPr>
        <w:t>3</w:t>
      </w:r>
      <w:r w:rsidRPr="00BB1F09">
        <w:rPr>
          <w:noProof/>
        </w:rPr>
        <w:t xml:space="preserve"> kategóriájú járművekre vonatkozó aktualizálás, amelyekben a beépített gyermekbiztonsági rendszerrel szemben egy menetirányba néző ülés helyezkedik el, amely megakadályozza a felnőtt és a gyermek közötti ütközést;</w:t>
      </w:r>
    </w:p>
    <w:p w14:paraId="3FBC24B4" w14:textId="5B1A0EB8" w:rsidR="00567807" w:rsidRPr="00BB1F09" w:rsidRDefault="00567807" w:rsidP="00D50061">
      <w:pPr>
        <w:pStyle w:val="Tiret0"/>
        <w:numPr>
          <w:ilvl w:val="0"/>
          <w:numId w:val="10"/>
        </w:numPr>
        <w:tabs>
          <w:tab w:val="clear" w:pos="850"/>
          <w:tab w:val="num" w:pos="1570"/>
        </w:tabs>
        <w:spacing w:after="0"/>
        <w:ind w:left="1570" w:right="141"/>
        <w:rPr>
          <w:noProof/>
        </w:rPr>
      </w:pPr>
      <w:r w:rsidRPr="00BB1F09">
        <w:rPr>
          <w:noProof/>
        </w:rPr>
        <w:t>biztonsági övek: azon M</w:t>
      </w:r>
      <w:r w:rsidRPr="00BB1F09">
        <w:rPr>
          <w:noProof/>
          <w:vertAlign w:val="subscript"/>
        </w:rPr>
        <w:t>2</w:t>
      </w:r>
      <w:r w:rsidRPr="00BB1F09">
        <w:rPr>
          <w:noProof/>
        </w:rPr>
        <w:t xml:space="preserve"> és M</w:t>
      </w:r>
      <w:r w:rsidRPr="00BB1F09">
        <w:rPr>
          <w:noProof/>
          <w:vertAlign w:val="subscript"/>
        </w:rPr>
        <w:t>3</w:t>
      </w:r>
      <w:r w:rsidRPr="00BB1F09">
        <w:rPr>
          <w:noProof/>
        </w:rPr>
        <w:t xml:space="preserve"> kategóriájú járművekre vonatkozó aktualizálás, amelyekben a beépített gyermekbiztonsági rendszerrel szemben egy menetirányba néző ülés helyezkedik el, amely megakadályozza a felnőtt és a gyermek közötti ütközést;</w:t>
      </w:r>
    </w:p>
    <w:p w14:paraId="7EA686B7" w14:textId="7787DA4D" w:rsidR="00567807" w:rsidRPr="00BB1F09" w:rsidRDefault="00567807" w:rsidP="00D50061">
      <w:pPr>
        <w:pStyle w:val="Tiret0"/>
        <w:numPr>
          <w:ilvl w:val="0"/>
          <w:numId w:val="10"/>
        </w:numPr>
        <w:tabs>
          <w:tab w:val="clear" w:pos="850"/>
          <w:tab w:val="num" w:pos="1570"/>
        </w:tabs>
        <w:spacing w:after="0"/>
        <w:ind w:left="1570" w:right="141"/>
        <w:rPr>
          <w:noProof/>
        </w:rPr>
      </w:pPr>
      <w:r w:rsidRPr="00BB1F09">
        <w:rPr>
          <w:noProof/>
        </w:rPr>
        <w:t>ülések szilárdsága: aktualizálás annak érdekében, hogy az ülésekre valamennyi ülőhelyen és minden jármű-kategóriában csak biztonságos fejtámlákat lehessen felszerelni;</w:t>
      </w:r>
    </w:p>
    <w:p w14:paraId="15E1E1B8" w14:textId="1A844CD7" w:rsidR="00567807" w:rsidRPr="00BB1F09" w:rsidRDefault="00567807" w:rsidP="00B209C0">
      <w:pPr>
        <w:pStyle w:val="Tiret0"/>
        <w:numPr>
          <w:ilvl w:val="0"/>
          <w:numId w:val="10"/>
        </w:numPr>
        <w:tabs>
          <w:tab w:val="clear" w:pos="850"/>
          <w:tab w:val="num" w:pos="1570"/>
        </w:tabs>
        <w:spacing w:after="0"/>
        <w:ind w:left="1570" w:right="141"/>
        <w:rPr>
          <w:noProof/>
        </w:rPr>
      </w:pPr>
      <w:r w:rsidRPr="00BB1F09">
        <w:rPr>
          <w:noProof/>
        </w:rPr>
        <w:t>látható szennyező anyagok, a kompressziós gyújtású motorok teljesítményének mérése (dízelfüst): a kibocsátási vizsgálathoz szükséges referencia-tüzelőanyag használatára vonatkozó megfogalmazás pontosítása;</w:t>
      </w:r>
    </w:p>
    <w:p w14:paraId="0516572D" w14:textId="39AE1DE2" w:rsidR="00567807" w:rsidRPr="00BB1F09" w:rsidRDefault="00567807" w:rsidP="00D50061">
      <w:pPr>
        <w:pStyle w:val="Tiret0"/>
        <w:numPr>
          <w:ilvl w:val="0"/>
          <w:numId w:val="10"/>
        </w:numPr>
        <w:tabs>
          <w:tab w:val="clear" w:pos="850"/>
          <w:tab w:val="num" w:pos="1570"/>
        </w:tabs>
        <w:spacing w:after="0"/>
        <w:ind w:left="1570" w:right="141"/>
        <w:rPr>
          <w:noProof/>
        </w:rPr>
      </w:pPr>
      <w:r w:rsidRPr="00BB1F09">
        <w:rPr>
          <w:noProof/>
        </w:rPr>
        <w:t>biztonsági üvegezés: az M</w:t>
      </w:r>
      <w:r w:rsidRPr="00BB1F09">
        <w:rPr>
          <w:noProof/>
          <w:vertAlign w:val="subscript"/>
        </w:rPr>
        <w:t>2</w:t>
      </w:r>
      <w:r w:rsidRPr="00BB1F09">
        <w:rPr>
          <w:noProof/>
        </w:rPr>
        <w:t xml:space="preserve"> kategóriájú járművek szélvédőjének homályosító sötétítésével kapcsolatos mentességet bevezető aktualizálás, amely megkönnyíti a belső visszapillantó tükrök, valamint a nyitott platós tehergépkocsik különböző biztonsági és kényelmi jellemzőinek beépítését;</w:t>
      </w:r>
    </w:p>
    <w:p w14:paraId="37552885" w14:textId="77777777" w:rsidR="00567807" w:rsidRPr="00BB1F09" w:rsidRDefault="00567807" w:rsidP="00D50061">
      <w:pPr>
        <w:pStyle w:val="Tiret0"/>
        <w:numPr>
          <w:ilvl w:val="0"/>
          <w:numId w:val="10"/>
        </w:numPr>
        <w:tabs>
          <w:tab w:val="clear" w:pos="850"/>
          <w:tab w:val="num" w:pos="1570"/>
        </w:tabs>
        <w:spacing w:after="0"/>
        <w:ind w:left="1570" w:right="141"/>
        <w:rPr>
          <w:noProof/>
        </w:rPr>
      </w:pPr>
      <w:r w:rsidRPr="00BB1F09">
        <w:rPr>
          <w:noProof/>
        </w:rPr>
        <w:t xml:space="preserve">világító- és fényjelző berendezések beépítése a következőkbe: </w:t>
      </w:r>
    </w:p>
    <w:p w14:paraId="6E0907E4" w14:textId="3EB51CB5" w:rsidR="008B2EC0" w:rsidRPr="00BB1F09" w:rsidRDefault="00567807" w:rsidP="00333FD9">
      <w:pPr>
        <w:pStyle w:val="Tiret3"/>
        <w:numPr>
          <w:ilvl w:val="0"/>
          <w:numId w:val="12"/>
        </w:numPr>
        <w:rPr>
          <w:noProof/>
        </w:rPr>
      </w:pPr>
      <w:r w:rsidRPr="00BB1F09">
        <w:rPr>
          <w:noProof/>
        </w:rPr>
        <w:t xml:space="preserve">gépjárművek: a piros fényű lámpák elölről, illetve a fehér fényű lámpák hátulról való láthatóságára vonatkozó követelmények helyesbítése, valamint a vezetőtámogató rendszerek projekcióira vonatkozó követelmények aktualizálása, </w:t>
      </w:r>
    </w:p>
    <w:p w14:paraId="41A39BCC" w14:textId="14D6732D" w:rsidR="008B2EC0" w:rsidRPr="00BB1F09" w:rsidRDefault="00567807" w:rsidP="008B2EC0">
      <w:pPr>
        <w:pStyle w:val="Tiret3"/>
        <w:rPr>
          <w:noProof/>
        </w:rPr>
      </w:pPr>
      <w:r w:rsidRPr="00BB1F09">
        <w:rPr>
          <w:noProof/>
        </w:rPr>
        <w:t>L</w:t>
      </w:r>
      <w:r w:rsidRPr="00BB1F09">
        <w:rPr>
          <w:noProof/>
          <w:vertAlign w:val="subscript"/>
        </w:rPr>
        <w:t>3</w:t>
      </w:r>
      <w:r w:rsidRPr="00BB1F09">
        <w:rPr>
          <w:noProof/>
        </w:rPr>
        <w:t xml:space="preserve"> </w:t>
      </w:r>
      <w:bookmarkStart w:id="2" w:name="_Hlk146794702"/>
      <w:r w:rsidRPr="00BB1F09">
        <w:rPr>
          <w:noProof/>
        </w:rPr>
        <w:t>kategóriájú járművek: a régebbi lámpák/berendezések beépítésének fokozatos megszüntetését lehetővé tevő aktualizálás</w:t>
      </w:r>
      <w:bookmarkEnd w:id="2"/>
      <w:r w:rsidRPr="00BB1F09">
        <w:rPr>
          <w:noProof/>
        </w:rPr>
        <w:t xml:space="preserve">, </w:t>
      </w:r>
    </w:p>
    <w:p w14:paraId="7745C846" w14:textId="710BB3EF" w:rsidR="008B2EC0" w:rsidRPr="00BB1F09" w:rsidRDefault="005F1C31" w:rsidP="008B2EC0">
      <w:pPr>
        <w:pStyle w:val="Tiret3"/>
        <w:rPr>
          <w:noProof/>
        </w:rPr>
      </w:pPr>
      <w:r w:rsidRPr="00BB1F09">
        <w:rPr>
          <w:noProof/>
        </w:rPr>
        <w:t xml:space="preserve">mopedek: a régebbi lámpák/berendezések beépítésének fokozatos megszüntetését lehetővé tevő aktualizálás, valamint </w:t>
      </w:r>
    </w:p>
    <w:p w14:paraId="642AA6E3" w14:textId="67C46412" w:rsidR="008B2EC0" w:rsidRPr="00BB1F09" w:rsidRDefault="00567807" w:rsidP="008B2EC0">
      <w:pPr>
        <w:pStyle w:val="Tiret3"/>
        <w:rPr>
          <w:noProof/>
        </w:rPr>
      </w:pPr>
      <w:r w:rsidRPr="00BB1F09">
        <w:rPr>
          <w:noProof/>
        </w:rPr>
        <w:t>mezőgazdasági járművek: a régebbi lámpák/berendezések beépítésének fokozatos megszüntetését lehetővé tevő aktualizálás,</w:t>
      </w:r>
    </w:p>
    <w:p w14:paraId="6CA0D68F" w14:textId="5E7EB28B"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fékek cserealkatrészei: bizonyos fékbetétrészegységek csomagolására és címkézésére vonatkozó követelmények pontosítása;</w:t>
      </w:r>
    </w:p>
    <w:p w14:paraId="3DE0A084" w14:textId="5653B90B"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frontális ütközés: a hidrogénüzemű járművek ütközés utáni biztonságára vonatkozó követelményeket bevezető aktualizálás;</w:t>
      </w:r>
    </w:p>
    <w:p w14:paraId="35233E0A" w14:textId="607CCFB7"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oldalirányú ütközés: a hidrogénüzemű járművek ütközés utáni biztonságára vonatkozó követelményeket bevezető aktualizálás és különféle pontosítások;</w:t>
      </w:r>
    </w:p>
    <w:p w14:paraId="09A5F1C1" w14:textId="695E0D43"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elektromos hajtásláncú járművek: különféle pontosítások, beleértve a mechanikai épség vizsgálatának során végzett ütközés irányának pontosítását;</w:t>
      </w:r>
    </w:p>
    <w:p w14:paraId="02316309" w14:textId="67F71146"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fűtési rendszerek: az elektromos járművekben alkalmazható „sugárzó fűtés” új technológiájának bevezetését elősegítő aktualizálás;</w:t>
      </w:r>
    </w:p>
    <w:p w14:paraId="7C2C8545" w14:textId="73D8D592"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megerősített gyermekbiztonsági rendszerek: az egyetlen övvezetési útvonal elvének pontosítása, valamint az alsó hevederrögzítési pontokra vonatkozó követelményeket és vizsgálati eljárást bevezető aktualizálások;</w:t>
      </w:r>
    </w:p>
    <w:p w14:paraId="4BBE4676" w14:textId="0958DDAB"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hidrogén- és üzemanyagcellás járművek: a 13. számú GTR 2. szakaszának átültetése; </w:t>
      </w:r>
    </w:p>
    <w:p w14:paraId="2AB8C176" w14:textId="4CB8AB90"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oszlopnak való oldalirányú ütközés: a hidrogénüzemű járművek ütközés utáni biztonságára vonatkozó követelményeket bevezető aktualizálások;</w:t>
      </w:r>
    </w:p>
    <w:p w14:paraId="3DE1409A" w14:textId="0456D5B7"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az utasbiztonsági rendszer által frontális ütközés esetén biztosított védelem: a hidrogénüzemű járművek ütközés utáni biztonságára vonatkozó követelményeket bevezető aktualizálás; </w:t>
      </w:r>
    </w:p>
    <w:p w14:paraId="56EDB8ED" w14:textId="4AC9C9DE"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az ISOFIX rögzítési rendszerek, az ISOFIX felső hevederrögzítési pontok és az i-Size ülőhelyek: az alsó hevederrögzítési pontokra vonatkozó követelményeket és vizsgálati eljárást bevezető aktualizálás, valamint az ISOFIX helyek számának pontosítása; </w:t>
      </w:r>
    </w:p>
    <w:p w14:paraId="19796AD7" w14:textId="55C056C2"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útmegvilágítási eszközök: a vezetőtámogató rendszerek projekcióira vonatkozó követelmények aktualizálása; </w:t>
      </w:r>
    </w:p>
    <w:p w14:paraId="3F0C6B29" w14:textId="3C88615A"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az üzemanyagrendszer épsége és az elektromos hajtásrendszer biztonságossága hátulról történő ütközés esetén: a hidrogénüzemű járművek ütközés utáni biztonságára vonatkozó követelményeket bevezető aktualizálás;</w:t>
      </w:r>
    </w:p>
    <w:p w14:paraId="36E03E3B" w14:textId="26817934"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WLTP: a hálózatról tölthető hibridek összefüggésében a használati tényezővel kapcsolatos új megközelítést bevezető aktualizálások, összhangban az Euro 6e újonnan bevezetett rendelkezéseivel; </w:t>
      </w:r>
    </w:p>
    <w:p w14:paraId="78E2EF57" w14:textId="444CA693"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automatizált sávtartó rendszerek: az elektromágneses összeférhetőségre vonatkozó követelményekkel kapcsolatos aktualizálások; </w:t>
      </w:r>
    </w:p>
    <w:p w14:paraId="0D35491D" w14:textId="1A4C68AA"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eseményadat-rögzítő: az oldalirányú és hosszirányú gyorsulási adatelem gyorsulási adatainak pontosságára vonatkozó pontosítások; </w:t>
      </w:r>
    </w:p>
    <w:p w14:paraId="20AF194A" w14:textId="77E68F13" w:rsidR="008B2EC0"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 xml:space="preserve">jogosulatlan használat elleni berendezések: az elektromágneses összeférhetőségre vonatkozó követelmények aktualizálása; valamint </w:t>
      </w:r>
    </w:p>
    <w:p w14:paraId="20C62878" w14:textId="597446E4" w:rsidR="006352AB" w:rsidRPr="00BB1F09" w:rsidRDefault="00567807" w:rsidP="008B2EC0">
      <w:pPr>
        <w:pStyle w:val="Tiret0"/>
        <w:numPr>
          <w:ilvl w:val="0"/>
          <w:numId w:val="10"/>
        </w:numPr>
        <w:tabs>
          <w:tab w:val="clear" w:pos="850"/>
          <w:tab w:val="num" w:pos="1570"/>
        </w:tabs>
        <w:spacing w:after="0"/>
        <w:ind w:left="1570" w:right="141"/>
        <w:rPr>
          <w:noProof/>
        </w:rPr>
      </w:pPr>
      <w:r w:rsidRPr="00BB1F09">
        <w:rPr>
          <w:noProof/>
        </w:rPr>
        <w:t>indításgátlók: az elektromágneses összeférhetőségre vonatkozó követelmények aktualizálása;</w:t>
      </w:r>
    </w:p>
    <w:p w14:paraId="0F98EFE3" w14:textId="77777777" w:rsidR="008B2EC0" w:rsidRPr="00BB1F09" w:rsidRDefault="008B2EC0" w:rsidP="008B2EC0">
      <w:pPr>
        <w:pStyle w:val="Tiret0"/>
        <w:numPr>
          <w:ilvl w:val="0"/>
          <w:numId w:val="10"/>
        </w:numPr>
        <w:rPr>
          <w:noProof/>
        </w:rPr>
      </w:pPr>
      <w:r w:rsidRPr="00BB1F09">
        <w:rPr>
          <w:noProof/>
        </w:rPr>
        <w:t>a nehézgépjárművek eseményadat-rögzítőiről, illetve a gyermekek autóbuszon történő biztonságosabb szállítását szolgáló gyermekbiztonsági rendszerekről szóló egy-egy új ENSZ-előírásra irányuló javaslatok; valamint</w:t>
      </w:r>
    </w:p>
    <w:p w14:paraId="79378E62" w14:textId="57FC281F" w:rsidR="008B2EC0" w:rsidRPr="00BB1F09" w:rsidRDefault="008B2EC0" w:rsidP="008B2EC0">
      <w:pPr>
        <w:pStyle w:val="Tiret0"/>
        <w:numPr>
          <w:ilvl w:val="0"/>
          <w:numId w:val="10"/>
        </w:numPr>
        <w:rPr>
          <w:noProof/>
        </w:rPr>
      </w:pPr>
      <w:r w:rsidRPr="00BB1F09">
        <w:rPr>
          <w:noProof/>
        </w:rPr>
        <w:t>az 1. számú kölcsönös ENSZ-határozat módosítására irányuló javaslat: az oldalirányú ütközés esetén a közúti járművek által nyújtott utasvédelem vizsgálatához használandó, „átlagos felnőtt férfit helyettesítő, 50 %-os reprezentativitású WorldSID próbabábu” berendezésre vonatkozó előírások aktualizálása.</w:t>
      </w:r>
    </w:p>
    <w:p w14:paraId="438F1043" w14:textId="3143AE23" w:rsidR="00733E7A" w:rsidRPr="00BB1F09" w:rsidRDefault="00A577DD" w:rsidP="00A577DD">
      <w:pPr>
        <w:rPr>
          <w:noProof/>
        </w:rPr>
      </w:pPr>
      <w:r w:rsidRPr="00BB1F09">
        <w:rPr>
          <w:noProof/>
        </w:rPr>
        <w:t>A 29. munkacsoport a tervek szerint 2023. november 14–16-i ülésén szavaz ezekről a javaslatokról.</w:t>
      </w:r>
    </w:p>
    <w:p w14:paraId="626FBEAB" w14:textId="77777777" w:rsidR="00A577DD" w:rsidRPr="00BB1F09" w:rsidRDefault="00A577DD" w:rsidP="00A577DD">
      <w:pPr>
        <w:rPr>
          <w:noProof/>
        </w:rPr>
      </w:pPr>
      <w:r w:rsidRPr="00BB1F09">
        <w:rPr>
          <w:noProof/>
        </w:rPr>
        <w:t>Ezen túlmenően meg kell határozni az EU álláspontját a következőkkel kapcsolatban:</w:t>
      </w:r>
    </w:p>
    <w:p w14:paraId="73F28846" w14:textId="13BE9DBB" w:rsidR="002979A8" w:rsidRPr="00BB1F09" w:rsidRDefault="002979A8" w:rsidP="00135E59">
      <w:pPr>
        <w:pStyle w:val="Tiret0"/>
        <w:numPr>
          <w:ilvl w:val="0"/>
          <w:numId w:val="10"/>
        </w:numPr>
        <w:spacing w:after="0"/>
        <w:ind w:right="141"/>
        <w:rPr>
          <w:noProof/>
        </w:rPr>
      </w:pPr>
      <w:r w:rsidRPr="00BB1F09">
        <w:rPr>
          <w:noProof/>
        </w:rPr>
        <w:t>javaslat a valós vezetési feltételek melletti globális kibocsátásokról szóló GTR kidolgozására vonatkozó felülvizsgált engedélyre, amely alapján további munkát engedélyeznek a GTR keretében a könnyű haszongépjárművek valós vezetési feltételek melletti kibocsátásának meghatározására egy olyan módszertan alapján, amely kellőképpen igazodik a járművek üzemeltetésének tágabb területeihez és további szennyező anyagokhoz;</w:t>
      </w:r>
    </w:p>
    <w:p w14:paraId="3A62E3AF" w14:textId="25E823FB" w:rsidR="002979A8" w:rsidRPr="00BB1F09" w:rsidRDefault="002979A8" w:rsidP="00D50061">
      <w:pPr>
        <w:pStyle w:val="Tiret0"/>
        <w:numPr>
          <w:ilvl w:val="0"/>
          <w:numId w:val="10"/>
        </w:numPr>
        <w:spacing w:after="0"/>
        <w:ind w:right="141"/>
        <w:rPr>
          <w:noProof/>
        </w:rPr>
      </w:pPr>
      <w:r w:rsidRPr="00BB1F09">
        <w:rPr>
          <w:noProof/>
        </w:rPr>
        <w:t>az elektromos nehézgépjárművek fedélzeti akkumulátorának tartósságáról szóló új GTR kidolgozásának engedélyezésére irányuló javaslat;</w:t>
      </w:r>
    </w:p>
    <w:p w14:paraId="3A1BCC3C" w14:textId="4D9F7B39" w:rsidR="00272832" w:rsidRPr="00BB1F09" w:rsidRDefault="00272832" w:rsidP="00272832">
      <w:pPr>
        <w:pStyle w:val="Tiret0"/>
        <w:numPr>
          <w:ilvl w:val="0"/>
          <w:numId w:val="10"/>
        </w:numPr>
        <w:spacing w:after="0"/>
        <w:ind w:right="141"/>
        <w:rPr>
          <w:noProof/>
        </w:rPr>
      </w:pPr>
      <w:r w:rsidRPr="00BB1F09">
        <w:rPr>
          <w:noProof/>
        </w:rPr>
        <w:t xml:space="preserve">az eseményadat-rögzítő teljesítményelemeire vonatkozó, az 1958. és 1998. évi megállapodás szerinti határozatok vagy előírások keretében való elfogadásra alkalmas iránymutatás módosítására irányuló javaslat, amely pontosításokat vezet be az oldalirányú és hosszirányú gyorsulási adatelem gyorsulási adatainak pontosságát illetően; valamint </w:t>
      </w:r>
    </w:p>
    <w:p w14:paraId="5776EDDE" w14:textId="1C59A0B4" w:rsidR="00272832" w:rsidRPr="00BB1F09" w:rsidRDefault="00272832" w:rsidP="00272832">
      <w:pPr>
        <w:pStyle w:val="Tiret0"/>
        <w:numPr>
          <w:ilvl w:val="0"/>
          <w:numId w:val="10"/>
        </w:numPr>
        <w:spacing w:after="0"/>
        <w:ind w:right="141"/>
        <w:rPr>
          <w:noProof/>
        </w:rPr>
      </w:pPr>
      <w:r w:rsidRPr="00BB1F09">
        <w:rPr>
          <w:noProof/>
        </w:rPr>
        <w:t>javaslat a gépjárműipari kiberbiztonságra és szoftverfrissítésekre vonatkozó ajánlások aktualizálására, amelynek keretében az ajánlások kiegészülnének az összes idevágó aktuális szabványra való hivatkozással, beleértve az ISO szabványait is.</w:t>
      </w:r>
    </w:p>
    <w:p w14:paraId="55CA3DD9" w14:textId="31D07206" w:rsidR="00216DFC" w:rsidRPr="00BB1F09" w:rsidRDefault="00A577DD" w:rsidP="002F7C84">
      <w:pPr>
        <w:rPr>
          <w:noProof/>
          <w:szCs w:val="24"/>
        </w:rPr>
      </w:pPr>
      <w:r w:rsidRPr="00BB1F09">
        <w:rPr>
          <w:noProof/>
        </w:rPr>
        <w:t xml:space="preserve">Az EU-nak indokolt támogatnia a fent említett jogi aktusokat, mivel azok összhangban vannak mind a gépjárműipart illető belső piaci szakpolitikájával, ideértve a biztonságot, az automatizálást és a kibocsátásokat is, mind közlekedés-, éghajlat- és energiapolitikájával. </w:t>
      </w:r>
    </w:p>
    <w:p w14:paraId="4AB38220" w14:textId="7698F01B" w:rsidR="00E50BF3" w:rsidRPr="00BB1F09" w:rsidRDefault="00216DFC" w:rsidP="002F7C84">
      <w:pPr>
        <w:rPr>
          <w:noProof/>
        </w:rPr>
      </w:pPr>
      <w:r w:rsidRPr="00BB1F09">
        <w:rPr>
          <w:noProof/>
        </w:rPr>
        <w:t xml:space="preserve">Mindezek a jogi aktusok igen kedvezően hatnak az uniós gépjárműipar versenyképességére és a nemzetközi kereskedelemre. Megszavazásuk elősegíti a technológiai fejlődést, méretgazdaságossági előnyökkel jár, megakadályozza a belső piac széttagolódását, és biztosítja, hogy az EU egész területén egységes gépjárműipari szabványok érvényesüljenek. </w:t>
      </w:r>
    </w:p>
    <w:p w14:paraId="1067A41D" w14:textId="3234FFE3" w:rsidR="00FE0A36" w:rsidRPr="00BB1F09" w:rsidRDefault="00FE0A36" w:rsidP="00FE0A36">
      <w:pPr>
        <w:rPr>
          <w:noProof/>
        </w:rPr>
      </w:pPr>
      <w:r w:rsidRPr="00BB1F09">
        <w:rPr>
          <w:noProof/>
        </w:rPr>
        <w:t>Ezzel szemben a 17. számú ENSZ-előírás</w:t>
      </w:r>
      <w:r w:rsidRPr="00BB1F09">
        <w:rPr>
          <w:rStyle w:val="FootnoteReference"/>
          <w:noProof/>
        </w:rPr>
        <w:footnoteReference w:id="3"/>
      </w:r>
      <w:r w:rsidRPr="00BB1F09">
        <w:rPr>
          <w:noProof/>
        </w:rPr>
        <w:t xml:space="preserve"> 10. módosítássorozatának 1. kiegészítésére irányuló javaslat még nem áll készen arra, hogy szavazzanak róla a 29. munkacsoport 2023. novemberi ülésén, ezért arról a WP.29 szakosodott kisegítő testületében tovább kell tárgyalni.</w:t>
      </w:r>
    </w:p>
    <w:p w14:paraId="6393ECB9" w14:textId="4CAF4DDB" w:rsidR="00A577DD" w:rsidRPr="00BB1F09" w:rsidRDefault="00A577DD" w:rsidP="00733E7A">
      <w:pPr>
        <w:rPr>
          <w:noProof/>
        </w:rPr>
      </w:pPr>
      <w:r w:rsidRPr="00BB1F09">
        <w:rPr>
          <w:noProof/>
        </w:rPr>
        <w:t>E javaslat esetében nincs szükség külső szakértői véleményre, a gépjárművekkel foglalkozó műszaki bizottság azonban áttekintette.</w:t>
      </w:r>
    </w:p>
    <w:p w14:paraId="3CED7303" w14:textId="77777777" w:rsidR="00A577DD" w:rsidRPr="00BB1F09" w:rsidRDefault="00A577DD" w:rsidP="00A577DD">
      <w:pPr>
        <w:pStyle w:val="ManualHeading1"/>
        <w:rPr>
          <w:noProof/>
        </w:rPr>
      </w:pPr>
      <w:r w:rsidRPr="00BB1F09">
        <w:rPr>
          <w:noProof/>
        </w:rPr>
        <w:t>4.</w:t>
      </w:r>
      <w:r w:rsidRPr="00BB1F09">
        <w:rPr>
          <w:noProof/>
        </w:rPr>
        <w:tab/>
        <w:t>JOGALAP</w:t>
      </w:r>
    </w:p>
    <w:p w14:paraId="7C6212F4" w14:textId="77777777" w:rsidR="00A577DD" w:rsidRPr="00BB1F09" w:rsidRDefault="00A577DD" w:rsidP="00E573C2">
      <w:pPr>
        <w:pStyle w:val="ManualHeading2"/>
        <w:rPr>
          <w:noProof/>
        </w:rPr>
      </w:pPr>
      <w:r w:rsidRPr="00BB1F09">
        <w:rPr>
          <w:noProof/>
        </w:rPr>
        <w:t xml:space="preserve">4.1. </w:t>
      </w:r>
      <w:r w:rsidRPr="00BB1F09">
        <w:rPr>
          <w:noProof/>
        </w:rPr>
        <w:tab/>
        <w:t xml:space="preserve">Eljárási jogalap </w:t>
      </w:r>
    </w:p>
    <w:p w14:paraId="597E04D0" w14:textId="77777777" w:rsidR="00A577DD" w:rsidRPr="00BB1F09" w:rsidRDefault="00A577DD" w:rsidP="00E573C2">
      <w:pPr>
        <w:pStyle w:val="ManualHeading3"/>
        <w:rPr>
          <w:noProof/>
        </w:rPr>
      </w:pPr>
      <w:r w:rsidRPr="00BB1F09">
        <w:rPr>
          <w:noProof/>
        </w:rPr>
        <w:t xml:space="preserve">4.1.1. </w:t>
      </w:r>
      <w:r w:rsidRPr="00BB1F09">
        <w:rPr>
          <w:noProof/>
        </w:rPr>
        <w:tab/>
        <w:t xml:space="preserve">Általános elvek </w:t>
      </w:r>
    </w:p>
    <w:p w14:paraId="528B883D" w14:textId="77777777" w:rsidR="00A577DD" w:rsidRPr="00BB1F09" w:rsidRDefault="00A577DD" w:rsidP="00E573C2">
      <w:pPr>
        <w:rPr>
          <w:noProof/>
        </w:rPr>
      </w:pPr>
      <w:r w:rsidRPr="00BB1F09">
        <w:rPr>
          <w:noProof/>
        </w:rPr>
        <w:t xml:space="preserve">Az EUMSZ 218. cikkének (9) bekezdése szerint a Tanács fogad el határozatokat „a megállapodásokkal létrehozott szervekben az Unió által képviselendő álláspontok kialakítására vonatkozóan, amennyiben az ilyen szervnek joghatással bíró jogi aktust kell elfogadnia, kivéve a megállapodás intézményi kereteit kiegészítő vagy módosító jogi aktusokat”. </w:t>
      </w:r>
    </w:p>
    <w:p w14:paraId="4DF65C7C" w14:textId="77777777" w:rsidR="00A577DD" w:rsidRPr="00BB1F09" w:rsidRDefault="00A577DD" w:rsidP="00E573C2">
      <w:pPr>
        <w:rPr>
          <w:noProof/>
        </w:rPr>
      </w:pPr>
      <w:r w:rsidRPr="00BB1F09">
        <w:rPr>
          <w:noProof/>
        </w:rPr>
        <w:t>A „joghatással bíró jogi aktus” fogalmába beletartoznak a nemzetközi jognak a kérdéses szervet szabályozó szabályai szerint joghatással bíró jogi aktusok. Ezenfelül a fogalom magában foglalja azokat az eszközöket is, melyek a nemzetközi jog szerint nem bírnak kötelező erővel, de „meghatározó módon befolyásolják az uniós jogalkotó által [...] elfogadott szabályozás tartalmát”</w:t>
      </w:r>
      <w:r w:rsidRPr="00BB1F09">
        <w:rPr>
          <w:rStyle w:val="FootnoteReference"/>
          <w:noProof/>
        </w:rPr>
        <w:footnoteReference w:id="4"/>
      </w:r>
      <w:r w:rsidRPr="00BB1F09">
        <w:rPr>
          <w:noProof/>
        </w:rPr>
        <w:t>.</w:t>
      </w:r>
    </w:p>
    <w:p w14:paraId="7F46D018" w14:textId="77777777" w:rsidR="00A577DD" w:rsidRPr="00BB1F09" w:rsidRDefault="00A577DD" w:rsidP="00E573C2">
      <w:pPr>
        <w:pStyle w:val="ManualHeading3"/>
        <w:rPr>
          <w:noProof/>
        </w:rPr>
      </w:pPr>
      <w:r w:rsidRPr="00BB1F09">
        <w:rPr>
          <w:noProof/>
        </w:rPr>
        <w:t xml:space="preserve">4.1.2. </w:t>
      </w:r>
      <w:r w:rsidRPr="00BB1F09">
        <w:rPr>
          <w:noProof/>
        </w:rPr>
        <w:tab/>
        <w:t xml:space="preserve">A jelen esetre történő alkalmazás </w:t>
      </w:r>
    </w:p>
    <w:p w14:paraId="5AAA1AC2" w14:textId="77777777" w:rsidR="00A577DD" w:rsidRPr="00BB1F09" w:rsidRDefault="00A577DD" w:rsidP="00E573C2">
      <w:pPr>
        <w:rPr>
          <w:noProof/>
        </w:rPr>
      </w:pPr>
      <w:r w:rsidRPr="00BB1F09">
        <w:rPr>
          <w:noProof/>
        </w:rPr>
        <w:t xml:space="preserve">A 29. munkacsoport keretében az ENSZ EGB szerződő felei az 1958. évi felülvizsgált megállapodás és a párhuzamos megállapodás végrehajtását vitatják meg.  </w:t>
      </w:r>
    </w:p>
    <w:p w14:paraId="4AD17000" w14:textId="77777777" w:rsidR="00A577DD" w:rsidRPr="00BB1F09" w:rsidRDefault="00A577DD" w:rsidP="00E573C2">
      <w:pPr>
        <w:rPr>
          <w:noProof/>
        </w:rPr>
      </w:pPr>
      <w:r w:rsidRPr="00BB1F09">
        <w:rPr>
          <w:noProof/>
        </w:rPr>
        <w:t xml:space="preserve">A 29. munkacsoport által elfogadandó jogi aktusok joghatással bíró jogi aktusok. </w:t>
      </w:r>
    </w:p>
    <w:p w14:paraId="5FC27C93" w14:textId="455F7F4C" w:rsidR="00A577DD" w:rsidRPr="00BB1F09" w:rsidRDefault="00A577DD" w:rsidP="00E573C2">
      <w:pPr>
        <w:rPr>
          <w:noProof/>
        </w:rPr>
      </w:pPr>
      <w:r w:rsidRPr="00BB1F09">
        <w:rPr>
          <w:noProof/>
        </w:rPr>
        <w:t xml:space="preserve">A tervezett jogi aktusban meghatározott ENSZ-előírások kötelező érvényűek lesznek az Unióra nézve. Az ENSZ-határozattal együtt meghatározó módon befolyásolni tudják a járművek típusjóváhagyására vonatkozó uniós jogszabályok tartalmát. </w:t>
      </w:r>
    </w:p>
    <w:p w14:paraId="433205AB" w14:textId="77777777" w:rsidR="00A577DD" w:rsidRPr="00BB1F09" w:rsidRDefault="00A577DD" w:rsidP="00E573C2">
      <w:pPr>
        <w:rPr>
          <w:noProof/>
        </w:rPr>
      </w:pPr>
      <w:r w:rsidRPr="00BB1F09">
        <w:rPr>
          <w:noProof/>
        </w:rPr>
        <w:t xml:space="preserve">A tervezett jogi aktusok a megállapodás intézményi keretét se nem egészítik ki, se nem módosítják. </w:t>
      </w:r>
    </w:p>
    <w:p w14:paraId="71104B08" w14:textId="77777777" w:rsidR="00A577DD" w:rsidRPr="00BB1F09" w:rsidRDefault="00A577DD" w:rsidP="00E573C2">
      <w:pPr>
        <w:rPr>
          <w:noProof/>
        </w:rPr>
      </w:pPr>
      <w:r w:rsidRPr="00BB1F09">
        <w:rPr>
          <w:noProof/>
        </w:rPr>
        <w:t>Ezért a javasolt határozat eljárási jogalapja az EUMSZ 218. cikkének (9) bekezdése.</w:t>
      </w:r>
    </w:p>
    <w:p w14:paraId="191B70EA" w14:textId="77777777" w:rsidR="00A577DD" w:rsidRPr="00BB1F09" w:rsidRDefault="00A577DD" w:rsidP="00E573C2">
      <w:pPr>
        <w:pStyle w:val="ManualHeading2"/>
        <w:rPr>
          <w:noProof/>
        </w:rPr>
      </w:pPr>
      <w:r w:rsidRPr="00BB1F09">
        <w:rPr>
          <w:noProof/>
        </w:rPr>
        <w:t xml:space="preserve">4.2. </w:t>
      </w:r>
      <w:r w:rsidRPr="00BB1F09">
        <w:rPr>
          <w:noProof/>
        </w:rPr>
        <w:tab/>
        <w:t xml:space="preserve">Anyagi jogalap </w:t>
      </w:r>
    </w:p>
    <w:p w14:paraId="4CC76FFD" w14:textId="77777777" w:rsidR="00A577DD" w:rsidRPr="00BB1F09" w:rsidRDefault="00A577DD" w:rsidP="00E573C2">
      <w:pPr>
        <w:pStyle w:val="Manuealheading3"/>
        <w:rPr>
          <w:noProof/>
        </w:rPr>
      </w:pPr>
      <w:r w:rsidRPr="00BB1F09">
        <w:rPr>
          <w:noProof/>
        </w:rPr>
        <w:t xml:space="preserve">4.2.1. </w:t>
      </w:r>
      <w:r w:rsidRPr="00BB1F09">
        <w:rPr>
          <w:noProof/>
        </w:rPr>
        <w:tab/>
        <w:t xml:space="preserve">Általános elvek </w:t>
      </w:r>
    </w:p>
    <w:p w14:paraId="1A20127B" w14:textId="77777777" w:rsidR="003F48BA" w:rsidRPr="00BB1F09" w:rsidRDefault="00A577DD" w:rsidP="00E573C2">
      <w:pPr>
        <w:rPr>
          <w:noProof/>
        </w:rPr>
      </w:pPr>
      <w:r w:rsidRPr="00BB1F09">
        <w:rPr>
          <w:noProof/>
        </w:rPr>
        <w:t>Az EUMSZ 218. cikkének (9) bekezdése szerinti határozat anyagi jogalapja elsősorban azon tervezett jogi aktus célkitűzésétől és tartalmától függ, amellyel kapcsolatban az EU által képviselendő mindenkori álláspont meghatározásra kerül.</w:t>
      </w:r>
    </w:p>
    <w:p w14:paraId="5B71BCCB" w14:textId="77777777" w:rsidR="00A577DD" w:rsidRPr="00BB1F09" w:rsidRDefault="003F48BA" w:rsidP="00E573C2">
      <w:pPr>
        <w:rPr>
          <w:noProof/>
        </w:rPr>
      </w:pPr>
      <w:r w:rsidRPr="00BB1F09">
        <w:rPr>
          <w:noProof/>
        </w:rPr>
        <w:t xml:space="preserve">A tervezett jogi aktusok kettős célkitűzést is követhetnek, vagy két összetevőből is állhatnak, és ezek egyike elsődlegesként, míg a másik pusztán járulékosként azonosítható. Ez esetben az EUMSZ 218. cikkének (9) bekezdése szerinti határozatot egyetlen jogalapra, azaz az elsődleges, illetve döntő jellegű célkitűzés által megkövetelt jogalapra kell alapítani. </w:t>
      </w:r>
    </w:p>
    <w:p w14:paraId="356495DB" w14:textId="77777777" w:rsidR="00A577DD" w:rsidRPr="00BB1F09" w:rsidRDefault="00A577DD" w:rsidP="00E573C2">
      <w:pPr>
        <w:pStyle w:val="Manuealheading3"/>
        <w:rPr>
          <w:noProof/>
        </w:rPr>
      </w:pPr>
      <w:r w:rsidRPr="00BB1F09">
        <w:rPr>
          <w:noProof/>
        </w:rPr>
        <w:t xml:space="preserve">4.2.2. A jelen esetre történő alkalmazás </w:t>
      </w:r>
    </w:p>
    <w:p w14:paraId="6ED5D1CA" w14:textId="77777777" w:rsidR="00A577DD" w:rsidRPr="00BB1F09" w:rsidRDefault="00A577DD" w:rsidP="00E573C2">
      <w:pPr>
        <w:rPr>
          <w:noProof/>
        </w:rPr>
      </w:pPr>
      <w:r w:rsidRPr="00BB1F09">
        <w:rPr>
          <w:noProof/>
        </w:rPr>
        <w:t xml:space="preserve">A tervezett jogi aktus elsődleges célkitűzése és tartalma a jogszabályok közelítése. Ezért a javasolt határozat anyagi jogalapja az EUMSZ 114. cikke. </w:t>
      </w:r>
    </w:p>
    <w:p w14:paraId="1BDE2D6B" w14:textId="77777777" w:rsidR="00A577DD" w:rsidRPr="00BB1F09" w:rsidRDefault="00A577DD" w:rsidP="00E573C2">
      <w:pPr>
        <w:pStyle w:val="ManualHeading2"/>
        <w:rPr>
          <w:noProof/>
        </w:rPr>
      </w:pPr>
      <w:r w:rsidRPr="00BB1F09">
        <w:rPr>
          <w:noProof/>
        </w:rPr>
        <w:t xml:space="preserve">4.3. </w:t>
      </w:r>
      <w:r w:rsidRPr="00BB1F09">
        <w:rPr>
          <w:noProof/>
        </w:rPr>
        <w:tab/>
        <w:t xml:space="preserve">Következtetés </w:t>
      </w:r>
    </w:p>
    <w:p w14:paraId="35811F3D" w14:textId="77777777" w:rsidR="00A577DD" w:rsidRPr="00BB1F09" w:rsidRDefault="00A577DD" w:rsidP="00E573C2">
      <w:pPr>
        <w:rPr>
          <w:noProof/>
        </w:rPr>
      </w:pPr>
      <w:r w:rsidRPr="00BB1F09">
        <w:rPr>
          <w:noProof/>
        </w:rPr>
        <w:t>A javasolt határozat jogalapja az EUMSZ 114. cikke, összefüggésben az EUMSZ 218. cikkének (9) bekezdésével.</w:t>
      </w:r>
    </w:p>
    <w:p w14:paraId="359837EF" w14:textId="77777777" w:rsidR="00A577DD" w:rsidRPr="00BB1F09" w:rsidRDefault="00A577DD" w:rsidP="00A577DD">
      <w:pPr>
        <w:spacing w:before="0" w:after="200" w:line="276" w:lineRule="auto"/>
        <w:jc w:val="center"/>
        <w:rPr>
          <w:noProof/>
        </w:rPr>
        <w:sectPr w:rsidR="00A577DD" w:rsidRPr="00BB1F09" w:rsidSect="00D37BD6">
          <w:footerReference w:type="default" r:id="rId10"/>
          <w:footerReference w:type="first" r:id="rId11"/>
          <w:pgSz w:w="11907" w:h="16839"/>
          <w:pgMar w:top="1134" w:right="1417" w:bottom="1134" w:left="1417" w:header="709" w:footer="709" w:gutter="0"/>
          <w:pgNumType w:start="1"/>
          <w:cols w:space="708"/>
          <w:docGrid w:linePitch="360"/>
        </w:sectPr>
      </w:pPr>
    </w:p>
    <w:p w14:paraId="17816B75" w14:textId="0408E884" w:rsidR="001A4D55" w:rsidRDefault="001A4D55" w:rsidP="001A4D55">
      <w:pPr>
        <w:pStyle w:val="Rfrenceinterinstitutionnelle"/>
        <w:rPr>
          <w:noProof/>
        </w:rPr>
      </w:pPr>
      <w:r w:rsidRPr="001A4D55">
        <w:t>2023/0372 (NLE)</w:t>
      </w:r>
    </w:p>
    <w:p w14:paraId="2BA69E52" w14:textId="089000F5" w:rsidR="00A577DD" w:rsidRPr="00BB1F09" w:rsidRDefault="00BB1F09" w:rsidP="00BB1F09">
      <w:pPr>
        <w:pStyle w:val="Statut"/>
        <w:rPr>
          <w:noProof/>
        </w:rPr>
      </w:pPr>
      <w:r w:rsidRPr="00BB1F09">
        <w:rPr>
          <w:noProof/>
        </w:rPr>
        <w:t>Javaslat</w:t>
      </w:r>
    </w:p>
    <w:p w14:paraId="3214891B" w14:textId="45EFC7CC" w:rsidR="00A577DD" w:rsidRPr="00BB1F09" w:rsidRDefault="00BB1F09" w:rsidP="00BB1F09">
      <w:pPr>
        <w:pStyle w:val="Typedudocument"/>
        <w:rPr>
          <w:noProof/>
        </w:rPr>
      </w:pPr>
      <w:r w:rsidRPr="00BB1F09">
        <w:rPr>
          <w:noProof/>
        </w:rPr>
        <w:t>A TANÁCS HATÁROZATA</w:t>
      </w:r>
    </w:p>
    <w:p w14:paraId="58DC9810" w14:textId="77B113BF" w:rsidR="00DB0857" w:rsidRPr="00BB1F09" w:rsidRDefault="00BB1F09" w:rsidP="00BB1F09">
      <w:pPr>
        <w:pStyle w:val="Titreobjet"/>
        <w:rPr>
          <w:noProof/>
        </w:rPr>
      </w:pPr>
      <w:r w:rsidRPr="00BB1F09">
        <w:rPr>
          <w:noProof/>
        </w:rPr>
        <w:t>az ENSZ Európai Gazdasági Bizottságának Járműelőírások Harmonizálása Világfórumán az ENSZ 0., 14., 16., 17., 24., 43., 48., 53., 74., 86., 90., 94., 95., 100., 122., 129., 134., 135., 137., 145., 149., 153., 154., 157., 160., 161. és 162. számú előírásának módosítására irányuló javaslatok, a nehézgépjárművek eseményadat-rögzítőiről szóló új ENSZ-előírásra irányuló javaslat, a gyermekek autóbuszon történő biztonságosabb szállítását szolgáló gyermekbiztonsági rendszerekről szóló új ENSZ-előírásra irányuló javaslat és az ENSZ 1. számú kölcsönösen elfogadott határozatának módosítására irányuló javaslat tekintetében az Európai Unió által képviselendő álláspontról</w:t>
      </w:r>
    </w:p>
    <w:p w14:paraId="21C2940D" w14:textId="77777777" w:rsidR="00A577DD" w:rsidRPr="00BB1F09" w:rsidRDefault="00A577DD" w:rsidP="00A577DD">
      <w:pPr>
        <w:pStyle w:val="Institutionquiagit"/>
        <w:rPr>
          <w:noProof/>
        </w:rPr>
      </w:pPr>
      <w:r w:rsidRPr="00BB1F09">
        <w:rPr>
          <w:noProof/>
        </w:rPr>
        <w:t>AZ EURÓPAI UNIÓ TANÁCSA,</w:t>
      </w:r>
    </w:p>
    <w:p w14:paraId="40B68253" w14:textId="77777777" w:rsidR="00A577DD" w:rsidRPr="00BB1F09" w:rsidRDefault="00A577DD" w:rsidP="00A577DD">
      <w:pPr>
        <w:rPr>
          <w:noProof/>
        </w:rPr>
      </w:pPr>
      <w:r w:rsidRPr="00BB1F09">
        <w:rPr>
          <w:noProof/>
        </w:rPr>
        <w:t>tekintettel az Európai Unió működéséről szóló szerződésre és különösen annak 114. cikkére, összefüggésben 218. cikke (9) bekezdésével,</w:t>
      </w:r>
    </w:p>
    <w:p w14:paraId="34B28E8F" w14:textId="77777777" w:rsidR="00A577DD" w:rsidRPr="00BB1F09" w:rsidRDefault="00A577DD" w:rsidP="00A577DD">
      <w:pPr>
        <w:rPr>
          <w:noProof/>
        </w:rPr>
      </w:pPr>
      <w:r w:rsidRPr="00BB1F09">
        <w:rPr>
          <w:noProof/>
        </w:rPr>
        <w:t>tekintettel az Európai Bizottság javaslatára,</w:t>
      </w:r>
    </w:p>
    <w:p w14:paraId="4113C6B6" w14:textId="77777777" w:rsidR="00A577DD" w:rsidRPr="00BB1F09" w:rsidRDefault="00A577DD" w:rsidP="00A577DD">
      <w:pPr>
        <w:rPr>
          <w:noProof/>
        </w:rPr>
      </w:pPr>
      <w:r w:rsidRPr="00BB1F09">
        <w:rPr>
          <w:noProof/>
        </w:rPr>
        <w:t>mivel:</w:t>
      </w:r>
    </w:p>
    <w:p w14:paraId="2EBB07E3" w14:textId="24B1257D" w:rsidR="00A577DD" w:rsidRPr="00BB1F09" w:rsidRDefault="0098688D" w:rsidP="0098688D">
      <w:pPr>
        <w:pStyle w:val="ManualConsidrant"/>
        <w:rPr>
          <w:noProof/>
        </w:rPr>
      </w:pPr>
      <w:r w:rsidRPr="0098688D">
        <w:t>(1)</w:t>
      </w:r>
      <w:r w:rsidRPr="0098688D">
        <w:tab/>
      </w:r>
      <w:r w:rsidR="00A577DD" w:rsidRPr="00BB1F09">
        <w:rPr>
          <w:noProof/>
        </w:rPr>
        <w:t>A 97/836/EK tanácsi határozattal</w:t>
      </w:r>
      <w:r w:rsidR="00A577DD" w:rsidRPr="00BB1F09">
        <w:rPr>
          <w:rStyle w:val="FootnoteReference"/>
          <w:noProof/>
        </w:rPr>
        <w:footnoteReference w:id="5"/>
      </w:r>
      <w:r w:rsidR="00A577DD" w:rsidRPr="00BB1F09">
        <w:rPr>
          <w:noProof/>
        </w:rPr>
        <w:t xml:space="preserve"> az Unió csatlakozott az ENSZ Európai Gazdasági Bizottságának (a továbbiakban: ENSZ EGB) a kerekes járművekre és az azokba szerelhető, illetve az azokon használható berendezésekre és tartozékokra vonatkozó egységes műszaki előírások elfogadásáról, valamint az ezen előírások alapján kibocsátott jóváhagyások kölcsönös elismerésének feltételeiről szóló megállapodásához (a továbbiakban: az 1958. évi felülvizsgált megállapodás). Az 1958. évi felülvizsgált megállapodás 1998. március 24-én lépett hatályba.</w:t>
      </w:r>
    </w:p>
    <w:p w14:paraId="582A6C26" w14:textId="03245A84" w:rsidR="00A577DD" w:rsidRPr="00BB1F09" w:rsidRDefault="0098688D" w:rsidP="0098688D">
      <w:pPr>
        <w:pStyle w:val="ManualConsidrant"/>
        <w:rPr>
          <w:noProof/>
        </w:rPr>
      </w:pPr>
      <w:r w:rsidRPr="0098688D">
        <w:t>(2)</w:t>
      </w:r>
      <w:r w:rsidRPr="0098688D">
        <w:tab/>
      </w:r>
      <w:r w:rsidR="00A577DD" w:rsidRPr="00BB1F09">
        <w:rPr>
          <w:noProof/>
        </w:rPr>
        <w:t>A 2000/125/EK tanácsi határozattal</w:t>
      </w:r>
      <w:r w:rsidR="00A577DD" w:rsidRPr="00BB1F09">
        <w:rPr>
          <w:rStyle w:val="FootnoteReference"/>
          <w:noProof/>
        </w:rPr>
        <w:footnoteReference w:id="6"/>
      </w:r>
      <w:r w:rsidR="00A577DD" w:rsidRPr="00BB1F09">
        <w:rPr>
          <w:noProof/>
        </w:rPr>
        <w:t xml:space="preserve"> az Unió csatlakozott a kerekes járművekről, valamint a kerekes járművekre felszerelhető és/vagy azokon használható berendezésekre és felszerelésekre vonatkozó globális műszaki előírások kidolgozásáról szóló megállapodáshoz (a továbbiakban: párhuzamos megállapodás). A párhuzamos megállapodás 2000. február 15-én lépett hatályba.</w:t>
      </w:r>
    </w:p>
    <w:p w14:paraId="6E83E217" w14:textId="2D3C7369" w:rsidR="00A577DD" w:rsidRPr="00BB1F09" w:rsidRDefault="0098688D" w:rsidP="0098688D">
      <w:pPr>
        <w:pStyle w:val="ManualConsidrant"/>
        <w:rPr>
          <w:noProof/>
        </w:rPr>
      </w:pPr>
      <w:r w:rsidRPr="0098688D">
        <w:t>(3)</w:t>
      </w:r>
      <w:r w:rsidRPr="0098688D">
        <w:tab/>
      </w:r>
      <w:r w:rsidR="00A577DD" w:rsidRPr="00BB1F09">
        <w:rPr>
          <w:noProof/>
        </w:rPr>
        <w:t>Az (EU) 2018/858 európai parlamenti és tanácsi rendelet</w:t>
      </w:r>
      <w:r w:rsidR="00A577DD" w:rsidRPr="00BB1F09">
        <w:rPr>
          <w:rStyle w:val="FootnoteReference"/>
          <w:noProof/>
        </w:rPr>
        <w:footnoteReference w:id="7"/>
      </w:r>
      <w:r w:rsidR="00A577DD" w:rsidRPr="00BB1F09">
        <w:rPr>
          <w:noProof/>
        </w:rPr>
        <w:t xml:space="preserve"> közigazgatási rendelkezéseket és műszaki követelményeket állapít meg minden új jármű, rendszer, alkotóelem és önálló műszaki egység típusjóváhagyására és forgalomba hozatalára vonatkozóan. Az említett rendelet típusjóváhagyási követelmények formájában vagy az uniós jogszabályok alternatíváiként beépíti az 1958. évi felülvizsgált megállapodás alapján elfogadott előírásokat (a továbbiakban: ENSZ-előírások) az EU típusjóváhagyási rendszerébe.  </w:t>
      </w:r>
    </w:p>
    <w:p w14:paraId="548588F6" w14:textId="3EE689AC" w:rsidR="00A577DD" w:rsidRPr="00BB1F09" w:rsidRDefault="0098688D" w:rsidP="0098688D">
      <w:pPr>
        <w:pStyle w:val="ManualConsidrant"/>
        <w:rPr>
          <w:noProof/>
        </w:rPr>
      </w:pPr>
      <w:r w:rsidRPr="0098688D">
        <w:t>(4)</w:t>
      </w:r>
      <w:r w:rsidRPr="0098688D">
        <w:tab/>
      </w:r>
      <w:r w:rsidR="00A577DD" w:rsidRPr="00BB1F09">
        <w:rPr>
          <w:noProof/>
        </w:rPr>
        <w:t>Az 1958. évi felülvizsgált megállapodás 1. cikke és a párhuzamos megállapodás 6. cikke értelmében az ENSZ EGB keretében működő Járműelőírások Harmonizálása Világfórum (a továbbiakban: 29. munkacsoport) a következőkre irányuló javaslatokat fogadhat el a járműjóváhagyások területén: már meglévő ENSZ-előírások, GTR-ek és ENSZ-határozatok módosításai, valamint új ENSZ-előírások, új GTR-ek és új ENSZ-határozatok. Ezen túlmenően az említett rendelkezések értelmében a 29. munkacsoport a GTR-ek módosításának vagy új GTR-ek kidolgozásának engedélyezésére, valamint a GTR-ekkel kapcsolatos megbízatások érvényességének meghosszabbítására irányuló javaslatokat is elfogadhat.</w:t>
      </w:r>
    </w:p>
    <w:p w14:paraId="27957DEE" w14:textId="79C2BD56" w:rsidR="006464B0" w:rsidRPr="00BB1F09" w:rsidRDefault="0098688D" w:rsidP="0098688D">
      <w:pPr>
        <w:pStyle w:val="ManualConsidrant"/>
        <w:rPr>
          <w:noProof/>
        </w:rPr>
      </w:pPr>
      <w:r w:rsidRPr="0098688D">
        <w:t>(5)</w:t>
      </w:r>
      <w:r w:rsidRPr="0098688D">
        <w:tab/>
      </w:r>
      <w:r w:rsidR="00126EB4" w:rsidRPr="00BB1F09">
        <w:rPr>
          <w:noProof/>
        </w:rPr>
        <w:t xml:space="preserve">Az ENSZ EGB Járműelőírások Harmonizálása Világfórumának 2023. november 14–16-i 191. ülésszakán a 29. munkacsoport elfogadhatja a következőket:  </w:t>
      </w:r>
      <w:r w:rsidR="00126EB4" w:rsidRPr="00BB1F09">
        <w:rPr>
          <w:noProof/>
        </w:rPr>
        <w:br/>
        <w:t xml:space="preserve"> </w:t>
      </w:r>
      <w:r w:rsidR="00126EB4" w:rsidRPr="00BB1F09">
        <w:rPr>
          <w:noProof/>
        </w:rPr>
        <w:br/>
        <w:t xml:space="preserve">a 0., 14., 16., 17., 24., 43., 48., 53., 74., 86., 90., 94., 95., 100., 122., 129., 134., 135., 137., 145., 149., 153., 154., 157., 160., 161. és 162. számú ENSZ-előírások módosításaira irányuló javaslatok; </w:t>
      </w:r>
      <w:r w:rsidR="00126EB4" w:rsidRPr="00BB1F09">
        <w:rPr>
          <w:noProof/>
        </w:rPr>
        <w:br/>
        <w:t xml:space="preserve"> </w:t>
      </w:r>
      <w:r w:rsidR="00126EB4" w:rsidRPr="00BB1F09">
        <w:rPr>
          <w:noProof/>
        </w:rPr>
        <w:br/>
        <w:t xml:space="preserve">a nehézgépjárművek eseményadat-rögzítőiről, illetve a gyermekek autóbuszon történő biztonságosabb szállítását szolgáló gyermekbiztonsági rendszerekről szóló egy-egy új ENSZ-előírásra irányuló javaslatok; valamint </w:t>
      </w:r>
      <w:r w:rsidR="00126EB4" w:rsidRPr="00BB1F09">
        <w:rPr>
          <w:noProof/>
        </w:rPr>
        <w:br/>
        <w:t xml:space="preserve"> </w:t>
      </w:r>
      <w:r w:rsidR="00126EB4" w:rsidRPr="00BB1F09">
        <w:rPr>
          <w:noProof/>
        </w:rPr>
        <w:br/>
        <w:t>az ENSZ 1. számú kölcsönösen elfogadott határozatának módosítására irányuló javaslat.</w:t>
      </w:r>
    </w:p>
    <w:p w14:paraId="1DDF2DB5" w14:textId="00C3FCB8" w:rsidR="00A577DD" w:rsidRPr="00BB1F09" w:rsidRDefault="0098688D" w:rsidP="0098688D">
      <w:pPr>
        <w:pStyle w:val="ManualConsidrant"/>
        <w:rPr>
          <w:noProof/>
        </w:rPr>
      </w:pPr>
      <w:r w:rsidRPr="0098688D">
        <w:t>(6)</w:t>
      </w:r>
      <w:r w:rsidRPr="0098688D">
        <w:tab/>
      </w:r>
      <w:r w:rsidR="00816F0B" w:rsidRPr="00BB1F09">
        <w:rPr>
          <w:noProof/>
        </w:rPr>
        <w:t>Az ENSZ-előírások az Unióra nézve kötelező érvényűek lesznek. Az ENSZ-határozattal együtt döntő módon befolyásolják a járművek típusjóváhagyására vonatkozó uniós jogszabályok tartalmát. Ezért helyénvaló meghatározni az Unió által a 29. munkacsoportban az említett javaslatok elfogadásával kapcsolatban képviselendő álláspontot.</w:t>
      </w:r>
    </w:p>
    <w:p w14:paraId="15E92A22" w14:textId="74E7EEE0" w:rsidR="00B7242A" w:rsidRPr="00BB1F09" w:rsidRDefault="0098688D" w:rsidP="0098688D">
      <w:pPr>
        <w:pStyle w:val="ManualConsidrant"/>
        <w:rPr>
          <w:noProof/>
        </w:rPr>
      </w:pPr>
      <w:r w:rsidRPr="0098688D">
        <w:t>(7)</w:t>
      </w:r>
      <w:r w:rsidRPr="0098688D">
        <w:tab/>
      </w:r>
      <w:r w:rsidR="00816F0B" w:rsidRPr="00BB1F09">
        <w:rPr>
          <w:noProof/>
        </w:rPr>
        <w:t>A tapasztalatok és a műszaki fejlődés figyelembevétele érdekében a 0., 14., 16., 17., 24., 43., 48., 53., 74., 86., 90., 94., 95., 100., 122., 129., 134., 135., 137., 145., 149., 153., 154., 157., 160., 161. és 162. számú ENSZ-előírások hatálya és az ENSZ 1. számú kölcsönösen elfogadott határozatának hatálya alá tartozó egyes szempontokra vagy jellemzőkre vonatkozó követelményeket módosítani kell vagy ki kell egészíteni.</w:t>
      </w:r>
    </w:p>
    <w:p w14:paraId="698CAD8D" w14:textId="69B8E2F6" w:rsidR="00E3543E" w:rsidRPr="00BB1F09" w:rsidRDefault="0098688D" w:rsidP="0098688D">
      <w:pPr>
        <w:pStyle w:val="ManualConsidrant"/>
        <w:rPr>
          <w:noProof/>
          <w:szCs w:val="24"/>
        </w:rPr>
      </w:pPr>
      <w:r w:rsidRPr="0098688D">
        <w:t>(8)</w:t>
      </w:r>
      <w:r w:rsidRPr="0098688D">
        <w:tab/>
      </w:r>
      <w:r w:rsidR="00B7242A" w:rsidRPr="00BB1F09">
        <w:rPr>
          <w:noProof/>
        </w:rPr>
        <w:t>A műszaki fejlődés lehetővé tétele és a biztonság fokozása érdekében el kell fogadni egy-egy új ENSZ-előírásra irányuló javaslatot a nehézgépjárművek eseményadat-rögzítőiről, illetve a gyermekek autóbuszon történő biztonságosabb szállítását szolgáló gyermekbiztonsági rendszerekről.</w:t>
      </w:r>
    </w:p>
    <w:p w14:paraId="0422FFE9" w14:textId="3D7FC517" w:rsidR="00E3543E" w:rsidRPr="00BB1F09" w:rsidRDefault="0098688D" w:rsidP="0098688D">
      <w:pPr>
        <w:pStyle w:val="ManualConsidrant"/>
        <w:rPr>
          <w:noProof/>
          <w:szCs w:val="24"/>
        </w:rPr>
      </w:pPr>
      <w:r w:rsidRPr="0098688D">
        <w:t>(9)</w:t>
      </w:r>
      <w:r w:rsidRPr="0098688D">
        <w:tab/>
      </w:r>
      <w:r w:rsidR="00E3543E" w:rsidRPr="00BB1F09">
        <w:rPr>
          <w:noProof/>
        </w:rPr>
        <w:t>Ezek a javaslatok összhangban vannak mind az Unió gépjárműipart illető belső piaci szakpolitikájával, ideértve a biztonságot, az automatizálást és a kibocsátásokat is, mind közlekedés-, éghajlat- és energiapolitikájával, és igen kedvezően hatnak az uniós gépjárműipar versenyképességére és a nemzetközi kereskedelemre.</w:t>
      </w:r>
    </w:p>
    <w:p w14:paraId="46E14142" w14:textId="3CCA71E2" w:rsidR="00B7242A" w:rsidRPr="00BB1F09" w:rsidRDefault="0098688D" w:rsidP="0098688D">
      <w:pPr>
        <w:pStyle w:val="ManualConsidrant"/>
        <w:rPr>
          <w:noProof/>
        </w:rPr>
      </w:pPr>
      <w:r w:rsidRPr="0098688D">
        <w:t>(10)</w:t>
      </w:r>
      <w:r w:rsidRPr="0098688D">
        <w:tab/>
      </w:r>
      <w:r w:rsidR="00E3543E" w:rsidRPr="00BB1F09">
        <w:rPr>
          <w:noProof/>
        </w:rPr>
        <w:t>Tekintettel a fenti előnyökre, helyénvaló e javaslatok mellett szavazni,</w:t>
      </w:r>
    </w:p>
    <w:p w14:paraId="4A916B13" w14:textId="77777777" w:rsidR="00A577DD" w:rsidRPr="00BB1F09" w:rsidRDefault="00A577DD" w:rsidP="00A577DD">
      <w:pPr>
        <w:pStyle w:val="Formuledadoption"/>
        <w:rPr>
          <w:noProof/>
        </w:rPr>
      </w:pPr>
      <w:r w:rsidRPr="00BB1F09">
        <w:rPr>
          <w:noProof/>
        </w:rPr>
        <w:t>ELFOGADTA EZT A HATÁROZATOT:</w:t>
      </w:r>
    </w:p>
    <w:p w14:paraId="47C59989" w14:textId="77777777" w:rsidR="00A577DD" w:rsidRPr="00BB1F09" w:rsidRDefault="00A577DD" w:rsidP="00A577DD">
      <w:pPr>
        <w:pStyle w:val="Titrearticle"/>
        <w:rPr>
          <w:noProof/>
        </w:rPr>
      </w:pPr>
      <w:r w:rsidRPr="00BB1F09">
        <w:rPr>
          <w:noProof/>
        </w:rPr>
        <w:t>1. cikk</w:t>
      </w:r>
    </w:p>
    <w:p w14:paraId="029FEA40" w14:textId="21301411" w:rsidR="00A577DD" w:rsidRPr="00BB1F09" w:rsidRDefault="00A577DD" w:rsidP="00A577DD">
      <w:pPr>
        <w:rPr>
          <w:noProof/>
        </w:rPr>
      </w:pPr>
      <w:r w:rsidRPr="00BB1F09">
        <w:rPr>
          <w:noProof/>
        </w:rPr>
        <w:t>Az ENSZ EGB Járműelőírások Harmonizálása Világfórumának 2023. november 14-től 16-ig tartandó 191. ülésszakán az Unió által képviselendő álláspont az, hogy az e határozat mellékletében felsorolt javaslatok mellett kell szavazni.</w:t>
      </w:r>
    </w:p>
    <w:p w14:paraId="4BEA45AF" w14:textId="77777777" w:rsidR="00A577DD" w:rsidRPr="00BB1F09" w:rsidRDefault="00A577DD" w:rsidP="00A11514">
      <w:pPr>
        <w:pStyle w:val="Titrearticle"/>
        <w:rPr>
          <w:noProof/>
        </w:rPr>
      </w:pPr>
      <w:r w:rsidRPr="00BB1F09">
        <w:rPr>
          <w:noProof/>
        </w:rPr>
        <w:t>2. cikk</w:t>
      </w:r>
    </w:p>
    <w:p w14:paraId="75801966" w14:textId="77777777" w:rsidR="00A577DD" w:rsidRPr="00BB1F09" w:rsidRDefault="00A577DD" w:rsidP="00A577DD">
      <w:pPr>
        <w:rPr>
          <w:noProof/>
        </w:rPr>
      </w:pPr>
      <w:r w:rsidRPr="00BB1F09">
        <w:rPr>
          <w:noProof/>
        </w:rPr>
        <w:t>Ennek a határozatnak a Bizottság a címzettje.</w:t>
      </w:r>
    </w:p>
    <w:p w14:paraId="206D109F" w14:textId="40AAECE4" w:rsidR="00A577DD" w:rsidRPr="00BB1F09" w:rsidRDefault="00433BAC" w:rsidP="00A11514">
      <w:pPr>
        <w:pStyle w:val="Fait"/>
        <w:rPr>
          <w:noProof/>
        </w:rPr>
      </w:pPr>
      <w:r w:rsidRPr="00433BAC">
        <w:t>Kelt Brüsszelben, -án/-én.</w:t>
      </w:r>
    </w:p>
    <w:p w14:paraId="1323700B" w14:textId="77777777" w:rsidR="00A577DD" w:rsidRPr="00BB1F09" w:rsidRDefault="00A577DD" w:rsidP="00A11514">
      <w:pPr>
        <w:pStyle w:val="Institutionquisigne"/>
        <w:spacing w:before="120"/>
        <w:rPr>
          <w:noProof/>
        </w:rPr>
      </w:pPr>
      <w:r w:rsidRPr="00BB1F09">
        <w:rPr>
          <w:noProof/>
        </w:rPr>
        <w:tab/>
        <w:t>a Tanács részéről</w:t>
      </w:r>
    </w:p>
    <w:p w14:paraId="518E0606" w14:textId="77777777" w:rsidR="00A577DD" w:rsidRPr="00BB1F09" w:rsidRDefault="00A577DD" w:rsidP="00A577DD">
      <w:pPr>
        <w:pStyle w:val="Personnequisigne"/>
        <w:rPr>
          <w:noProof/>
        </w:rPr>
      </w:pPr>
      <w:r w:rsidRPr="00BB1F09">
        <w:rPr>
          <w:noProof/>
        </w:rPr>
        <w:tab/>
        <w:t>az elnök</w:t>
      </w:r>
      <w:bookmarkEnd w:id="0"/>
    </w:p>
    <w:sectPr w:rsidR="00A577DD" w:rsidRPr="00BB1F09" w:rsidSect="00D37BD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E7EF" w14:textId="77777777" w:rsidR="00733E7A" w:rsidRDefault="00733E7A" w:rsidP="00A577DD">
      <w:pPr>
        <w:spacing w:before="0" w:after="0"/>
      </w:pPr>
      <w:r>
        <w:separator/>
      </w:r>
    </w:p>
  </w:endnote>
  <w:endnote w:type="continuationSeparator" w:id="0">
    <w:p w14:paraId="2C8B3896" w14:textId="77777777" w:rsidR="00733E7A" w:rsidRDefault="00733E7A" w:rsidP="00A577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389EC" w14:textId="56145809" w:rsidR="00AA485E" w:rsidRPr="00D37BD6" w:rsidRDefault="00D37BD6" w:rsidP="00D37BD6">
    <w:pPr>
      <w:pStyle w:val="Footer"/>
      <w:rPr>
        <w:rFonts w:ascii="Arial" w:hAnsi="Arial" w:cs="Arial"/>
        <w:b/>
        <w:sz w:val="48"/>
      </w:rPr>
    </w:pPr>
    <w:r w:rsidRPr="00D37BD6">
      <w:rPr>
        <w:rFonts w:ascii="Arial" w:hAnsi="Arial" w:cs="Arial"/>
        <w:b/>
        <w:sz w:val="48"/>
      </w:rPr>
      <w:t>HU</w:t>
    </w:r>
    <w:r w:rsidRPr="00D37BD6">
      <w:rPr>
        <w:rFonts w:ascii="Arial" w:hAnsi="Arial" w:cs="Arial"/>
        <w:b/>
        <w:sz w:val="48"/>
      </w:rPr>
      <w:tab/>
    </w:r>
    <w:r w:rsidRPr="00D37BD6">
      <w:rPr>
        <w:rFonts w:ascii="Arial" w:hAnsi="Arial" w:cs="Arial"/>
        <w:b/>
        <w:sz w:val="48"/>
      </w:rPr>
      <w:tab/>
    </w:r>
    <w:r w:rsidRPr="00D37BD6">
      <w:tab/>
    </w:r>
    <w:r w:rsidRPr="00D37BD6">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A426C" w14:textId="1C317534" w:rsidR="00D37BD6" w:rsidRPr="00D37BD6" w:rsidRDefault="00D37BD6" w:rsidP="00D37BD6">
    <w:pPr>
      <w:pStyle w:val="Footer"/>
      <w:rPr>
        <w:rFonts w:ascii="Arial" w:hAnsi="Arial" w:cs="Arial"/>
        <w:b/>
        <w:sz w:val="48"/>
      </w:rPr>
    </w:pPr>
    <w:r w:rsidRPr="00D37BD6">
      <w:rPr>
        <w:rFonts w:ascii="Arial" w:hAnsi="Arial" w:cs="Arial"/>
        <w:b/>
        <w:sz w:val="48"/>
      </w:rPr>
      <w:t>HU</w:t>
    </w:r>
    <w:r w:rsidRPr="00D37BD6">
      <w:rPr>
        <w:rFonts w:ascii="Arial" w:hAnsi="Arial" w:cs="Arial"/>
        <w:b/>
        <w:sz w:val="48"/>
      </w:rPr>
      <w:tab/>
    </w:r>
    <w:r>
      <w:fldChar w:fldCharType="begin"/>
    </w:r>
    <w:r>
      <w:instrText xml:space="preserve"> PAGE  \* MERGEFORMAT </w:instrText>
    </w:r>
    <w:r>
      <w:fldChar w:fldCharType="separate"/>
    </w:r>
    <w:r w:rsidR="00A11514">
      <w:rPr>
        <w:noProof/>
      </w:rPr>
      <w:t>10</w:t>
    </w:r>
    <w:r>
      <w:fldChar w:fldCharType="end"/>
    </w:r>
    <w:r>
      <w:tab/>
    </w:r>
    <w:r w:rsidRPr="00D37BD6">
      <w:tab/>
    </w:r>
    <w:r w:rsidRPr="00D37BD6">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F717" w14:textId="77777777" w:rsidR="00D37BD6" w:rsidRPr="00D37BD6" w:rsidRDefault="00D37BD6" w:rsidP="00D3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8676B" w14:textId="77777777" w:rsidR="00733E7A" w:rsidRDefault="00733E7A" w:rsidP="00A577DD">
      <w:pPr>
        <w:spacing w:before="0" w:after="0"/>
      </w:pPr>
      <w:r>
        <w:separator/>
      </w:r>
    </w:p>
  </w:footnote>
  <w:footnote w:type="continuationSeparator" w:id="0">
    <w:p w14:paraId="66209343" w14:textId="77777777" w:rsidR="00733E7A" w:rsidRDefault="00733E7A" w:rsidP="00A577DD">
      <w:pPr>
        <w:spacing w:before="0" w:after="0"/>
      </w:pPr>
      <w:r>
        <w:continuationSeparator/>
      </w:r>
    </w:p>
  </w:footnote>
  <w:footnote w:id="1">
    <w:p w14:paraId="4BF9C091" w14:textId="77777777" w:rsidR="00733E7A" w:rsidRDefault="00733E7A" w:rsidP="00A577DD">
      <w:pPr>
        <w:pStyle w:val="FootnoteText"/>
      </w:pPr>
      <w:r>
        <w:rPr>
          <w:rStyle w:val="FootnoteReference"/>
        </w:rPr>
        <w:footnoteRef/>
      </w:r>
      <w:r>
        <w:tab/>
        <w:t>A Tanács 97/836/EK határozata (1997. november 27.) az Európai Közösségnek az ENSZ Európai Gazdasági Bizottságának a kerekes járművekre és az azokba szerelhető, illetve az azokon használható berendezésekre és tartozékokra vonatkozó egységes műszaki előírások elfogadásáról, valamint az ezen előírások alapján kibocsátott jóváhagyások kölcsönös elismerésének feltételeiről szóló megállapodásához („1958. évi felülvizsgált megállapodás”) való csatlakozásáról (HL L 346., 1997.12.17., 78. o.).</w:t>
      </w:r>
    </w:p>
    <w:p w14:paraId="475D4D8C" w14:textId="77777777" w:rsidR="00733E7A" w:rsidRPr="008A260A" w:rsidRDefault="00733E7A" w:rsidP="00A577DD">
      <w:pPr>
        <w:pStyle w:val="FootnoteText"/>
        <w:ind w:firstLine="0"/>
      </w:pPr>
      <w:r>
        <w:t>A Tanács 2000/125/EK határozata (2000. január 31.) a kerekes járművekről, valamint a kerekes járművekre felszerelhető és/vagy azokon használható berendezésekről és felszerelésekről szóló globális műszaki előírások kidolgozására irányuló megállapodás megkötéséről („párhuzamos megállapodás”) (HL L 35., 2000.2.10., 12. o.).</w:t>
      </w:r>
    </w:p>
  </w:footnote>
  <w:footnote w:id="2">
    <w:p w14:paraId="6174C9A7" w14:textId="77777777" w:rsidR="00733E7A" w:rsidRPr="007E7968" w:rsidRDefault="00733E7A" w:rsidP="00A577DD">
      <w:pPr>
        <w:pStyle w:val="FootnoteText"/>
      </w:pPr>
      <w:r>
        <w:rPr>
          <w:rStyle w:val="FootnoteReference"/>
        </w:rPr>
        <w:footnoteRef/>
      </w:r>
      <w:r>
        <w:tab/>
        <w:t>Az Európai Parlament és a Tanács (EU) 2018/858 rendelete (2018. május 30.) a gépjárművek és pótkocsijaik, valamint az ilyen járművek rendszereinek, alkotóelemeinek és önálló műszaki egységeinek jóváhagyásáról és piacfelügyeletéről, a 715/2007/EK és az 595/2009/EK rendelet módosításáról, valamint a 2007/46/EK irányelv hatályon kívül helyezéséről (HL L 151., 2018.6.14., 1. o.).</w:t>
      </w:r>
    </w:p>
  </w:footnote>
  <w:footnote w:id="3">
    <w:p w14:paraId="36496D26" w14:textId="6E3D599F" w:rsidR="00FE0A36" w:rsidRPr="00FE0A36" w:rsidRDefault="00FE0A36">
      <w:pPr>
        <w:pStyle w:val="FootnoteText"/>
      </w:pPr>
      <w:r>
        <w:rPr>
          <w:rStyle w:val="FootnoteReference"/>
        </w:rPr>
        <w:footnoteRef/>
      </w:r>
      <w:r>
        <w:tab/>
        <w:t>ECE/TRANS/WP.29/2023/115</w:t>
      </w:r>
    </w:p>
  </w:footnote>
  <w:footnote w:id="4">
    <w:p w14:paraId="5868E4AE" w14:textId="77777777" w:rsidR="00733E7A" w:rsidRPr="00E72EC4" w:rsidRDefault="00733E7A" w:rsidP="00A577DD">
      <w:pPr>
        <w:pStyle w:val="FootnoteText"/>
      </w:pPr>
      <w:r>
        <w:rPr>
          <w:rStyle w:val="FootnoteReference"/>
        </w:rPr>
        <w:footnoteRef/>
      </w:r>
      <w:r>
        <w:tab/>
        <w:t xml:space="preserve">A Bíróság 2014. október 7-i ítélete, </w:t>
      </w:r>
      <w:r>
        <w:rPr>
          <w:i/>
          <w:iCs/>
        </w:rPr>
        <w:t>Németország</w:t>
      </w:r>
      <w:r>
        <w:t xml:space="preserve"> kontra </w:t>
      </w:r>
      <w:r>
        <w:rPr>
          <w:i/>
          <w:iCs/>
        </w:rPr>
        <w:t>Tanács</w:t>
      </w:r>
      <w:r>
        <w:t xml:space="preserve">, C-399/12, ECLI:EU:C:2014:2258, 61–64. pont.  </w:t>
      </w:r>
    </w:p>
  </w:footnote>
  <w:footnote w:id="5">
    <w:p w14:paraId="4B19DF52" w14:textId="77777777" w:rsidR="00733E7A" w:rsidRPr="007E7968" w:rsidRDefault="00733E7A" w:rsidP="00A577DD">
      <w:pPr>
        <w:pStyle w:val="FootnoteText"/>
      </w:pPr>
      <w:r>
        <w:rPr>
          <w:rStyle w:val="FootnoteReference"/>
        </w:rPr>
        <w:footnoteRef/>
      </w:r>
      <w:r>
        <w:tab/>
        <w:t>A Tanács 97/836/EK határozata (1997. november 27.) az Európai Közösségnek az ENSZ Európai Gazdasági Bizottságának a kerekes járművekre és az azokba szerelhető, illetve az azokon használható berendezésekre és tartozékokra vonatkozó egységes műszaki előírások elfogadásáról, valamint az ezen előírások alapján kibocsátott jóváhagyások kölcsönös elismerésének feltételeiről szóló megállapodásához („1958. évi felülvizsgált megállapodás”) való csatlakozásáról (HL L 346., 1997.12.17., 78. o.).</w:t>
      </w:r>
    </w:p>
  </w:footnote>
  <w:footnote w:id="6">
    <w:p w14:paraId="3A992D26" w14:textId="77777777" w:rsidR="00733E7A" w:rsidRPr="007E7968" w:rsidRDefault="00733E7A" w:rsidP="00A577DD">
      <w:pPr>
        <w:pStyle w:val="FootnoteText"/>
      </w:pPr>
      <w:r>
        <w:rPr>
          <w:rStyle w:val="FootnoteReference"/>
        </w:rPr>
        <w:footnoteRef/>
      </w:r>
      <w:r>
        <w:tab/>
        <w:t>A Tanács 2000/125/EK határozata (2000. január 31.) a kerekes járművekről, valamint a kerekes járművekre felszerelhető és/vagy azokon használható berendezésekről és felszerelésekről szóló globális műszaki előírások kidolgozására irányuló megállapodás megkötéséről („párhuzamos megállapodás”) (HL L 35., 2000.2.10., 12. o.).</w:t>
      </w:r>
    </w:p>
  </w:footnote>
  <w:footnote w:id="7">
    <w:p w14:paraId="2165D4E9" w14:textId="77777777" w:rsidR="00733E7A" w:rsidRPr="00DA4C1A" w:rsidRDefault="00733E7A" w:rsidP="00A577DD">
      <w:pPr>
        <w:pStyle w:val="FootnoteText"/>
      </w:pPr>
      <w:r>
        <w:rPr>
          <w:rStyle w:val="FootnoteReference"/>
        </w:rPr>
        <w:footnoteRef/>
      </w:r>
      <w:r>
        <w:tab/>
        <w:t>Az Európai Parlament és a Tanács (EU) 2018/858 rendelete (2018. május 30.) a gépjárművek és pótkocsijaik, valamint az ilyen járművek rendszereinek, alkotóelemeinek és önálló műszaki egységeinek jóváhagyásáról és piacfelügyeletéről, a 715/2007/EK és az 595/2009/EK rendelet módosításáról, valamint a 2007/46/EK irányelv hatályon kívül helyezéséről (HL L 151., 2018.6.14., 1. o.).</w:t>
      </w:r>
    </w:p>
    <w:p w14:paraId="5AA5BAC5" w14:textId="77777777" w:rsidR="00733E7A" w:rsidRPr="00C805AC" w:rsidRDefault="00733E7A" w:rsidP="00A577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ED64DF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EBAF3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E08591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40680F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0EE7C9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9EE45C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9E0D21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2A6B17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lvlOverride w:ilvl="0">
      <w:startOverride w:val="1"/>
    </w:lvlOverride>
  </w:num>
  <w:num w:numId="11">
    <w:abstractNumId w:val="19"/>
    <w:lvlOverride w:ilvl="0">
      <w:startOverride w:val="1"/>
    </w:lvlOverride>
  </w:num>
  <w:num w:numId="12">
    <w:abstractNumId w:val="11"/>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fr-BE" w:vendorID="64" w:dllVersion="0" w:nlCheck="1" w:checkStyle="0"/>
  <w:activeWritingStyle w:appName="MSWord" w:lang="hu-HU" w:vendorID="64" w:dllVersion="0" w:nlCheck="1" w:checkStyle="0"/>
  <w:attachedTemplate r:id="rId1"/>
  <w:revisionView w:markup="0"/>
  <w:defaultTabStop w:val="720"/>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23 08:33: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A0D09FB-8462-4202-8D7E-D0C945714428"/>
    <w:docVar w:name="LW_COVERPAGE_TYPE" w:val="1"/>
    <w:docVar w:name="LW_CROSSREFERENCE" w:val="&lt;UNUSED&gt;"/>
    <w:docVar w:name="LW_DocType" w:val="COM"/>
    <w:docVar w:name="LW_EMISSION" w:val="2023.10.23."/>
    <w:docVar w:name="LW_EMISSION_ISODATE" w:val="2023-10-23"/>
    <w:docVar w:name="LW_EMISSION_LOCATION" w:val="BRX"/>
    <w:docVar w:name="LW_EMISSION_PREFIX" w:val="Brüssz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372"/>
    <w:docVar w:name="LW_REF.II.NEW.CP_YEAR" w:val="2023"/>
    <w:docVar w:name="LW_REF.INST.NEW" w:val="COM"/>
    <w:docVar w:name="LW_REF.INST.NEW_ADOPTED" w:val="final"/>
    <w:docVar w:name="LW_REF.INST.NEW_TEXT" w:val="(2023) 64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NSZ Európai Gazdasági Bizottságának Járműelőírások Harmonizálása Világfórumán az ENSZ 0., 14., 16., 17., 24., 43., 48., 53., 74., 86., 90., 94., 95., 100., 122., 129., 134., 135., 137., 145., 149., 153., 154., 157., 160., 161. és 162. számú előírásának módosítására irányuló javaslatok, a nehézgépjárművek eseményadat-rögzítőiről szóló új ENSZ-előírásra irányuló javaslat, a gyermekek autóbuszon történő biztonságosabb szállítását szolgáló gyermekbiztonsági rendszerekről szóló új ENSZ-előírásra irányuló javaslat és az ENSZ 1. számú kölcsönösen elfogadott határozatának módosítására irányuló javaslat tekintetében az Európai Unió által képviselendő álláspontról"/>
    <w:docVar w:name="LW_TYPE.DOC.CP" w:val="A TANÁCS HATÁROZATA"/>
    <w:docVar w:name="LwApiVersions" w:val="LW4CoDe 1.23.2.0; LW 8.0, Build 20211117"/>
  </w:docVars>
  <w:rsids>
    <w:rsidRoot w:val="00A577DD"/>
    <w:rsid w:val="00012BDA"/>
    <w:rsid w:val="00017D06"/>
    <w:rsid w:val="000237B0"/>
    <w:rsid w:val="0003072F"/>
    <w:rsid w:val="000369E2"/>
    <w:rsid w:val="00037B28"/>
    <w:rsid w:val="000438F4"/>
    <w:rsid w:val="00045F38"/>
    <w:rsid w:val="000531D6"/>
    <w:rsid w:val="00060104"/>
    <w:rsid w:val="00060984"/>
    <w:rsid w:val="00075CC4"/>
    <w:rsid w:val="00077383"/>
    <w:rsid w:val="00097A35"/>
    <w:rsid w:val="000A47A6"/>
    <w:rsid w:val="000A7517"/>
    <w:rsid w:val="000B5932"/>
    <w:rsid w:val="000C0A73"/>
    <w:rsid w:val="000C6594"/>
    <w:rsid w:val="000E198E"/>
    <w:rsid w:val="00100B9A"/>
    <w:rsid w:val="00110000"/>
    <w:rsid w:val="00110D1A"/>
    <w:rsid w:val="001116C6"/>
    <w:rsid w:val="0012165D"/>
    <w:rsid w:val="00126EB4"/>
    <w:rsid w:val="00135E59"/>
    <w:rsid w:val="00142711"/>
    <w:rsid w:val="00143253"/>
    <w:rsid w:val="00167C97"/>
    <w:rsid w:val="00186AB8"/>
    <w:rsid w:val="0019225F"/>
    <w:rsid w:val="00193176"/>
    <w:rsid w:val="001945E5"/>
    <w:rsid w:val="001A0ABF"/>
    <w:rsid w:val="001A4BE9"/>
    <w:rsid w:val="001A4D55"/>
    <w:rsid w:val="001C2816"/>
    <w:rsid w:val="001C33A8"/>
    <w:rsid w:val="001D51DB"/>
    <w:rsid w:val="001F6568"/>
    <w:rsid w:val="00216DFC"/>
    <w:rsid w:val="00225152"/>
    <w:rsid w:val="00226C50"/>
    <w:rsid w:val="00232E98"/>
    <w:rsid w:val="0024280D"/>
    <w:rsid w:val="00244127"/>
    <w:rsid w:val="00244237"/>
    <w:rsid w:val="002539B0"/>
    <w:rsid w:val="002556E3"/>
    <w:rsid w:val="00260925"/>
    <w:rsid w:val="00261C90"/>
    <w:rsid w:val="00263DAB"/>
    <w:rsid w:val="002650C1"/>
    <w:rsid w:val="002659F4"/>
    <w:rsid w:val="00270400"/>
    <w:rsid w:val="00272832"/>
    <w:rsid w:val="00274E23"/>
    <w:rsid w:val="0028114F"/>
    <w:rsid w:val="00284457"/>
    <w:rsid w:val="002931B3"/>
    <w:rsid w:val="002979A8"/>
    <w:rsid w:val="002A2F13"/>
    <w:rsid w:val="002B51BF"/>
    <w:rsid w:val="002C01C9"/>
    <w:rsid w:val="002C2306"/>
    <w:rsid w:val="002C38C0"/>
    <w:rsid w:val="002D301D"/>
    <w:rsid w:val="002D5CCB"/>
    <w:rsid w:val="002E1FDD"/>
    <w:rsid w:val="002E6FCA"/>
    <w:rsid w:val="002F7C84"/>
    <w:rsid w:val="00300630"/>
    <w:rsid w:val="00303BF3"/>
    <w:rsid w:val="00310F4F"/>
    <w:rsid w:val="00333313"/>
    <w:rsid w:val="00333FD9"/>
    <w:rsid w:val="00343EDF"/>
    <w:rsid w:val="00350765"/>
    <w:rsid w:val="0035157B"/>
    <w:rsid w:val="00351A00"/>
    <w:rsid w:val="00353475"/>
    <w:rsid w:val="003579BE"/>
    <w:rsid w:val="00374DAD"/>
    <w:rsid w:val="003774ED"/>
    <w:rsid w:val="0038140D"/>
    <w:rsid w:val="00384A9A"/>
    <w:rsid w:val="003C7AE2"/>
    <w:rsid w:val="003E0B80"/>
    <w:rsid w:val="003F48BA"/>
    <w:rsid w:val="00402D74"/>
    <w:rsid w:val="00407898"/>
    <w:rsid w:val="00410B74"/>
    <w:rsid w:val="00412516"/>
    <w:rsid w:val="0041740D"/>
    <w:rsid w:val="004317DA"/>
    <w:rsid w:val="00433B4F"/>
    <w:rsid w:val="00433BAC"/>
    <w:rsid w:val="0043545A"/>
    <w:rsid w:val="00440752"/>
    <w:rsid w:val="00441F53"/>
    <w:rsid w:val="00445B3D"/>
    <w:rsid w:val="00445BF8"/>
    <w:rsid w:val="0045292E"/>
    <w:rsid w:val="00455412"/>
    <w:rsid w:val="00461AA1"/>
    <w:rsid w:val="00462423"/>
    <w:rsid w:val="0046530C"/>
    <w:rsid w:val="004745E4"/>
    <w:rsid w:val="00493C7E"/>
    <w:rsid w:val="00495170"/>
    <w:rsid w:val="004A31F7"/>
    <w:rsid w:val="004A6699"/>
    <w:rsid w:val="004B1884"/>
    <w:rsid w:val="004B1B0F"/>
    <w:rsid w:val="004B2389"/>
    <w:rsid w:val="004B4482"/>
    <w:rsid w:val="004B7E57"/>
    <w:rsid w:val="004C13C6"/>
    <w:rsid w:val="004C4776"/>
    <w:rsid w:val="004D174F"/>
    <w:rsid w:val="004D32BC"/>
    <w:rsid w:val="004D3AD2"/>
    <w:rsid w:val="004D400E"/>
    <w:rsid w:val="004D770D"/>
    <w:rsid w:val="004E05BA"/>
    <w:rsid w:val="004E7A3D"/>
    <w:rsid w:val="004F454C"/>
    <w:rsid w:val="00502953"/>
    <w:rsid w:val="005158B4"/>
    <w:rsid w:val="00516C16"/>
    <w:rsid w:val="00525D8A"/>
    <w:rsid w:val="00534162"/>
    <w:rsid w:val="00534798"/>
    <w:rsid w:val="005638C0"/>
    <w:rsid w:val="00567807"/>
    <w:rsid w:val="00584BC2"/>
    <w:rsid w:val="00592A7F"/>
    <w:rsid w:val="005A3904"/>
    <w:rsid w:val="005A5B13"/>
    <w:rsid w:val="005B03A4"/>
    <w:rsid w:val="005B38E2"/>
    <w:rsid w:val="005B5878"/>
    <w:rsid w:val="005C12C5"/>
    <w:rsid w:val="005D2A02"/>
    <w:rsid w:val="005D5EFF"/>
    <w:rsid w:val="005E0AF4"/>
    <w:rsid w:val="005E0E79"/>
    <w:rsid w:val="005F1A6C"/>
    <w:rsid w:val="005F1C31"/>
    <w:rsid w:val="005F3B3E"/>
    <w:rsid w:val="005F6D59"/>
    <w:rsid w:val="005F78C9"/>
    <w:rsid w:val="0060304E"/>
    <w:rsid w:val="00606497"/>
    <w:rsid w:val="006200AA"/>
    <w:rsid w:val="00627CE6"/>
    <w:rsid w:val="00631093"/>
    <w:rsid w:val="006352AB"/>
    <w:rsid w:val="00635EE0"/>
    <w:rsid w:val="006464B0"/>
    <w:rsid w:val="00646D7F"/>
    <w:rsid w:val="00653F44"/>
    <w:rsid w:val="00661C63"/>
    <w:rsid w:val="00661D4C"/>
    <w:rsid w:val="00671E3E"/>
    <w:rsid w:val="006A0391"/>
    <w:rsid w:val="006A4923"/>
    <w:rsid w:val="006A6B1F"/>
    <w:rsid w:val="006D3C06"/>
    <w:rsid w:val="006E0DC3"/>
    <w:rsid w:val="006E304E"/>
    <w:rsid w:val="006E7542"/>
    <w:rsid w:val="006E75C5"/>
    <w:rsid w:val="0070128F"/>
    <w:rsid w:val="00707754"/>
    <w:rsid w:val="00711399"/>
    <w:rsid w:val="00711814"/>
    <w:rsid w:val="007165A4"/>
    <w:rsid w:val="00722DC0"/>
    <w:rsid w:val="00724431"/>
    <w:rsid w:val="00733E7A"/>
    <w:rsid w:val="00736348"/>
    <w:rsid w:val="00745A28"/>
    <w:rsid w:val="00757D36"/>
    <w:rsid w:val="00761AEE"/>
    <w:rsid w:val="00770546"/>
    <w:rsid w:val="007768B2"/>
    <w:rsid w:val="00784301"/>
    <w:rsid w:val="007869B1"/>
    <w:rsid w:val="00792525"/>
    <w:rsid w:val="00793C55"/>
    <w:rsid w:val="0079413C"/>
    <w:rsid w:val="00797BEC"/>
    <w:rsid w:val="00797CCE"/>
    <w:rsid w:val="007A0D53"/>
    <w:rsid w:val="007A1839"/>
    <w:rsid w:val="007A1B2D"/>
    <w:rsid w:val="007B5CEE"/>
    <w:rsid w:val="007B604E"/>
    <w:rsid w:val="007C06F6"/>
    <w:rsid w:val="007D48C1"/>
    <w:rsid w:val="007D714E"/>
    <w:rsid w:val="007E3ABE"/>
    <w:rsid w:val="007E67A2"/>
    <w:rsid w:val="007F0415"/>
    <w:rsid w:val="00800E02"/>
    <w:rsid w:val="0080682F"/>
    <w:rsid w:val="00816F0B"/>
    <w:rsid w:val="0082583C"/>
    <w:rsid w:val="00825954"/>
    <w:rsid w:val="0082752E"/>
    <w:rsid w:val="008308C4"/>
    <w:rsid w:val="00844C06"/>
    <w:rsid w:val="00847E92"/>
    <w:rsid w:val="00853CD0"/>
    <w:rsid w:val="0085763A"/>
    <w:rsid w:val="0086427C"/>
    <w:rsid w:val="00866F95"/>
    <w:rsid w:val="00886501"/>
    <w:rsid w:val="008952D8"/>
    <w:rsid w:val="008A2D8C"/>
    <w:rsid w:val="008B0A57"/>
    <w:rsid w:val="008B2EC0"/>
    <w:rsid w:val="008B3B8B"/>
    <w:rsid w:val="008C2BBC"/>
    <w:rsid w:val="008C391C"/>
    <w:rsid w:val="008C4207"/>
    <w:rsid w:val="008D2404"/>
    <w:rsid w:val="008D2524"/>
    <w:rsid w:val="008D53AF"/>
    <w:rsid w:val="008E1319"/>
    <w:rsid w:val="008E136E"/>
    <w:rsid w:val="008F6840"/>
    <w:rsid w:val="008F6986"/>
    <w:rsid w:val="00925540"/>
    <w:rsid w:val="0093529B"/>
    <w:rsid w:val="00940F7F"/>
    <w:rsid w:val="00946DB3"/>
    <w:rsid w:val="009510CD"/>
    <w:rsid w:val="00954BB8"/>
    <w:rsid w:val="00955E18"/>
    <w:rsid w:val="0095781F"/>
    <w:rsid w:val="00964EC0"/>
    <w:rsid w:val="0096715F"/>
    <w:rsid w:val="00972922"/>
    <w:rsid w:val="009833AB"/>
    <w:rsid w:val="0098688D"/>
    <w:rsid w:val="00986B33"/>
    <w:rsid w:val="009874CC"/>
    <w:rsid w:val="00987AD5"/>
    <w:rsid w:val="009908A6"/>
    <w:rsid w:val="009944EF"/>
    <w:rsid w:val="009A5D1D"/>
    <w:rsid w:val="009B0652"/>
    <w:rsid w:val="009B4F12"/>
    <w:rsid w:val="009B7138"/>
    <w:rsid w:val="009C12D6"/>
    <w:rsid w:val="009C6CEF"/>
    <w:rsid w:val="009D14FF"/>
    <w:rsid w:val="009D7058"/>
    <w:rsid w:val="00A026A5"/>
    <w:rsid w:val="00A069A4"/>
    <w:rsid w:val="00A11514"/>
    <w:rsid w:val="00A25B50"/>
    <w:rsid w:val="00A34165"/>
    <w:rsid w:val="00A37743"/>
    <w:rsid w:val="00A435DC"/>
    <w:rsid w:val="00A575BE"/>
    <w:rsid w:val="00A577DD"/>
    <w:rsid w:val="00A62C22"/>
    <w:rsid w:val="00A6405F"/>
    <w:rsid w:val="00A72010"/>
    <w:rsid w:val="00A72057"/>
    <w:rsid w:val="00A74B8A"/>
    <w:rsid w:val="00A77C6A"/>
    <w:rsid w:val="00A95DB4"/>
    <w:rsid w:val="00AA152C"/>
    <w:rsid w:val="00AA485E"/>
    <w:rsid w:val="00AA7948"/>
    <w:rsid w:val="00AC5896"/>
    <w:rsid w:val="00AD781C"/>
    <w:rsid w:val="00AF23D0"/>
    <w:rsid w:val="00B0330F"/>
    <w:rsid w:val="00B12E36"/>
    <w:rsid w:val="00B17FBE"/>
    <w:rsid w:val="00B209C0"/>
    <w:rsid w:val="00B24C9F"/>
    <w:rsid w:val="00B35C31"/>
    <w:rsid w:val="00B36607"/>
    <w:rsid w:val="00B40450"/>
    <w:rsid w:val="00B4439E"/>
    <w:rsid w:val="00B51E30"/>
    <w:rsid w:val="00B53A0A"/>
    <w:rsid w:val="00B606DE"/>
    <w:rsid w:val="00B70E26"/>
    <w:rsid w:val="00B71ACA"/>
    <w:rsid w:val="00B7242A"/>
    <w:rsid w:val="00B73C11"/>
    <w:rsid w:val="00B740A8"/>
    <w:rsid w:val="00B757AA"/>
    <w:rsid w:val="00B818C7"/>
    <w:rsid w:val="00B820B1"/>
    <w:rsid w:val="00B84B6F"/>
    <w:rsid w:val="00B86C65"/>
    <w:rsid w:val="00B87357"/>
    <w:rsid w:val="00B93651"/>
    <w:rsid w:val="00BA6626"/>
    <w:rsid w:val="00BA79ED"/>
    <w:rsid w:val="00BB0A67"/>
    <w:rsid w:val="00BB1BB9"/>
    <w:rsid w:val="00BB1F09"/>
    <w:rsid w:val="00BB79DC"/>
    <w:rsid w:val="00BD0EA2"/>
    <w:rsid w:val="00BD4A91"/>
    <w:rsid w:val="00BE246D"/>
    <w:rsid w:val="00BE7EAD"/>
    <w:rsid w:val="00BF17AA"/>
    <w:rsid w:val="00C02A39"/>
    <w:rsid w:val="00C03773"/>
    <w:rsid w:val="00C0395F"/>
    <w:rsid w:val="00C1320C"/>
    <w:rsid w:val="00C211B6"/>
    <w:rsid w:val="00C24556"/>
    <w:rsid w:val="00C2489B"/>
    <w:rsid w:val="00C338EC"/>
    <w:rsid w:val="00C356BD"/>
    <w:rsid w:val="00C45735"/>
    <w:rsid w:val="00C45A10"/>
    <w:rsid w:val="00C5776B"/>
    <w:rsid w:val="00C6466F"/>
    <w:rsid w:val="00C73605"/>
    <w:rsid w:val="00C74F99"/>
    <w:rsid w:val="00C82820"/>
    <w:rsid w:val="00C86A95"/>
    <w:rsid w:val="00C9318C"/>
    <w:rsid w:val="00C94842"/>
    <w:rsid w:val="00C96B89"/>
    <w:rsid w:val="00CA7AAB"/>
    <w:rsid w:val="00CB6B75"/>
    <w:rsid w:val="00CB7295"/>
    <w:rsid w:val="00CC72D9"/>
    <w:rsid w:val="00CD070E"/>
    <w:rsid w:val="00CD41CA"/>
    <w:rsid w:val="00CE0FAC"/>
    <w:rsid w:val="00CE1D9E"/>
    <w:rsid w:val="00CE3C22"/>
    <w:rsid w:val="00CE6982"/>
    <w:rsid w:val="00CE7BAA"/>
    <w:rsid w:val="00CF0227"/>
    <w:rsid w:val="00CF5DB8"/>
    <w:rsid w:val="00D040D2"/>
    <w:rsid w:val="00D07866"/>
    <w:rsid w:val="00D112C7"/>
    <w:rsid w:val="00D11A86"/>
    <w:rsid w:val="00D129B1"/>
    <w:rsid w:val="00D17FBF"/>
    <w:rsid w:val="00D22B6B"/>
    <w:rsid w:val="00D238C8"/>
    <w:rsid w:val="00D32C5C"/>
    <w:rsid w:val="00D37BD6"/>
    <w:rsid w:val="00D446A2"/>
    <w:rsid w:val="00D4709D"/>
    <w:rsid w:val="00D50061"/>
    <w:rsid w:val="00D61007"/>
    <w:rsid w:val="00D62731"/>
    <w:rsid w:val="00D65AFB"/>
    <w:rsid w:val="00D71B22"/>
    <w:rsid w:val="00D71EDB"/>
    <w:rsid w:val="00D80E25"/>
    <w:rsid w:val="00D82813"/>
    <w:rsid w:val="00D8370B"/>
    <w:rsid w:val="00D868C6"/>
    <w:rsid w:val="00DA1B28"/>
    <w:rsid w:val="00DA2BC2"/>
    <w:rsid w:val="00DA64B2"/>
    <w:rsid w:val="00DB0857"/>
    <w:rsid w:val="00DB41C0"/>
    <w:rsid w:val="00DC2B6E"/>
    <w:rsid w:val="00DD0674"/>
    <w:rsid w:val="00DE444E"/>
    <w:rsid w:val="00DE45E5"/>
    <w:rsid w:val="00DE7324"/>
    <w:rsid w:val="00DF51B4"/>
    <w:rsid w:val="00E0359B"/>
    <w:rsid w:val="00E1696E"/>
    <w:rsid w:val="00E17790"/>
    <w:rsid w:val="00E3543E"/>
    <w:rsid w:val="00E35AB2"/>
    <w:rsid w:val="00E43061"/>
    <w:rsid w:val="00E50BF3"/>
    <w:rsid w:val="00E5354B"/>
    <w:rsid w:val="00E573C2"/>
    <w:rsid w:val="00E630F9"/>
    <w:rsid w:val="00E6586E"/>
    <w:rsid w:val="00E72204"/>
    <w:rsid w:val="00E7434F"/>
    <w:rsid w:val="00E84F4D"/>
    <w:rsid w:val="00E87E12"/>
    <w:rsid w:val="00E91074"/>
    <w:rsid w:val="00E977B5"/>
    <w:rsid w:val="00EB543D"/>
    <w:rsid w:val="00EC7560"/>
    <w:rsid w:val="00ED2619"/>
    <w:rsid w:val="00EE7F7D"/>
    <w:rsid w:val="00EF0F32"/>
    <w:rsid w:val="00EF5800"/>
    <w:rsid w:val="00F01317"/>
    <w:rsid w:val="00F01D07"/>
    <w:rsid w:val="00F105FD"/>
    <w:rsid w:val="00F11D5C"/>
    <w:rsid w:val="00F12570"/>
    <w:rsid w:val="00F140DC"/>
    <w:rsid w:val="00F153A2"/>
    <w:rsid w:val="00F158E1"/>
    <w:rsid w:val="00F17A92"/>
    <w:rsid w:val="00F20062"/>
    <w:rsid w:val="00F22135"/>
    <w:rsid w:val="00F25F9D"/>
    <w:rsid w:val="00F262E5"/>
    <w:rsid w:val="00F41364"/>
    <w:rsid w:val="00F4164B"/>
    <w:rsid w:val="00F500C4"/>
    <w:rsid w:val="00F52DFE"/>
    <w:rsid w:val="00F70E1F"/>
    <w:rsid w:val="00F747B1"/>
    <w:rsid w:val="00F76E1F"/>
    <w:rsid w:val="00F928CC"/>
    <w:rsid w:val="00F965B3"/>
    <w:rsid w:val="00FA12B8"/>
    <w:rsid w:val="00FA1ED4"/>
    <w:rsid w:val="00FB2E54"/>
    <w:rsid w:val="00FD09E1"/>
    <w:rsid w:val="00FD6838"/>
    <w:rsid w:val="00FE0A36"/>
    <w:rsid w:val="00FF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73FCBED"/>
  <w15:docId w15:val="{044AB1DF-F28A-450E-8552-6A220BAE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A794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A7948"/>
    <w:pPr>
      <w:spacing w:after="0"/>
    </w:pPr>
  </w:style>
  <w:style w:type="paragraph" w:styleId="ListBullet">
    <w:name w:val="List Bullet"/>
    <w:basedOn w:val="Normal"/>
    <w:uiPriority w:val="99"/>
    <w:semiHidden/>
    <w:unhideWhenUsed/>
    <w:rsid w:val="00AA7948"/>
    <w:pPr>
      <w:numPr>
        <w:numId w:val="2"/>
      </w:numPr>
      <w:contextualSpacing/>
    </w:pPr>
  </w:style>
  <w:style w:type="paragraph" w:styleId="ListBullet2">
    <w:name w:val="List Bullet 2"/>
    <w:basedOn w:val="Normal"/>
    <w:uiPriority w:val="99"/>
    <w:semiHidden/>
    <w:unhideWhenUsed/>
    <w:rsid w:val="00AA7948"/>
    <w:pPr>
      <w:numPr>
        <w:numId w:val="3"/>
      </w:numPr>
      <w:contextualSpacing/>
    </w:pPr>
  </w:style>
  <w:style w:type="paragraph" w:styleId="ListBullet3">
    <w:name w:val="List Bullet 3"/>
    <w:basedOn w:val="Normal"/>
    <w:uiPriority w:val="99"/>
    <w:semiHidden/>
    <w:unhideWhenUsed/>
    <w:rsid w:val="00AA7948"/>
    <w:pPr>
      <w:numPr>
        <w:numId w:val="4"/>
      </w:numPr>
      <w:contextualSpacing/>
    </w:pPr>
  </w:style>
  <w:style w:type="paragraph" w:styleId="ListBullet4">
    <w:name w:val="List Bullet 4"/>
    <w:basedOn w:val="Normal"/>
    <w:uiPriority w:val="99"/>
    <w:semiHidden/>
    <w:unhideWhenUsed/>
    <w:rsid w:val="00AA7948"/>
    <w:pPr>
      <w:numPr>
        <w:numId w:val="5"/>
      </w:numPr>
      <w:contextualSpacing/>
    </w:pPr>
  </w:style>
  <w:style w:type="paragraph" w:styleId="ListNumber">
    <w:name w:val="List Number"/>
    <w:basedOn w:val="Normal"/>
    <w:uiPriority w:val="99"/>
    <w:semiHidden/>
    <w:unhideWhenUsed/>
    <w:rsid w:val="00AA7948"/>
    <w:pPr>
      <w:numPr>
        <w:numId w:val="6"/>
      </w:numPr>
      <w:contextualSpacing/>
    </w:pPr>
  </w:style>
  <w:style w:type="paragraph" w:styleId="ListNumber2">
    <w:name w:val="List Number 2"/>
    <w:basedOn w:val="Normal"/>
    <w:semiHidden/>
    <w:unhideWhenUsed/>
    <w:rsid w:val="00AA7948"/>
    <w:pPr>
      <w:numPr>
        <w:numId w:val="7"/>
      </w:numPr>
      <w:contextualSpacing/>
    </w:pPr>
  </w:style>
  <w:style w:type="paragraph" w:styleId="ListNumber3">
    <w:name w:val="List Number 3"/>
    <w:basedOn w:val="Normal"/>
    <w:uiPriority w:val="99"/>
    <w:semiHidden/>
    <w:unhideWhenUsed/>
    <w:rsid w:val="00AA7948"/>
    <w:pPr>
      <w:numPr>
        <w:numId w:val="8"/>
      </w:numPr>
      <w:contextualSpacing/>
    </w:pPr>
  </w:style>
  <w:style w:type="paragraph" w:styleId="ListNumber4">
    <w:name w:val="List Number 4"/>
    <w:basedOn w:val="Normal"/>
    <w:uiPriority w:val="99"/>
    <w:semiHidden/>
    <w:unhideWhenUsed/>
    <w:rsid w:val="00AA7948"/>
    <w:pPr>
      <w:numPr>
        <w:numId w:val="9"/>
      </w:numPr>
      <w:contextualSpacing/>
    </w:pPr>
  </w:style>
  <w:style w:type="character" w:styleId="CommentReference">
    <w:name w:val="annotation reference"/>
    <w:basedOn w:val="DefaultParagraphFont"/>
    <w:uiPriority w:val="99"/>
    <w:semiHidden/>
    <w:unhideWhenUsed/>
    <w:rsid w:val="00627CE6"/>
    <w:rPr>
      <w:sz w:val="16"/>
      <w:szCs w:val="16"/>
    </w:rPr>
  </w:style>
  <w:style w:type="paragraph" w:styleId="CommentText">
    <w:name w:val="annotation text"/>
    <w:basedOn w:val="Normal"/>
    <w:link w:val="CommentTextChar"/>
    <w:uiPriority w:val="99"/>
    <w:unhideWhenUsed/>
    <w:rsid w:val="00627CE6"/>
    <w:rPr>
      <w:sz w:val="20"/>
      <w:szCs w:val="20"/>
    </w:rPr>
  </w:style>
  <w:style w:type="character" w:customStyle="1" w:styleId="CommentTextChar">
    <w:name w:val="Comment Text Char"/>
    <w:basedOn w:val="DefaultParagraphFont"/>
    <w:link w:val="CommentText"/>
    <w:uiPriority w:val="99"/>
    <w:rsid w:val="00627CE6"/>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627CE6"/>
    <w:rPr>
      <w:b/>
      <w:bCs/>
    </w:rPr>
  </w:style>
  <w:style w:type="character" w:customStyle="1" w:styleId="CommentSubjectChar">
    <w:name w:val="Comment Subject Char"/>
    <w:basedOn w:val="CommentTextChar"/>
    <w:link w:val="CommentSubject"/>
    <w:uiPriority w:val="99"/>
    <w:semiHidden/>
    <w:rsid w:val="00627CE6"/>
    <w:rPr>
      <w:rFonts w:ascii="Times New Roman" w:hAnsi="Times New Roman" w:cs="Times New Roman"/>
      <w:b/>
      <w:bCs/>
      <w:sz w:val="20"/>
      <w:szCs w:val="20"/>
      <w:lang w:val="hu-HU"/>
    </w:rPr>
  </w:style>
  <w:style w:type="character" w:styleId="Hyperlink">
    <w:name w:val="Hyperlink"/>
    <w:basedOn w:val="DefaultParagraphFont"/>
    <w:uiPriority w:val="99"/>
    <w:unhideWhenUsed/>
    <w:rsid w:val="00627CE6"/>
    <w:rPr>
      <w:color w:val="0000FF" w:themeColor="hyperlink"/>
      <w:u w:val="single"/>
    </w:rPr>
  </w:style>
  <w:style w:type="paragraph" w:styleId="BalloonText">
    <w:name w:val="Balloon Text"/>
    <w:basedOn w:val="Normal"/>
    <w:link w:val="BalloonTextChar"/>
    <w:uiPriority w:val="99"/>
    <w:semiHidden/>
    <w:unhideWhenUsed/>
    <w:rsid w:val="00627CE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CE6"/>
    <w:rPr>
      <w:rFonts w:ascii="Segoe UI" w:hAnsi="Segoe UI" w:cs="Segoe UI"/>
      <w:sz w:val="18"/>
      <w:szCs w:val="18"/>
      <w:lang w:val="hu-HU"/>
    </w:rPr>
  </w:style>
  <w:style w:type="paragraph" w:customStyle="1" w:styleId="Default">
    <w:name w:val="Default"/>
    <w:rsid w:val="00853CD0"/>
    <w:pPr>
      <w:autoSpaceDE w:val="0"/>
      <w:autoSpaceDN w:val="0"/>
      <w:adjustRightInd w:val="0"/>
      <w:spacing w:after="0" w:line="240" w:lineRule="auto"/>
    </w:pPr>
    <w:rPr>
      <w:rFonts w:ascii="EUAlbertina" w:hAnsi="EUAlbertina" w:cs="EUAlbertina"/>
      <w:color w:val="000000"/>
      <w:sz w:val="24"/>
      <w:szCs w:val="24"/>
    </w:rPr>
  </w:style>
  <w:style w:type="paragraph" w:styleId="Revision">
    <w:name w:val="Revision"/>
    <w:hidden/>
    <w:uiPriority w:val="99"/>
    <w:semiHidden/>
    <w:rsid w:val="009874CC"/>
    <w:pPr>
      <w:spacing w:after="0" w:line="240" w:lineRule="auto"/>
    </w:pPr>
    <w:rPr>
      <w:rFonts w:ascii="Times New Roman" w:hAnsi="Times New Roman" w:cs="Times New Roman"/>
      <w:sz w:val="24"/>
    </w:rPr>
  </w:style>
  <w:style w:type="character" w:customStyle="1" w:styleId="SingleTxtGChar">
    <w:name w:val="_ Single Txt_G Char"/>
    <w:link w:val="SingleTxtG"/>
    <w:rsid w:val="008952D8"/>
    <w:rPr>
      <w:lang w:val="hu-HU"/>
    </w:rPr>
  </w:style>
  <w:style w:type="paragraph" w:customStyle="1" w:styleId="SingleTxtG">
    <w:name w:val="_ Single Txt_G"/>
    <w:basedOn w:val="Normal"/>
    <w:link w:val="SingleTxtGChar"/>
    <w:qFormat/>
    <w:rsid w:val="008952D8"/>
    <w:pPr>
      <w:suppressAutoHyphens/>
      <w:spacing w:before="0" w:line="240" w:lineRule="atLeast"/>
      <w:ind w:left="1134" w:right="1134"/>
    </w:pPr>
    <w:rPr>
      <w:rFonts w:asciiTheme="minorHAnsi" w:hAnsiTheme="minorHAnsi" w:cstheme="minorBidi"/>
      <w:sz w:val="22"/>
    </w:rPr>
  </w:style>
  <w:style w:type="paragraph" w:styleId="ListParagraph">
    <w:name w:val="List Paragraph"/>
    <w:basedOn w:val="Normal"/>
    <w:uiPriority w:val="34"/>
    <w:qFormat/>
    <w:rsid w:val="00BD4A91"/>
    <w:pPr>
      <w:ind w:left="720"/>
      <w:contextualSpacing/>
    </w:pPr>
  </w:style>
  <w:style w:type="paragraph" w:customStyle="1" w:styleId="Manuealheading3">
    <w:name w:val="Manueal heading 3"/>
    <w:basedOn w:val="Text1"/>
    <w:rsid w:val="00E573C2"/>
    <w:pPr>
      <w:ind w:left="0"/>
    </w:pPr>
    <w:rPr>
      <w:i/>
    </w:rPr>
  </w:style>
  <w:style w:type="character" w:styleId="Strong">
    <w:name w:val="Strong"/>
    <w:basedOn w:val="DefaultParagraphFont"/>
    <w:uiPriority w:val="22"/>
    <w:qFormat/>
    <w:rsid w:val="00D11A86"/>
    <w:rPr>
      <w:b/>
      <w:bCs/>
    </w:rPr>
  </w:style>
  <w:style w:type="character" w:customStyle="1" w:styleId="UnresolvedMention1">
    <w:name w:val="Unresolved Mention1"/>
    <w:basedOn w:val="DefaultParagraphFont"/>
    <w:uiPriority w:val="99"/>
    <w:semiHidden/>
    <w:unhideWhenUsed/>
    <w:rsid w:val="00B17FBE"/>
    <w:rPr>
      <w:color w:val="605E5C"/>
      <w:shd w:val="clear" w:color="auto" w:fill="E1DFDD"/>
    </w:rPr>
  </w:style>
  <w:style w:type="character" w:customStyle="1" w:styleId="cf01">
    <w:name w:val="cf01"/>
    <w:basedOn w:val="DefaultParagraphFont"/>
    <w:rsid w:val="00E3543E"/>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B606DE"/>
    <w:rPr>
      <w:color w:val="605E5C"/>
      <w:shd w:val="clear" w:color="auto" w:fill="E1DFDD"/>
    </w:rPr>
  </w:style>
  <w:style w:type="paragraph" w:styleId="Header">
    <w:name w:val="header"/>
    <w:basedOn w:val="Normal"/>
    <w:link w:val="HeaderChar"/>
    <w:uiPriority w:val="99"/>
    <w:unhideWhenUsed/>
    <w:rsid w:val="00D37BD6"/>
    <w:pPr>
      <w:tabs>
        <w:tab w:val="center" w:pos="4535"/>
        <w:tab w:val="right" w:pos="9071"/>
      </w:tabs>
      <w:spacing w:before="0"/>
    </w:pPr>
  </w:style>
  <w:style w:type="character" w:customStyle="1" w:styleId="HeaderChar">
    <w:name w:val="Header Char"/>
    <w:basedOn w:val="DefaultParagraphFont"/>
    <w:link w:val="Header"/>
    <w:uiPriority w:val="99"/>
    <w:rsid w:val="00D37BD6"/>
    <w:rPr>
      <w:rFonts w:ascii="Times New Roman" w:hAnsi="Times New Roman" w:cs="Times New Roman"/>
      <w:sz w:val="24"/>
      <w:lang w:val="hu-HU"/>
    </w:rPr>
  </w:style>
  <w:style w:type="paragraph" w:styleId="Footer">
    <w:name w:val="footer"/>
    <w:basedOn w:val="Normal"/>
    <w:link w:val="FooterChar"/>
    <w:uiPriority w:val="99"/>
    <w:unhideWhenUsed/>
    <w:rsid w:val="00D37BD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37BD6"/>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37BD6"/>
    <w:pPr>
      <w:tabs>
        <w:tab w:val="center" w:pos="7285"/>
        <w:tab w:val="right" w:pos="14003"/>
      </w:tabs>
      <w:spacing w:before="0"/>
    </w:pPr>
  </w:style>
  <w:style w:type="paragraph" w:customStyle="1" w:styleId="FooterLandscape">
    <w:name w:val="FooterLandscape"/>
    <w:basedOn w:val="Normal"/>
    <w:rsid w:val="00D37BD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37BD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37BD6"/>
    <w:pPr>
      <w:spacing w:before="0"/>
      <w:jc w:val="right"/>
    </w:pPr>
    <w:rPr>
      <w:sz w:val="28"/>
    </w:rPr>
  </w:style>
  <w:style w:type="paragraph" w:customStyle="1" w:styleId="FooterSensitivity">
    <w:name w:val="Footer Sensitivity"/>
    <w:basedOn w:val="Normal"/>
    <w:rsid w:val="00D37BD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C59F21-310D-4856-92C6-FF4E2534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11</Pages>
  <Words>2576</Words>
  <Characters>19168</Characters>
  <Application>Microsoft Office Word</Application>
  <DocSecurity>0</DocSecurity>
  <Lines>336</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45</cp:revision>
  <dcterms:created xsi:type="dcterms:W3CDTF">2023-10-06T16:08:00Z</dcterms:created>
  <dcterms:modified xsi:type="dcterms:W3CDTF">2023-10-23T06:33:00Z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9.0, Build 20230317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2023-01-16T08:14:31Z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02bdb5d4-6822-4bd9-8e6e-086ddbbf8fea</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