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28D28" w14:textId="5DC8B20D" w:rsidR="00213ECF" w:rsidRDefault="003B76DB" w:rsidP="003B76DB">
      <w:pPr>
        <w:pStyle w:val="Pagedecouverture"/>
        <w:rPr>
          <w:noProof/>
          <w:shd w:val="clear" w:color="auto" w:fill="FFFFFF"/>
        </w:rPr>
      </w:pPr>
      <w:bookmarkStart w:id="0" w:name="LW_BM_COVERPAGE"/>
      <w:r>
        <w:rPr>
          <w:noProof/>
          <w:shd w:val="clear" w:color="auto" w:fill="FFFFFF"/>
        </w:rPr>
        <w:pict w14:anchorId="5261F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1403033A-298F-434A-843C-66D9D88CBE3B" style="width:455.25pt;height:510pt">
            <v:imagedata r:id="rId11" o:title=""/>
          </v:shape>
        </w:pict>
      </w:r>
    </w:p>
    <w:bookmarkEnd w:id="0"/>
    <w:p w14:paraId="545CCF59" w14:textId="77777777" w:rsidR="00213ECF" w:rsidRDefault="00213ECF" w:rsidP="00213ECF">
      <w:pPr>
        <w:rPr>
          <w:noProof/>
          <w:shd w:val="clear" w:color="auto" w:fill="FFFFFF"/>
        </w:rPr>
        <w:sectPr w:rsidR="00213ECF" w:rsidSect="003B76DB">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5D5E21C" w14:textId="73BCF2FB" w:rsidR="00783881" w:rsidRPr="001E08AC" w:rsidRDefault="00783881" w:rsidP="00DA5D65">
      <w:pPr>
        <w:spacing w:before="240" w:after="120" w:line="240" w:lineRule="auto"/>
        <w:jc w:val="both"/>
        <w:rPr>
          <w:rFonts w:cstheme="minorHAnsi"/>
          <w:b/>
          <w:i/>
          <w:noProof/>
          <w:shd w:val="clear" w:color="auto" w:fill="FFFFFF"/>
        </w:rPr>
      </w:pPr>
      <w:bookmarkStart w:id="1" w:name="_GoBack"/>
      <w:bookmarkEnd w:id="1"/>
      <w:r w:rsidRPr="001E08AC">
        <w:rPr>
          <w:rFonts w:cstheme="minorHAnsi"/>
          <w:b/>
          <w:i/>
          <w:noProof/>
          <w:shd w:val="clear" w:color="auto" w:fill="FFFFFF"/>
        </w:rPr>
        <w:lastRenderedPageBreak/>
        <w:t xml:space="preserve">Introduction </w:t>
      </w:r>
    </w:p>
    <w:p w14:paraId="7BD11056" w14:textId="5C1C775B" w:rsidR="00481D12" w:rsidRPr="001E08AC" w:rsidRDefault="00481D12" w:rsidP="00B80FC5">
      <w:pPr>
        <w:spacing w:before="240" w:after="120" w:line="240" w:lineRule="auto"/>
        <w:jc w:val="both"/>
        <w:rPr>
          <w:rFonts w:cstheme="minorHAnsi"/>
          <w:noProof/>
          <w:shd w:val="clear" w:color="auto" w:fill="FFFFFF"/>
        </w:rPr>
      </w:pPr>
      <w:r w:rsidRPr="001E08AC">
        <w:rPr>
          <w:rFonts w:cstheme="minorHAnsi"/>
          <w:noProof/>
          <w:shd w:val="clear" w:color="auto" w:fill="FFFFFF"/>
        </w:rPr>
        <w:t>Article 35 of Regulation (EU) 2018/1999</w:t>
      </w:r>
      <w:r w:rsidR="00F700C5" w:rsidRPr="001E08AC">
        <w:rPr>
          <w:rStyle w:val="FootnoteReference"/>
          <w:rFonts w:cstheme="minorHAnsi"/>
          <w:noProof/>
          <w:shd w:val="clear" w:color="auto" w:fill="FFFFFF"/>
        </w:rPr>
        <w:footnoteReference w:id="2"/>
      </w:r>
      <w:r w:rsidRPr="001E08AC">
        <w:rPr>
          <w:rFonts w:cstheme="minorHAnsi"/>
          <w:noProof/>
          <w:shd w:val="clear" w:color="auto" w:fill="FFFFFF"/>
        </w:rPr>
        <w:t xml:space="preserve"> (“Governance Regulation”) provides that by 31 October of every year, the Commission must submit to the European Parliament and to the Council a State of the Energy Union report that must include, biennially, from 2023, a report on Union bioenergy sustainability, containing the information specified in Annex X of that Regulation.  The present report fulfils that reporting obligation and has been drafted using as a main basis the information provided by Member States in their integrated </w:t>
      </w:r>
      <w:r w:rsidR="00310E55" w:rsidRPr="001E08AC">
        <w:rPr>
          <w:rFonts w:cstheme="minorHAnsi"/>
          <w:noProof/>
          <w:shd w:val="clear" w:color="auto" w:fill="FFFFFF"/>
        </w:rPr>
        <w:t>N</w:t>
      </w:r>
      <w:r w:rsidRPr="001E08AC">
        <w:rPr>
          <w:rFonts w:cstheme="minorHAnsi"/>
          <w:noProof/>
          <w:shd w:val="clear" w:color="auto" w:fill="FFFFFF"/>
        </w:rPr>
        <w:t xml:space="preserve">ational </w:t>
      </w:r>
      <w:r w:rsidR="00310E55" w:rsidRPr="001E08AC">
        <w:rPr>
          <w:rFonts w:cstheme="minorHAnsi"/>
          <w:noProof/>
          <w:shd w:val="clear" w:color="auto" w:fill="FFFFFF"/>
        </w:rPr>
        <w:t>E</w:t>
      </w:r>
      <w:r w:rsidRPr="001E08AC">
        <w:rPr>
          <w:rFonts w:cstheme="minorHAnsi"/>
          <w:noProof/>
          <w:shd w:val="clear" w:color="auto" w:fill="FFFFFF"/>
        </w:rPr>
        <w:t xml:space="preserve">nergy and </w:t>
      </w:r>
      <w:r w:rsidR="00310E55" w:rsidRPr="001E08AC">
        <w:rPr>
          <w:rFonts w:cstheme="minorHAnsi"/>
          <w:noProof/>
          <w:shd w:val="clear" w:color="auto" w:fill="FFFFFF"/>
        </w:rPr>
        <w:t>C</w:t>
      </w:r>
      <w:r w:rsidRPr="001E08AC">
        <w:rPr>
          <w:rFonts w:cstheme="minorHAnsi"/>
          <w:noProof/>
          <w:shd w:val="clear" w:color="auto" w:fill="FFFFFF"/>
        </w:rPr>
        <w:t xml:space="preserve">limate </w:t>
      </w:r>
      <w:r w:rsidR="00310E55" w:rsidRPr="001E08AC">
        <w:rPr>
          <w:rFonts w:cstheme="minorHAnsi"/>
          <w:noProof/>
          <w:shd w:val="clear" w:color="auto" w:fill="FFFFFF"/>
        </w:rPr>
        <w:t>P</w:t>
      </w:r>
      <w:r w:rsidRPr="001E08AC">
        <w:rPr>
          <w:rFonts w:cstheme="minorHAnsi"/>
          <w:noProof/>
          <w:shd w:val="clear" w:color="auto" w:fill="FFFFFF"/>
        </w:rPr>
        <w:t xml:space="preserve">rogress </w:t>
      </w:r>
      <w:r w:rsidR="00310E55" w:rsidRPr="001E08AC">
        <w:rPr>
          <w:rFonts w:cstheme="minorHAnsi"/>
          <w:noProof/>
          <w:shd w:val="clear" w:color="auto" w:fill="FFFFFF"/>
        </w:rPr>
        <w:t>R</w:t>
      </w:r>
      <w:r w:rsidRPr="001E08AC">
        <w:rPr>
          <w:rFonts w:cstheme="minorHAnsi"/>
          <w:noProof/>
          <w:shd w:val="clear" w:color="auto" w:fill="FFFFFF"/>
        </w:rPr>
        <w:t xml:space="preserve">eports </w:t>
      </w:r>
      <w:r w:rsidR="00FB7927" w:rsidRPr="001E08AC">
        <w:rPr>
          <w:rFonts w:cstheme="minorHAnsi"/>
          <w:noProof/>
          <w:shd w:val="clear" w:color="auto" w:fill="FFFFFF"/>
        </w:rPr>
        <w:t xml:space="preserve">(NECPRs) </w:t>
      </w:r>
      <w:r w:rsidRPr="001E08AC">
        <w:rPr>
          <w:rFonts w:cstheme="minorHAnsi"/>
          <w:noProof/>
          <w:shd w:val="clear" w:color="auto" w:fill="FFFFFF"/>
        </w:rPr>
        <w:t>referred to in Article</w:t>
      </w:r>
      <w:r w:rsidR="00FB7927" w:rsidRPr="001E08AC">
        <w:rPr>
          <w:rFonts w:cstheme="minorHAnsi"/>
          <w:noProof/>
          <w:shd w:val="clear" w:color="auto" w:fill="FFFFFF"/>
        </w:rPr>
        <w:t> </w:t>
      </w:r>
      <w:r w:rsidRPr="001E08AC">
        <w:rPr>
          <w:rFonts w:cstheme="minorHAnsi"/>
          <w:noProof/>
          <w:shd w:val="clear" w:color="auto" w:fill="FFFFFF"/>
        </w:rPr>
        <w:t>17 of the Governance Regulation.</w:t>
      </w:r>
    </w:p>
    <w:p w14:paraId="19502484" w14:textId="668C9218" w:rsidR="00783881" w:rsidRDefault="00783881" w:rsidP="00DA5D65">
      <w:pPr>
        <w:spacing w:before="240" w:after="120" w:line="240" w:lineRule="auto"/>
        <w:jc w:val="both"/>
        <w:rPr>
          <w:rFonts w:cstheme="minorHAnsi"/>
          <w:noProof/>
          <w:shd w:val="clear" w:color="auto" w:fill="FFFFFF"/>
        </w:rPr>
      </w:pPr>
      <w:r w:rsidRPr="001E08AC">
        <w:rPr>
          <w:rFonts w:cstheme="minorHAnsi"/>
          <w:noProof/>
          <w:shd w:val="clear" w:color="auto" w:fill="FFFFFF"/>
        </w:rPr>
        <w:t xml:space="preserve">Bioenergy produced from agricultural, forestry and organic waste feedstock continues to be the main source of renewable energy in the EU, accounting for about </w:t>
      </w:r>
      <w:r w:rsidR="49FE3304" w:rsidRPr="001E08AC">
        <w:rPr>
          <w:rFonts w:cstheme="minorHAnsi"/>
          <w:noProof/>
          <w:shd w:val="clear" w:color="auto" w:fill="FFFFFF"/>
        </w:rPr>
        <w:t>59</w:t>
      </w:r>
      <w:r w:rsidRPr="001E08AC">
        <w:rPr>
          <w:rFonts w:cstheme="minorHAnsi"/>
          <w:noProof/>
          <w:shd w:val="clear" w:color="auto" w:fill="FFFFFF"/>
        </w:rPr>
        <w:t xml:space="preserve">% of renewable energy consumption in 2021. For bioenergy, </w:t>
      </w:r>
      <w:r w:rsidR="00F700C5" w:rsidRPr="001E08AC">
        <w:rPr>
          <w:rFonts w:cstheme="minorHAnsi"/>
          <w:noProof/>
          <w:shd w:val="clear" w:color="auto" w:fill="FFFFFF"/>
        </w:rPr>
        <w:t xml:space="preserve">primary </w:t>
      </w:r>
      <w:r w:rsidR="6177519E" w:rsidRPr="001E08AC">
        <w:rPr>
          <w:rFonts w:cstheme="minorHAnsi"/>
          <w:noProof/>
          <w:shd w:val="clear" w:color="auto" w:fill="FFFFFF"/>
        </w:rPr>
        <w:t>solid biofuels</w:t>
      </w:r>
      <w:r w:rsidRPr="001E08AC">
        <w:rPr>
          <w:rFonts w:cstheme="minorHAnsi"/>
          <w:noProof/>
          <w:shd w:val="clear" w:color="auto" w:fill="FFFFFF"/>
        </w:rPr>
        <w:t xml:space="preserve"> </w:t>
      </w:r>
      <w:r w:rsidR="00A740F5" w:rsidRPr="001E08AC">
        <w:rPr>
          <w:rFonts w:cstheme="minorHAnsi"/>
          <w:noProof/>
          <w:shd w:val="clear" w:color="auto" w:fill="FFFFFF"/>
        </w:rPr>
        <w:t xml:space="preserve"> </w:t>
      </w:r>
      <w:r w:rsidRPr="001E08AC">
        <w:rPr>
          <w:rFonts w:cstheme="minorHAnsi"/>
          <w:noProof/>
          <w:shd w:val="clear" w:color="auto" w:fill="FFFFFF"/>
        </w:rPr>
        <w:t xml:space="preserve">represent the largest share </w:t>
      </w:r>
      <w:r w:rsidR="7777DDC6" w:rsidRPr="001E08AC">
        <w:rPr>
          <w:rFonts w:cstheme="minorHAnsi"/>
          <w:noProof/>
          <w:shd w:val="clear" w:color="auto" w:fill="FFFFFF"/>
        </w:rPr>
        <w:t>at</w:t>
      </w:r>
      <w:r w:rsidRPr="001E08AC">
        <w:rPr>
          <w:rFonts w:cstheme="minorHAnsi"/>
          <w:noProof/>
          <w:shd w:val="clear" w:color="auto" w:fill="FFFFFF"/>
        </w:rPr>
        <w:t xml:space="preserve"> </w:t>
      </w:r>
      <w:r w:rsidR="1E23AFF0" w:rsidRPr="001E08AC">
        <w:rPr>
          <w:rFonts w:cstheme="minorHAnsi"/>
          <w:noProof/>
          <w:shd w:val="clear" w:color="auto" w:fill="FFFFFF"/>
        </w:rPr>
        <w:t xml:space="preserve">70.3 </w:t>
      </w:r>
      <w:r w:rsidRPr="001E08AC">
        <w:rPr>
          <w:rFonts w:cstheme="minorHAnsi"/>
          <w:noProof/>
          <w:shd w:val="clear" w:color="auto" w:fill="FFFFFF"/>
        </w:rPr>
        <w:t xml:space="preserve">%. </w:t>
      </w:r>
      <w:r w:rsidR="4546E0A5" w:rsidRPr="001E08AC">
        <w:rPr>
          <w:rFonts w:cstheme="minorHAnsi"/>
          <w:noProof/>
          <w:shd w:val="clear" w:color="auto" w:fill="FFFFFF"/>
        </w:rPr>
        <w:t>Liquid</w:t>
      </w:r>
      <w:r w:rsidRPr="001E08AC">
        <w:rPr>
          <w:rFonts w:cstheme="minorHAnsi"/>
          <w:noProof/>
          <w:shd w:val="clear" w:color="auto" w:fill="FFFFFF"/>
        </w:rPr>
        <w:t xml:space="preserve"> biofuels account for </w:t>
      </w:r>
      <w:r w:rsidR="63CD7564" w:rsidRPr="001E08AC">
        <w:rPr>
          <w:rFonts w:cstheme="minorHAnsi"/>
          <w:noProof/>
          <w:shd w:val="clear" w:color="auto" w:fill="FFFFFF"/>
        </w:rPr>
        <w:t>12.9</w:t>
      </w:r>
      <w:r w:rsidRPr="001E08AC">
        <w:rPr>
          <w:rFonts w:cstheme="minorHAnsi"/>
          <w:noProof/>
          <w:shd w:val="clear" w:color="auto" w:fill="FFFFFF"/>
        </w:rPr>
        <w:t>%, biogas</w:t>
      </w:r>
      <w:r w:rsidR="7326C7D2" w:rsidRPr="001E08AC">
        <w:rPr>
          <w:rFonts w:cstheme="minorHAnsi"/>
          <w:noProof/>
          <w:shd w:val="clear" w:color="auto" w:fill="FFFFFF"/>
        </w:rPr>
        <w:t>/ bio</w:t>
      </w:r>
      <w:r w:rsidR="6E2AC015" w:rsidRPr="001E08AC">
        <w:rPr>
          <w:rFonts w:cstheme="minorHAnsi"/>
          <w:noProof/>
          <w:shd w:val="clear" w:color="auto" w:fill="FFFFFF"/>
        </w:rPr>
        <w:t>-</w:t>
      </w:r>
      <w:r w:rsidR="7326C7D2" w:rsidRPr="001E08AC">
        <w:rPr>
          <w:rFonts w:cstheme="minorHAnsi"/>
          <w:noProof/>
          <w:shd w:val="clear" w:color="auto" w:fill="FFFFFF"/>
        </w:rPr>
        <w:t>methane</w:t>
      </w:r>
      <w:r w:rsidR="7326C7D2" w:rsidRPr="001E08AC">
        <w:rPr>
          <w:rFonts w:cstheme="minorHAnsi"/>
          <w:noProof/>
        </w:rPr>
        <w:t xml:space="preserve"> </w:t>
      </w:r>
      <w:r w:rsidRPr="001E08AC">
        <w:rPr>
          <w:rFonts w:cstheme="minorHAnsi"/>
          <w:noProof/>
          <w:shd w:val="clear" w:color="auto" w:fill="FFFFFF"/>
        </w:rPr>
        <w:t xml:space="preserve">for </w:t>
      </w:r>
      <w:r w:rsidR="7EA024FE" w:rsidRPr="001E08AC">
        <w:rPr>
          <w:rFonts w:cstheme="minorHAnsi"/>
          <w:noProof/>
          <w:shd w:val="clear" w:color="auto" w:fill="FFFFFF"/>
        </w:rPr>
        <w:t>10.1</w:t>
      </w:r>
      <w:r w:rsidRPr="001E08AC">
        <w:rPr>
          <w:rFonts w:cstheme="minorHAnsi"/>
          <w:noProof/>
          <w:shd w:val="clear" w:color="auto" w:fill="FFFFFF"/>
        </w:rPr>
        <w:t xml:space="preserve">% and renewable share of municipal waste </w:t>
      </w:r>
      <w:r w:rsidR="3287C651" w:rsidRPr="001E08AC">
        <w:rPr>
          <w:rFonts w:cstheme="minorHAnsi"/>
          <w:noProof/>
          <w:shd w:val="clear" w:color="auto" w:fill="FFFFFF"/>
        </w:rPr>
        <w:t xml:space="preserve">for </w:t>
      </w:r>
      <w:r w:rsidR="1141D306" w:rsidRPr="001E08AC">
        <w:rPr>
          <w:rFonts w:cstheme="minorHAnsi"/>
          <w:noProof/>
          <w:shd w:val="clear" w:color="auto" w:fill="FFFFFF"/>
        </w:rPr>
        <w:t>6.6</w:t>
      </w:r>
      <w:r w:rsidRPr="001E08AC">
        <w:rPr>
          <w:rFonts w:cstheme="minorHAnsi"/>
          <w:noProof/>
          <w:shd w:val="clear" w:color="auto" w:fill="FFFFFF"/>
        </w:rPr>
        <w:t>%.</w:t>
      </w:r>
    </w:p>
    <w:p w14:paraId="19C71427" w14:textId="76A8133E" w:rsidR="3CD58830" w:rsidRPr="001E08AC" w:rsidRDefault="3CD58830" w:rsidP="00DA5D65">
      <w:pPr>
        <w:spacing w:before="240" w:after="120" w:line="240" w:lineRule="auto"/>
        <w:jc w:val="center"/>
        <w:rPr>
          <w:rFonts w:cstheme="minorHAnsi"/>
          <w:noProof/>
        </w:rPr>
      </w:pPr>
      <w:r w:rsidRPr="001E08AC">
        <w:rPr>
          <w:rFonts w:cstheme="minorHAnsi"/>
          <w:noProof/>
          <w:lang w:val="en-GB" w:eastAsia="en-GB"/>
        </w:rPr>
        <w:drawing>
          <wp:inline distT="0" distB="0" distL="0" distR="0" wp14:anchorId="252B35A5" wp14:editId="638D13B7">
            <wp:extent cx="5283230" cy="2300407"/>
            <wp:effectExtent l="0" t="0" r="0" b="0"/>
            <wp:docPr id="1666337833" name="Picture 1666337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283230" cy="2300407"/>
                    </a:xfrm>
                    <a:prstGeom prst="rect">
                      <a:avLst/>
                    </a:prstGeom>
                  </pic:spPr>
                </pic:pic>
              </a:graphicData>
            </a:graphic>
          </wp:inline>
        </w:drawing>
      </w:r>
    </w:p>
    <w:p w14:paraId="701716A7" w14:textId="7BD1441F" w:rsidR="00461C6D" w:rsidRPr="001E08AC" w:rsidRDefault="3AB6CF53" w:rsidP="00DA5D65">
      <w:pPr>
        <w:spacing w:after="120" w:line="240" w:lineRule="auto"/>
        <w:jc w:val="center"/>
        <w:rPr>
          <w:rFonts w:cstheme="minorHAnsi"/>
          <w:b/>
          <w:bCs/>
          <w:noProof/>
          <w:sz w:val="20"/>
          <w:szCs w:val="20"/>
        </w:rPr>
      </w:pPr>
      <w:r w:rsidRPr="001E08AC">
        <w:rPr>
          <w:rFonts w:cstheme="minorHAnsi"/>
          <w:b/>
          <w:bCs/>
          <w:noProof/>
          <w:sz w:val="20"/>
          <w:szCs w:val="20"/>
        </w:rPr>
        <w:t>Gross EU consumption of renewable energy per type (2021, % and Mtoe)</w:t>
      </w:r>
      <w:r w:rsidRPr="001E08AC">
        <w:rPr>
          <w:rFonts w:cstheme="minorHAnsi"/>
          <w:b/>
          <w:bCs/>
          <w:noProof/>
          <w:sz w:val="20"/>
          <w:szCs w:val="20"/>
          <w:vertAlign w:val="superscript"/>
        </w:rPr>
        <w:footnoteReference w:id="3"/>
      </w:r>
    </w:p>
    <w:p w14:paraId="0F5DB8C5" w14:textId="44A82B44" w:rsidR="00783881" w:rsidRPr="001E08AC" w:rsidRDefault="00783881" w:rsidP="00DA5D65">
      <w:pPr>
        <w:spacing w:before="240" w:after="120" w:line="240" w:lineRule="auto"/>
        <w:jc w:val="both"/>
        <w:rPr>
          <w:rFonts w:cstheme="minorHAnsi"/>
          <w:b/>
          <w:bCs/>
          <w:i/>
          <w:iCs/>
          <w:noProof/>
        </w:rPr>
      </w:pPr>
      <w:r w:rsidRPr="001E08AC">
        <w:rPr>
          <w:rFonts w:cstheme="minorHAnsi"/>
          <w:b/>
          <w:bCs/>
          <w:i/>
          <w:iCs/>
          <w:noProof/>
        </w:rPr>
        <w:t>Current and projected sustainable biomass availability and demand</w:t>
      </w:r>
    </w:p>
    <w:p w14:paraId="19861FA8" w14:textId="3A73DD5F" w:rsidR="00783881" w:rsidRPr="001E08AC" w:rsidRDefault="00294486" w:rsidP="00DA5D65">
      <w:pPr>
        <w:spacing w:before="240" w:after="120" w:line="240" w:lineRule="auto"/>
        <w:jc w:val="both"/>
        <w:rPr>
          <w:rFonts w:cstheme="minorHAnsi"/>
          <w:noProof/>
        </w:rPr>
      </w:pPr>
      <w:r>
        <w:rPr>
          <w:rFonts w:cstheme="minorHAnsi"/>
          <w:noProof/>
        </w:rPr>
        <w:t>Twenty-six</w:t>
      </w:r>
      <w:r w:rsidR="00783881" w:rsidRPr="001E08AC">
        <w:rPr>
          <w:rFonts w:cstheme="minorHAnsi"/>
          <w:noProof/>
        </w:rPr>
        <w:t xml:space="preserve"> Member States have reported</w:t>
      </w:r>
      <w:r w:rsidR="00783881" w:rsidRPr="001E08AC">
        <w:rPr>
          <w:rStyle w:val="FootnoteReference"/>
          <w:rFonts w:cstheme="minorHAnsi"/>
          <w:noProof/>
        </w:rPr>
        <w:footnoteReference w:id="4"/>
      </w:r>
      <w:r w:rsidR="00783881" w:rsidRPr="001E08AC">
        <w:rPr>
          <w:rFonts w:cstheme="minorHAnsi"/>
          <w:noProof/>
        </w:rPr>
        <w:t xml:space="preserve"> their data on biomass supply. </w:t>
      </w:r>
      <w:r w:rsidR="6DD73728" w:rsidRPr="001E08AC">
        <w:rPr>
          <w:rFonts w:cstheme="minorHAnsi"/>
          <w:noProof/>
        </w:rPr>
        <w:t xml:space="preserve">In the </w:t>
      </w:r>
      <w:r w:rsidR="5DB7B371" w:rsidRPr="001E08AC">
        <w:rPr>
          <w:rFonts w:cstheme="minorHAnsi"/>
          <w:noProof/>
        </w:rPr>
        <w:t xml:space="preserve">EU, </w:t>
      </w:r>
      <w:r w:rsidR="00DA5D65" w:rsidRPr="001E08AC">
        <w:rPr>
          <w:rFonts w:cstheme="minorHAnsi"/>
          <w:noProof/>
        </w:rPr>
        <w:t xml:space="preserve">woody </w:t>
      </w:r>
      <w:r w:rsidR="6DD73728" w:rsidRPr="001E08AC">
        <w:rPr>
          <w:rFonts w:cstheme="minorHAnsi"/>
          <w:noProof/>
        </w:rPr>
        <w:t>biomass is the main feedstock reported for solid biomass production</w:t>
      </w:r>
      <w:r w:rsidR="00B324A0" w:rsidRPr="001E08AC">
        <w:rPr>
          <w:rFonts w:cstheme="minorHAnsi"/>
          <w:noProof/>
        </w:rPr>
        <w:t xml:space="preserve"> (labelled as “forest biomass” in the figure below</w:t>
      </w:r>
      <w:r w:rsidR="00591EFA" w:rsidRPr="001E08AC">
        <w:rPr>
          <w:rFonts w:cstheme="minorHAnsi"/>
          <w:noProof/>
        </w:rPr>
        <w:t>)</w:t>
      </w:r>
      <w:r w:rsidR="6DD73728" w:rsidRPr="001E08AC">
        <w:rPr>
          <w:rFonts w:cstheme="minorHAnsi"/>
          <w:noProof/>
        </w:rPr>
        <w:t xml:space="preserve">, accounting for 66% of the total and </w:t>
      </w:r>
      <w:r w:rsidR="0018D8E5" w:rsidRPr="001E08AC">
        <w:rPr>
          <w:rFonts w:cstheme="minorHAnsi"/>
          <w:noProof/>
        </w:rPr>
        <w:t xml:space="preserve">followed by </w:t>
      </w:r>
      <w:r w:rsidR="6DD73728" w:rsidRPr="001E08AC">
        <w:rPr>
          <w:rFonts w:cstheme="minorHAnsi"/>
          <w:noProof/>
        </w:rPr>
        <w:t>biomass from organic waste (26%) and agricultural biomass (8%).</w:t>
      </w:r>
      <w:r w:rsidR="60E58EE3" w:rsidRPr="001E08AC">
        <w:rPr>
          <w:rFonts w:cstheme="minorHAnsi"/>
          <w:noProof/>
        </w:rPr>
        <w:t xml:space="preserve"> </w:t>
      </w:r>
      <w:r w:rsidR="00783881" w:rsidRPr="001E08AC">
        <w:rPr>
          <w:rFonts w:cstheme="minorHAnsi"/>
          <w:noProof/>
        </w:rPr>
        <w:t xml:space="preserve">Germany </w:t>
      </w:r>
      <w:r w:rsidR="61BF84B2" w:rsidRPr="001E08AC">
        <w:rPr>
          <w:rFonts w:cstheme="minorHAnsi"/>
          <w:noProof/>
        </w:rPr>
        <w:t>records</w:t>
      </w:r>
      <w:r w:rsidR="00783881" w:rsidRPr="001E08AC">
        <w:rPr>
          <w:rFonts w:cstheme="minorHAnsi"/>
          <w:noProof/>
        </w:rPr>
        <w:t xml:space="preserve"> a significant production of organic waste biomass (137,675 thousand m</w:t>
      </w:r>
      <w:r w:rsidR="00783881" w:rsidRPr="001E08AC">
        <w:rPr>
          <w:rFonts w:cstheme="minorHAnsi"/>
          <w:noProof/>
          <w:vertAlign w:val="superscript"/>
        </w:rPr>
        <w:t>3</w:t>
      </w:r>
      <w:r w:rsidR="00783881" w:rsidRPr="001E08AC">
        <w:rPr>
          <w:rFonts w:cstheme="minorHAnsi"/>
          <w:noProof/>
        </w:rPr>
        <w:t xml:space="preserve">). It also </w:t>
      </w:r>
      <w:r w:rsidR="00DA5D65" w:rsidRPr="001E08AC">
        <w:rPr>
          <w:rFonts w:cstheme="minorHAnsi"/>
          <w:noProof/>
        </w:rPr>
        <w:t xml:space="preserve">records </w:t>
      </w:r>
      <w:r w:rsidR="5CF37D14" w:rsidRPr="001E08AC">
        <w:rPr>
          <w:rFonts w:cstheme="minorHAnsi"/>
          <w:noProof/>
        </w:rPr>
        <w:t>produc</w:t>
      </w:r>
      <w:r w:rsidR="2489965E" w:rsidRPr="001E08AC">
        <w:rPr>
          <w:rFonts w:cstheme="minorHAnsi"/>
          <w:noProof/>
        </w:rPr>
        <w:t>tion of</w:t>
      </w:r>
      <w:r w:rsidR="00783881" w:rsidRPr="001E08AC">
        <w:rPr>
          <w:rFonts w:cstheme="minorHAnsi"/>
          <w:noProof/>
        </w:rPr>
        <w:t xml:space="preserve"> the largest share of forest biomass (66,658 thousand m</w:t>
      </w:r>
      <w:r w:rsidR="00783881" w:rsidRPr="001E08AC">
        <w:rPr>
          <w:rFonts w:cstheme="minorHAnsi"/>
          <w:noProof/>
          <w:vertAlign w:val="superscript"/>
        </w:rPr>
        <w:t>3</w:t>
      </w:r>
      <w:r w:rsidR="00783881" w:rsidRPr="001E08AC">
        <w:rPr>
          <w:rFonts w:cstheme="minorHAnsi"/>
          <w:noProof/>
        </w:rPr>
        <w:t>) in the EU, followed by Sweden (65,102 thousand m</w:t>
      </w:r>
      <w:r w:rsidR="00783881" w:rsidRPr="001E08AC">
        <w:rPr>
          <w:rFonts w:cstheme="minorHAnsi"/>
          <w:noProof/>
          <w:vertAlign w:val="superscript"/>
        </w:rPr>
        <w:t>3</w:t>
      </w:r>
      <w:r w:rsidR="00783881" w:rsidRPr="001E08AC">
        <w:rPr>
          <w:rFonts w:cstheme="minorHAnsi"/>
          <w:noProof/>
        </w:rPr>
        <w:t>).</w:t>
      </w:r>
      <w:r w:rsidR="00DA5D65" w:rsidRPr="001E08AC">
        <w:rPr>
          <w:rFonts w:cstheme="minorHAnsi"/>
          <w:noProof/>
        </w:rPr>
        <w:t xml:space="preserve"> </w:t>
      </w:r>
      <w:r w:rsidR="00783881" w:rsidRPr="001E08AC">
        <w:rPr>
          <w:rFonts w:cstheme="minorHAnsi"/>
          <w:noProof/>
        </w:rPr>
        <w:t xml:space="preserve">Spain </w:t>
      </w:r>
      <w:r w:rsidR="61BF84B2" w:rsidRPr="001E08AC">
        <w:rPr>
          <w:rFonts w:cstheme="minorHAnsi"/>
          <w:noProof/>
        </w:rPr>
        <w:t>records</w:t>
      </w:r>
      <w:r w:rsidR="2CB56907" w:rsidRPr="001E08AC">
        <w:rPr>
          <w:rFonts w:cstheme="minorHAnsi"/>
          <w:noProof/>
        </w:rPr>
        <w:t xml:space="preserve"> </w:t>
      </w:r>
      <w:r w:rsidR="00783881" w:rsidRPr="001E08AC">
        <w:rPr>
          <w:rFonts w:cstheme="minorHAnsi"/>
          <w:noProof/>
        </w:rPr>
        <w:t>the highest volumes of agricultural biomass (20,844 thousand m</w:t>
      </w:r>
      <w:r w:rsidR="00783881" w:rsidRPr="001E08AC">
        <w:rPr>
          <w:rFonts w:cstheme="minorHAnsi"/>
          <w:noProof/>
          <w:vertAlign w:val="superscript"/>
        </w:rPr>
        <w:t>3</w:t>
      </w:r>
      <w:r w:rsidR="00783881" w:rsidRPr="001E08AC">
        <w:rPr>
          <w:rFonts w:cstheme="minorHAnsi"/>
          <w:noProof/>
        </w:rPr>
        <w:t xml:space="preserve">). </w:t>
      </w:r>
    </w:p>
    <w:p w14:paraId="294528A2" w14:textId="5B5F655E" w:rsidR="4DB17D6B" w:rsidRPr="001E08AC" w:rsidRDefault="4DB17D6B" w:rsidP="00DA5D65">
      <w:pPr>
        <w:spacing w:before="240" w:after="120" w:line="240" w:lineRule="auto"/>
        <w:jc w:val="center"/>
        <w:rPr>
          <w:rFonts w:cstheme="minorHAnsi"/>
          <w:noProof/>
        </w:rPr>
      </w:pPr>
    </w:p>
    <w:p w14:paraId="63846720" w14:textId="7ECB32A8" w:rsidR="00B324A0" w:rsidRPr="001E08AC" w:rsidRDefault="00B324A0" w:rsidP="00DA5D65">
      <w:pPr>
        <w:spacing w:before="240" w:after="120" w:line="240" w:lineRule="auto"/>
        <w:jc w:val="center"/>
        <w:rPr>
          <w:rFonts w:cstheme="minorHAnsi"/>
          <w:noProof/>
        </w:rPr>
      </w:pPr>
      <w:r w:rsidRPr="001E08AC">
        <w:rPr>
          <w:rFonts w:cstheme="minorHAnsi"/>
          <w:noProof/>
          <w:lang w:val="en-GB" w:eastAsia="en-GB"/>
        </w:rPr>
        <w:drawing>
          <wp:inline distT="0" distB="0" distL="0" distR="0" wp14:anchorId="546360AC" wp14:editId="45860B9D">
            <wp:extent cx="4176478" cy="2912877"/>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181601" cy="2916450"/>
                    </a:xfrm>
                    <a:prstGeom prst="rect">
                      <a:avLst/>
                    </a:prstGeom>
                  </pic:spPr>
                </pic:pic>
              </a:graphicData>
            </a:graphic>
          </wp:inline>
        </w:drawing>
      </w:r>
    </w:p>
    <w:p w14:paraId="4884B631" w14:textId="47F624A4" w:rsidR="00783881" w:rsidRPr="001E08AC" w:rsidRDefault="00783881" w:rsidP="00DA5D65">
      <w:pPr>
        <w:spacing w:after="120" w:line="240" w:lineRule="auto"/>
        <w:jc w:val="center"/>
        <w:rPr>
          <w:rFonts w:cstheme="minorHAnsi"/>
          <w:b/>
          <w:noProof/>
          <w:sz w:val="20"/>
          <w:szCs w:val="20"/>
        </w:rPr>
      </w:pPr>
      <w:r w:rsidRPr="001E08AC">
        <w:rPr>
          <w:rFonts w:cstheme="minorHAnsi"/>
          <w:b/>
          <w:bCs/>
          <w:noProof/>
          <w:sz w:val="20"/>
          <w:szCs w:val="20"/>
        </w:rPr>
        <w:t>Primary supply of solid biomass in 1000 m3 for energy production, indigenous production in 2021</w:t>
      </w:r>
      <w:r w:rsidRPr="001E08AC">
        <w:rPr>
          <w:rStyle w:val="FootnoteReference"/>
          <w:rFonts w:cstheme="minorHAnsi"/>
          <w:b/>
          <w:bCs/>
          <w:noProof/>
          <w:sz w:val="20"/>
          <w:szCs w:val="20"/>
        </w:rPr>
        <w:footnoteReference w:id="5"/>
      </w:r>
      <w:r w:rsidR="00371347" w:rsidRPr="001E08AC">
        <w:rPr>
          <w:rFonts w:cstheme="minorHAnsi"/>
          <w:b/>
          <w:bCs/>
          <w:noProof/>
          <w:sz w:val="20"/>
          <w:szCs w:val="20"/>
        </w:rPr>
        <w:t xml:space="preserve"> grouped by </w:t>
      </w:r>
      <w:r w:rsidR="00E875B0" w:rsidRPr="001E08AC">
        <w:rPr>
          <w:rFonts w:cstheme="minorHAnsi"/>
          <w:b/>
          <w:bCs/>
          <w:noProof/>
          <w:sz w:val="20"/>
          <w:szCs w:val="20"/>
        </w:rPr>
        <w:t xml:space="preserve">feedstock </w:t>
      </w:r>
      <w:r w:rsidR="00371347" w:rsidRPr="001E08AC">
        <w:rPr>
          <w:rFonts w:cstheme="minorHAnsi"/>
          <w:b/>
          <w:bCs/>
          <w:noProof/>
          <w:sz w:val="20"/>
          <w:szCs w:val="20"/>
        </w:rPr>
        <w:t>origin</w:t>
      </w:r>
    </w:p>
    <w:p w14:paraId="0AD814DA" w14:textId="5A381F75" w:rsidR="00783881" w:rsidRPr="001E08AC" w:rsidRDefault="00B324A0" w:rsidP="00DA5D65">
      <w:pPr>
        <w:spacing w:before="240" w:after="120" w:line="240" w:lineRule="auto"/>
        <w:jc w:val="both"/>
        <w:rPr>
          <w:rFonts w:cstheme="minorHAnsi"/>
          <w:noProof/>
        </w:rPr>
      </w:pPr>
      <w:r w:rsidRPr="001E08AC">
        <w:rPr>
          <w:rFonts w:cstheme="minorHAnsi"/>
          <w:noProof/>
        </w:rPr>
        <w:t>Forest biomass</w:t>
      </w:r>
      <w:r w:rsidR="00481D12" w:rsidRPr="001E08AC">
        <w:rPr>
          <w:rFonts w:cstheme="minorHAnsi"/>
          <w:noProof/>
        </w:rPr>
        <w:t xml:space="preserve"> </w:t>
      </w:r>
      <w:r w:rsidR="7B19AFE6" w:rsidRPr="001E08AC">
        <w:rPr>
          <w:rFonts w:cstheme="minorHAnsi"/>
          <w:noProof/>
        </w:rPr>
        <w:t>was the largest reported category across all the Member States (262,858 thousand m</w:t>
      </w:r>
      <w:r w:rsidR="7B19AFE6" w:rsidRPr="001E08AC">
        <w:rPr>
          <w:rFonts w:cstheme="minorHAnsi"/>
          <w:noProof/>
          <w:vertAlign w:val="superscript"/>
        </w:rPr>
        <w:t>3</w:t>
      </w:r>
      <w:r w:rsidR="7B19AFE6" w:rsidRPr="001E08AC">
        <w:rPr>
          <w:rFonts w:cstheme="minorHAnsi"/>
          <w:noProof/>
        </w:rPr>
        <w:t xml:space="preserve">). </w:t>
      </w:r>
      <w:r w:rsidR="00EDDB0F" w:rsidRPr="001E08AC">
        <w:rPr>
          <w:rFonts w:cstheme="minorHAnsi"/>
          <w:noProof/>
        </w:rPr>
        <w:t xml:space="preserve">Germany reported </w:t>
      </w:r>
      <w:r w:rsidR="7B19AFE6" w:rsidRPr="001E08AC">
        <w:rPr>
          <w:rFonts w:cstheme="minorHAnsi"/>
          <w:noProof/>
        </w:rPr>
        <w:t>12% of the total reported primary</w:t>
      </w:r>
      <w:r w:rsidR="00B3098A" w:rsidRPr="001E08AC">
        <w:rPr>
          <w:rFonts w:cstheme="minorHAnsi"/>
          <w:noProof/>
        </w:rPr>
        <w:t xml:space="preserve"> supply of solid</w:t>
      </w:r>
      <w:r w:rsidR="7B19AFE6" w:rsidRPr="001E08AC">
        <w:rPr>
          <w:rFonts w:cstheme="minorHAnsi"/>
          <w:noProof/>
        </w:rPr>
        <w:t xml:space="preserve"> biomass from forest, followed by Spain and Poland </w:t>
      </w:r>
      <w:r w:rsidR="4BB26FBE" w:rsidRPr="001E08AC">
        <w:rPr>
          <w:rFonts w:cstheme="minorHAnsi"/>
          <w:noProof/>
        </w:rPr>
        <w:t>(</w:t>
      </w:r>
      <w:r w:rsidR="7B19AFE6" w:rsidRPr="001E08AC">
        <w:rPr>
          <w:rFonts w:cstheme="minorHAnsi"/>
          <w:noProof/>
        </w:rPr>
        <w:t>both reported 11%</w:t>
      </w:r>
      <w:r w:rsidR="6B613117" w:rsidRPr="001E08AC">
        <w:rPr>
          <w:rFonts w:cstheme="minorHAnsi"/>
          <w:noProof/>
        </w:rPr>
        <w:t>)</w:t>
      </w:r>
      <w:r w:rsidR="7B19AFE6" w:rsidRPr="001E08AC">
        <w:rPr>
          <w:rFonts w:cstheme="minorHAnsi"/>
          <w:noProof/>
        </w:rPr>
        <w:t xml:space="preserve">, and Sweden and France </w:t>
      </w:r>
      <w:r w:rsidR="3320F641" w:rsidRPr="001E08AC">
        <w:rPr>
          <w:rFonts w:cstheme="minorHAnsi"/>
          <w:noProof/>
        </w:rPr>
        <w:t>(</w:t>
      </w:r>
      <w:r w:rsidR="7B19AFE6" w:rsidRPr="001E08AC">
        <w:rPr>
          <w:rFonts w:cstheme="minorHAnsi"/>
          <w:noProof/>
        </w:rPr>
        <w:t>both reported 10%</w:t>
      </w:r>
      <w:r w:rsidR="5A547C17" w:rsidRPr="001E08AC">
        <w:rPr>
          <w:rFonts w:cstheme="minorHAnsi"/>
          <w:noProof/>
        </w:rPr>
        <w:t>)</w:t>
      </w:r>
      <w:r w:rsidR="7B19AFE6" w:rsidRPr="001E08AC">
        <w:rPr>
          <w:rFonts w:cstheme="minorHAnsi"/>
          <w:noProof/>
        </w:rPr>
        <w:t>. The second largest</w:t>
      </w:r>
      <w:r w:rsidR="139D6C19" w:rsidRPr="001E08AC">
        <w:rPr>
          <w:rFonts w:cstheme="minorHAnsi"/>
          <w:noProof/>
        </w:rPr>
        <w:t xml:space="preserve"> reported</w:t>
      </w:r>
      <w:r w:rsidR="7B19AFE6" w:rsidRPr="001E08AC">
        <w:rPr>
          <w:rFonts w:cstheme="minorHAnsi"/>
          <w:noProof/>
        </w:rPr>
        <w:t xml:space="preserve"> category</w:t>
      </w:r>
      <w:r w:rsidR="00B3098A" w:rsidRPr="001E08AC">
        <w:rPr>
          <w:rFonts w:cstheme="minorHAnsi"/>
          <w:noProof/>
        </w:rPr>
        <w:t xml:space="preserve"> of supply of solid biomass</w:t>
      </w:r>
      <w:r w:rsidR="7B19AFE6" w:rsidRPr="001E08AC">
        <w:rPr>
          <w:rFonts w:cstheme="minorHAnsi"/>
          <w:noProof/>
        </w:rPr>
        <w:t xml:space="preserve"> was municipal waste (171,023 thousand m</w:t>
      </w:r>
      <w:r w:rsidR="7B19AFE6" w:rsidRPr="001E08AC">
        <w:rPr>
          <w:rFonts w:cstheme="minorHAnsi"/>
          <w:noProof/>
          <w:vertAlign w:val="superscript"/>
        </w:rPr>
        <w:t>3</w:t>
      </w:r>
      <w:r w:rsidR="7B19AFE6" w:rsidRPr="001E08AC">
        <w:rPr>
          <w:rFonts w:cstheme="minorHAnsi"/>
          <w:noProof/>
        </w:rPr>
        <w:t xml:space="preserve"> – 24% of the total). Germany reported 74% of the total renewable municipal waste, followed by Sweden (8%), Belgium (6%), Spain and the Netherlands (both reported 4% </w:t>
      </w:r>
      <w:r w:rsidR="66A6E40B" w:rsidRPr="001E08AC">
        <w:rPr>
          <w:rFonts w:cstheme="minorHAnsi"/>
          <w:noProof/>
        </w:rPr>
        <w:t>of the total</w:t>
      </w:r>
      <w:r w:rsidR="7B19AFE6" w:rsidRPr="001E08AC">
        <w:rPr>
          <w:rFonts w:cstheme="minorHAnsi"/>
          <w:noProof/>
        </w:rPr>
        <w:t xml:space="preserve">), Italy (2%) and Austria and Portugal (both reported 1% of the total). The third largest </w:t>
      </w:r>
      <w:r w:rsidR="39312DB2" w:rsidRPr="001E08AC">
        <w:rPr>
          <w:rFonts w:cstheme="minorHAnsi"/>
          <w:noProof/>
        </w:rPr>
        <w:t xml:space="preserve">reported </w:t>
      </w:r>
      <w:r w:rsidR="7B19AFE6" w:rsidRPr="001E08AC">
        <w:rPr>
          <w:rFonts w:cstheme="minorHAnsi"/>
          <w:noProof/>
        </w:rPr>
        <w:t xml:space="preserve">category </w:t>
      </w:r>
      <w:r w:rsidR="2B2E2D7F" w:rsidRPr="001E08AC">
        <w:rPr>
          <w:rFonts w:cstheme="minorHAnsi"/>
          <w:noProof/>
        </w:rPr>
        <w:t>for</w:t>
      </w:r>
      <w:r w:rsidR="7B19AFE6" w:rsidRPr="001E08AC">
        <w:rPr>
          <w:rFonts w:cstheme="minorHAnsi"/>
          <w:noProof/>
        </w:rPr>
        <w:t xml:space="preserve"> </w:t>
      </w:r>
      <w:r w:rsidR="001D3FC8" w:rsidRPr="001E08AC">
        <w:rPr>
          <w:rFonts w:cstheme="minorHAnsi"/>
          <w:noProof/>
        </w:rPr>
        <w:t xml:space="preserve">primary supply of </w:t>
      </w:r>
      <w:r w:rsidR="7B19AFE6" w:rsidRPr="001E08AC">
        <w:rPr>
          <w:rFonts w:cstheme="minorHAnsi"/>
          <w:noProof/>
        </w:rPr>
        <w:t>solid biomass was forest-based industry co-products (144,821 thousand m</w:t>
      </w:r>
      <w:r w:rsidR="7B19AFE6" w:rsidRPr="001E08AC">
        <w:rPr>
          <w:rFonts w:cstheme="minorHAnsi"/>
          <w:noProof/>
          <w:vertAlign w:val="superscript"/>
        </w:rPr>
        <w:t>3</w:t>
      </w:r>
      <w:r w:rsidR="7B19AFE6" w:rsidRPr="001E08AC">
        <w:rPr>
          <w:rFonts w:cstheme="minorHAnsi"/>
          <w:noProof/>
        </w:rPr>
        <w:t xml:space="preserve"> – 20% of the total). Sweden</w:t>
      </w:r>
      <w:r w:rsidR="68D0AA5B" w:rsidRPr="001E08AC">
        <w:rPr>
          <w:rFonts w:cstheme="minorHAnsi"/>
          <w:noProof/>
        </w:rPr>
        <w:t xml:space="preserve"> reported</w:t>
      </w:r>
      <w:r w:rsidR="7B19AFE6" w:rsidRPr="001E08AC">
        <w:rPr>
          <w:rFonts w:cstheme="minorHAnsi"/>
          <w:noProof/>
        </w:rPr>
        <w:t xml:space="preserve"> 22% of the total reported forest-based industry co-products, followed by Finland (20%), Austria (11%), Germany (10%), France (6%), Poland (5%), Estonia (4%) and Latvia (4%).  </w:t>
      </w:r>
    </w:p>
    <w:p w14:paraId="1642814E" w14:textId="4E306BD8" w:rsidR="00783881" w:rsidRPr="001E08AC" w:rsidRDefault="00783881" w:rsidP="00DA5D65">
      <w:pPr>
        <w:spacing w:before="240" w:after="120" w:line="240" w:lineRule="auto"/>
        <w:jc w:val="both"/>
        <w:rPr>
          <w:rFonts w:cstheme="minorHAnsi"/>
          <w:noProof/>
        </w:rPr>
      </w:pPr>
      <w:r w:rsidRPr="001E08AC">
        <w:rPr>
          <w:rFonts w:cstheme="minorHAnsi"/>
          <w:noProof/>
        </w:rPr>
        <w:t xml:space="preserve">Among the different types of </w:t>
      </w:r>
      <w:r w:rsidR="001D3FC8" w:rsidRPr="001E08AC">
        <w:rPr>
          <w:rFonts w:cstheme="minorHAnsi"/>
          <w:noProof/>
        </w:rPr>
        <w:t>indigenous production of</w:t>
      </w:r>
      <w:r w:rsidR="00AD0A74" w:rsidRPr="001E08AC">
        <w:rPr>
          <w:rFonts w:cstheme="minorHAnsi"/>
          <w:noProof/>
        </w:rPr>
        <w:t xml:space="preserve"> </w:t>
      </w:r>
      <w:r w:rsidRPr="001E08AC">
        <w:rPr>
          <w:rFonts w:cstheme="minorHAnsi"/>
          <w:noProof/>
        </w:rPr>
        <w:t>solid biomass, the largest growth in the period since 2008 has been observed</w:t>
      </w:r>
      <w:r w:rsidRPr="001E08AC">
        <w:rPr>
          <w:rStyle w:val="FootnoteReference"/>
          <w:rFonts w:cstheme="minorHAnsi"/>
          <w:noProof/>
        </w:rPr>
        <w:footnoteReference w:id="6"/>
      </w:r>
      <w:r w:rsidRPr="001E08AC">
        <w:rPr>
          <w:rFonts w:cstheme="minorHAnsi"/>
          <w:noProof/>
        </w:rPr>
        <w:t xml:space="preserve"> for wood pellets </w:t>
      </w:r>
      <w:r w:rsidR="006327ED" w:rsidRPr="001E08AC">
        <w:rPr>
          <w:rFonts w:cstheme="minorHAnsi"/>
          <w:noProof/>
        </w:rPr>
        <w:t xml:space="preserve">use </w:t>
      </w:r>
      <w:r w:rsidRPr="001E08AC">
        <w:rPr>
          <w:rFonts w:cstheme="minorHAnsi"/>
          <w:noProof/>
        </w:rPr>
        <w:t>(413%), followed by animal waste (351.9%), the renewable fraction of industrial waste (58.6%), fuelwood, wood residues and by-products (29.5%), and black liquor (25%). Other vegetal material and residues were the only solid biomass type</w:t>
      </w:r>
      <w:r w:rsidR="000168E2" w:rsidRPr="001E08AC">
        <w:rPr>
          <w:rFonts w:cstheme="minorHAnsi"/>
          <w:noProof/>
        </w:rPr>
        <w:t>,</w:t>
      </w:r>
      <w:r w:rsidRPr="001E08AC">
        <w:rPr>
          <w:rFonts w:cstheme="minorHAnsi"/>
          <w:noProof/>
        </w:rPr>
        <w:t xml:space="preserve"> compared to 2008, with a decrease of 8.8%. </w:t>
      </w:r>
      <w:r w:rsidR="00AC1AAA" w:rsidRPr="001E08AC">
        <w:rPr>
          <w:rFonts w:cstheme="minorHAnsi"/>
          <w:noProof/>
        </w:rPr>
        <w:t>Overall, primary supply of solid biomass in the EU has increased from 3,336,811 TJ in 2008 to 4,454,768 TJ in 2021, an increase of 33.5% overall.</w:t>
      </w:r>
    </w:p>
    <w:p w14:paraId="540BD101" w14:textId="77777777" w:rsidR="005D7B9B" w:rsidRPr="001E08AC" w:rsidRDefault="005D7B9B" w:rsidP="00DA5D65">
      <w:pPr>
        <w:spacing w:before="240" w:after="120" w:line="240" w:lineRule="auto"/>
        <w:jc w:val="both"/>
        <w:rPr>
          <w:rFonts w:cstheme="minorHAnsi"/>
          <w:noProof/>
        </w:rPr>
      </w:pPr>
    </w:p>
    <w:p w14:paraId="296CB10C" w14:textId="0FCC0A85" w:rsidR="00783881" w:rsidRPr="001E08AC" w:rsidRDefault="00783881" w:rsidP="00DA5D65">
      <w:pPr>
        <w:spacing w:before="240" w:after="120" w:line="240" w:lineRule="auto"/>
        <w:jc w:val="both"/>
        <w:rPr>
          <w:rFonts w:cstheme="minorHAnsi"/>
          <w:noProof/>
        </w:rPr>
      </w:pPr>
    </w:p>
    <w:p w14:paraId="580156F8" w14:textId="329C7EE1" w:rsidR="00783881" w:rsidRPr="001E08AC" w:rsidRDefault="00783881" w:rsidP="00DA5D65">
      <w:pPr>
        <w:spacing w:before="240" w:after="120" w:line="240" w:lineRule="auto"/>
        <w:jc w:val="both"/>
        <w:rPr>
          <w:rFonts w:cstheme="minorHAnsi"/>
          <w:noProof/>
        </w:rPr>
      </w:pPr>
    </w:p>
    <w:p w14:paraId="717E467C" w14:textId="494D05E0" w:rsidR="00783881" w:rsidRPr="001E08AC" w:rsidRDefault="1D66228C" w:rsidP="00A07A36">
      <w:pPr>
        <w:spacing w:before="240" w:after="120" w:line="240" w:lineRule="auto"/>
        <w:jc w:val="center"/>
        <w:rPr>
          <w:rFonts w:cstheme="minorHAnsi"/>
          <w:noProof/>
        </w:rPr>
      </w:pPr>
      <w:r w:rsidRPr="001E08AC">
        <w:rPr>
          <w:rFonts w:cstheme="minorHAnsi"/>
          <w:noProof/>
          <w:lang w:val="en-GB" w:eastAsia="en-GB"/>
        </w:rPr>
        <w:drawing>
          <wp:inline distT="0" distB="0" distL="0" distR="0" wp14:anchorId="49680700" wp14:editId="48C4B4C2">
            <wp:extent cx="5400675" cy="2306538"/>
            <wp:effectExtent l="0" t="0" r="0" b="0"/>
            <wp:docPr id="905302186" name="Picture 905302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400675" cy="2306538"/>
                    </a:xfrm>
                    <a:prstGeom prst="rect">
                      <a:avLst/>
                    </a:prstGeom>
                  </pic:spPr>
                </pic:pic>
              </a:graphicData>
            </a:graphic>
          </wp:inline>
        </w:drawing>
      </w:r>
    </w:p>
    <w:p w14:paraId="611508A6" w14:textId="74724779" w:rsidR="00783881" w:rsidRPr="001E08AC" w:rsidRDefault="1D66228C" w:rsidP="00E97A25">
      <w:pPr>
        <w:spacing w:after="120" w:line="240" w:lineRule="auto"/>
        <w:jc w:val="center"/>
        <w:rPr>
          <w:rFonts w:cstheme="minorHAnsi"/>
          <w:b/>
          <w:bCs/>
          <w:noProof/>
          <w:sz w:val="20"/>
          <w:szCs w:val="20"/>
          <w:vertAlign w:val="superscript"/>
        </w:rPr>
      </w:pPr>
      <w:r w:rsidRPr="001E08AC">
        <w:rPr>
          <w:rFonts w:cstheme="minorHAnsi"/>
          <w:b/>
          <w:bCs/>
          <w:noProof/>
          <w:sz w:val="20"/>
          <w:szCs w:val="20"/>
        </w:rPr>
        <w:t>Total EU-27 solid biomass production</w:t>
      </w:r>
      <w:r w:rsidR="00783881" w:rsidRPr="001E08AC">
        <w:rPr>
          <w:rFonts w:cstheme="minorHAnsi"/>
          <w:b/>
          <w:bCs/>
          <w:noProof/>
          <w:sz w:val="20"/>
          <w:szCs w:val="20"/>
          <w:vertAlign w:val="superscript"/>
        </w:rPr>
        <w:footnoteReference w:id="7"/>
      </w:r>
    </w:p>
    <w:p w14:paraId="4CF841A0" w14:textId="09367B0C" w:rsidR="00AC1AAA" w:rsidRDefault="005D7B9B" w:rsidP="00591EFA">
      <w:pPr>
        <w:spacing w:before="240" w:after="120" w:line="240" w:lineRule="auto"/>
        <w:jc w:val="both"/>
        <w:rPr>
          <w:rFonts w:cstheme="minorHAnsi"/>
          <w:noProof/>
        </w:rPr>
      </w:pPr>
      <w:r w:rsidRPr="001E08AC">
        <w:rPr>
          <w:noProof/>
        </w:rPr>
        <w:t xml:space="preserve">The above graph on </w:t>
      </w:r>
      <w:r w:rsidR="007E166F" w:rsidRPr="001E08AC">
        <w:rPr>
          <w:noProof/>
        </w:rPr>
        <w:t>“</w:t>
      </w:r>
      <w:r w:rsidRPr="001E08AC">
        <w:rPr>
          <w:noProof/>
        </w:rPr>
        <w:t xml:space="preserve">Total EU-27 solid biomass production” refers to the categories used in </w:t>
      </w:r>
      <w:r w:rsidR="00FB7927" w:rsidRPr="001E08AC">
        <w:rPr>
          <w:noProof/>
        </w:rPr>
        <w:t xml:space="preserve">the </w:t>
      </w:r>
      <w:r w:rsidRPr="001E08AC">
        <w:rPr>
          <w:noProof/>
        </w:rPr>
        <w:t xml:space="preserve">Eurostat </w:t>
      </w:r>
      <w:r w:rsidRPr="001E08AC">
        <w:rPr>
          <w:rFonts w:cstheme="minorHAnsi"/>
          <w:noProof/>
        </w:rPr>
        <w:t>Energy</w:t>
      </w:r>
      <w:r w:rsidRPr="001E08AC">
        <w:rPr>
          <w:noProof/>
        </w:rPr>
        <w:t xml:space="preserve"> Balances. For the purposes of the NECPRs, different categories are laid down in point (m) of Part</w:t>
      </w:r>
      <w:r w:rsidR="00FB7927" w:rsidRPr="001E08AC">
        <w:rPr>
          <w:noProof/>
        </w:rPr>
        <w:t> </w:t>
      </w:r>
      <w:r w:rsidRPr="001E08AC">
        <w:rPr>
          <w:noProof/>
        </w:rPr>
        <w:t>1 of Annex IX to the Governance Regulation</w:t>
      </w:r>
      <w:r w:rsidR="007E166F" w:rsidRPr="001E08AC">
        <w:rPr>
          <w:noProof/>
        </w:rPr>
        <w:t xml:space="preserve"> that have broader </w:t>
      </w:r>
      <w:r w:rsidR="00B748EB" w:rsidRPr="001E08AC">
        <w:rPr>
          <w:noProof/>
        </w:rPr>
        <w:t>use than energy purposes</w:t>
      </w:r>
      <w:r w:rsidRPr="001E08AC">
        <w:rPr>
          <w:noProof/>
        </w:rPr>
        <w:t xml:space="preserve">. </w:t>
      </w:r>
      <w:r w:rsidR="00AC1AAA" w:rsidRPr="001E08AC">
        <w:rPr>
          <w:rFonts w:cstheme="minorHAnsi"/>
          <w:noProof/>
        </w:rPr>
        <w:t>In 2021</w:t>
      </w:r>
      <w:r w:rsidR="00AC1AAA" w:rsidRPr="001E08AC">
        <w:rPr>
          <w:rStyle w:val="FootnoteReference"/>
          <w:rFonts w:cstheme="minorHAnsi"/>
          <w:noProof/>
        </w:rPr>
        <w:footnoteReference w:id="8"/>
      </w:r>
      <w:r w:rsidR="00AC1AAA" w:rsidRPr="001E08AC">
        <w:rPr>
          <w:rFonts w:cstheme="minorHAnsi"/>
          <w:noProof/>
        </w:rPr>
        <w:t>, when it comes to the Member States individually, Germany was the EU’s biggest producer of solid biomass (767,891 TJ), followed by France (530,659 TJ), Sweden (460,620 TJ), Poland (377,690 TJ) and Finland (352,535 TJ). Austria follows with 250,710 TJ, Estonia with 104,208 TJ and Greece with 33,317 TJ. Based on the reported data</w:t>
      </w:r>
      <w:r w:rsidR="00AC1AAA" w:rsidRPr="001E08AC">
        <w:rPr>
          <w:rStyle w:val="FootnoteReference"/>
          <w:rFonts w:cstheme="minorHAnsi"/>
          <w:noProof/>
        </w:rPr>
        <w:footnoteReference w:id="9"/>
      </w:r>
      <w:r w:rsidR="00AC1AAA" w:rsidRPr="001E08AC">
        <w:rPr>
          <w:rFonts w:cstheme="minorHAnsi"/>
          <w:noProof/>
        </w:rPr>
        <w:t>, in Germany the largest share of solid biomass came from renewable municipal waste (125,984 thousand m</w:t>
      </w:r>
      <w:r w:rsidR="00AC1AAA" w:rsidRPr="001E08AC">
        <w:rPr>
          <w:rFonts w:cstheme="minorHAnsi"/>
          <w:noProof/>
          <w:vertAlign w:val="superscript"/>
        </w:rPr>
        <w:t>3</w:t>
      </w:r>
      <w:r w:rsidR="00AC1AAA" w:rsidRPr="001E08AC">
        <w:rPr>
          <w:rFonts w:cstheme="minorHAnsi"/>
          <w:noProof/>
        </w:rPr>
        <w:t>). The other Member States report mainly forestry-based solid biomass, often not distinguishing between energy and material use. Member States collectively reported that roundwood is the largest category of forestry-based solid biomass (215,440 thousand m</w:t>
      </w:r>
      <w:r w:rsidR="00AC1AAA" w:rsidRPr="001E08AC">
        <w:rPr>
          <w:rFonts w:cstheme="minorHAnsi"/>
          <w:noProof/>
          <w:vertAlign w:val="superscript"/>
        </w:rPr>
        <w:t>3</w:t>
      </w:r>
      <w:r w:rsidR="00AC1AAA" w:rsidRPr="001E08AC">
        <w:rPr>
          <w:rFonts w:cstheme="minorHAnsi"/>
          <w:noProof/>
        </w:rPr>
        <w:t>), followed by fuelwood (176,304 thousand m</w:t>
      </w:r>
      <w:r w:rsidR="00AC1AAA" w:rsidRPr="001E08AC">
        <w:rPr>
          <w:rFonts w:cstheme="minorHAnsi"/>
          <w:noProof/>
          <w:vertAlign w:val="superscript"/>
        </w:rPr>
        <w:t>3</w:t>
      </w:r>
      <w:r w:rsidR="00AC1AAA" w:rsidRPr="001E08AC">
        <w:rPr>
          <w:rFonts w:cstheme="minorHAnsi"/>
          <w:noProof/>
        </w:rPr>
        <w:t>) and renewable municipal waste (171,023 m</w:t>
      </w:r>
      <w:r w:rsidR="00AC1AAA" w:rsidRPr="001E08AC">
        <w:rPr>
          <w:rFonts w:cstheme="minorHAnsi"/>
          <w:noProof/>
          <w:vertAlign w:val="superscript"/>
        </w:rPr>
        <w:t>3</w:t>
      </w:r>
      <w:r w:rsidR="00AC1AAA" w:rsidRPr="001E08AC">
        <w:rPr>
          <w:rFonts w:cstheme="minorHAnsi"/>
          <w:noProof/>
        </w:rPr>
        <w:t xml:space="preserve">). </w:t>
      </w:r>
    </w:p>
    <w:p w14:paraId="60CC867F" w14:textId="77777777" w:rsidR="006754F8" w:rsidRPr="004F122F" w:rsidRDefault="006754F8" w:rsidP="006754F8">
      <w:pPr>
        <w:keepNext/>
        <w:spacing w:before="120" w:after="120" w:line="240" w:lineRule="auto"/>
        <w:jc w:val="center"/>
        <w:rPr>
          <w:noProof/>
        </w:rPr>
      </w:pPr>
      <w:r w:rsidRPr="006754F8">
        <w:rPr>
          <w:rFonts w:ascii="Arial" w:hAnsi="Arial" w:cs="Arial"/>
          <w:noProof/>
          <w:lang w:val="en-GB" w:eastAsia="en-GB"/>
        </w:rPr>
        <w:drawing>
          <wp:inline distT="0" distB="0" distL="0" distR="0" wp14:anchorId="2F1708CC" wp14:editId="21B94F4E">
            <wp:extent cx="5580000" cy="2376422"/>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80000" cy="2376422"/>
                    </a:xfrm>
                    <a:prstGeom prst="rect">
                      <a:avLst/>
                    </a:prstGeom>
                    <a:noFill/>
                  </pic:spPr>
                </pic:pic>
              </a:graphicData>
            </a:graphic>
          </wp:inline>
        </w:drawing>
      </w:r>
    </w:p>
    <w:p w14:paraId="0A1B3AD4" w14:textId="501FA18E" w:rsidR="006754F8" w:rsidRPr="00DF1841" w:rsidRDefault="006754F8" w:rsidP="00466F38">
      <w:pPr>
        <w:pStyle w:val="Caption"/>
        <w:rPr>
          <w:noProof/>
          <w:lang w:val="en-IE"/>
        </w:rPr>
      </w:pPr>
      <w:r w:rsidRPr="004F122F">
        <w:rPr>
          <w:rFonts w:asciiTheme="minorHAnsi" w:eastAsiaTheme="minorHAnsi" w:hAnsiTheme="minorHAnsi" w:cstheme="minorHAnsi"/>
          <w:b/>
          <w:bCs/>
          <w:i w:val="0"/>
          <w:noProof/>
          <w:sz w:val="20"/>
          <w:lang w:val="en-US"/>
        </w:rPr>
        <w:t xml:space="preserve">Indigenous biogas production </w:t>
      </w:r>
      <w:r w:rsidRPr="00DF1841">
        <w:rPr>
          <w:rFonts w:asciiTheme="minorHAnsi" w:eastAsiaTheme="minorHAnsi" w:hAnsiTheme="minorHAnsi" w:cstheme="minorHAnsi"/>
          <w:b/>
          <w:bCs/>
          <w:i w:val="0"/>
          <w:noProof/>
          <w:sz w:val="20"/>
          <w:lang w:val="en-IE"/>
        </w:rPr>
        <w:t xml:space="preserve">reported </w:t>
      </w:r>
      <w:r w:rsidRPr="004F122F">
        <w:rPr>
          <w:rFonts w:asciiTheme="minorHAnsi" w:eastAsiaTheme="minorHAnsi" w:hAnsiTheme="minorHAnsi" w:cstheme="minorHAnsi"/>
          <w:b/>
          <w:bCs/>
          <w:i w:val="0"/>
          <w:noProof/>
          <w:sz w:val="20"/>
          <w:lang w:val="en-US"/>
        </w:rPr>
        <w:t>in 2020 (left bar) and 2021 (right bar) per MS. The error bars visualize the difference with the values as reported in the Eurostat energy balances. Source: NECPRs and [NRG_BAL_C]</w:t>
      </w:r>
    </w:p>
    <w:p w14:paraId="2307B2A2" w14:textId="4A98D53F" w:rsidR="00783881" w:rsidRPr="001E08AC" w:rsidRDefault="00783881" w:rsidP="00A07A36">
      <w:pPr>
        <w:spacing w:before="240" w:after="120" w:line="240" w:lineRule="auto"/>
        <w:jc w:val="both"/>
        <w:rPr>
          <w:rFonts w:cstheme="minorHAnsi"/>
          <w:noProof/>
        </w:rPr>
      </w:pPr>
      <w:r w:rsidRPr="001E08AC">
        <w:rPr>
          <w:rFonts w:cstheme="minorHAnsi"/>
          <w:noProof/>
        </w:rPr>
        <w:t xml:space="preserve">In </w:t>
      </w:r>
      <w:r w:rsidR="00FB7927" w:rsidRPr="001E08AC">
        <w:rPr>
          <w:rFonts w:cstheme="minorHAnsi"/>
          <w:noProof/>
        </w:rPr>
        <w:t xml:space="preserve">the </w:t>
      </w:r>
      <w:r w:rsidRPr="001E08AC">
        <w:rPr>
          <w:rFonts w:cstheme="minorHAnsi"/>
          <w:noProof/>
        </w:rPr>
        <w:t>NECPRs</w:t>
      </w:r>
      <w:r w:rsidR="5E7D2581" w:rsidRPr="001E08AC">
        <w:rPr>
          <w:rFonts w:cstheme="minorHAnsi"/>
          <w:noProof/>
        </w:rPr>
        <w:t>,</w:t>
      </w:r>
      <w:r w:rsidRPr="001E08AC">
        <w:rPr>
          <w:rFonts w:cstheme="minorHAnsi"/>
          <w:noProof/>
        </w:rPr>
        <w:t xml:space="preserve"> Member States reported their indigenous biogas production in 2020 and 2021. </w:t>
      </w:r>
      <w:r w:rsidR="5E7D2581" w:rsidRPr="001E08AC">
        <w:rPr>
          <w:rFonts w:cstheme="minorHAnsi"/>
          <w:noProof/>
        </w:rPr>
        <w:t>In 202</w:t>
      </w:r>
      <w:r w:rsidR="46B1A253" w:rsidRPr="001E08AC">
        <w:rPr>
          <w:rFonts w:cstheme="minorHAnsi"/>
          <w:noProof/>
        </w:rPr>
        <w:t>0</w:t>
      </w:r>
      <w:r w:rsidR="23480CFD" w:rsidRPr="001E08AC">
        <w:rPr>
          <w:rFonts w:cstheme="minorHAnsi"/>
          <w:noProof/>
        </w:rPr>
        <w:t>,</w:t>
      </w:r>
      <w:r w:rsidR="5E7D2581" w:rsidRPr="001E08AC">
        <w:rPr>
          <w:rFonts w:cstheme="minorHAnsi"/>
          <w:noProof/>
        </w:rPr>
        <w:t xml:space="preserve"> according to the reported </w:t>
      </w:r>
      <w:r w:rsidR="69174ABF" w:rsidRPr="001E08AC">
        <w:rPr>
          <w:rFonts w:cstheme="minorHAnsi"/>
          <w:noProof/>
        </w:rPr>
        <w:t>data, Germany</w:t>
      </w:r>
      <w:r w:rsidR="1A995D73" w:rsidRPr="001E08AC">
        <w:rPr>
          <w:rFonts w:cstheme="minorHAnsi"/>
          <w:noProof/>
        </w:rPr>
        <w:t xml:space="preserve"> was </w:t>
      </w:r>
      <w:r w:rsidR="4ECBC0DD" w:rsidRPr="001E08AC">
        <w:rPr>
          <w:rFonts w:cstheme="minorHAnsi"/>
          <w:noProof/>
        </w:rPr>
        <w:t>the largest produc</w:t>
      </w:r>
      <w:r w:rsidR="40F2BD9B" w:rsidRPr="001E08AC">
        <w:rPr>
          <w:rFonts w:cstheme="minorHAnsi"/>
          <w:noProof/>
        </w:rPr>
        <w:t>er</w:t>
      </w:r>
      <w:r w:rsidR="4ECBC0DD" w:rsidRPr="001E08AC">
        <w:rPr>
          <w:rFonts w:cstheme="minorHAnsi"/>
          <w:noProof/>
        </w:rPr>
        <w:t xml:space="preserve"> of biogas, with </w:t>
      </w:r>
      <w:r w:rsidR="004257B6" w:rsidRPr="001E08AC">
        <w:rPr>
          <w:rFonts w:cstheme="minorHAnsi"/>
          <w:noProof/>
        </w:rPr>
        <w:t>5</w:t>
      </w:r>
      <w:r w:rsidR="00740CA6" w:rsidRPr="001E08AC">
        <w:rPr>
          <w:rFonts w:cstheme="minorHAnsi"/>
          <w:noProof/>
        </w:rPr>
        <w:t xml:space="preserve">2.8 </w:t>
      </w:r>
      <w:r w:rsidR="4ECBC0DD" w:rsidRPr="001E08AC">
        <w:rPr>
          <w:rFonts w:cstheme="minorHAnsi"/>
          <w:noProof/>
        </w:rPr>
        <w:t xml:space="preserve">% of the total amount produced (7,765 ktoe), followed by Italy </w:t>
      </w:r>
      <w:r w:rsidR="5F1E8B23" w:rsidRPr="001E08AC">
        <w:rPr>
          <w:rFonts w:cstheme="minorHAnsi"/>
          <w:noProof/>
        </w:rPr>
        <w:t xml:space="preserve">that accounted for </w:t>
      </w:r>
      <w:r w:rsidR="00740CA6" w:rsidRPr="001E08AC">
        <w:rPr>
          <w:rFonts w:cstheme="minorHAnsi"/>
          <w:noProof/>
        </w:rPr>
        <w:t>13.7</w:t>
      </w:r>
      <w:r w:rsidR="4ECBC0DD" w:rsidRPr="001E08AC">
        <w:rPr>
          <w:rFonts w:cstheme="minorHAnsi"/>
          <w:noProof/>
        </w:rPr>
        <w:t>%</w:t>
      </w:r>
      <w:r w:rsidR="464CCB43" w:rsidRPr="001E08AC">
        <w:rPr>
          <w:rFonts w:cstheme="minorHAnsi"/>
          <w:noProof/>
        </w:rPr>
        <w:t xml:space="preserve"> (</w:t>
      </w:r>
      <w:r w:rsidR="4ECBC0DD" w:rsidRPr="001E08AC">
        <w:rPr>
          <w:rFonts w:cstheme="minorHAnsi"/>
          <w:noProof/>
        </w:rPr>
        <w:t xml:space="preserve">2,018 ktoe), </w:t>
      </w:r>
      <w:r w:rsidR="00740CA6" w:rsidRPr="001E08AC">
        <w:rPr>
          <w:rFonts w:cstheme="minorHAnsi"/>
          <w:noProof/>
        </w:rPr>
        <w:t>France 7.4% (1</w:t>
      </w:r>
      <w:r w:rsidR="00116536" w:rsidRPr="001E08AC">
        <w:rPr>
          <w:rFonts w:cstheme="minorHAnsi"/>
          <w:noProof/>
        </w:rPr>
        <w:t xml:space="preserve">,090 ktoe) </w:t>
      </w:r>
      <w:r w:rsidR="4ECBC0DD" w:rsidRPr="001E08AC">
        <w:rPr>
          <w:rFonts w:cstheme="minorHAnsi"/>
          <w:noProof/>
        </w:rPr>
        <w:t>Czechia (4.</w:t>
      </w:r>
      <w:r w:rsidR="00116536" w:rsidRPr="001E08AC">
        <w:rPr>
          <w:rFonts w:cstheme="minorHAnsi"/>
          <w:noProof/>
        </w:rPr>
        <w:t>1</w:t>
      </w:r>
      <w:r w:rsidR="4ECBC0DD" w:rsidRPr="001E08AC">
        <w:rPr>
          <w:rFonts w:cstheme="minorHAnsi"/>
          <w:noProof/>
        </w:rPr>
        <w:t>%, 595 ktoe), and Denmark (</w:t>
      </w:r>
      <w:r w:rsidR="00116536" w:rsidRPr="001E08AC">
        <w:rPr>
          <w:rFonts w:cstheme="minorHAnsi"/>
          <w:noProof/>
        </w:rPr>
        <w:t>3.4</w:t>
      </w:r>
      <w:r w:rsidR="4ECBC0DD" w:rsidRPr="001E08AC">
        <w:rPr>
          <w:rFonts w:cstheme="minorHAnsi"/>
          <w:noProof/>
        </w:rPr>
        <w:t>%, 505 ktoe). In 2021</w:t>
      </w:r>
      <w:r w:rsidR="00116536" w:rsidRPr="001E08AC">
        <w:rPr>
          <w:rFonts w:cstheme="minorHAnsi"/>
          <w:noProof/>
        </w:rPr>
        <w:t>,</w:t>
      </w:r>
      <w:r w:rsidR="4ECBC0DD" w:rsidRPr="001E08AC">
        <w:rPr>
          <w:rFonts w:cstheme="minorHAnsi"/>
          <w:noProof/>
        </w:rPr>
        <w:t xml:space="preserve"> Germany </w:t>
      </w:r>
      <w:r w:rsidR="6E3775A8" w:rsidRPr="001E08AC">
        <w:rPr>
          <w:rFonts w:cstheme="minorHAnsi"/>
          <w:noProof/>
        </w:rPr>
        <w:t>remained the largest producer, accounting for</w:t>
      </w:r>
      <w:r w:rsidR="4ECBC0DD" w:rsidRPr="001E08AC">
        <w:rPr>
          <w:rFonts w:cstheme="minorHAnsi"/>
          <w:noProof/>
        </w:rPr>
        <w:t xml:space="preserve"> 5</w:t>
      </w:r>
      <w:r w:rsidR="00406E9B" w:rsidRPr="001E08AC">
        <w:rPr>
          <w:rFonts w:cstheme="minorHAnsi"/>
          <w:noProof/>
        </w:rPr>
        <w:t>0,4</w:t>
      </w:r>
      <w:r w:rsidR="4ECBC0DD" w:rsidRPr="001E08AC">
        <w:rPr>
          <w:rFonts w:cstheme="minorHAnsi"/>
          <w:noProof/>
        </w:rPr>
        <w:t>%</w:t>
      </w:r>
      <w:r w:rsidR="3C863DF9" w:rsidRPr="001E08AC">
        <w:rPr>
          <w:rFonts w:cstheme="minorHAnsi"/>
          <w:noProof/>
        </w:rPr>
        <w:t xml:space="preserve"> of the total production</w:t>
      </w:r>
      <w:r w:rsidR="4ECBC0DD" w:rsidRPr="001E08AC">
        <w:rPr>
          <w:rFonts w:cstheme="minorHAnsi"/>
          <w:noProof/>
        </w:rPr>
        <w:t xml:space="preserve"> (7,518 ktoe), followed by Italy (</w:t>
      </w:r>
      <w:r w:rsidR="00406E9B" w:rsidRPr="001E08AC">
        <w:rPr>
          <w:rFonts w:cstheme="minorHAnsi"/>
          <w:noProof/>
        </w:rPr>
        <w:t>13.9</w:t>
      </w:r>
      <w:r w:rsidR="4ECBC0DD" w:rsidRPr="001E08AC">
        <w:rPr>
          <w:rFonts w:cstheme="minorHAnsi"/>
          <w:noProof/>
        </w:rPr>
        <w:t xml:space="preserve">%, 2,078 ktoe), </w:t>
      </w:r>
      <w:r w:rsidR="00406E9B" w:rsidRPr="001E08AC">
        <w:rPr>
          <w:rFonts w:cstheme="minorHAnsi"/>
          <w:noProof/>
        </w:rPr>
        <w:t xml:space="preserve">France </w:t>
      </w:r>
      <w:r w:rsidR="00EE347D" w:rsidRPr="001E08AC">
        <w:rPr>
          <w:rFonts w:cstheme="minorHAnsi"/>
          <w:noProof/>
        </w:rPr>
        <w:t xml:space="preserve">9.4% (1,404 ktoe) </w:t>
      </w:r>
      <w:r w:rsidR="4ECBC0DD" w:rsidRPr="001E08AC">
        <w:rPr>
          <w:rFonts w:cstheme="minorHAnsi"/>
          <w:noProof/>
        </w:rPr>
        <w:t xml:space="preserve">and Denmark </w:t>
      </w:r>
      <w:r w:rsidR="15597CF5" w:rsidRPr="001E08AC">
        <w:rPr>
          <w:rFonts w:cstheme="minorHAnsi"/>
          <w:noProof/>
        </w:rPr>
        <w:t>(4.</w:t>
      </w:r>
      <w:r w:rsidR="00EE347D" w:rsidRPr="001E08AC">
        <w:rPr>
          <w:rFonts w:cstheme="minorHAnsi"/>
          <w:noProof/>
        </w:rPr>
        <w:t>2</w:t>
      </w:r>
      <w:r w:rsidR="4ECBC0DD" w:rsidRPr="001E08AC">
        <w:rPr>
          <w:rFonts w:cstheme="minorHAnsi"/>
          <w:noProof/>
        </w:rPr>
        <w:t>%, 625 ktoe), which overtook Czechia (4.</w:t>
      </w:r>
      <w:r w:rsidR="00EE347D" w:rsidRPr="001E08AC">
        <w:rPr>
          <w:rFonts w:cstheme="minorHAnsi"/>
          <w:noProof/>
        </w:rPr>
        <w:t>0</w:t>
      </w:r>
      <w:r w:rsidR="4ECBC0DD" w:rsidRPr="001E08AC">
        <w:rPr>
          <w:rFonts w:cstheme="minorHAnsi"/>
          <w:noProof/>
        </w:rPr>
        <w:t>%, 591 ktoe) in biogas production.</w:t>
      </w:r>
      <w:r w:rsidR="7EEFA217" w:rsidRPr="001E08AC">
        <w:rPr>
          <w:rFonts w:cstheme="minorHAnsi"/>
          <w:noProof/>
        </w:rPr>
        <w:t xml:space="preserve"> </w:t>
      </w:r>
      <w:r w:rsidR="693C418C" w:rsidRPr="001E08AC">
        <w:rPr>
          <w:rFonts w:cstheme="minorHAnsi"/>
          <w:noProof/>
        </w:rPr>
        <w:t xml:space="preserve">Belgium, Finland, Hungary, and Sweden did not report any biogas production </w:t>
      </w:r>
      <w:r w:rsidR="00636D6C" w:rsidRPr="001E08AC">
        <w:rPr>
          <w:rFonts w:cstheme="minorHAnsi"/>
          <w:noProof/>
        </w:rPr>
        <w:t xml:space="preserve">neither </w:t>
      </w:r>
      <w:r w:rsidR="693C418C" w:rsidRPr="001E08AC">
        <w:rPr>
          <w:rFonts w:cstheme="minorHAnsi"/>
          <w:noProof/>
        </w:rPr>
        <w:t xml:space="preserve">in 2020 </w:t>
      </w:r>
      <w:r w:rsidR="00636D6C" w:rsidRPr="001E08AC">
        <w:rPr>
          <w:rFonts w:cstheme="minorHAnsi"/>
          <w:noProof/>
        </w:rPr>
        <w:t>n</w:t>
      </w:r>
      <w:r w:rsidR="693C418C" w:rsidRPr="001E08AC">
        <w:rPr>
          <w:rFonts w:cstheme="minorHAnsi"/>
          <w:noProof/>
        </w:rPr>
        <w:t xml:space="preserve">or 2021, whereas Estonia, Romania and Slovenia reported biogas production only in 2021. </w:t>
      </w:r>
      <w:r w:rsidR="00A07A36" w:rsidRPr="001E08AC">
        <w:rPr>
          <w:rFonts w:cstheme="minorHAnsi"/>
          <w:noProof/>
        </w:rPr>
        <w:t>Czechia, Greece, Poland, and Latvia</w:t>
      </w:r>
      <w:r w:rsidR="009741B2" w:rsidRPr="001E08AC">
        <w:rPr>
          <w:rFonts w:cstheme="minorHAnsi"/>
          <w:noProof/>
        </w:rPr>
        <w:t xml:space="preserve"> reported a decrease in </w:t>
      </w:r>
      <w:r w:rsidR="00D26DD2" w:rsidRPr="001E08AC">
        <w:rPr>
          <w:rFonts w:cstheme="minorHAnsi"/>
          <w:noProof/>
        </w:rPr>
        <w:t xml:space="preserve">biogas </w:t>
      </w:r>
      <w:r w:rsidR="009741B2" w:rsidRPr="001E08AC">
        <w:rPr>
          <w:rFonts w:cstheme="minorHAnsi"/>
          <w:noProof/>
        </w:rPr>
        <w:t>production of 18.5% from 202</w:t>
      </w:r>
      <w:r w:rsidR="00D26DD2" w:rsidRPr="001E08AC">
        <w:rPr>
          <w:rFonts w:cstheme="minorHAnsi"/>
          <w:noProof/>
        </w:rPr>
        <w:t>0 to 2021</w:t>
      </w:r>
      <w:r w:rsidR="009741B2" w:rsidRPr="001E08AC">
        <w:rPr>
          <w:rFonts w:cstheme="minorHAnsi"/>
          <w:noProof/>
        </w:rPr>
        <w:t xml:space="preserve">. </w:t>
      </w:r>
      <w:r w:rsidR="5E7D2581" w:rsidRPr="001E08AC">
        <w:rPr>
          <w:rFonts w:cstheme="minorHAnsi"/>
          <w:noProof/>
        </w:rPr>
        <w:t xml:space="preserve"> </w:t>
      </w:r>
      <w:r w:rsidRPr="001E08AC">
        <w:rPr>
          <w:rFonts w:cstheme="minorHAnsi"/>
          <w:noProof/>
        </w:rPr>
        <w:t>The indigenous biogas production reported in the EU collectively in 2021 was</w:t>
      </w:r>
      <w:r w:rsidR="009B67F9" w:rsidRPr="001E08AC">
        <w:rPr>
          <w:rFonts w:cstheme="minorHAnsi"/>
          <w:noProof/>
        </w:rPr>
        <w:t xml:space="preserve">14,929 </w:t>
      </w:r>
      <w:r w:rsidR="5E7D2581" w:rsidRPr="001E08AC">
        <w:rPr>
          <w:rFonts w:cstheme="minorHAnsi"/>
          <w:noProof/>
        </w:rPr>
        <w:t>ktoe, a 1</w:t>
      </w:r>
      <w:r w:rsidR="35A1809B" w:rsidRPr="001E08AC">
        <w:rPr>
          <w:rFonts w:cstheme="minorHAnsi"/>
          <w:noProof/>
        </w:rPr>
        <w:t>.</w:t>
      </w:r>
      <w:r w:rsidR="003C7456" w:rsidRPr="001E08AC">
        <w:rPr>
          <w:rFonts w:cstheme="minorHAnsi"/>
          <w:noProof/>
        </w:rPr>
        <w:t>7</w:t>
      </w:r>
      <w:r w:rsidRPr="001E08AC">
        <w:rPr>
          <w:rFonts w:cstheme="minorHAnsi"/>
          <w:noProof/>
        </w:rPr>
        <w:t xml:space="preserve">% increase compared </w:t>
      </w:r>
      <w:r w:rsidR="00A07A36" w:rsidRPr="001E08AC">
        <w:rPr>
          <w:rFonts w:cstheme="minorHAnsi"/>
          <w:noProof/>
        </w:rPr>
        <w:t>to 14,687</w:t>
      </w:r>
      <w:r w:rsidRPr="001E08AC">
        <w:rPr>
          <w:rFonts w:cstheme="minorHAnsi"/>
          <w:noProof/>
        </w:rPr>
        <w:t xml:space="preserve"> ktoe in 2020.</w:t>
      </w:r>
    </w:p>
    <w:p w14:paraId="77490070" w14:textId="28447BB3" w:rsidR="00783881" w:rsidRPr="001E08AC" w:rsidRDefault="00294486" w:rsidP="00A07A36">
      <w:pPr>
        <w:spacing w:before="240" w:after="120" w:line="240" w:lineRule="auto"/>
        <w:jc w:val="both"/>
        <w:rPr>
          <w:rFonts w:cstheme="minorHAnsi"/>
          <w:noProof/>
        </w:rPr>
      </w:pPr>
      <w:r>
        <w:rPr>
          <w:rFonts w:cstheme="minorHAnsi"/>
          <w:noProof/>
        </w:rPr>
        <w:t>Twenty-one</w:t>
      </w:r>
      <w:r w:rsidR="00783881" w:rsidRPr="001E08AC">
        <w:rPr>
          <w:rFonts w:cstheme="minorHAnsi"/>
          <w:noProof/>
        </w:rPr>
        <w:t xml:space="preserve"> Member States reported in the NECPRs regarding the evolution o</w:t>
      </w:r>
      <w:r w:rsidR="00986068" w:rsidRPr="001E08AC">
        <w:rPr>
          <w:rFonts w:cstheme="minorHAnsi"/>
          <w:noProof/>
        </w:rPr>
        <w:t>f</w:t>
      </w:r>
      <w:r w:rsidR="00783881" w:rsidRPr="001E08AC">
        <w:rPr>
          <w:rFonts w:cstheme="minorHAnsi"/>
          <w:noProof/>
        </w:rPr>
        <w:t xml:space="preserve"> bioenergy supply and whether that has an impact on the overall and sectoral trajectories for renewable energy from 2021 to 2030. </w:t>
      </w:r>
      <w:r>
        <w:rPr>
          <w:rFonts w:cstheme="minorHAnsi"/>
          <w:noProof/>
        </w:rPr>
        <w:t>Eight</w:t>
      </w:r>
      <w:r w:rsidR="00783881" w:rsidRPr="001E08AC">
        <w:rPr>
          <w:rFonts w:cstheme="minorHAnsi"/>
          <w:noProof/>
        </w:rPr>
        <w:t xml:space="preserve"> Member States</w:t>
      </w:r>
      <w:r w:rsidR="00783881" w:rsidRPr="001E08AC">
        <w:rPr>
          <w:rStyle w:val="FootnoteReference"/>
          <w:rFonts w:cstheme="minorHAnsi"/>
          <w:noProof/>
        </w:rPr>
        <w:footnoteReference w:id="10"/>
      </w:r>
      <w:r w:rsidR="00783881" w:rsidRPr="001E08AC">
        <w:rPr>
          <w:rFonts w:cstheme="minorHAnsi"/>
          <w:noProof/>
        </w:rPr>
        <w:t xml:space="preserve"> stated </w:t>
      </w:r>
      <w:r w:rsidR="00913667" w:rsidRPr="001E08AC">
        <w:rPr>
          <w:rFonts w:cstheme="minorHAnsi"/>
          <w:noProof/>
        </w:rPr>
        <w:t xml:space="preserve">that </w:t>
      </w:r>
      <w:r w:rsidR="00783881" w:rsidRPr="001E08AC">
        <w:rPr>
          <w:rFonts w:cstheme="minorHAnsi"/>
          <w:noProof/>
        </w:rPr>
        <w:t xml:space="preserve">there were no significant impacts or updates to be reported. Of the remaining </w:t>
      </w:r>
      <w:r>
        <w:rPr>
          <w:rFonts w:cstheme="minorHAnsi"/>
          <w:noProof/>
        </w:rPr>
        <w:t>thirteen</w:t>
      </w:r>
      <w:r w:rsidR="00783881" w:rsidRPr="001E08AC">
        <w:rPr>
          <w:rFonts w:cstheme="minorHAnsi"/>
          <w:noProof/>
        </w:rPr>
        <w:t xml:space="preserve"> Member States, Hungary and Latvia stressed the impacts related to </w:t>
      </w:r>
      <w:r w:rsidR="001778B9" w:rsidRPr="001E08AC">
        <w:rPr>
          <w:rFonts w:cstheme="minorHAnsi"/>
          <w:noProof/>
        </w:rPr>
        <w:t xml:space="preserve">Russia’s </w:t>
      </w:r>
      <w:r w:rsidR="001778B9">
        <w:rPr>
          <w:rFonts w:cstheme="minorHAnsi"/>
          <w:noProof/>
        </w:rPr>
        <w:t>war</w:t>
      </w:r>
      <w:r w:rsidR="009C3739" w:rsidRPr="001E08AC">
        <w:rPr>
          <w:rFonts w:cstheme="minorHAnsi"/>
          <w:noProof/>
        </w:rPr>
        <w:t xml:space="preserve"> of aggression against Ukraine</w:t>
      </w:r>
      <w:r w:rsidR="00783881" w:rsidRPr="001E08AC">
        <w:rPr>
          <w:rFonts w:cstheme="minorHAnsi"/>
          <w:noProof/>
        </w:rPr>
        <w:t xml:space="preserve">. Sweden </w:t>
      </w:r>
      <w:r w:rsidR="008B04DF" w:rsidRPr="001E08AC">
        <w:rPr>
          <w:rFonts w:cstheme="minorHAnsi"/>
          <w:noProof/>
        </w:rPr>
        <w:t>emphasized</w:t>
      </w:r>
      <w:r w:rsidR="00783881" w:rsidRPr="001E08AC">
        <w:rPr>
          <w:rFonts w:cstheme="minorHAnsi"/>
          <w:noProof/>
        </w:rPr>
        <w:t xml:space="preserve"> that prices have risen because of the energy crisis. Some Member States (Estonia, Slovakia) reported that changes</w:t>
      </w:r>
      <w:r w:rsidR="00A07A36" w:rsidRPr="001E08AC">
        <w:rPr>
          <w:rFonts w:cstheme="minorHAnsi"/>
          <w:noProof/>
        </w:rPr>
        <w:t xml:space="preserve"> in legislation</w:t>
      </w:r>
      <w:r w:rsidR="00783881" w:rsidRPr="001E08AC">
        <w:rPr>
          <w:rFonts w:cstheme="minorHAnsi"/>
          <w:noProof/>
        </w:rPr>
        <w:t xml:space="preserve"> impact biomass </w:t>
      </w:r>
      <w:bookmarkStart w:id="3" w:name="_Int_2oKxtIn3"/>
      <w:r w:rsidR="00783881" w:rsidRPr="001E08AC">
        <w:rPr>
          <w:rFonts w:cstheme="minorHAnsi"/>
          <w:noProof/>
        </w:rPr>
        <w:t>use</w:t>
      </w:r>
      <w:bookmarkEnd w:id="3"/>
      <w:r w:rsidR="00783881" w:rsidRPr="001E08AC">
        <w:rPr>
          <w:rFonts w:cstheme="minorHAnsi"/>
          <w:noProof/>
        </w:rPr>
        <w:t xml:space="preserve"> for energy production. Others (Italy, Slovenia) reported an expected increase in the use of biomass for energy production, in the years leading up to 2030. </w:t>
      </w:r>
    </w:p>
    <w:p w14:paraId="46A2B050" w14:textId="77777777" w:rsidR="00783881" w:rsidRPr="001E08AC" w:rsidRDefault="00783881" w:rsidP="00A07A36">
      <w:pPr>
        <w:spacing w:before="240" w:after="120" w:line="240" w:lineRule="auto"/>
        <w:jc w:val="both"/>
        <w:rPr>
          <w:rFonts w:cstheme="minorHAnsi"/>
          <w:b/>
          <w:bCs/>
          <w:i/>
          <w:iCs/>
          <w:noProof/>
        </w:rPr>
      </w:pPr>
      <w:r w:rsidRPr="001E08AC">
        <w:rPr>
          <w:rFonts w:cstheme="minorHAnsi"/>
          <w:b/>
          <w:bCs/>
          <w:i/>
          <w:iCs/>
          <w:noProof/>
        </w:rPr>
        <w:t xml:space="preserve">Biomass demand per sector </w:t>
      </w:r>
    </w:p>
    <w:p w14:paraId="6A52CEFE" w14:textId="69CB4E30" w:rsidR="00783881" w:rsidRPr="001E08AC" w:rsidRDefault="00783881" w:rsidP="00A07A36">
      <w:pPr>
        <w:spacing w:before="240" w:after="120" w:line="240" w:lineRule="auto"/>
        <w:jc w:val="both"/>
        <w:rPr>
          <w:rFonts w:cstheme="minorHAnsi"/>
          <w:noProof/>
        </w:rPr>
      </w:pPr>
      <w:r w:rsidRPr="001E08AC">
        <w:rPr>
          <w:rFonts w:cstheme="minorHAnsi"/>
          <w:noProof/>
        </w:rPr>
        <w:t xml:space="preserve">Solid biomass is used in </w:t>
      </w:r>
      <w:bookmarkStart w:id="4" w:name="_Int_Esa9SuuP"/>
      <w:r w:rsidRPr="001E08AC">
        <w:rPr>
          <w:rFonts w:cstheme="minorHAnsi"/>
          <w:noProof/>
        </w:rPr>
        <w:t>the industry</w:t>
      </w:r>
      <w:bookmarkEnd w:id="4"/>
      <w:r w:rsidRPr="001E08AC">
        <w:rPr>
          <w:rFonts w:cstheme="minorHAnsi"/>
          <w:noProof/>
        </w:rPr>
        <w:t>, residential and energy sectors</w:t>
      </w:r>
      <w:r w:rsidRPr="001E08AC">
        <w:rPr>
          <w:rStyle w:val="FootnoteReference"/>
          <w:rFonts w:cstheme="minorHAnsi"/>
          <w:noProof/>
        </w:rPr>
        <w:footnoteReference w:id="11"/>
      </w:r>
      <w:r w:rsidRPr="001E08AC">
        <w:rPr>
          <w:rFonts w:cstheme="minorHAnsi"/>
          <w:noProof/>
        </w:rPr>
        <w:t>. In 2021, 21.1 Mtoe of solid biomass were consumed in the industry sector, 45.</w:t>
      </w:r>
      <w:r w:rsidR="00055590">
        <w:rPr>
          <w:rFonts w:cstheme="minorHAnsi"/>
          <w:noProof/>
        </w:rPr>
        <w:t>1</w:t>
      </w:r>
      <w:r w:rsidRPr="001E08AC">
        <w:rPr>
          <w:rFonts w:cstheme="minorHAnsi"/>
          <w:noProof/>
        </w:rPr>
        <w:t xml:space="preserve"> Mtoe in the residential sector, and 33.0 Mtoe in the energy sector. Germany, France and Sweden are the largest consumers of solid biomass. </w:t>
      </w:r>
      <w:r w:rsidR="504BF776" w:rsidRPr="001E08AC">
        <w:rPr>
          <w:rFonts w:cstheme="minorHAnsi"/>
          <w:noProof/>
        </w:rPr>
        <w:t>The use of solid biomass in these sectors has increased by 13.4% compared to 2012.</w:t>
      </w:r>
    </w:p>
    <w:p w14:paraId="05DBCFA0" w14:textId="77777777" w:rsidR="00783881" w:rsidRPr="001E08AC" w:rsidRDefault="00783881" w:rsidP="00A07A36">
      <w:pPr>
        <w:spacing w:before="240" w:after="120" w:line="240" w:lineRule="auto"/>
        <w:jc w:val="center"/>
        <w:rPr>
          <w:rFonts w:cstheme="minorHAnsi"/>
          <w:noProof/>
        </w:rPr>
      </w:pPr>
      <w:r w:rsidRPr="001E08AC">
        <w:rPr>
          <w:rFonts w:cstheme="minorHAnsi"/>
          <w:noProof/>
          <w:lang w:val="en-GB" w:eastAsia="en-GB"/>
        </w:rPr>
        <w:drawing>
          <wp:inline distT="0" distB="0" distL="0" distR="0" wp14:anchorId="15A89DBD" wp14:editId="00B82325">
            <wp:extent cx="5552381" cy="21238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552381" cy="2123810"/>
                    </a:xfrm>
                    <a:prstGeom prst="rect">
                      <a:avLst/>
                    </a:prstGeom>
                  </pic:spPr>
                </pic:pic>
              </a:graphicData>
            </a:graphic>
          </wp:inline>
        </w:drawing>
      </w:r>
    </w:p>
    <w:p w14:paraId="5CB8EF6F" w14:textId="0193CFAC" w:rsidR="00783881" w:rsidRPr="001E08AC" w:rsidRDefault="00783881" w:rsidP="00A07A36">
      <w:pPr>
        <w:spacing w:after="120" w:line="240" w:lineRule="auto"/>
        <w:jc w:val="center"/>
        <w:rPr>
          <w:rFonts w:cstheme="minorHAnsi"/>
          <w:b/>
          <w:noProof/>
          <w:sz w:val="20"/>
          <w:szCs w:val="20"/>
          <w:lang w:val="en-IE"/>
        </w:rPr>
      </w:pPr>
      <w:r w:rsidRPr="001E08AC">
        <w:rPr>
          <w:rFonts w:cstheme="minorHAnsi"/>
          <w:b/>
          <w:bCs/>
          <w:noProof/>
          <w:sz w:val="20"/>
          <w:szCs w:val="20"/>
          <w:lang w:val="en-IE"/>
        </w:rPr>
        <w:t xml:space="preserve">Final consumption of solid biomass in the industry, residential and energy sectors in 2021 per EU </w:t>
      </w:r>
      <w:r w:rsidR="009E3CB6" w:rsidRPr="001E08AC">
        <w:rPr>
          <w:rFonts w:cstheme="minorHAnsi"/>
          <w:b/>
          <w:bCs/>
          <w:noProof/>
          <w:sz w:val="20"/>
          <w:szCs w:val="20"/>
          <w:lang w:val="en-IE"/>
        </w:rPr>
        <w:t>Member State</w:t>
      </w:r>
      <w:r w:rsidRPr="001E08AC">
        <w:rPr>
          <w:rStyle w:val="FootnoteReference"/>
          <w:rFonts w:cstheme="minorHAnsi"/>
          <w:b/>
          <w:bCs/>
          <w:noProof/>
          <w:sz w:val="20"/>
          <w:szCs w:val="20"/>
          <w:lang w:val="en-IE"/>
        </w:rPr>
        <w:footnoteReference w:id="12"/>
      </w:r>
    </w:p>
    <w:p w14:paraId="7935F6C1" w14:textId="77777777" w:rsidR="00783881" w:rsidRPr="001E08AC" w:rsidRDefault="00783881" w:rsidP="00A07A36">
      <w:pPr>
        <w:spacing w:before="240" w:after="120" w:line="240" w:lineRule="auto"/>
        <w:jc w:val="both"/>
        <w:rPr>
          <w:rFonts w:cstheme="minorHAnsi"/>
          <w:b/>
          <w:i/>
          <w:iCs/>
          <w:noProof/>
        </w:rPr>
      </w:pPr>
      <w:r w:rsidRPr="001E08AC">
        <w:rPr>
          <w:rFonts w:cstheme="minorHAnsi"/>
          <w:b/>
          <w:i/>
          <w:iCs/>
          <w:noProof/>
        </w:rPr>
        <w:t>Transport sector</w:t>
      </w:r>
    </w:p>
    <w:p w14:paraId="7C679812" w14:textId="7E6C4E04" w:rsidR="009164CE" w:rsidRPr="001E08AC" w:rsidRDefault="00783881" w:rsidP="00CF7CEB">
      <w:pPr>
        <w:spacing w:before="240" w:after="120" w:line="240" w:lineRule="auto"/>
        <w:jc w:val="both"/>
        <w:rPr>
          <w:rFonts w:eastAsia="Times New Roman" w:cstheme="minorHAnsi"/>
          <w:noProof/>
        </w:rPr>
      </w:pPr>
      <w:r w:rsidRPr="001E08AC">
        <w:rPr>
          <w:rFonts w:eastAsia="Times New Roman" w:cstheme="minorHAnsi"/>
          <w:noProof/>
        </w:rPr>
        <w:t>In 2021, the final consumption of biofuels in the transport sector accounted for a total of 16.</w:t>
      </w:r>
      <w:r w:rsidR="00055590">
        <w:rPr>
          <w:rFonts w:eastAsia="Times New Roman" w:cstheme="minorHAnsi"/>
          <w:noProof/>
        </w:rPr>
        <w:t>5</w:t>
      </w:r>
      <w:r w:rsidRPr="001E08AC">
        <w:rPr>
          <w:rFonts w:eastAsia="Times New Roman" w:cstheme="minorHAnsi"/>
          <w:noProof/>
        </w:rPr>
        <w:t xml:space="preserve"> Mtoe in the EU</w:t>
      </w:r>
      <w:r w:rsidRPr="001E08AC">
        <w:rPr>
          <w:rStyle w:val="FootnoteReference"/>
          <w:rFonts w:eastAsia="Times New Roman" w:cstheme="minorHAnsi"/>
          <w:noProof/>
        </w:rPr>
        <w:footnoteReference w:id="13"/>
      </w:r>
      <w:r w:rsidRPr="001E08AC">
        <w:rPr>
          <w:rFonts w:eastAsia="Times New Roman" w:cstheme="minorHAnsi"/>
          <w:noProof/>
        </w:rPr>
        <w:t xml:space="preserve"> and has increased by 39% compared to 2013. In absolute terms, </w:t>
      </w:r>
      <w:r w:rsidR="003F4A74" w:rsidRPr="001E08AC">
        <w:rPr>
          <w:rFonts w:eastAsia="Times New Roman" w:cstheme="minorHAnsi"/>
          <w:noProof/>
        </w:rPr>
        <w:t>this increase is related to the</w:t>
      </w:r>
      <w:r w:rsidRPr="001E08AC">
        <w:rPr>
          <w:rFonts w:eastAsia="Times New Roman" w:cstheme="minorHAnsi"/>
          <w:noProof/>
        </w:rPr>
        <w:t xml:space="preserve"> </w:t>
      </w:r>
      <w:r w:rsidR="00C80A0D" w:rsidRPr="001E08AC">
        <w:rPr>
          <w:rFonts w:eastAsia="Times New Roman" w:cstheme="minorHAnsi"/>
          <w:noProof/>
        </w:rPr>
        <w:t xml:space="preserve">increased </w:t>
      </w:r>
      <w:r w:rsidRPr="001E08AC">
        <w:rPr>
          <w:rFonts w:eastAsia="Times New Roman" w:cstheme="minorHAnsi"/>
          <w:noProof/>
        </w:rPr>
        <w:t xml:space="preserve">biodiesel </w:t>
      </w:r>
      <w:r w:rsidR="00C80A0D" w:rsidRPr="001E08AC">
        <w:rPr>
          <w:rFonts w:eastAsia="Times New Roman" w:cstheme="minorHAnsi"/>
          <w:noProof/>
        </w:rPr>
        <w:t>supply</w:t>
      </w:r>
      <w:r w:rsidRPr="001E08AC">
        <w:rPr>
          <w:rFonts w:eastAsia="Times New Roman" w:cstheme="minorHAnsi"/>
          <w:noProof/>
        </w:rPr>
        <w:t xml:space="preserve">, however, in relative terms, the share of biodiesel in the total biofuel consumption in the transport sector remains quite stable at around 80%, </w:t>
      </w:r>
      <w:r w:rsidR="00C80A0D" w:rsidRPr="001E08AC">
        <w:rPr>
          <w:rFonts w:eastAsia="Times New Roman" w:cstheme="minorHAnsi"/>
          <w:noProof/>
        </w:rPr>
        <w:t xml:space="preserve">including </w:t>
      </w:r>
      <w:r w:rsidRPr="001E08AC">
        <w:rPr>
          <w:rFonts w:eastAsia="Times New Roman" w:cstheme="minorHAnsi"/>
          <w:noProof/>
        </w:rPr>
        <w:t xml:space="preserve">2021. Biodiesel is used in all </w:t>
      </w:r>
      <w:r w:rsidR="00294486">
        <w:rPr>
          <w:rFonts w:eastAsia="Times New Roman" w:cstheme="minorHAnsi"/>
          <w:noProof/>
        </w:rPr>
        <w:t>twenty-seven</w:t>
      </w:r>
      <w:r w:rsidRPr="001E08AC">
        <w:rPr>
          <w:rFonts w:eastAsia="Times New Roman" w:cstheme="minorHAnsi"/>
          <w:noProof/>
        </w:rPr>
        <w:t xml:space="preserve"> Member States. Bio</w:t>
      </w:r>
      <w:r w:rsidR="008F3CE0" w:rsidRPr="001E08AC">
        <w:rPr>
          <w:rFonts w:eastAsia="Times New Roman" w:cstheme="minorHAnsi"/>
          <w:noProof/>
        </w:rPr>
        <w:t>ethanol</w:t>
      </w:r>
      <w:r w:rsidRPr="001E08AC">
        <w:rPr>
          <w:rFonts w:eastAsia="Times New Roman" w:cstheme="minorHAnsi"/>
          <w:noProof/>
        </w:rPr>
        <w:t xml:space="preserve"> was the second most consumed fuel type and accounted for </w:t>
      </w:r>
      <w:r w:rsidR="05290546" w:rsidRPr="001E08AC">
        <w:rPr>
          <w:rFonts w:eastAsia="Times New Roman" w:cstheme="minorHAnsi"/>
          <w:noProof/>
        </w:rPr>
        <w:t>18% but</w:t>
      </w:r>
      <w:r w:rsidRPr="001E08AC">
        <w:rPr>
          <w:rFonts w:eastAsia="Times New Roman" w:cstheme="minorHAnsi"/>
          <w:noProof/>
        </w:rPr>
        <w:t xml:space="preserve"> is used in all Member States except for Cyprus and Malta. </w:t>
      </w:r>
    </w:p>
    <w:p w14:paraId="2648357D" w14:textId="74A1F565" w:rsidR="00783881" w:rsidRPr="001E08AC" w:rsidRDefault="00DE5E9B" w:rsidP="00CF7CEB">
      <w:pPr>
        <w:spacing w:before="240" w:after="120" w:line="240" w:lineRule="auto"/>
        <w:jc w:val="both"/>
        <w:rPr>
          <w:rFonts w:cstheme="minorHAnsi"/>
          <w:noProof/>
        </w:rPr>
      </w:pPr>
      <w:r w:rsidRPr="001E08AC">
        <w:rPr>
          <w:rFonts w:eastAsia="Times New Roman" w:cstheme="minorHAnsi"/>
          <w:noProof/>
        </w:rPr>
        <w:t>Biomethane and</w:t>
      </w:r>
      <w:r w:rsidR="00783881" w:rsidRPr="001E08AC">
        <w:rPr>
          <w:rFonts w:eastAsia="Times New Roman" w:cstheme="minorHAnsi"/>
          <w:noProof/>
        </w:rPr>
        <w:t xml:space="preserve"> other liquid biofuels </w:t>
      </w:r>
      <w:r w:rsidR="00872868" w:rsidRPr="001E08AC">
        <w:rPr>
          <w:rFonts w:eastAsia="Times New Roman" w:cstheme="minorHAnsi"/>
          <w:noProof/>
        </w:rPr>
        <w:t xml:space="preserve">consumption is </w:t>
      </w:r>
      <w:r w:rsidR="00783881" w:rsidRPr="001E08AC">
        <w:rPr>
          <w:rFonts w:eastAsia="Times New Roman" w:cstheme="minorHAnsi"/>
          <w:noProof/>
        </w:rPr>
        <w:t xml:space="preserve">aggregated to less than 1% of the total amount of biofuels consumed in the transport sector. </w:t>
      </w:r>
      <w:r w:rsidR="00094A0F" w:rsidRPr="001E08AC">
        <w:rPr>
          <w:rFonts w:eastAsia="Times New Roman" w:cstheme="minorHAnsi"/>
          <w:noProof/>
        </w:rPr>
        <w:t>Six</w:t>
      </w:r>
      <w:r w:rsidR="009164CE" w:rsidRPr="001E08AC">
        <w:rPr>
          <w:rFonts w:cstheme="minorHAnsi"/>
          <w:noProof/>
        </w:rPr>
        <w:t xml:space="preserve"> Member States</w:t>
      </w:r>
      <w:r w:rsidR="002E41A6" w:rsidRPr="001E08AC">
        <w:rPr>
          <w:rStyle w:val="FootnoteReference"/>
          <w:rFonts w:cstheme="minorHAnsi"/>
          <w:noProof/>
          <w:shd w:val="clear" w:color="auto" w:fill="FFFFFF"/>
        </w:rPr>
        <w:footnoteReference w:id="14"/>
      </w:r>
      <w:r w:rsidR="009164CE" w:rsidRPr="001E08AC">
        <w:rPr>
          <w:rFonts w:cstheme="minorHAnsi"/>
          <w:noProof/>
        </w:rPr>
        <w:t xml:space="preserve"> re</w:t>
      </w:r>
      <w:r w:rsidR="4DF2E2D8" w:rsidRPr="001E08AC">
        <w:rPr>
          <w:rFonts w:cstheme="minorHAnsi"/>
          <w:noProof/>
        </w:rPr>
        <w:t>port on</w:t>
      </w:r>
      <w:r w:rsidR="009164CE" w:rsidRPr="001E08AC">
        <w:rPr>
          <w:rFonts w:cstheme="minorHAnsi"/>
          <w:noProof/>
        </w:rPr>
        <w:t xml:space="preserve"> the use biogases in transport sector in the NECPRs. Sweden accounts for the 67.4% of the total EU biogas</w:t>
      </w:r>
      <w:r w:rsidR="00094A0F" w:rsidRPr="001E08AC">
        <w:rPr>
          <w:rFonts w:cstheme="minorHAnsi"/>
          <w:noProof/>
        </w:rPr>
        <w:t>es</w:t>
      </w:r>
      <w:r w:rsidR="009164CE" w:rsidRPr="001E08AC">
        <w:rPr>
          <w:rFonts w:cstheme="minorHAnsi"/>
          <w:noProof/>
        </w:rPr>
        <w:t xml:space="preserve"> consumption in transport.</w:t>
      </w:r>
    </w:p>
    <w:p w14:paraId="6A8D57C6" w14:textId="0AB12113" w:rsidR="008E3492" w:rsidRPr="001E08AC" w:rsidRDefault="008E3492" w:rsidP="00310E55">
      <w:pPr>
        <w:spacing w:line="240" w:lineRule="auto"/>
        <w:jc w:val="both"/>
        <w:rPr>
          <w:noProof/>
        </w:rPr>
      </w:pPr>
      <w:r w:rsidRPr="001E08AC">
        <w:rPr>
          <w:noProof/>
        </w:rPr>
        <w:t>In 2020, primary production of liquid biofuels was 15.</w:t>
      </w:r>
      <w:r w:rsidR="00055590">
        <w:rPr>
          <w:noProof/>
        </w:rPr>
        <w:t>64</w:t>
      </w:r>
      <w:r w:rsidRPr="001E08AC">
        <w:rPr>
          <w:noProof/>
        </w:rPr>
        <w:t xml:space="preserve"> Mtoe, which</w:t>
      </w:r>
      <w:r w:rsidR="00310E55" w:rsidRPr="001E08AC">
        <w:rPr>
          <w:noProof/>
        </w:rPr>
        <w:t>,</w:t>
      </w:r>
      <w:r w:rsidRPr="001E08AC">
        <w:rPr>
          <w:noProof/>
        </w:rPr>
        <w:t xml:space="preserve"> if net imports </w:t>
      </w:r>
      <w:r w:rsidR="00310E55" w:rsidRPr="001E08AC">
        <w:rPr>
          <w:noProof/>
        </w:rPr>
        <w:t xml:space="preserve">are </w:t>
      </w:r>
      <w:r w:rsidRPr="001E08AC">
        <w:rPr>
          <w:noProof/>
        </w:rPr>
        <w:t>added, amounts to 17.82 Mtoe of total energy supply. In 2021, primary production of liquid biofuels increased by 3% or to 15.</w:t>
      </w:r>
      <w:r w:rsidR="00055590">
        <w:rPr>
          <w:noProof/>
        </w:rPr>
        <w:t>96</w:t>
      </w:r>
      <w:r w:rsidRPr="001E08AC">
        <w:rPr>
          <w:noProof/>
        </w:rPr>
        <w:t xml:space="preserve"> Mtoe, with net imports growing by 7% or to 19.06 Mtoe. </w:t>
      </w:r>
      <w:r w:rsidR="00FC4781" w:rsidRPr="001E08AC">
        <w:rPr>
          <w:noProof/>
          <w:lang w:val="en-IE"/>
        </w:rPr>
        <w:t>A s</w:t>
      </w:r>
      <w:r w:rsidRPr="001E08AC">
        <w:rPr>
          <w:noProof/>
        </w:rPr>
        <w:t>imilar increase is obtained when a set of multipliers on biofuels</w:t>
      </w:r>
      <w:r w:rsidR="0050086D">
        <w:rPr>
          <w:noProof/>
        </w:rPr>
        <w:t xml:space="preserve"> pursuant to Annex IX of the Renewable Energy Directive</w:t>
      </w:r>
      <w:r w:rsidRPr="001E08AC">
        <w:rPr>
          <w:noProof/>
        </w:rPr>
        <w:t xml:space="preserve"> </w:t>
      </w:r>
      <w:r w:rsidR="00FC4781" w:rsidRPr="001E08AC">
        <w:rPr>
          <w:noProof/>
          <w:lang w:val="en-IE"/>
        </w:rPr>
        <w:t xml:space="preserve">is </w:t>
      </w:r>
      <w:r w:rsidRPr="001E08AC">
        <w:rPr>
          <w:noProof/>
        </w:rPr>
        <w:t>applied: total RES-T denominator with multiplicators was 242.33 Mtoe (2020) and 263.80 Mtoe (2021</w:t>
      </w:r>
      <w:r w:rsidRPr="001E08AC">
        <w:rPr>
          <w:rStyle w:val="FootnoteReference"/>
          <w:noProof/>
        </w:rPr>
        <w:footnoteReference w:id="15"/>
      </w:r>
      <w:r w:rsidRPr="001E08AC">
        <w:rPr>
          <w:noProof/>
        </w:rPr>
        <w:t>). Yet, given the return to a normal mobility in 2021, after the pandemic</w:t>
      </w:r>
      <w:r w:rsidR="00310E55" w:rsidRPr="001E08AC">
        <w:rPr>
          <w:noProof/>
        </w:rPr>
        <w:t>-related</w:t>
      </w:r>
      <w:r w:rsidRPr="001E08AC">
        <w:rPr>
          <w:noProof/>
        </w:rPr>
        <w:t xml:space="preserve"> safety measures in 2020, the overall share of renewable energy in transport </w:t>
      </w:r>
      <w:r w:rsidR="00310E55" w:rsidRPr="001E08AC">
        <w:rPr>
          <w:noProof/>
        </w:rPr>
        <w:t xml:space="preserve">(RES-T) </w:t>
      </w:r>
      <w:r w:rsidRPr="001E08AC">
        <w:rPr>
          <w:noProof/>
        </w:rPr>
        <w:t>dropped from 10.25% to 9.09% from 2020 to 2021. In other words, the increase in biofuels production, together with the other renewable sources, was lower than the increase in the overall transport fuel consumption from 2020 to 2021. The largest drop in RES-T shares has been recorded for Hungary (-5.41%), although the quantity of renewable energy in transport placed on the market increased from 4.4 Mtoe in 2020 to 5 Mtoe in 2021.</w:t>
      </w:r>
    </w:p>
    <w:p w14:paraId="3B38C983" w14:textId="75D835F6" w:rsidR="00783881" w:rsidRPr="001E08AC" w:rsidRDefault="00783881" w:rsidP="00C002A3">
      <w:pPr>
        <w:spacing w:before="240" w:after="120" w:line="240" w:lineRule="auto"/>
        <w:jc w:val="both"/>
        <w:rPr>
          <w:rFonts w:eastAsia="Times New Roman" w:cstheme="minorHAnsi"/>
          <w:noProof/>
        </w:rPr>
      </w:pPr>
      <w:r w:rsidRPr="001E08AC">
        <w:rPr>
          <w:rFonts w:eastAsia="Times New Roman" w:cstheme="minorHAnsi"/>
          <w:noProof/>
        </w:rPr>
        <w:t>Overall, in the transport sector,</w:t>
      </w:r>
      <w:r w:rsidRPr="001E08AC">
        <w:rPr>
          <w:rFonts w:cstheme="minorHAnsi"/>
          <w:noProof/>
          <w:shd w:val="clear" w:color="auto" w:fill="FFFFFF"/>
        </w:rPr>
        <w:t xml:space="preserve"> </w:t>
      </w:r>
      <w:r w:rsidRPr="001E08AC">
        <w:rPr>
          <w:rFonts w:eastAsia="Times New Roman" w:cstheme="minorHAnsi"/>
          <w:noProof/>
        </w:rPr>
        <w:t xml:space="preserve">a </w:t>
      </w:r>
      <w:r w:rsidR="2F822811" w:rsidRPr="001E08AC">
        <w:rPr>
          <w:rFonts w:eastAsia="Times New Roman" w:cstheme="minorHAnsi"/>
          <w:noProof/>
        </w:rPr>
        <w:t>continuously</w:t>
      </w:r>
      <w:r w:rsidRPr="001E08AC">
        <w:rPr>
          <w:rFonts w:eastAsia="Times New Roman" w:cstheme="minorHAnsi"/>
          <w:noProof/>
        </w:rPr>
        <w:t xml:space="preserve"> increasing shift towards the use of renewable energy can be observed</w:t>
      </w:r>
      <w:r w:rsidRPr="001E08AC">
        <w:rPr>
          <w:rStyle w:val="FootnoteReference"/>
          <w:rFonts w:eastAsia="Times New Roman" w:cstheme="minorHAnsi"/>
          <w:noProof/>
        </w:rPr>
        <w:footnoteReference w:id="16"/>
      </w:r>
      <w:r w:rsidR="53D61634" w:rsidRPr="001E08AC">
        <w:rPr>
          <w:rFonts w:eastAsia="Times New Roman" w:cstheme="minorHAnsi"/>
          <w:noProof/>
        </w:rPr>
        <w:t>.</w:t>
      </w:r>
      <w:r w:rsidRPr="001E08AC">
        <w:rPr>
          <w:rFonts w:eastAsia="Times New Roman" w:cstheme="minorHAnsi"/>
          <w:noProof/>
        </w:rPr>
        <w:t xml:space="preserve"> </w:t>
      </w:r>
      <w:r w:rsidR="00760BFE" w:rsidRPr="001E08AC">
        <w:rPr>
          <w:rFonts w:cstheme="minorHAnsi"/>
          <w:noProof/>
        </w:rPr>
        <w:t>Within the total</w:t>
      </w:r>
      <w:r w:rsidR="0021534F" w:rsidRPr="001E08AC">
        <w:rPr>
          <w:rFonts w:cstheme="minorHAnsi"/>
          <w:noProof/>
        </w:rPr>
        <w:t>,</w:t>
      </w:r>
      <w:r w:rsidR="00760BFE" w:rsidRPr="001E08AC">
        <w:rPr>
          <w:rFonts w:cstheme="minorHAnsi"/>
          <w:noProof/>
        </w:rPr>
        <w:t xml:space="preserve"> </w:t>
      </w:r>
      <w:r w:rsidR="0021534F" w:rsidRPr="001E08AC">
        <w:rPr>
          <w:rFonts w:cstheme="minorHAnsi"/>
          <w:noProof/>
        </w:rPr>
        <w:t>t</w:t>
      </w:r>
      <w:r w:rsidR="00541458" w:rsidRPr="001E08AC">
        <w:rPr>
          <w:rFonts w:cstheme="minorHAnsi"/>
          <w:noProof/>
        </w:rPr>
        <w:t xml:space="preserve">he use of advanced biofuels and other biofuels produced from feedstock listed in Annex IX </w:t>
      </w:r>
      <w:r w:rsidR="0050086D">
        <w:rPr>
          <w:rFonts w:cstheme="minorHAnsi"/>
          <w:noProof/>
        </w:rPr>
        <w:t xml:space="preserve">of the Renewable Energy Directive </w:t>
      </w:r>
      <w:r w:rsidR="0021534F" w:rsidRPr="001E08AC">
        <w:rPr>
          <w:rFonts w:cstheme="minorHAnsi"/>
          <w:noProof/>
        </w:rPr>
        <w:t xml:space="preserve">as well as the share of </w:t>
      </w:r>
      <w:r w:rsidR="00F27D61" w:rsidRPr="001E08AC">
        <w:rPr>
          <w:rFonts w:cstheme="minorHAnsi"/>
          <w:noProof/>
        </w:rPr>
        <w:t xml:space="preserve">renewable electricity </w:t>
      </w:r>
      <w:r w:rsidR="00541458" w:rsidRPr="001E08AC">
        <w:rPr>
          <w:rFonts w:cstheme="minorHAnsi"/>
          <w:noProof/>
        </w:rPr>
        <w:t xml:space="preserve">has </w:t>
      </w:r>
      <w:bookmarkStart w:id="5" w:name="_Int_56wte61G"/>
      <w:r w:rsidR="00541458" w:rsidRPr="001E08AC">
        <w:rPr>
          <w:rFonts w:cstheme="minorHAnsi"/>
          <w:noProof/>
        </w:rPr>
        <w:t>substantially increased</w:t>
      </w:r>
      <w:bookmarkEnd w:id="5"/>
      <w:r w:rsidR="000078FB" w:rsidRPr="001E08AC">
        <w:rPr>
          <w:rFonts w:cstheme="minorHAnsi"/>
          <w:noProof/>
        </w:rPr>
        <w:t xml:space="preserve"> over time</w:t>
      </w:r>
      <w:r w:rsidR="00541458" w:rsidRPr="001E08AC">
        <w:rPr>
          <w:rFonts w:cstheme="minorHAnsi"/>
          <w:noProof/>
        </w:rPr>
        <w:t xml:space="preserve">. </w:t>
      </w:r>
      <w:r w:rsidRPr="001E08AC">
        <w:rPr>
          <w:rFonts w:cstheme="minorHAnsi"/>
          <w:noProof/>
        </w:rPr>
        <w:t xml:space="preserve">In 2021, </w:t>
      </w:r>
      <w:r w:rsidR="0050086D">
        <w:rPr>
          <w:rFonts w:eastAsia="Times New Roman" w:cstheme="minorHAnsi"/>
          <w:noProof/>
        </w:rPr>
        <w:t>such</w:t>
      </w:r>
      <w:r w:rsidRPr="001E08AC">
        <w:rPr>
          <w:rFonts w:eastAsia="Times New Roman" w:cstheme="minorHAnsi"/>
          <w:noProof/>
        </w:rPr>
        <w:t xml:space="preserve"> biofuels held the highest share of renewable energy in transport, representing 4.2% (with multipliers). </w:t>
      </w:r>
      <w:bookmarkStart w:id="6" w:name="_Hlk147858218"/>
      <w:r w:rsidR="00BC4447" w:rsidRPr="001E08AC">
        <w:rPr>
          <w:rFonts w:cstheme="minorHAnsi"/>
          <w:noProof/>
        </w:rPr>
        <w:t xml:space="preserve">Advanced biofuels and other biofuels produced from feedstock listed in Annex IX </w:t>
      </w:r>
      <w:r w:rsidR="0050086D">
        <w:rPr>
          <w:rFonts w:cstheme="minorHAnsi"/>
          <w:noProof/>
        </w:rPr>
        <w:t xml:space="preserve">of the Renewable Energy Directive </w:t>
      </w:r>
      <w:r w:rsidR="00BC4447" w:rsidRPr="001E08AC">
        <w:rPr>
          <w:rFonts w:cstheme="minorHAnsi"/>
          <w:noProof/>
        </w:rPr>
        <w:t xml:space="preserve">are mostly produced from wastes </w:t>
      </w:r>
      <w:r w:rsidR="006964A6" w:rsidRPr="001E08AC">
        <w:rPr>
          <w:rFonts w:cstheme="minorHAnsi"/>
          <w:noProof/>
        </w:rPr>
        <w:t>and</w:t>
      </w:r>
      <w:r w:rsidR="00BC4447" w:rsidRPr="001E08AC">
        <w:rPr>
          <w:rFonts w:cstheme="minorHAnsi"/>
          <w:noProof/>
        </w:rPr>
        <w:t xml:space="preserve"> residues and</w:t>
      </w:r>
      <w:r w:rsidR="00003793" w:rsidRPr="001E08AC">
        <w:rPr>
          <w:rFonts w:cstheme="minorHAnsi"/>
          <w:noProof/>
        </w:rPr>
        <w:t>,</w:t>
      </w:r>
      <w:r w:rsidR="00BC4447" w:rsidRPr="001E08AC">
        <w:rPr>
          <w:rFonts w:cstheme="minorHAnsi"/>
          <w:noProof/>
        </w:rPr>
        <w:t xml:space="preserve"> therefore</w:t>
      </w:r>
      <w:r w:rsidR="00003793" w:rsidRPr="001E08AC">
        <w:rPr>
          <w:rFonts w:cstheme="minorHAnsi"/>
          <w:noProof/>
        </w:rPr>
        <w:t>,</w:t>
      </w:r>
      <w:r w:rsidR="00BC4447" w:rsidRPr="001E08AC">
        <w:rPr>
          <w:rFonts w:cstheme="minorHAnsi"/>
          <w:noProof/>
        </w:rPr>
        <w:t xml:space="preserve"> do not have the negative impacts </w:t>
      </w:r>
      <w:r w:rsidR="007C7EF0">
        <w:rPr>
          <w:rFonts w:cstheme="minorHAnsi"/>
          <w:noProof/>
        </w:rPr>
        <w:t>on land use tha</w:t>
      </w:r>
      <w:r w:rsidR="002E6A51">
        <w:rPr>
          <w:rFonts w:cstheme="minorHAnsi"/>
          <w:noProof/>
        </w:rPr>
        <w:t>t</w:t>
      </w:r>
      <w:r w:rsidR="007C7EF0">
        <w:rPr>
          <w:rFonts w:cstheme="minorHAnsi"/>
          <w:noProof/>
        </w:rPr>
        <w:t xml:space="preserve"> food and feed crops-based</w:t>
      </w:r>
      <w:r w:rsidR="00BC4447" w:rsidRPr="001E08AC">
        <w:rPr>
          <w:rFonts w:cstheme="minorHAnsi"/>
          <w:noProof/>
        </w:rPr>
        <w:t xml:space="preserve"> biofuels are associated with.</w:t>
      </w:r>
      <w:r w:rsidR="00644530" w:rsidRPr="001E08AC">
        <w:rPr>
          <w:rFonts w:cstheme="minorHAnsi"/>
          <w:noProof/>
        </w:rPr>
        <w:t xml:space="preserve"> </w:t>
      </w:r>
      <w:bookmarkEnd w:id="6"/>
      <w:r w:rsidRPr="001E08AC">
        <w:rPr>
          <w:rFonts w:eastAsia="Times New Roman" w:cstheme="minorHAnsi"/>
          <w:noProof/>
        </w:rPr>
        <w:t xml:space="preserve">However, </w:t>
      </w:r>
      <w:r w:rsidR="00063959" w:rsidRPr="001E08AC">
        <w:rPr>
          <w:rFonts w:eastAsia="Times New Roman" w:cstheme="minorHAnsi"/>
          <w:noProof/>
        </w:rPr>
        <w:t xml:space="preserve">in terms of </w:t>
      </w:r>
      <w:r w:rsidR="005E60D2" w:rsidRPr="001E08AC">
        <w:rPr>
          <w:rFonts w:eastAsia="Times New Roman" w:cstheme="minorHAnsi"/>
          <w:noProof/>
        </w:rPr>
        <w:t xml:space="preserve">renewable </w:t>
      </w:r>
      <w:r w:rsidR="00063959" w:rsidRPr="001E08AC">
        <w:rPr>
          <w:rFonts w:eastAsia="Times New Roman" w:cstheme="minorHAnsi"/>
          <w:noProof/>
        </w:rPr>
        <w:t>ener</w:t>
      </w:r>
      <w:r w:rsidR="007420D6" w:rsidRPr="001E08AC">
        <w:rPr>
          <w:rFonts w:eastAsia="Times New Roman" w:cstheme="minorHAnsi"/>
          <w:noProof/>
        </w:rPr>
        <w:t>g</w:t>
      </w:r>
      <w:r w:rsidR="00063959" w:rsidRPr="001E08AC">
        <w:rPr>
          <w:rFonts w:eastAsia="Times New Roman" w:cstheme="minorHAnsi"/>
          <w:noProof/>
        </w:rPr>
        <w:t>y</w:t>
      </w:r>
      <w:r w:rsidR="005E60D2" w:rsidRPr="001E08AC">
        <w:rPr>
          <w:rFonts w:eastAsia="Times New Roman" w:cstheme="minorHAnsi"/>
          <w:noProof/>
        </w:rPr>
        <w:t xml:space="preserve"> supplied (without multipliers)</w:t>
      </w:r>
      <w:r w:rsidR="7EBB2763" w:rsidRPr="001E08AC">
        <w:rPr>
          <w:rFonts w:eastAsia="Times New Roman" w:cstheme="minorHAnsi"/>
          <w:noProof/>
        </w:rPr>
        <w:t>,</w:t>
      </w:r>
      <w:r w:rsidR="00063959" w:rsidRPr="001E08AC">
        <w:rPr>
          <w:rFonts w:eastAsia="Times New Roman" w:cstheme="minorHAnsi"/>
          <w:noProof/>
        </w:rPr>
        <w:t xml:space="preserve"> </w:t>
      </w:r>
      <w:r w:rsidR="009B1E43" w:rsidRPr="001E08AC">
        <w:rPr>
          <w:rFonts w:eastAsia="Times New Roman" w:cstheme="minorHAnsi"/>
          <w:noProof/>
        </w:rPr>
        <w:t xml:space="preserve">biofuels produced from food and feed crops </w:t>
      </w:r>
      <w:r w:rsidR="007420D6" w:rsidRPr="001E08AC">
        <w:rPr>
          <w:rFonts w:eastAsia="Times New Roman" w:cstheme="minorHAnsi"/>
          <w:noProof/>
        </w:rPr>
        <w:t xml:space="preserve">continued </w:t>
      </w:r>
      <w:r w:rsidR="005B4201" w:rsidRPr="001E08AC">
        <w:rPr>
          <w:rFonts w:eastAsia="Times New Roman" w:cstheme="minorHAnsi"/>
          <w:noProof/>
        </w:rPr>
        <w:t xml:space="preserve">to </w:t>
      </w:r>
      <w:r w:rsidR="0055146F" w:rsidRPr="001E08AC">
        <w:rPr>
          <w:rFonts w:eastAsia="Times New Roman" w:cstheme="minorHAnsi"/>
          <w:noProof/>
        </w:rPr>
        <w:t xml:space="preserve">have </w:t>
      </w:r>
      <w:r w:rsidRPr="001E08AC">
        <w:rPr>
          <w:rFonts w:eastAsia="Times New Roman" w:cstheme="minorHAnsi"/>
          <w:noProof/>
        </w:rPr>
        <w:t xml:space="preserve">the highest </w:t>
      </w:r>
      <w:r w:rsidR="0055146F" w:rsidRPr="001E08AC">
        <w:rPr>
          <w:rFonts w:eastAsia="Times New Roman" w:cstheme="minorHAnsi"/>
          <w:noProof/>
        </w:rPr>
        <w:t xml:space="preserve">share </w:t>
      </w:r>
      <w:r w:rsidR="00E67F81" w:rsidRPr="001E08AC">
        <w:rPr>
          <w:rFonts w:eastAsia="Times New Roman" w:cstheme="minorHAnsi"/>
          <w:noProof/>
        </w:rPr>
        <w:t xml:space="preserve">of all </w:t>
      </w:r>
      <w:r w:rsidRPr="001E08AC">
        <w:rPr>
          <w:rFonts w:eastAsia="Times New Roman" w:cstheme="minorHAnsi"/>
          <w:noProof/>
        </w:rPr>
        <w:t>renewable energy</w:t>
      </w:r>
      <w:r w:rsidR="00C3343B" w:rsidRPr="001E08AC">
        <w:rPr>
          <w:rFonts w:eastAsia="Times New Roman" w:cstheme="minorHAnsi"/>
          <w:noProof/>
        </w:rPr>
        <w:t xml:space="preserve"> carriers </w:t>
      </w:r>
      <w:r w:rsidR="00B31CE2" w:rsidRPr="001E08AC">
        <w:rPr>
          <w:rFonts w:eastAsia="Times New Roman" w:cstheme="minorHAnsi"/>
          <w:noProof/>
        </w:rPr>
        <w:t>(</w:t>
      </w:r>
      <w:r w:rsidRPr="001E08AC">
        <w:rPr>
          <w:rFonts w:eastAsia="Times New Roman" w:cstheme="minorHAnsi"/>
          <w:noProof/>
        </w:rPr>
        <w:t>3.9%</w:t>
      </w:r>
      <w:r w:rsidR="00B31CE2" w:rsidRPr="001E08AC">
        <w:rPr>
          <w:rFonts w:eastAsia="Times New Roman" w:cstheme="minorHAnsi"/>
          <w:noProof/>
        </w:rPr>
        <w:t xml:space="preserve"> of </w:t>
      </w:r>
      <w:r w:rsidR="00FD0667" w:rsidRPr="001E08AC">
        <w:rPr>
          <w:rFonts w:eastAsia="Times New Roman" w:cstheme="minorHAnsi"/>
          <w:noProof/>
        </w:rPr>
        <w:t xml:space="preserve">total </w:t>
      </w:r>
      <w:r w:rsidR="00B31CE2" w:rsidRPr="001E08AC">
        <w:rPr>
          <w:rFonts w:eastAsia="Times New Roman" w:cstheme="minorHAnsi"/>
          <w:noProof/>
        </w:rPr>
        <w:t>energy consumption</w:t>
      </w:r>
      <w:r w:rsidR="00FD0667" w:rsidRPr="001E08AC">
        <w:rPr>
          <w:rFonts w:eastAsia="Times New Roman" w:cstheme="minorHAnsi"/>
          <w:noProof/>
        </w:rPr>
        <w:t xml:space="preserve"> in transport</w:t>
      </w:r>
      <w:r w:rsidR="00B31CE2" w:rsidRPr="001E08AC">
        <w:rPr>
          <w:rFonts w:eastAsia="Times New Roman" w:cstheme="minorHAnsi"/>
          <w:noProof/>
        </w:rPr>
        <w:t>)</w:t>
      </w:r>
      <w:r w:rsidRPr="001E08AC">
        <w:rPr>
          <w:rFonts w:eastAsia="Times New Roman" w:cstheme="minorHAnsi"/>
          <w:noProof/>
        </w:rPr>
        <w:t xml:space="preserve">. </w:t>
      </w:r>
    </w:p>
    <w:p w14:paraId="690B30F8" w14:textId="0DB4B7BC" w:rsidR="00783881" w:rsidRPr="001E08AC" w:rsidRDefault="00783881" w:rsidP="00C002A3">
      <w:pPr>
        <w:spacing w:before="240" w:after="120" w:line="240" w:lineRule="auto"/>
        <w:jc w:val="both"/>
        <w:rPr>
          <w:rFonts w:cstheme="minorHAnsi"/>
          <w:noProof/>
          <w:shd w:val="clear" w:color="auto" w:fill="FFFFFF"/>
        </w:rPr>
      </w:pPr>
      <w:r w:rsidRPr="001E08AC">
        <w:rPr>
          <w:rFonts w:eastAsia="Times New Roman" w:cstheme="minorHAnsi"/>
          <w:noProof/>
        </w:rPr>
        <w:t xml:space="preserve">The largest consumption of biofuels </w:t>
      </w:r>
      <w:r w:rsidR="5F988EC7" w:rsidRPr="001E08AC">
        <w:rPr>
          <w:rFonts w:eastAsia="Times New Roman" w:cstheme="minorHAnsi"/>
          <w:noProof/>
        </w:rPr>
        <w:t>produced</w:t>
      </w:r>
      <w:r w:rsidRPr="001E08AC">
        <w:rPr>
          <w:rFonts w:eastAsia="Times New Roman" w:cstheme="minorHAnsi"/>
          <w:noProof/>
        </w:rPr>
        <w:t xml:space="preserve"> from food and feed </w:t>
      </w:r>
      <w:r w:rsidR="00F72FE3" w:rsidRPr="001E08AC">
        <w:rPr>
          <w:rFonts w:eastAsia="Times New Roman" w:cstheme="minorHAnsi"/>
          <w:noProof/>
        </w:rPr>
        <w:t xml:space="preserve">crops </w:t>
      </w:r>
      <w:r w:rsidRPr="001E08AC">
        <w:rPr>
          <w:rFonts w:eastAsia="Times New Roman" w:cstheme="minorHAnsi"/>
          <w:noProof/>
        </w:rPr>
        <w:t xml:space="preserve">has been reported for France and Germany (2,562 ktoe and 2,122 ktoe respectively in 2021), which can be </w:t>
      </w:r>
      <w:r w:rsidR="00577773" w:rsidRPr="001E08AC">
        <w:rPr>
          <w:rFonts w:eastAsia="Times New Roman" w:cstheme="minorHAnsi"/>
          <w:noProof/>
        </w:rPr>
        <w:t>related to the country size and population</w:t>
      </w:r>
      <w:r w:rsidRPr="001E08AC">
        <w:rPr>
          <w:rFonts w:eastAsia="Times New Roman" w:cstheme="minorHAnsi"/>
          <w:noProof/>
        </w:rPr>
        <w:t xml:space="preserve">. In Spain, a decreasing trend can be observed: biofuels produced from food and feed </w:t>
      </w:r>
      <w:r w:rsidR="00872B19" w:rsidRPr="001E08AC">
        <w:rPr>
          <w:rFonts w:eastAsia="Times New Roman" w:cstheme="minorHAnsi"/>
          <w:noProof/>
        </w:rPr>
        <w:t xml:space="preserve">crops </w:t>
      </w:r>
      <w:r w:rsidRPr="001E08AC">
        <w:rPr>
          <w:rFonts w:eastAsia="Times New Roman" w:cstheme="minorHAnsi"/>
          <w:noProof/>
        </w:rPr>
        <w:t>accounted for 1,737 ktoe in 2018 but dropped to 693 ktoe in 2021. In Finland, a large drop</w:t>
      </w:r>
      <w:r w:rsidR="008010AE" w:rsidRPr="001E08AC">
        <w:rPr>
          <w:rFonts w:eastAsia="Times New Roman" w:cstheme="minorHAnsi"/>
          <w:noProof/>
        </w:rPr>
        <w:t xml:space="preserve"> in food and feed crops biofuels</w:t>
      </w:r>
      <w:r w:rsidRPr="001E08AC">
        <w:rPr>
          <w:rFonts w:eastAsia="Times New Roman" w:cstheme="minorHAnsi"/>
          <w:noProof/>
        </w:rPr>
        <w:t xml:space="preserve"> has been obsered between 2020 and 2021 (from 303 ktoe to 65 ktoe).</w:t>
      </w:r>
      <w:r w:rsidRPr="001E08AC">
        <w:rPr>
          <w:rFonts w:cstheme="minorHAnsi"/>
          <w:b/>
          <w:bCs/>
          <w:noProof/>
          <w:shd w:val="clear" w:color="auto" w:fill="FFFFFF"/>
        </w:rPr>
        <w:t xml:space="preserve"> </w:t>
      </w:r>
      <w:r w:rsidRPr="001E08AC">
        <w:rPr>
          <w:rFonts w:cstheme="minorHAnsi"/>
          <w:noProof/>
          <w:shd w:val="clear" w:color="auto" w:fill="FFFFFF"/>
        </w:rPr>
        <w:t>When it comes to the data related to the indirect land use change</w:t>
      </w:r>
      <w:r w:rsidR="00A52F44" w:rsidRPr="001E08AC">
        <w:rPr>
          <w:rFonts w:cstheme="minorHAnsi"/>
          <w:noProof/>
        </w:rPr>
        <w:t xml:space="preserve"> (ILUC)</w:t>
      </w:r>
      <w:r w:rsidRPr="001E08AC">
        <w:rPr>
          <w:rFonts w:cstheme="minorHAnsi"/>
          <w:noProof/>
          <w:shd w:val="clear" w:color="auto" w:fill="FFFFFF"/>
        </w:rPr>
        <w:t xml:space="preserve"> risk for biofuels</w:t>
      </w:r>
      <w:r w:rsidR="00347D7E">
        <w:rPr>
          <w:rFonts w:cstheme="minorHAnsi"/>
          <w:noProof/>
          <w:shd w:val="clear" w:color="auto" w:fill="FFFFFF"/>
        </w:rPr>
        <w:t>,</w:t>
      </w:r>
      <w:r w:rsidRPr="001E08AC">
        <w:rPr>
          <w:rFonts w:cstheme="minorHAnsi"/>
          <w:noProof/>
          <w:shd w:val="clear" w:color="auto" w:fill="FFFFFF"/>
        </w:rPr>
        <w:t xml:space="preserve"> </w:t>
      </w:r>
      <w:r w:rsidR="00361267" w:rsidRPr="001E08AC">
        <w:rPr>
          <w:rFonts w:cstheme="minorHAnsi"/>
          <w:noProof/>
        </w:rPr>
        <w:t>the data of</w:t>
      </w:r>
      <w:r w:rsidRPr="001E08AC">
        <w:rPr>
          <w:rFonts w:cstheme="minorHAnsi"/>
          <w:noProof/>
          <w:shd w:val="clear" w:color="auto" w:fill="FFFFFF"/>
        </w:rPr>
        <w:t xml:space="preserve"> </w:t>
      </w:r>
      <w:r w:rsidR="00294486">
        <w:rPr>
          <w:rFonts w:cstheme="minorHAnsi"/>
          <w:noProof/>
          <w:shd w:val="clear" w:color="auto" w:fill="FFFFFF"/>
        </w:rPr>
        <w:t>fourteen</w:t>
      </w:r>
      <w:r w:rsidRPr="001E08AC">
        <w:rPr>
          <w:rFonts w:cstheme="minorHAnsi"/>
          <w:noProof/>
          <w:shd w:val="clear" w:color="auto" w:fill="FFFFFF"/>
        </w:rPr>
        <w:t xml:space="preserve"> Member States</w:t>
      </w:r>
      <w:r w:rsidR="00361267" w:rsidRPr="001E08AC">
        <w:rPr>
          <w:rFonts w:cstheme="minorHAnsi"/>
          <w:noProof/>
        </w:rPr>
        <w:t xml:space="preserve"> was incomplete</w:t>
      </w:r>
      <w:r w:rsidRPr="001E08AC">
        <w:rPr>
          <w:rFonts w:cstheme="minorHAnsi"/>
          <w:noProof/>
          <w:shd w:val="clear" w:color="auto" w:fill="FFFFFF"/>
        </w:rPr>
        <w:t>. Germany reported that 42% of the food</w:t>
      </w:r>
      <w:r w:rsidR="00603C25" w:rsidRPr="001E08AC">
        <w:rPr>
          <w:rFonts w:cstheme="minorHAnsi"/>
          <w:noProof/>
        </w:rPr>
        <w:t>-</w:t>
      </w:r>
      <w:r w:rsidRPr="001E08AC">
        <w:rPr>
          <w:rFonts w:cstheme="minorHAnsi"/>
          <w:noProof/>
          <w:shd w:val="clear" w:color="auto" w:fill="FFFFFF"/>
        </w:rPr>
        <w:t xml:space="preserve"> and feed</w:t>
      </w:r>
      <w:r w:rsidR="00603C25" w:rsidRPr="001E08AC">
        <w:rPr>
          <w:rFonts w:cstheme="minorHAnsi"/>
          <w:noProof/>
        </w:rPr>
        <w:t>-</w:t>
      </w:r>
      <w:r w:rsidRPr="001E08AC">
        <w:rPr>
          <w:rFonts w:cstheme="minorHAnsi"/>
          <w:noProof/>
          <w:shd w:val="clear" w:color="auto" w:fill="FFFFFF"/>
        </w:rPr>
        <w:t xml:space="preserve">originating biofuels </w:t>
      </w:r>
      <w:r w:rsidR="00C00807" w:rsidRPr="001E08AC">
        <w:rPr>
          <w:rFonts w:cstheme="minorHAnsi"/>
          <w:noProof/>
          <w:shd w:val="clear" w:color="auto" w:fill="FFFFFF"/>
        </w:rPr>
        <w:t xml:space="preserve">were </w:t>
      </w:r>
      <w:r w:rsidRPr="001E08AC">
        <w:rPr>
          <w:rFonts w:cstheme="minorHAnsi"/>
          <w:noProof/>
          <w:shd w:val="clear" w:color="auto" w:fill="FFFFFF"/>
        </w:rPr>
        <w:t>produced from feedstocks with high ILUC risk. Similarly, in Spain and Italy, more than 50% of food</w:t>
      </w:r>
      <w:r w:rsidR="0025095F" w:rsidRPr="001E08AC">
        <w:rPr>
          <w:rFonts w:cstheme="minorHAnsi"/>
          <w:noProof/>
        </w:rPr>
        <w:t>-</w:t>
      </w:r>
      <w:r w:rsidRPr="001E08AC">
        <w:rPr>
          <w:rFonts w:cstheme="minorHAnsi"/>
          <w:noProof/>
          <w:shd w:val="clear" w:color="auto" w:fill="FFFFFF"/>
        </w:rPr>
        <w:t xml:space="preserve"> and feed-originating biofuels have been reported to be produced </w:t>
      </w:r>
      <w:r w:rsidR="0025095F" w:rsidRPr="001E08AC">
        <w:rPr>
          <w:rFonts w:cstheme="minorHAnsi"/>
          <w:noProof/>
        </w:rPr>
        <w:t xml:space="preserve">with </w:t>
      </w:r>
      <w:r w:rsidRPr="001E08AC">
        <w:rPr>
          <w:rFonts w:cstheme="minorHAnsi"/>
          <w:noProof/>
          <w:shd w:val="clear" w:color="auto" w:fill="FFFFFF"/>
        </w:rPr>
        <w:t>high ILUC risk feedstocks.</w:t>
      </w:r>
      <w:r w:rsidRPr="001E08AC" w:rsidDel="00131A03">
        <w:rPr>
          <w:rFonts w:cstheme="minorHAnsi"/>
          <w:noProof/>
          <w:shd w:val="clear" w:color="auto" w:fill="FFFFFF"/>
        </w:rPr>
        <w:t xml:space="preserve"> </w:t>
      </w:r>
      <w:r w:rsidR="001D6C99" w:rsidRPr="001E08AC">
        <w:rPr>
          <w:rFonts w:cstheme="minorHAnsi"/>
          <w:noProof/>
          <w:shd w:val="clear" w:color="auto" w:fill="FFFFFF"/>
        </w:rPr>
        <w:t xml:space="preserve">According to </w:t>
      </w:r>
      <w:r w:rsidR="002D47B9" w:rsidRPr="001E08AC">
        <w:rPr>
          <w:rFonts w:cstheme="minorHAnsi"/>
          <w:noProof/>
        </w:rPr>
        <w:t>the Renewable Energy Directive</w:t>
      </w:r>
      <w:r w:rsidR="002D47B9" w:rsidRPr="001E08AC">
        <w:rPr>
          <w:rStyle w:val="FootnoteReference"/>
          <w:rFonts w:cstheme="minorHAnsi"/>
          <w:noProof/>
          <w:shd w:val="clear" w:color="auto" w:fill="FFFFFF"/>
        </w:rPr>
        <w:footnoteReference w:id="17"/>
      </w:r>
      <w:r w:rsidR="001D6C99" w:rsidRPr="001E08AC">
        <w:rPr>
          <w:rFonts w:cstheme="minorHAnsi"/>
          <w:noProof/>
          <w:shd w:val="clear" w:color="auto" w:fill="FFFFFF"/>
        </w:rPr>
        <w:t>, the counting of biofuels with high ILUC</w:t>
      </w:r>
      <w:r w:rsidR="003C3121" w:rsidRPr="001E08AC">
        <w:rPr>
          <w:rFonts w:cstheme="minorHAnsi"/>
          <w:noProof/>
          <w:shd w:val="clear" w:color="auto" w:fill="FFFFFF"/>
        </w:rPr>
        <w:t>-</w:t>
      </w:r>
      <w:r w:rsidR="001D6C99" w:rsidRPr="001E08AC">
        <w:rPr>
          <w:rFonts w:cstheme="minorHAnsi"/>
          <w:noProof/>
          <w:shd w:val="clear" w:color="auto" w:fill="FFFFFF"/>
        </w:rPr>
        <w:t>risk</w:t>
      </w:r>
      <w:r w:rsidR="00602A92" w:rsidRPr="001E08AC">
        <w:rPr>
          <w:rFonts w:cstheme="minorHAnsi"/>
          <w:noProof/>
          <w:shd w:val="clear" w:color="auto" w:fill="FFFFFF"/>
        </w:rPr>
        <w:t xml:space="preserve"> </w:t>
      </w:r>
      <w:r w:rsidR="003C3121" w:rsidRPr="001E08AC">
        <w:rPr>
          <w:rFonts w:cstheme="minorHAnsi"/>
          <w:noProof/>
          <w:shd w:val="clear" w:color="auto" w:fill="FFFFFF"/>
        </w:rPr>
        <w:t>will be phased out by 2030 at the latest. Several Member States</w:t>
      </w:r>
      <w:r w:rsidR="00AB3A5D" w:rsidRPr="001E08AC">
        <w:rPr>
          <w:rFonts w:cstheme="minorHAnsi"/>
          <w:noProof/>
          <w:shd w:val="clear" w:color="auto" w:fill="FFFFFF"/>
        </w:rPr>
        <w:t xml:space="preserve"> already took measures to phase out such fuels</w:t>
      </w:r>
      <w:r w:rsidR="2CA99348" w:rsidRPr="001E08AC">
        <w:rPr>
          <w:rFonts w:cstheme="minorHAnsi"/>
          <w:noProof/>
          <w:shd w:val="clear" w:color="auto" w:fill="FFFFFF"/>
        </w:rPr>
        <w:t xml:space="preserve">. </w:t>
      </w:r>
      <w:r w:rsidR="001D6C99" w:rsidRPr="001E08AC">
        <w:rPr>
          <w:rFonts w:cstheme="minorHAnsi"/>
          <w:noProof/>
          <w:shd w:val="clear" w:color="auto" w:fill="FFFFFF"/>
        </w:rPr>
        <w:t xml:space="preserve"> </w:t>
      </w:r>
    </w:p>
    <w:p w14:paraId="4BBE2861" w14:textId="77777777" w:rsidR="00783881" w:rsidRPr="001E08AC" w:rsidRDefault="00783881" w:rsidP="00C002A3">
      <w:pPr>
        <w:spacing w:before="240" w:after="120" w:line="240" w:lineRule="auto"/>
        <w:jc w:val="both"/>
        <w:rPr>
          <w:rFonts w:cstheme="minorHAnsi"/>
          <w:b/>
          <w:bCs/>
          <w:i/>
          <w:iCs/>
          <w:noProof/>
          <w:shd w:val="clear" w:color="auto" w:fill="FFFFFF"/>
        </w:rPr>
      </w:pPr>
      <w:r w:rsidRPr="001E08AC">
        <w:rPr>
          <w:rFonts w:cstheme="minorHAnsi"/>
          <w:b/>
          <w:bCs/>
          <w:i/>
          <w:iCs/>
          <w:noProof/>
          <w:shd w:val="clear" w:color="auto" w:fill="FFFFFF"/>
        </w:rPr>
        <w:t xml:space="preserve">Heating and cooling sector </w:t>
      </w:r>
    </w:p>
    <w:p w14:paraId="591FF438" w14:textId="2C1B8B69" w:rsidR="00783881" w:rsidRPr="001E08AC" w:rsidRDefault="00783881" w:rsidP="00C002A3">
      <w:pPr>
        <w:spacing w:before="240" w:after="120" w:line="240" w:lineRule="auto"/>
        <w:jc w:val="both"/>
        <w:rPr>
          <w:rFonts w:cstheme="minorHAnsi"/>
          <w:noProof/>
        </w:rPr>
      </w:pPr>
      <w:r w:rsidRPr="001E08AC">
        <w:rPr>
          <w:rFonts w:eastAsia="Times New Roman" w:cstheme="minorHAnsi"/>
          <w:noProof/>
        </w:rPr>
        <w:t xml:space="preserve">In 2021, biomass fuels and bioliquids were used for </w:t>
      </w:r>
      <w:r w:rsidR="00055590" w:rsidRPr="00055590">
        <w:rPr>
          <w:rFonts w:eastAsia="Times New Roman" w:cstheme="minorHAnsi"/>
          <w:noProof/>
        </w:rPr>
        <w:t xml:space="preserve">the production of 17.3 Mtoe </w:t>
      </w:r>
      <w:r w:rsidR="00055590">
        <w:rPr>
          <w:rFonts w:eastAsia="Times New Roman" w:cstheme="minorHAnsi"/>
          <w:noProof/>
        </w:rPr>
        <w:t xml:space="preserve"> of gross heat </w:t>
      </w:r>
      <w:r w:rsidRPr="001E08AC">
        <w:rPr>
          <w:rFonts w:eastAsia="Times New Roman" w:cstheme="minorHAnsi"/>
          <w:noProof/>
        </w:rPr>
        <w:t>in the EU</w:t>
      </w:r>
      <w:r w:rsidR="00055590">
        <w:rPr>
          <w:rStyle w:val="FootnoteReference"/>
          <w:rFonts w:eastAsia="Times New Roman" w:cstheme="minorHAnsi"/>
          <w:noProof/>
        </w:rPr>
        <w:footnoteReference w:id="18"/>
      </w:r>
      <w:r w:rsidRPr="001E08AC">
        <w:rPr>
          <w:rFonts w:eastAsia="Times New Roman" w:cstheme="minorHAnsi"/>
          <w:noProof/>
        </w:rPr>
        <w:t xml:space="preserve">. </w:t>
      </w:r>
      <w:r w:rsidR="3A309A34" w:rsidRPr="001E08AC">
        <w:rPr>
          <w:rFonts w:eastAsia="Times New Roman" w:cstheme="minorHAnsi"/>
          <w:noProof/>
        </w:rPr>
        <w:t>Solid</w:t>
      </w:r>
      <w:r w:rsidRPr="001E08AC">
        <w:rPr>
          <w:rFonts w:eastAsia="Times New Roman" w:cstheme="minorHAnsi"/>
          <w:noProof/>
        </w:rPr>
        <w:t xml:space="preserve"> biomass accounts for 76.0% of the total biomass fuel consumption for heating in the EU, followed by renewable municipal waste, accounting for 18.1%, and biogases accounting for 5.0%.</w:t>
      </w:r>
      <w:r w:rsidRPr="001E08AC">
        <w:rPr>
          <w:rFonts w:cstheme="minorHAnsi"/>
          <w:noProof/>
        </w:rPr>
        <w:t xml:space="preserve"> </w:t>
      </w:r>
      <w:r w:rsidRPr="001E08AC">
        <w:rPr>
          <w:rFonts w:eastAsia="Times New Roman" w:cstheme="minorHAnsi"/>
          <w:noProof/>
        </w:rPr>
        <w:t>Sweden is the largest consumer of solid biomass</w:t>
      </w:r>
      <w:r w:rsidR="0DCB4641" w:rsidRPr="001E08AC">
        <w:rPr>
          <w:rFonts w:eastAsia="Times New Roman" w:cstheme="minorHAnsi"/>
          <w:noProof/>
        </w:rPr>
        <w:t xml:space="preserve"> for heating purposes</w:t>
      </w:r>
      <w:r w:rsidRPr="001E08AC">
        <w:rPr>
          <w:rFonts w:eastAsia="Times New Roman" w:cstheme="minorHAnsi"/>
          <w:noProof/>
        </w:rPr>
        <w:t xml:space="preserve">, using 20.8% of the whole EU consumption, followed by Finland (15.8%) and Denmark (13.1%). When it comes to biogas, this is mainly used in the heating sector by Germany and Italy. </w:t>
      </w:r>
    </w:p>
    <w:p w14:paraId="39E8E029" w14:textId="77777777" w:rsidR="00783881" w:rsidRPr="001E08AC" w:rsidRDefault="00783881" w:rsidP="00C002A3">
      <w:pPr>
        <w:keepNext/>
        <w:spacing w:before="240" w:after="120" w:line="240" w:lineRule="auto"/>
        <w:jc w:val="center"/>
        <w:rPr>
          <w:rFonts w:cstheme="minorHAnsi"/>
          <w:noProof/>
        </w:rPr>
      </w:pPr>
      <w:r w:rsidRPr="001E08AC">
        <w:rPr>
          <w:rFonts w:cstheme="minorHAnsi"/>
          <w:noProof/>
          <w:lang w:val="en-GB" w:eastAsia="en-GB"/>
        </w:rPr>
        <w:drawing>
          <wp:inline distT="0" distB="0" distL="0" distR="0" wp14:anchorId="332900DC" wp14:editId="4712B72A">
            <wp:extent cx="5583555" cy="20986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83555" cy="2098675"/>
                    </a:xfrm>
                    <a:prstGeom prst="rect">
                      <a:avLst/>
                    </a:prstGeom>
                    <a:noFill/>
                    <a:ln>
                      <a:noFill/>
                    </a:ln>
                  </pic:spPr>
                </pic:pic>
              </a:graphicData>
            </a:graphic>
          </wp:inline>
        </w:drawing>
      </w:r>
    </w:p>
    <w:p w14:paraId="474EABBA" w14:textId="39DA032F" w:rsidR="00783881" w:rsidRPr="001E08AC" w:rsidRDefault="00783881" w:rsidP="00C002A3">
      <w:pPr>
        <w:pStyle w:val="Caption"/>
        <w:spacing w:before="0"/>
        <w:rPr>
          <w:rFonts w:asciiTheme="minorHAnsi" w:hAnsiTheme="minorHAnsi" w:cstheme="minorHAnsi"/>
          <w:noProof/>
          <w:sz w:val="20"/>
          <w:lang w:val="en-IE"/>
        </w:rPr>
      </w:pPr>
      <w:bookmarkStart w:id="7" w:name="_Ref143011064"/>
      <w:r w:rsidRPr="001E08AC">
        <w:rPr>
          <w:rFonts w:asciiTheme="minorHAnsi" w:hAnsiTheme="minorHAnsi" w:cstheme="minorHAnsi"/>
          <w:b/>
          <w:bCs/>
          <w:i w:val="0"/>
          <w:noProof/>
          <w:sz w:val="20"/>
          <w:lang w:val="en-IE"/>
        </w:rPr>
        <w:t xml:space="preserve">Figure </w:t>
      </w:r>
      <w:bookmarkEnd w:id="7"/>
      <w:r w:rsidRPr="001E08AC">
        <w:rPr>
          <w:rFonts w:asciiTheme="minorHAnsi" w:hAnsiTheme="minorHAnsi" w:cstheme="minorHAnsi"/>
          <w:b/>
          <w:bCs/>
          <w:i w:val="0"/>
          <w:noProof/>
          <w:sz w:val="20"/>
          <w:lang w:val="en-IE"/>
        </w:rPr>
        <w:t xml:space="preserve">27: Final energy consumption of biomass fuels used in heat production in 2021 per </w:t>
      </w:r>
      <w:r w:rsidR="00C17869" w:rsidRPr="001E08AC">
        <w:rPr>
          <w:rFonts w:asciiTheme="minorHAnsi" w:hAnsiTheme="minorHAnsi" w:cstheme="minorHAnsi"/>
          <w:b/>
          <w:bCs/>
          <w:i w:val="0"/>
          <w:noProof/>
          <w:sz w:val="20"/>
          <w:lang w:val="en-IE"/>
        </w:rPr>
        <w:t xml:space="preserve">Member State </w:t>
      </w:r>
    </w:p>
    <w:p w14:paraId="298926BC" w14:textId="77777777" w:rsidR="00783881" w:rsidRPr="001E08AC" w:rsidRDefault="00783881" w:rsidP="00C002A3">
      <w:pPr>
        <w:spacing w:before="240" w:after="120" w:line="240" w:lineRule="auto"/>
        <w:jc w:val="both"/>
        <w:rPr>
          <w:rFonts w:cstheme="minorHAnsi"/>
          <w:noProof/>
        </w:rPr>
      </w:pPr>
      <w:bookmarkStart w:id="8" w:name="_Hlk146612632"/>
      <w:r w:rsidRPr="001E08AC">
        <w:rPr>
          <w:rFonts w:cstheme="minorHAnsi"/>
          <w:b/>
          <w:i/>
          <w:noProof/>
          <w:shd w:val="clear" w:color="auto" w:fill="FFFFFF"/>
        </w:rPr>
        <w:t xml:space="preserve">Electricity sector </w:t>
      </w:r>
    </w:p>
    <w:p w14:paraId="0838D00C" w14:textId="07E648FB" w:rsidR="00783881" w:rsidRPr="001E08AC" w:rsidRDefault="00783881" w:rsidP="00C002A3">
      <w:pPr>
        <w:spacing w:before="240" w:after="120" w:line="240" w:lineRule="auto"/>
        <w:jc w:val="both"/>
        <w:rPr>
          <w:rFonts w:cstheme="minorHAnsi"/>
          <w:noProof/>
        </w:rPr>
      </w:pPr>
      <w:r w:rsidRPr="001E08AC">
        <w:rPr>
          <w:rFonts w:cstheme="minorHAnsi"/>
          <w:noProof/>
        </w:rPr>
        <w:t xml:space="preserve">In 2021, </w:t>
      </w:r>
      <w:r w:rsidR="00FA3756">
        <w:rPr>
          <w:rFonts w:cstheme="minorHAnsi"/>
          <w:noProof/>
        </w:rPr>
        <w:t>45.6</w:t>
      </w:r>
      <w:r w:rsidRPr="001E08AC">
        <w:rPr>
          <w:rFonts w:cstheme="minorHAnsi"/>
          <w:noProof/>
        </w:rPr>
        <w:t xml:space="preserve"> Mtoe of biomass fuels and bioliquids were used </w:t>
      </w:r>
      <w:r w:rsidR="00FA3756">
        <w:rPr>
          <w:rFonts w:cstheme="minorHAnsi"/>
          <w:noProof/>
        </w:rPr>
        <w:t>to produce 14.6 Mtoe of gross</w:t>
      </w:r>
      <w:r w:rsidRPr="001E08AC">
        <w:rPr>
          <w:rFonts w:cstheme="minorHAnsi"/>
          <w:noProof/>
        </w:rPr>
        <w:t xml:space="preserve"> electricity</w:t>
      </w:r>
      <w:r w:rsidRPr="001E08AC">
        <w:rPr>
          <w:rStyle w:val="FootnoteReference"/>
          <w:rFonts w:cstheme="minorHAnsi"/>
          <w:noProof/>
        </w:rPr>
        <w:footnoteReference w:id="19"/>
      </w:r>
      <w:r w:rsidR="00FA3756">
        <w:rPr>
          <w:rFonts w:cstheme="minorHAnsi"/>
          <w:noProof/>
        </w:rPr>
        <w:t xml:space="preserve"> that made 15% of the total gross renewable electricity mix and 6% in the total gross electricity</w:t>
      </w:r>
      <w:r w:rsidRPr="001E08AC">
        <w:rPr>
          <w:rFonts w:cstheme="minorHAnsi"/>
          <w:noProof/>
        </w:rPr>
        <w:t xml:space="preserve">. </w:t>
      </w:r>
      <w:r w:rsidR="00FA3756">
        <w:rPr>
          <w:rFonts w:cstheme="minorHAnsi"/>
          <w:noProof/>
        </w:rPr>
        <w:t xml:space="preserve">74% of gross electricity </w:t>
      </w:r>
      <w:r w:rsidR="0056254F">
        <w:rPr>
          <w:rFonts w:cstheme="minorHAnsi"/>
          <w:noProof/>
        </w:rPr>
        <w:t xml:space="preserve">from biomass </w:t>
      </w:r>
      <w:r w:rsidR="00FA3756">
        <w:rPr>
          <w:rFonts w:cstheme="minorHAnsi"/>
          <w:noProof/>
        </w:rPr>
        <w:t xml:space="preserve">was produced in combined heat and power plants. </w:t>
      </w:r>
      <w:r w:rsidRPr="001E08AC">
        <w:rPr>
          <w:rFonts w:cstheme="minorHAnsi"/>
          <w:noProof/>
        </w:rPr>
        <w:t>Solid biomass is the most used type (54.8%), followed by biogases (31.1%). Renewable municipal waste accounts for 11.6%, whereas bioliquids account for 2.6%. Germany is the largest consumer of biomass fuels for electricity generation purpose</w:t>
      </w:r>
      <w:r w:rsidR="00A1340F" w:rsidRPr="001E08AC">
        <w:rPr>
          <w:rFonts w:cstheme="minorHAnsi"/>
          <w:noProof/>
        </w:rPr>
        <w:t>s</w:t>
      </w:r>
      <w:r w:rsidRPr="001E08AC">
        <w:rPr>
          <w:rFonts w:cstheme="minorHAnsi"/>
          <w:noProof/>
        </w:rPr>
        <w:t xml:space="preserve"> (27.7% of the total biomass fuel consumption and 57.0% of the biogas consumption). </w:t>
      </w:r>
      <w:r w:rsidR="000C0301" w:rsidRPr="001E08AC">
        <w:rPr>
          <w:rFonts w:cstheme="minorHAnsi"/>
          <w:noProof/>
        </w:rPr>
        <w:t>When it comes to the consumption of</w:t>
      </w:r>
      <w:r w:rsidRPr="001E08AC">
        <w:rPr>
          <w:rFonts w:cstheme="minorHAnsi"/>
          <w:noProof/>
        </w:rPr>
        <w:t xml:space="preserve"> solid biomass for electricity generation, </w:t>
      </w:r>
      <w:r w:rsidR="004F6335" w:rsidRPr="001E08AC">
        <w:rPr>
          <w:rFonts w:cstheme="minorHAnsi"/>
          <w:noProof/>
        </w:rPr>
        <w:t xml:space="preserve">Finland and </w:t>
      </w:r>
      <w:bookmarkEnd w:id="8"/>
      <w:r w:rsidR="004F6335" w:rsidRPr="001E08AC">
        <w:rPr>
          <w:rFonts w:cstheme="minorHAnsi"/>
          <w:noProof/>
        </w:rPr>
        <w:t>Sweden</w:t>
      </w:r>
      <w:r w:rsidR="000C0301" w:rsidRPr="001E08AC">
        <w:rPr>
          <w:rFonts w:cstheme="minorHAnsi"/>
          <w:noProof/>
        </w:rPr>
        <w:t xml:space="preserve"> are significant consumers</w:t>
      </w:r>
      <w:r w:rsidRPr="001E08AC">
        <w:rPr>
          <w:rFonts w:cstheme="minorHAnsi"/>
          <w:noProof/>
        </w:rPr>
        <w:t xml:space="preserve"> (</w:t>
      </w:r>
      <w:r w:rsidR="000C0301" w:rsidRPr="001E08AC">
        <w:rPr>
          <w:rFonts w:cstheme="minorHAnsi"/>
          <w:noProof/>
        </w:rPr>
        <w:t xml:space="preserve">with </w:t>
      </w:r>
      <w:r w:rsidRPr="001E08AC">
        <w:rPr>
          <w:rFonts w:cstheme="minorHAnsi"/>
          <w:noProof/>
        </w:rPr>
        <w:t>13.7% and 12.0% respectively). Belgium, Italy, and Slovenia consume</w:t>
      </w:r>
      <w:r w:rsidR="00C002A3" w:rsidRPr="001E08AC">
        <w:rPr>
          <w:rFonts w:cstheme="minorHAnsi"/>
          <w:noProof/>
        </w:rPr>
        <w:t>, combined,</w:t>
      </w:r>
      <w:r w:rsidRPr="001E08AC">
        <w:rPr>
          <w:rFonts w:cstheme="minorHAnsi"/>
          <w:noProof/>
        </w:rPr>
        <w:t xml:space="preserve"> only 1.1 ktoe of biodiesel for electricity generation purposes. The consumption of biomass fuels and bioliquids for electricity generation has seen a steady rise from 2012 and in 202</w:t>
      </w:r>
      <w:r w:rsidR="009F4F55" w:rsidRPr="001E08AC">
        <w:rPr>
          <w:rFonts w:cstheme="minorHAnsi"/>
          <w:noProof/>
        </w:rPr>
        <w:t>1,</w:t>
      </w:r>
      <w:r w:rsidRPr="001E08AC">
        <w:rPr>
          <w:rFonts w:cstheme="minorHAnsi"/>
          <w:noProof/>
        </w:rPr>
        <w:t xml:space="preserve"> </w:t>
      </w:r>
      <w:bookmarkStart w:id="9" w:name="_Int_5lhDm0Bp"/>
      <w:r w:rsidRPr="001E08AC">
        <w:rPr>
          <w:rFonts w:cstheme="minorHAnsi"/>
          <w:noProof/>
        </w:rPr>
        <w:t>mainly due</w:t>
      </w:r>
      <w:bookmarkEnd w:id="9"/>
      <w:r w:rsidRPr="001E08AC">
        <w:rPr>
          <w:rFonts w:cstheme="minorHAnsi"/>
          <w:noProof/>
        </w:rPr>
        <w:t xml:space="preserve"> to an increase of 28.7% in the use of solid biomass compared to 2012.</w:t>
      </w:r>
    </w:p>
    <w:p w14:paraId="772286CA" w14:textId="5C9B3944" w:rsidR="00783881" w:rsidRPr="001E08AC" w:rsidRDefault="66B4ABB7" w:rsidP="00C002A3">
      <w:pPr>
        <w:keepNext/>
        <w:spacing w:before="240" w:after="120" w:line="240" w:lineRule="auto"/>
        <w:jc w:val="both"/>
        <w:rPr>
          <w:rFonts w:cstheme="minorHAnsi"/>
          <w:noProof/>
        </w:rPr>
      </w:pPr>
      <w:r w:rsidRPr="001E08AC">
        <w:rPr>
          <w:rFonts w:cstheme="minorHAnsi"/>
          <w:noProof/>
        </w:rPr>
        <w:t>Overall,</w:t>
      </w:r>
      <w:r w:rsidR="00783881" w:rsidRPr="001E08AC">
        <w:rPr>
          <w:rFonts w:cstheme="minorHAnsi"/>
          <w:noProof/>
        </w:rPr>
        <w:t xml:space="preserve"> an increasing trend in the consumption of biomass can be observed in all three sectors. </w:t>
      </w:r>
    </w:p>
    <w:p w14:paraId="59067145" w14:textId="2D01711C" w:rsidR="429CE2FE" w:rsidRPr="001E08AC" w:rsidRDefault="429CE2FE" w:rsidP="008E3492">
      <w:pPr>
        <w:keepNext/>
        <w:spacing w:before="240" w:after="120" w:line="240" w:lineRule="auto"/>
        <w:jc w:val="both"/>
        <w:rPr>
          <w:rFonts w:cstheme="minorHAnsi"/>
          <w:i/>
          <w:iCs/>
          <w:noProof/>
        </w:rPr>
      </w:pPr>
      <w:r w:rsidRPr="001E08AC">
        <w:rPr>
          <w:rFonts w:cstheme="minorHAnsi"/>
          <w:b/>
          <w:bCs/>
          <w:i/>
          <w:iCs/>
          <w:noProof/>
        </w:rPr>
        <w:t>Outlook</w:t>
      </w:r>
    </w:p>
    <w:p w14:paraId="39F1495B" w14:textId="5558D533" w:rsidR="00496D81" w:rsidRPr="001E08AC" w:rsidRDefault="00FB6F5B" w:rsidP="008E3492">
      <w:pPr>
        <w:keepNext/>
        <w:spacing w:before="240" w:after="120" w:line="240" w:lineRule="auto"/>
        <w:jc w:val="both"/>
        <w:rPr>
          <w:rFonts w:cstheme="minorHAnsi"/>
          <w:noProof/>
        </w:rPr>
      </w:pPr>
      <w:r w:rsidRPr="001E08AC">
        <w:rPr>
          <w:rFonts w:cstheme="minorHAnsi"/>
          <w:noProof/>
        </w:rPr>
        <w:t xml:space="preserve">In general, </w:t>
      </w:r>
      <w:r w:rsidR="00F9730B" w:rsidRPr="001E08AC">
        <w:rPr>
          <w:rFonts w:cstheme="minorHAnsi"/>
          <w:noProof/>
        </w:rPr>
        <w:t xml:space="preserve">Member </w:t>
      </w:r>
      <w:r w:rsidR="6B660880" w:rsidRPr="001E08AC">
        <w:rPr>
          <w:rFonts w:cstheme="minorHAnsi"/>
          <w:noProof/>
        </w:rPr>
        <w:t>S</w:t>
      </w:r>
      <w:r w:rsidR="00F9730B" w:rsidRPr="001E08AC">
        <w:rPr>
          <w:rFonts w:cstheme="minorHAnsi"/>
          <w:noProof/>
        </w:rPr>
        <w:t>tates provided limited information on projected primary supply of biomass by feedstock and origin</w:t>
      </w:r>
      <w:r w:rsidR="0081030F" w:rsidRPr="001E08AC">
        <w:rPr>
          <w:rFonts w:cstheme="minorHAnsi"/>
          <w:noProof/>
        </w:rPr>
        <w:t xml:space="preserve">. From </w:t>
      </w:r>
      <w:r w:rsidR="00294486">
        <w:rPr>
          <w:rFonts w:cstheme="minorHAnsi"/>
          <w:noProof/>
        </w:rPr>
        <w:t>twenty-one</w:t>
      </w:r>
      <w:r w:rsidR="0081030F" w:rsidRPr="001E08AC">
        <w:rPr>
          <w:rFonts w:cstheme="minorHAnsi"/>
          <w:noProof/>
        </w:rPr>
        <w:t xml:space="preserve"> Member States that have </w:t>
      </w:r>
      <w:r w:rsidR="00D95E5C" w:rsidRPr="001E08AC">
        <w:rPr>
          <w:rFonts w:cstheme="minorHAnsi"/>
          <w:noProof/>
        </w:rPr>
        <w:t xml:space="preserve">provided </w:t>
      </w:r>
      <w:r w:rsidR="00065085" w:rsidRPr="001E08AC">
        <w:rPr>
          <w:rFonts w:cstheme="minorHAnsi"/>
          <w:noProof/>
        </w:rPr>
        <w:t>information, eight</w:t>
      </w:r>
      <w:r w:rsidR="00F64FCE" w:rsidRPr="001E08AC">
        <w:rPr>
          <w:rStyle w:val="FootnoteReference"/>
          <w:rFonts w:cstheme="minorHAnsi"/>
          <w:noProof/>
        </w:rPr>
        <w:footnoteReference w:id="20"/>
      </w:r>
      <w:r w:rsidR="00065085" w:rsidRPr="001E08AC">
        <w:rPr>
          <w:rFonts w:cstheme="minorHAnsi"/>
          <w:noProof/>
        </w:rPr>
        <w:t xml:space="preserve"> </w:t>
      </w:r>
      <w:r w:rsidR="00C002A3" w:rsidRPr="001E08AC">
        <w:rPr>
          <w:rFonts w:cstheme="minorHAnsi"/>
          <w:noProof/>
        </w:rPr>
        <w:t>s</w:t>
      </w:r>
      <w:r w:rsidR="00065085" w:rsidRPr="001E08AC">
        <w:rPr>
          <w:rFonts w:cstheme="minorHAnsi"/>
          <w:noProof/>
        </w:rPr>
        <w:t>tate no significant impacts or updates to add</w:t>
      </w:r>
      <w:r w:rsidR="00FB5A39" w:rsidRPr="001E08AC">
        <w:rPr>
          <w:rFonts w:cstheme="minorHAnsi"/>
          <w:noProof/>
        </w:rPr>
        <w:t xml:space="preserve">. </w:t>
      </w:r>
      <w:r w:rsidR="000F1EDF" w:rsidRPr="001E08AC">
        <w:rPr>
          <w:rFonts w:cstheme="minorHAnsi"/>
          <w:noProof/>
        </w:rPr>
        <w:t>Five Member States</w:t>
      </w:r>
      <w:r w:rsidR="000F1EDF" w:rsidRPr="001E08AC">
        <w:rPr>
          <w:rStyle w:val="FootnoteReference"/>
          <w:rFonts w:cstheme="minorHAnsi"/>
          <w:noProof/>
        </w:rPr>
        <w:footnoteReference w:id="21"/>
      </w:r>
      <w:r w:rsidR="000F1EDF" w:rsidRPr="001E08AC">
        <w:rPr>
          <w:rFonts w:cstheme="minorHAnsi"/>
          <w:noProof/>
        </w:rPr>
        <w:t xml:space="preserve"> </w:t>
      </w:r>
      <w:r w:rsidR="00983130" w:rsidRPr="001E08AC">
        <w:rPr>
          <w:rFonts w:cstheme="minorHAnsi"/>
          <w:noProof/>
        </w:rPr>
        <w:t xml:space="preserve">have expressed concerns meeting the demand with the </w:t>
      </w:r>
      <w:r w:rsidR="008873BE" w:rsidRPr="001E08AC">
        <w:rPr>
          <w:rFonts w:cstheme="minorHAnsi"/>
          <w:noProof/>
        </w:rPr>
        <w:t>indigenous</w:t>
      </w:r>
      <w:r w:rsidR="00983130" w:rsidRPr="001E08AC">
        <w:rPr>
          <w:rFonts w:cstheme="minorHAnsi"/>
          <w:noProof/>
        </w:rPr>
        <w:t xml:space="preserve"> supply of biomass to </w:t>
      </w:r>
      <w:r w:rsidR="000F1EDF" w:rsidRPr="001E08AC">
        <w:rPr>
          <w:rFonts w:cstheme="minorHAnsi"/>
          <w:noProof/>
        </w:rPr>
        <w:t>different</w:t>
      </w:r>
      <w:r w:rsidR="00983130" w:rsidRPr="001E08AC">
        <w:rPr>
          <w:rFonts w:cstheme="minorHAnsi"/>
          <w:noProof/>
        </w:rPr>
        <w:t xml:space="preserve"> sectors</w:t>
      </w:r>
      <w:r w:rsidR="004124EE" w:rsidRPr="001E08AC">
        <w:rPr>
          <w:rFonts w:cstheme="minorHAnsi"/>
          <w:noProof/>
        </w:rPr>
        <w:t xml:space="preserve">, given the </w:t>
      </w:r>
      <w:r w:rsidR="003C3A84" w:rsidRPr="001E08AC">
        <w:rPr>
          <w:rFonts w:cstheme="minorHAnsi"/>
          <w:noProof/>
        </w:rPr>
        <w:t>physical</w:t>
      </w:r>
      <w:r w:rsidR="004124EE" w:rsidRPr="001E08AC">
        <w:rPr>
          <w:rFonts w:cstheme="minorHAnsi"/>
          <w:noProof/>
        </w:rPr>
        <w:t xml:space="preserve"> constraints (</w:t>
      </w:r>
      <w:r w:rsidR="00E76D78" w:rsidRPr="001E08AC">
        <w:rPr>
          <w:rFonts w:cstheme="minorHAnsi"/>
          <w:noProof/>
        </w:rPr>
        <w:t>limited</w:t>
      </w:r>
      <w:r w:rsidR="004124EE" w:rsidRPr="001E08AC">
        <w:rPr>
          <w:rFonts w:cstheme="minorHAnsi"/>
          <w:noProof/>
        </w:rPr>
        <w:t xml:space="preserve"> potential, </w:t>
      </w:r>
      <w:r w:rsidR="00E76D78" w:rsidRPr="001E08AC">
        <w:rPr>
          <w:rFonts w:cstheme="minorHAnsi"/>
          <w:noProof/>
        </w:rPr>
        <w:t xml:space="preserve">state of the </w:t>
      </w:r>
      <w:r w:rsidR="004124EE" w:rsidRPr="001E08AC">
        <w:rPr>
          <w:rFonts w:cstheme="minorHAnsi"/>
          <w:noProof/>
        </w:rPr>
        <w:t>forest health</w:t>
      </w:r>
      <w:r w:rsidR="003C3A84" w:rsidRPr="001E08AC">
        <w:rPr>
          <w:rFonts w:cstheme="minorHAnsi"/>
          <w:noProof/>
        </w:rPr>
        <w:t>, limited infrastructure</w:t>
      </w:r>
      <w:r w:rsidR="008873BE" w:rsidRPr="001E08AC">
        <w:rPr>
          <w:rFonts w:cstheme="minorHAnsi"/>
          <w:noProof/>
        </w:rPr>
        <w:t xml:space="preserve"> to have a larger bioenergy intake</w:t>
      </w:r>
      <w:r w:rsidR="003C3A84" w:rsidRPr="001E08AC">
        <w:rPr>
          <w:rFonts w:cstheme="minorHAnsi"/>
          <w:noProof/>
        </w:rPr>
        <w:t>)</w:t>
      </w:r>
      <w:r w:rsidR="00885E4F" w:rsidRPr="001E08AC">
        <w:rPr>
          <w:rFonts w:cstheme="minorHAnsi"/>
          <w:noProof/>
        </w:rPr>
        <w:t xml:space="preserve"> and legal restrictions on the use of biomass.</w:t>
      </w:r>
      <w:r w:rsidR="000F1EDF" w:rsidRPr="001E08AC">
        <w:rPr>
          <w:rFonts w:cstheme="minorHAnsi"/>
          <w:noProof/>
        </w:rPr>
        <w:t xml:space="preserve"> </w:t>
      </w:r>
      <w:r w:rsidR="002814FC" w:rsidRPr="001E08AC">
        <w:rPr>
          <w:rFonts w:cstheme="minorHAnsi"/>
          <w:noProof/>
        </w:rPr>
        <w:t>Five</w:t>
      </w:r>
      <w:r w:rsidR="0018266C" w:rsidRPr="001E08AC">
        <w:rPr>
          <w:rFonts w:cstheme="minorHAnsi"/>
          <w:noProof/>
        </w:rPr>
        <w:t xml:space="preserve"> Member States</w:t>
      </w:r>
      <w:r w:rsidR="0018266C" w:rsidRPr="001E08AC">
        <w:rPr>
          <w:rStyle w:val="FootnoteReference"/>
          <w:rFonts w:cstheme="minorHAnsi"/>
          <w:noProof/>
        </w:rPr>
        <w:footnoteReference w:id="22"/>
      </w:r>
      <w:r w:rsidR="0018266C" w:rsidRPr="001E08AC">
        <w:rPr>
          <w:rFonts w:cstheme="minorHAnsi"/>
          <w:noProof/>
        </w:rPr>
        <w:t xml:space="preserve"> </w:t>
      </w:r>
      <w:r w:rsidR="6583A43E" w:rsidRPr="001E08AC">
        <w:rPr>
          <w:rFonts w:cstheme="minorHAnsi"/>
          <w:noProof/>
        </w:rPr>
        <w:t>report</w:t>
      </w:r>
      <w:r w:rsidR="0005728E" w:rsidRPr="001E08AC">
        <w:rPr>
          <w:rFonts w:cstheme="minorHAnsi"/>
          <w:noProof/>
        </w:rPr>
        <w:t xml:space="preserve"> stability of biomass demand</w:t>
      </w:r>
      <w:r w:rsidR="003C677B" w:rsidRPr="001E08AC">
        <w:rPr>
          <w:rFonts w:cstheme="minorHAnsi"/>
          <w:noProof/>
        </w:rPr>
        <w:t>, Slovenia reports an increase in wood</w:t>
      </w:r>
      <w:r w:rsidR="00F52083" w:rsidRPr="001E08AC">
        <w:rPr>
          <w:rFonts w:cstheme="minorHAnsi"/>
          <w:noProof/>
        </w:rPr>
        <w:t>y</w:t>
      </w:r>
      <w:r w:rsidR="003C677B" w:rsidRPr="001E08AC">
        <w:rPr>
          <w:rFonts w:cstheme="minorHAnsi"/>
          <w:noProof/>
        </w:rPr>
        <w:t xml:space="preserve"> biomass supply</w:t>
      </w:r>
      <w:r w:rsidR="0018266C" w:rsidRPr="001E08AC">
        <w:rPr>
          <w:rFonts w:cstheme="minorHAnsi"/>
          <w:noProof/>
        </w:rPr>
        <w:t xml:space="preserve"> whereas the </w:t>
      </w:r>
      <w:r w:rsidR="003C677B" w:rsidRPr="001E08AC">
        <w:rPr>
          <w:rFonts w:cstheme="minorHAnsi"/>
          <w:noProof/>
        </w:rPr>
        <w:t>Netherlands</w:t>
      </w:r>
      <w:r w:rsidR="0018266C" w:rsidRPr="001E08AC">
        <w:rPr>
          <w:rFonts w:cstheme="minorHAnsi"/>
          <w:noProof/>
        </w:rPr>
        <w:t xml:space="preserve"> introduces a cap on </w:t>
      </w:r>
      <w:r w:rsidR="00496D81" w:rsidRPr="001E08AC">
        <w:rPr>
          <w:rFonts w:cstheme="minorHAnsi"/>
          <w:noProof/>
        </w:rPr>
        <w:t>woody biomass for heating.</w:t>
      </w:r>
      <w:r w:rsidR="003778DB" w:rsidRPr="001E08AC">
        <w:rPr>
          <w:rFonts w:cstheme="minorHAnsi"/>
          <w:noProof/>
        </w:rPr>
        <w:t xml:space="preserve"> France announces updates in trajectories and Spain highlights positive</w:t>
      </w:r>
      <w:r w:rsidR="00841F24" w:rsidRPr="001E08AC">
        <w:rPr>
          <w:rFonts w:cstheme="minorHAnsi"/>
          <w:noProof/>
        </w:rPr>
        <w:t xml:space="preserve"> overall</w:t>
      </w:r>
      <w:r w:rsidR="003778DB" w:rsidRPr="001E08AC">
        <w:rPr>
          <w:rFonts w:cstheme="minorHAnsi"/>
          <w:noProof/>
        </w:rPr>
        <w:t xml:space="preserve"> effects, without providing </w:t>
      </w:r>
      <w:r w:rsidR="00841F24" w:rsidRPr="001E08AC">
        <w:rPr>
          <w:rFonts w:cstheme="minorHAnsi"/>
          <w:noProof/>
        </w:rPr>
        <w:t xml:space="preserve">details. </w:t>
      </w:r>
      <w:r w:rsidR="00B31BFC" w:rsidRPr="001E08AC">
        <w:rPr>
          <w:rFonts w:cstheme="minorHAnsi"/>
          <w:noProof/>
        </w:rPr>
        <w:t xml:space="preserve">Submitted </w:t>
      </w:r>
      <w:r w:rsidR="00E43F89" w:rsidRPr="001E08AC">
        <w:rPr>
          <w:rFonts w:cstheme="minorHAnsi"/>
          <w:noProof/>
        </w:rPr>
        <w:t xml:space="preserve">estimated trajectories for the sectoral share of renewable energy in final energy consumption </w:t>
      </w:r>
      <w:r w:rsidR="00056A36" w:rsidRPr="001E08AC">
        <w:rPr>
          <w:rFonts w:cstheme="minorHAnsi"/>
          <w:noProof/>
        </w:rPr>
        <w:t>by</w:t>
      </w:r>
      <w:r w:rsidR="00E43F89" w:rsidRPr="001E08AC">
        <w:rPr>
          <w:rFonts w:cstheme="minorHAnsi"/>
          <w:noProof/>
        </w:rPr>
        <w:t xml:space="preserve"> 2030 in the electricity, heating and cooling, and transport sector as well as by renewable </w:t>
      </w:r>
      <w:r w:rsidR="00056A36" w:rsidRPr="001E08AC">
        <w:rPr>
          <w:rFonts w:cstheme="minorHAnsi"/>
          <w:noProof/>
        </w:rPr>
        <w:t>technology</w:t>
      </w:r>
      <w:r w:rsidR="00E43F89" w:rsidRPr="001E08AC">
        <w:rPr>
          <w:rFonts w:cstheme="minorHAnsi"/>
          <w:noProof/>
        </w:rPr>
        <w:t xml:space="preserve">, </w:t>
      </w:r>
      <w:r w:rsidR="004A0F3E" w:rsidRPr="001E08AC">
        <w:rPr>
          <w:rFonts w:cstheme="minorHAnsi"/>
          <w:noProof/>
        </w:rPr>
        <w:t xml:space="preserve">are not </w:t>
      </w:r>
      <w:r w:rsidR="00056A36" w:rsidRPr="001E08AC">
        <w:rPr>
          <w:rFonts w:cstheme="minorHAnsi"/>
          <w:noProof/>
        </w:rPr>
        <w:t>granulated sufficiently to provide a comprehensive insight</w:t>
      </w:r>
      <w:r w:rsidR="004A0F3E" w:rsidRPr="001E08AC">
        <w:rPr>
          <w:rFonts w:cstheme="minorHAnsi"/>
          <w:noProof/>
        </w:rPr>
        <w:t xml:space="preserve"> </w:t>
      </w:r>
      <w:r w:rsidR="00E15A39" w:rsidRPr="001E08AC">
        <w:rPr>
          <w:rFonts w:cstheme="minorHAnsi"/>
          <w:noProof/>
        </w:rPr>
        <w:t xml:space="preserve">on bioenergy demand, disaggregated between heat, electricity and transport, and on biomass supply by feedstocks and origin (distinguishing between domestic production and imports). </w:t>
      </w:r>
    </w:p>
    <w:p w14:paraId="6E5849F2" w14:textId="0DA4504A" w:rsidR="00783881" w:rsidRPr="001E08AC" w:rsidRDefault="00783881" w:rsidP="008E3492">
      <w:pPr>
        <w:spacing w:before="240" w:after="120" w:line="240" w:lineRule="auto"/>
        <w:jc w:val="both"/>
        <w:rPr>
          <w:rFonts w:cstheme="minorHAnsi"/>
          <w:b/>
          <w:bCs/>
          <w:i/>
          <w:iCs/>
          <w:noProof/>
        </w:rPr>
      </w:pPr>
      <w:r w:rsidRPr="001E08AC">
        <w:rPr>
          <w:rFonts w:cstheme="minorHAnsi"/>
          <w:b/>
          <w:bCs/>
          <w:i/>
          <w:iCs/>
          <w:noProof/>
        </w:rPr>
        <w:t>Biomass Imports</w:t>
      </w:r>
    </w:p>
    <w:p w14:paraId="4C19BD94" w14:textId="6793368B" w:rsidR="00783881" w:rsidRPr="001E08AC" w:rsidRDefault="00783881" w:rsidP="008E3492">
      <w:pPr>
        <w:spacing w:before="240" w:after="120" w:line="240" w:lineRule="auto"/>
        <w:jc w:val="both"/>
        <w:rPr>
          <w:rFonts w:cstheme="minorHAnsi"/>
          <w:noProof/>
        </w:rPr>
      </w:pPr>
      <w:r w:rsidRPr="001E08AC">
        <w:rPr>
          <w:rFonts w:cstheme="minorHAnsi"/>
          <w:noProof/>
        </w:rPr>
        <w:t xml:space="preserve">In the NECPRs, </w:t>
      </w:r>
      <w:r w:rsidR="00294486">
        <w:rPr>
          <w:rFonts w:cstheme="minorHAnsi"/>
          <w:noProof/>
        </w:rPr>
        <w:t>twenty-four</w:t>
      </w:r>
      <w:r w:rsidRPr="001E08AC">
        <w:rPr>
          <w:rFonts w:cstheme="minorHAnsi"/>
          <w:noProof/>
        </w:rPr>
        <w:t xml:space="preserve"> </w:t>
      </w:r>
      <w:r w:rsidR="009E3CB6" w:rsidRPr="001E08AC">
        <w:rPr>
          <w:rFonts w:cstheme="minorHAnsi"/>
          <w:noProof/>
        </w:rPr>
        <w:t xml:space="preserve">Member States </w:t>
      </w:r>
      <w:r w:rsidRPr="001E08AC">
        <w:rPr>
          <w:rFonts w:cstheme="minorHAnsi"/>
          <w:noProof/>
        </w:rPr>
        <w:t>reported imported solid biomass</w:t>
      </w:r>
      <w:r w:rsidRPr="001E08AC">
        <w:rPr>
          <w:rStyle w:val="FootnoteReference"/>
          <w:rFonts w:cstheme="minorHAnsi"/>
          <w:noProof/>
        </w:rPr>
        <w:footnoteReference w:id="23"/>
      </w:r>
      <w:r w:rsidRPr="001E08AC">
        <w:rPr>
          <w:rFonts w:cstheme="minorHAnsi"/>
          <w:noProof/>
        </w:rPr>
        <w:t xml:space="preserve">. Spain, Romania, and Luxembourg did not report any imported solid biomass. It should be noted that </w:t>
      </w:r>
      <w:r w:rsidR="7683EF57" w:rsidRPr="001E08AC">
        <w:rPr>
          <w:rFonts w:cstheme="minorHAnsi"/>
          <w:noProof/>
        </w:rPr>
        <w:t xml:space="preserve">no Member State reported imports of </w:t>
      </w:r>
      <w:r w:rsidRPr="001E08AC">
        <w:rPr>
          <w:rFonts w:cstheme="minorHAnsi"/>
          <w:noProof/>
        </w:rPr>
        <w:t>agricultural biomass and stump</w:t>
      </w:r>
      <w:r w:rsidR="2E13EBAF" w:rsidRPr="001E08AC">
        <w:rPr>
          <w:rFonts w:cstheme="minorHAnsi"/>
          <w:noProof/>
        </w:rPr>
        <w:t>s</w:t>
      </w:r>
      <w:r w:rsidRPr="001E08AC">
        <w:rPr>
          <w:rFonts w:cstheme="minorHAnsi"/>
          <w:noProof/>
        </w:rPr>
        <w:t xml:space="preserve">. Imports of solid biomass account for </w:t>
      </w:r>
      <w:r w:rsidR="3FF4E359" w:rsidRPr="001E08AC">
        <w:rPr>
          <w:rFonts w:cstheme="minorHAnsi"/>
          <w:noProof/>
        </w:rPr>
        <w:t>19</w:t>
      </w:r>
      <w:r w:rsidRPr="001E08AC">
        <w:rPr>
          <w:rFonts w:cstheme="minorHAnsi"/>
          <w:noProof/>
        </w:rPr>
        <w:t xml:space="preserve">% of the total primary solid </w:t>
      </w:r>
      <w:r w:rsidR="00B63A0B" w:rsidRPr="001E08AC">
        <w:rPr>
          <w:rFonts w:cstheme="minorHAnsi"/>
          <w:noProof/>
        </w:rPr>
        <w:t>bio</w:t>
      </w:r>
      <w:r w:rsidR="00B63A0B">
        <w:rPr>
          <w:rFonts w:cstheme="minorHAnsi"/>
          <w:noProof/>
        </w:rPr>
        <w:t>mass for energy/bioenergy</w:t>
      </w:r>
      <w:r w:rsidR="73DEE8F4" w:rsidRPr="001E08AC">
        <w:rPr>
          <w:rFonts w:cstheme="minorHAnsi"/>
          <w:noProof/>
        </w:rPr>
        <w:t xml:space="preserve">. </w:t>
      </w:r>
      <w:r w:rsidRPr="001E08AC">
        <w:rPr>
          <w:rFonts w:cstheme="minorHAnsi"/>
          <w:noProof/>
        </w:rPr>
        <w:t>The largest reported imported feedstock is black liquor</w:t>
      </w:r>
      <w:r w:rsidR="00CD3E48" w:rsidRPr="001E08AC">
        <w:rPr>
          <w:rStyle w:val="FootnoteReference"/>
          <w:rFonts w:cstheme="minorHAnsi"/>
          <w:noProof/>
        </w:rPr>
        <w:footnoteReference w:id="24"/>
      </w:r>
      <w:r w:rsidRPr="001E08AC">
        <w:rPr>
          <w:rFonts w:cstheme="minorHAnsi"/>
          <w:noProof/>
        </w:rPr>
        <w:t xml:space="preserve"> (677,404 thousand m</w:t>
      </w:r>
      <w:r w:rsidRPr="001E08AC">
        <w:rPr>
          <w:rFonts w:cstheme="minorHAnsi"/>
          <w:noProof/>
          <w:vertAlign w:val="superscript"/>
        </w:rPr>
        <w:t>3</w:t>
      </w:r>
      <w:r w:rsidRPr="001E08AC">
        <w:rPr>
          <w:rFonts w:cstheme="minorHAnsi"/>
          <w:noProof/>
        </w:rPr>
        <w:t>). Forestry-originating biomass was the second largest reported category and wood pellets were the most imported feedstock in this category (21,926 thousand m</w:t>
      </w:r>
      <w:r w:rsidRPr="001E08AC">
        <w:rPr>
          <w:rFonts w:cstheme="minorHAnsi"/>
          <w:noProof/>
          <w:vertAlign w:val="superscript"/>
        </w:rPr>
        <w:t>3</w:t>
      </w:r>
      <w:r w:rsidRPr="001E08AC">
        <w:rPr>
          <w:rFonts w:cstheme="minorHAnsi"/>
          <w:noProof/>
        </w:rPr>
        <w:t xml:space="preserve">), followed by roundwood, chips, saw dust and other wood particles. </w:t>
      </w:r>
    </w:p>
    <w:p w14:paraId="560ECE84" w14:textId="3C174E7A" w:rsidR="00783881" w:rsidRPr="001E08AC" w:rsidRDefault="226BD672" w:rsidP="00C002A3">
      <w:pPr>
        <w:spacing w:before="240" w:after="120" w:line="240" w:lineRule="auto"/>
        <w:jc w:val="center"/>
        <w:rPr>
          <w:rFonts w:cstheme="minorHAnsi"/>
          <w:b/>
          <w:bCs/>
          <w:noProof/>
          <w:lang w:val="en-IE"/>
        </w:rPr>
      </w:pPr>
      <w:r w:rsidRPr="001E08AC">
        <w:rPr>
          <w:rFonts w:cstheme="minorHAnsi"/>
          <w:noProof/>
          <w:lang w:val="en-GB" w:eastAsia="en-GB"/>
        </w:rPr>
        <w:drawing>
          <wp:inline distT="0" distB="0" distL="0" distR="0" wp14:anchorId="24BD6366" wp14:editId="43BDAF57">
            <wp:extent cx="4572000" cy="2724150"/>
            <wp:effectExtent l="0" t="0" r="0" b="0"/>
            <wp:docPr id="2133169991" name="Picture 2133169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4572000" cy="2724150"/>
                    </a:xfrm>
                    <a:prstGeom prst="rect">
                      <a:avLst/>
                    </a:prstGeom>
                  </pic:spPr>
                </pic:pic>
              </a:graphicData>
            </a:graphic>
          </wp:inline>
        </w:drawing>
      </w:r>
    </w:p>
    <w:p w14:paraId="6C97C822" w14:textId="4FE7694F" w:rsidR="00783881" w:rsidRPr="001E08AC" w:rsidRDefault="00783881" w:rsidP="00C002A3">
      <w:pPr>
        <w:spacing w:after="120" w:line="240" w:lineRule="auto"/>
        <w:jc w:val="center"/>
        <w:rPr>
          <w:rFonts w:cstheme="minorHAnsi"/>
          <w:b/>
          <w:noProof/>
          <w:sz w:val="20"/>
          <w:szCs w:val="20"/>
          <w:lang w:val="en-IE"/>
        </w:rPr>
      </w:pPr>
      <w:r w:rsidRPr="001E08AC">
        <w:rPr>
          <w:rFonts w:cstheme="minorHAnsi"/>
          <w:b/>
          <w:noProof/>
          <w:sz w:val="20"/>
          <w:szCs w:val="20"/>
          <w:lang w:val="en-IE"/>
        </w:rPr>
        <w:t>Forest biomass feedstock used for energy production, reported as imported in EU</w:t>
      </w:r>
      <w:r w:rsidRPr="001E08AC">
        <w:rPr>
          <w:rFonts w:cstheme="minorHAnsi"/>
          <w:b/>
          <w:bCs/>
          <w:noProof/>
          <w:sz w:val="20"/>
          <w:szCs w:val="20"/>
          <w:vertAlign w:val="superscript"/>
          <w:lang w:val="en-IE"/>
        </w:rPr>
        <w:footnoteReference w:id="25"/>
      </w:r>
    </w:p>
    <w:p w14:paraId="15E5C3DB" w14:textId="67406F78" w:rsidR="00783881" w:rsidRPr="001E08AC" w:rsidRDefault="00783881" w:rsidP="00C002A3">
      <w:pPr>
        <w:spacing w:before="240" w:after="120" w:line="240" w:lineRule="auto"/>
        <w:jc w:val="both"/>
        <w:rPr>
          <w:rFonts w:cstheme="minorHAnsi"/>
          <w:noProof/>
        </w:rPr>
      </w:pPr>
      <w:r w:rsidRPr="001E08AC">
        <w:rPr>
          <w:rFonts w:cstheme="minorHAnsi"/>
          <w:noProof/>
        </w:rPr>
        <w:t>When it comes to wood pellet imports in the EU, the Netherlands is the largest importer</w:t>
      </w:r>
      <w:r w:rsidRPr="001E08AC">
        <w:rPr>
          <w:rStyle w:val="FootnoteReference"/>
          <w:rFonts w:cstheme="minorHAnsi"/>
          <w:noProof/>
        </w:rPr>
        <w:footnoteReference w:id="26"/>
      </w:r>
      <w:r w:rsidRPr="001E08AC">
        <w:rPr>
          <w:rFonts w:cstheme="minorHAnsi"/>
          <w:noProof/>
        </w:rPr>
        <w:t xml:space="preserve"> (almost 30% of the total EU wood pellet imports), followed by Denmark (26%)</w:t>
      </w:r>
      <w:r w:rsidRPr="001E08AC">
        <w:rPr>
          <w:rStyle w:val="FootnoteReference"/>
          <w:rFonts w:cstheme="minorHAnsi"/>
          <w:noProof/>
        </w:rPr>
        <w:footnoteReference w:id="27"/>
      </w:r>
      <w:r w:rsidR="00134EE4" w:rsidRPr="001E08AC">
        <w:rPr>
          <w:rFonts w:cstheme="minorHAnsi"/>
          <w:noProof/>
          <w:vertAlign w:val="superscript"/>
        </w:rPr>
        <w:t>,</w:t>
      </w:r>
      <w:r w:rsidR="00003793" w:rsidRPr="001E08AC">
        <w:rPr>
          <w:rFonts w:cstheme="minorHAnsi"/>
          <w:noProof/>
          <w:vertAlign w:val="superscript"/>
        </w:rPr>
        <w:t> </w:t>
      </w:r>
      <w:r w:rsidR="00134EE4" w:rsidRPr="001E08AC">
        <w:rPr>
          <w:rStyle w:val="FootnoteReference"/>
          <w:rFonts w:cstheme="minorHAnsi"/>
          <w:noProof/>
        </w:rPr>
        <w:footnoteReference w:id="28"/>
      </w:r>
      <w:r w:rsidR="0075280D" w:rsidRPr="001E08AC">
        <w:rPr>
          <w:rFonts w:cstheme="minorHAnsi"/>
          <w:noProof/>
        </w:rPr>
        <w:t xml:space="preserve">. </w:t>
      </w:r>
      <w:r w:rsidRPr="001E08AC">
        <w:rPr>
          <w:rFonts w:cstheme="minorHAnsi"/>
          <w:noProof/>
        </w:rPr>
        <w:t xml:space="preserve">Wood chip imports account for </w:t>
      </w:r>
      <w:r w:rsidR="61C36510" w:rsidRPr="001E08AC">
        <w:rPr>
          <w:rFonts w:cstheme="minorHAnsi"/>
          <w:noProof/>
        </w:rPr>
        <w:t>8</w:t>
      </w:r>
      <w:r w:rsidRPr="001E08AC">
        <w:rPr>
          <w:rFonts w:cstheme="minorHAnsi"/>
          <w:noProof/>
        </w:rPr>
        <w:t xml:space="preserve">% of the total </w:t>
      </w:r>
      <w:r w:rsidR="5213C8A9" w:rsidRPr="001E08AC">
        <w:rPr>
          <w:rFonts w:cstheme="minorHAnsi"/>
          <w:noProof/>
        </w:rPr>
        <w:t>wood chip supply for energy consumption</w:t>
      </w:r>
      <w:r w:rsidR="5E7D2581" w:rsidRPr="001E08AC">
        <w:rPr>
          <w:rFonts w:cstheme="minorHAnsi"/>
          <w:noProof/>
        </w:rPr>
        <w:t xml:space="preserve"> in 2021.</w:t>
      </w:r>
      <w:r w:rsidRPr="001E08AC">
        <w:rPr>
          <w:rFonts w:cstheme="minorHAnsi"/>
          <w:noProof/>
        </w:rPr>
        <w:t xml:space="preserve"> France imported a third (33.2%) of the total wood chip imported volume; Lithuania followed with 22%, Latvia with nearly 10%, and Italy with </w:t>
      </w:r>
      <w:bookmarkStart w:id="10" w:name="_Int_QwF92176"/>
      <w:r w:rsidRPr="001E08AC">
        <w:rPr>
          <w:rFonts w:cstheme="minorHAnsi"/>
          <w:noProof/>
        </w:rPr>
        <w:t>nearly 9%</w:t>
      </w:r>
      <w:bookmarkEnd w:id="10"/>
      <w:r w:rsidRPr="001E08AC">
        <w:rPr>
          <w:rFonts w:cstheme="minorHAnsi"/>
          <w:noProof/>
        </w:rPr>
        <w:t xml:space="preserve">. Overall, an increase of 27% has been observed in wood pellet imports since 2019, whereas the imports of wood chips decreased from 2019 to 2020 by </w:t>
      </w:r>
      <w:r w:rsidR="3B358DE0" w:rsidRPr="001E08AC">
        <w:rPr>
          <w:rFonts w:cstheme="minorHAnsi"/>
          <w:noProof/>
        </w:rPr>
        <w:t>10</w:t>
      </w:r>
      <w:r w:rsidRPr="001E08AC">
        <w:rPr>
          <w:rFonts w:cstheme="minorHAnsi"/>
          <w:noProof/>
        </w:rPr>
        <w:t>%. Using Eurostat trade balances</w:t>
      </w:r>
      <w:r w:rsidRPr="001E08AC">
        <w:rPr>
          <w:rStyle w:val="FootnoteReference"/>
          <w:rFonts w:cstheme="minorHAnsi"/>
          <w:noProof/>
        </w:rPr>
        <w:footnoteReference w:id="29"/>
      </w:r>
      <w:r w:rsidRPr="001E08AC">
        <w:rPr>
          <w:rFonts w:cstheme="minorHAnsi"/>
          <w:noProof/>
        </w:rPr>
        <w:t>, it is possible to track the geographic origin of the wood pellets (up to 2021) and wood chips (only up to 2020). In both categories, Russia was the largest exporter to the EU, followed by the United States and Belarus in the case of wood pellets, and Belarus</w:t>
      </w:r>
      <w:r w:rsidR="63EB9040" w:rsidRPr="001E08AC">
        <w:rPr>
          <w:rFonts w:cstheme="minorHAnsi"/>
          <w:noProof/>
        </w:rPr>
        <w:t xml:space="preserve"> (that represents together with Russia 82% of the total wood chip imports)</w:t>
      </w:r>
      <w:r w:rsidR="5E7D2581" w:rsidRPr="001E08AC">
        <w:rPr>
          <w:rFonts w:cstheme="minorHAnsi"/>
          <w:noProof/>
        </w:rPr>
        <w:t>,</w:t>
      </w:r>
      <w:r w:rsidRPr="001E08AC">
        <w:rPr>
          <w:rFonts w:cstheme="minorHAnsi"/>
          <w:noProof/>
        </w:rPr>
        <w:t xml:space="preserve"> Norway (</w:t>
      </w:r>
      <w:r w:rsidR="0F297F5E" w:rsidRPr="001E08AC">
        <w:rPr>
          <w:rFonts w:cstheme="minorHAnsi"/>
          <w:noProof/>
        </w:rPr>
        <w:t>8</w:t>
      </w:r>
      <w:r w:rsidRPr="001E08AC">
        <w:rPr>
          <w:rFonts w:cstheme="minorHAnsi"/>
          <w:noProof/>
        </w:rPr>
        <w:t>%), Brazil (</w:t>
      </w:r>
      <w:r w:rsidR="65F04903" w:rsidRPr="001E08AC">
        <w:rPr>
          <w:rFonts w:cstheme="minorHAnsi"/>
          <w:noProof/>
        </w:rPr>
        <w:t>5</w:t>
      </w:r>
      <w:r w:rsidRPr="001E08AC">
        <w:rPr>
          <w:rFonts w:cstheme="minorHAnsi"/>
          <w:noProof/>
        </w:rPr>
        <w:t>%), Uruguay (</w:t>
      </w:r>
      <w:r w:rsidR="3F8A4478" w:rsidRPr="001E08AC">
        <w:rPr>
          <w:rFonts w:cstheme="minorHAnsi"/>
          <w:noProof/>
        </w:rPr>
        <w:t>4</w:t>
      </w:r>
      <w:r w:rsidRPr="001E08AC">
        <w:rPr>
          <w:rFonts w:cstheme="minorHAnsi"/>
          <w:noProof/>
        </w:rPr>
        <w:t>%) and Ukraine (</w:t>
      </w:r>
      <w:r w:rsidR="54C37F97" w:rsidRPr="001E08AC">
        <w:rPr>
          <w:rFonts w:cstheme="minorHAnsi"/>
          <w:noProof/>
        </w:rPr>
        <w:t>2</w:t>
      </w:r>
      <w:r w:rsidRPr="001E08AC">
        <w:rPr>
          <w:rFonts w:cstheme="minorHAnsi"/>
          <w:noProof/>
        </w:rPr>
        <w:t xml:space="preserve">%) in the case of wood chips. After Russia’s unprovoked and unjustified military aggression against Ukraine, stakeholders </w:t>
      </w:r>
      <w:r w:rsidR="72049D62" w:rsidRPr="001E08AC">
        <w:rPr>
          <w:rFonts w:cstheme="minorHAnsi"/>
          <w:noProof/>
        </w:rPr>
        <w:t>have expressed concerns about</w:t>
      </w:r>
      <w:r w:rsidRPr="001E08AC">
        <w:rPr>
          <w:rFonts w:cstheme="minorHAnsi"/>
          <w:noProof/>
        </w:rPr>
        <w:t xml:space="preserve"> the potential implications this could have on </w:t>
      </w:r>
      <w:r w:rsidR="7044B924" w:rsidRPr="001E08AC">
        <w:rPr>
          <w:rFonts w:cstheme="minorHAnsi"/>
          <w:noProof/>
        </w:rPr>
        <w:t>the</w:t>
      </w:r>
      <w:r w:rsidRPr="001E08AC">
        <w:rPr>
          <w:rFonts w:cstheme="minorHAnsi"/>
          <w:noProof/>
        </w:rPr>
        <w:t xml:space="preserve"> prices </w:t>
      </w:r>
      <w:r w:rsidR="03F4336A" w:rsidRPr="001E08AC">
        <w:rPr>
          <w:rFonts w:cstheme="minorHAnsi"/>
          <w:noProof/>
        </w:rPr>
        <w:t xml:space="preserve">of </w:t>
      </w:r>
      <w:r w:rsidRPr="001E08AC">
        <w:rPr>
          <w:rFonts w:cstheme="minorHAnsi"/>
          <w:noProof/>
        </w:rPr>
        <w:t>wood pellet and chip impor</w:t>
      </w:r>
      <w:r w:rsidR="0019122B" w:rsidRPr="001E08AC">
        <w:rPr>
          <w:rFonts w:cstheme="minorHAnsi"/>
          <w:noProof/>
        </w:rPr>
        <w:t>ts</w:t>
      </w:r>
      <w:r w:rsidR="004949AB" w:rsidRPr="001E08AC">
        <w:rPr>
          <w:rFonts w:cstheme="minorHAnsi"/>
          <w:noProof/>
        </w:rPr>
        <w:t>.</w:t>
      </w:r>
    </w:p>
    <w:p w14:paraId="2A9753A5" w14:textId="639DEED2" w:rsidR="00783881" w:rsidRPr="001E08AC" w:rsidRDefault="00783881" w:rsidP="00C002A3">
      <w:pPr>
        <w:spacing w:before="240" w:after="120" w:line="240" w:lineRule="auto"/>
        <w:jc w:val="both"/>
        <w:rPr>
          <w:rFonts w:cstheme="minorHAnsi"/>
          <w:noProof/>
        </w:rPr>
      </w:pPr>
      <w:r w:rsidRPr="001E08AC">
        <w:rPr>
          <w:rFonts w:cstheme="minorHAnsi"/>
          <w:noProof/>
        </w:rPr>
        <w:t xml:space="preserve">Organic waste imports account for </w:t>
      </w:r>
      <w:r w:rsidR="52D57B7F" w:rsidRPr="001E08AC">
        <w:rPr>
          <w:rFonts w:cstheme="minorHAnsi"/>
          <w:noProof/>
        </w:rPr>
        <w:t>1</w:t>
      </w:r>
      <w:r w:rsidRPr="001E08AC">
        <w:rPr>
          <w:rFonts w:cstheme="minorHAnsi"/>
          <w:noProof/>
        </w:rPr>
        <w:t xml:space="preserve">% of the </w:t>
      </w:r>
      <w:r w:rsidR="00F700C5" w:rsidRPr="001E08AC">
        <w:rPr>
          <w:rFonts w:cstheme="minorHAnsi"/>
          <w:noProof/>
        </w:rPr>
        <w:t>total organic</w:t>
      </w:r>
      <w:r w:rsidR="7FDDB9DF" w:rsidRPr="001E08AC">
        <w:rPr>
          <w:rFonts w:cstheme="minorHAnsi"/>
          <w:noProof/>
        </w:rPr>
        <w:t xml:space="preserve"> waste supply for energy consumption in 2021</w:t>
      </w:r>
      <w:r w:rsidR="5E7D2581" w:rsidRPr="001E08AC">
        <w:rPr>
          <w:rFonts w:cstheme="minorHAnsi"/>
          <w:noProof/>
        </w:rPr>
        <w:t>.</w:t>
      </w:r>
      <w:r w:rsidRPr="001E08AC">
        <w:rPr>
          <w:rFonts w:cstheme="minorHAnsi"/>
          <w:noProof/>
        </w:rPr>
        <w:t xml:space="preserve"> Only four Member States</w:t>
      </w:r>
      <w:r w:rsidRPr="001E08AC">
        <w:rPr>
          <w:rStyle w:val="FootnoteReference"/>
          <w:rFonts w:cstheme="minorHAnsi"/>
          <w:noProof/>
        </w:rPr>
        <w:footnoteReference w:id="30"/>
      </w:r>
      <w:r w:rsidRPr="001E08AC">
        <w:rPr>
          <w:rFonts w:cstheme="minorHAnsi"/>
          <w:noProof/>
        </w:rPr>
        <w:t xml:space="preserve"> reported importing organic waste biomass. Sweden is the largest organic waste and renewable municipal waste</w:t>
      </w:r>
      <w:r w:rsidR="004949AB" w:rsidRPr="001E08AC">
        <w:rPr>
          <w:rFonts w:cstheme="minorHAnsi"/>
          <w:noProof/>
        </w:rPr>
        <w:t xml:space="preserve"> importer</w:t>
      </w:r>
      <w:r w:rsidRPr="001E08AC">
        <w:rPr>
          <w:rFonts w:cstheme="minorHAnsi"/>
          <w:noProof/>
        </w:rPr>
        <w:t xml:space="preserve">. The Netherlands and Belgium were the only </w:t>
      </w:r>
      <w:r w:rsidR="009E3CB6" w:rsidRPr="001E08AC">
        <w:rPr>
          <w:rFonts w:cstheme="minorHAnsi"/>
          <w:noProof/>
        </w:rPr>
        <w:t xml:space="preserve">Member States </w:t>
      </w:r>
      <w:r w:rsidRPr="001E08AC">
        <w:rPr>
          <w:rFonts w:cstheme="minorHAnsi"/>
          <w:noProof/>
        </w:rPr>
        <w:t>to report importing waste sludges, 56 thousand m</w:t>
      </w:r>
      <w:r w:rsidRPr="001E08AC">
        <w:rPr>
          <w:rFonts w:cstheme="minorHAnsi"/>
          <w:noProof/>
          <w:vertAlign w:val="superscript"/>
        </w:rPr>
        <w:t>3</w:t>
      </w:r>
      <w:r w:rsidRPr="001E08AC">
        <w:rPr>
          <w:rFonts w:cstheme="minorHAnsi"/>
          <w:noProof/>
        </w:rPr>
        <w:t xml:space="preserve"> and </w:t>
      </w:r>
      <w:r w:rsidR="00F700C5" w:rsidRPr="001E08AC">
        <w:rPr>
          <w:rFonts w:cstheme="minorHAnsi"/>
          <w:noProof/>
        </w:rPr>
        <w:t>4 thousand</w:t>
      </w:r>
      <w:r w:rsidRPr="001E08AC">
        <w:rPr>
          <w:rFonts w:cstheme="minorHAnsi"/>
          <w:noProof/>
        </w:rPr>
        <w:t xml:space="preserve"> m</w:t>
      </w:r>
      <w:r w:rsidRPr="001E08AC">
        <w:rPr>
          <w:rFonts w:cstheme="minorHAnsi"/>
          <w:noProof/>
          <w:vertAlign w:val="superscript"/>
        </w:rPr>
        <w:t>3</w:t>
      </w:r>
      <w:r w:rsidRPr="001E08AC">
        <w:rPr>
          <w:rFonts w:cstheme="minorHAnsi"/>
          <w:noProof/>
        </w:rPr>
        <w:t>, respectively.</w:t>
      </w:r>
    </w:p>
    <w:p w14:paraId="0A70A56E" w14:textId="030ABBDB" w:rsidR="00783881" w:rsidRPr="001E08AC" w:rsidRDefault="00783881" w:rsidP="00C002A3">
      <w:pPr>
        <w:spacing w:before="240" w:after="120" w:line="240" w:lineRule="auto"/>
        <w:jc w:val="both"/>
        <w:rPr>
          <w:rFonts w:cstheme="minorHAnsi"/>
          <w:noProof/>
        </w:rPr>
      </w:pPr>
      <w:r w:rsidRPr="001E08AC">
        <w:rPr>
          <w:rFonts w:cstheme="minorHAnsi"/>
          <w:noProof/>
        </w:rPr>
        <w:t xml:space="preserve">In total, in 2021, the EU imported feedstock equal to </w:t>
      </w:r>
      <w:r w:rsidR="005F4EF3" w:rsidRPr="001E08AC">
        <w:rPr>
          <w:rFonts w:cstheme="minorHAnsi"/>
          <w:noProof/>
        </w:rPr>
        <w:t>8,194</w:t>
      </w:r>
      <w:r w:rsidR="5E7D2581" w:rsidRPr="001E08AC">
        <w:rPr>
          <w:rFonts w:cstheme="minorHAnsi"/>
          <w:noProof/>
        </w:rPr>
        <w:t xml:space="preserve"> kto</w:t>
      </w:r>
      <w:r w:rsidR="00B942C5" w:rsidRPr="001E08AC">
        <w:rPr>
          <w:rFonts w:cstheme="minorHAnsi"/>
          <w:noProof/>
        </w:rPr>
        <w:t>e</w:t>
      </w:r>
      <w:r w:rsidRPr="001E08AC">
        <w:rPr>
          <w:rStyle w:val="FootnoteReference"/>
          <w:rFonts w:cstheme="minorHAnsi"/>
          <w:noProof/>
        </w:rPr>
        <w:footnoteReference w:id="31"/>
      </w:r>
      <w:r w:rsidRPr="001E08AC">
        <w:rPr>
          <w:rFonts w:cstheme="minorHAnsi"/>
          <w:noProof/>
        </w:rPr>
        <w:t xml:space="preserve"> </w:t>
      </w:r>
      <w:r w:rsidR="00CF7CEB" w:rsidRPr="001E08AC">
        <w:rPr>
          <w:rFonts w:cstheme="minorHAnsi"/>
          <w:noProof/>
        </w:rPr>
        <w:t>to produce</w:t>
      </w:r>
      <w:r w:rsidRPr="001E08AC">
        <w:rPr>
          <w:rFonts w:cstheme="minorHAnsi"/>
          <w:noProof/>
        </w:rPr>
        <w:t xml:space="preserve"> biofuels. Bioethanol is mainly produced from feedstock originating from the EU (at a percentage of around </w:t>
      </w:r>
      <w:r w:rsidR="4F6ACFF5" w:rsidRPr="001E08AC">
        <w:rPr>
          <w:rFonts w:cstheme="minorHAnsi"/>
          <w:noProof/>
        </w:rPr>
        <w:t>78</w:t>
      </w:r>
      <w:r w:rsidRPr="001E08AC">
        <w:rPr>
          <w:rFonts w:cstheme="minorHAnsi"/>
          <w:noProof/>
        </w:rPr>
        <w:t>%), whereas only around half of biodiesel (</w:t>
      </w:r>
      <w:r w:rsidR="23F769C1" w:rsidRPr="001E08AC">
        <w:rPr>
          <w:rFonts w:cstheme="minorHAnsi"/>
          <w:noProof/>
        </w:rPr>
        <w:t>43</w:t>
      </w:r>
      <w:r w:rsidRPr="001E08AC">
        <w:rPr>
          <w:rFonts w:cstheme="minorHAnsi"/>
          <w:noProof/>
        </w:rPr>
        <w:t>%) is produced from EU-originating feedstock</w:t>
      </w:r>
      <w:r w:rsidR="007B0CDF" w:rsidRPr="001E08AC">
        <w:rPr>
          <w:rFonts w:cstheme="minorHAnsi"/>
          <w:noProof/>
        </w:rPr>
        <w:t xml:space="preserve"> (figure</w:t>
      </w:r>
      <w:r w:rsidR="00E73452" w:rsidRPr="001E08AC">
        <w:rPr>
          <w:rFonts w:cstheme="minorHAnsi"/>
          <w:noProof/>
        </w:rPr>
        <w:t xml:space="preserve"> below)</w:t>
      </w:r>
      <w:r w:rsidR="5E7D2581" w:rsidRPr="001E08AC">
        <w:rPr>
          <w:rFonts w:cstheme="minorHAnsi"/>
          <w:noProof/>
        </w:rPr>
        <w:t>.</w:t>
      </w:r>
      <w:r w:rsidRPr="001E08AC">
        <w:rPr>
          <w:rFonts w:cstheme="minorHAnsi"/>
          <w:noProof/>
        </w:rPr>
        <w:t xml:space="preserve"> When looking at </w:t>
      </w:r>
      <w:r w:rsidR="0FD614C3" w:rsidRPr="001E08AC">
        <w:rPr>
          <w:rFonts w:cstheme="minorHAnsi"/>
          <w:noProof/>
        </w:rPr>
        <w:t>biofuel</w:t>
      </w:r>
      <w:r w:rsidRPr="001E08AC">
        <w:rPr>
          <w:rFonts w:cstheme="minorHAnsi"/>
          <w:noProof/>
        </w:rPr>
        <w:t xml:space="preserve"> imports, the biofuel feedstock in </w:t>
      </w:r>
      <w:bookmarkStart w:id="12" w:name="_Int_IYjpsOw1"/>
      <w:r w:rsidRPr="001E08AC">
        <w:rPr>
          <w:rFonts w:cstheme="minorHAnsi"/>
          <w:noProof/>
        </w:rPr>
        <w:t>mainly imported</w:t>
      </w:r>
      <w:bookmarkEnd w:id="12"/>
      <w:r w:rsidRPr="001E08AC">
        <w:rPr>
          <w:rFonts w:cstheme="minorHAnsi"/>
          <w:noProof/>
        </w:rPr>
        <w:t xml:space="preserve"> from Indonesia and Malaysia with </w:t>
      </w:r>
      <w:r w:rsidR="36E65937" w:rsidRPr="001E08AC">
        <w:rPr>
          <w:rFonts w:cstheme="minorHAnsi"/>
          <w:noProof/>
        </w:rPr>
        <w:t>17</w:t>
      </w:r>
      <w:r w:rsidRPr="001E08AC">
        <w:rPr>
          <w:rFonts w:cstheme="minorHAnsi"/>
          <w:noProof/>
        </w:rPr>
        <w:t xml:space="preserve">% of the total imports of biodiesel feedstock. The remaining </w:t>
      </w:r>
      <w:r w:rsidR="497BB3F3" w:rsidRPr="001E08AC">
        <w:rPr>
          <w:rFonts w:cstheme="minorHAnsi"/>
          <w:noProof/>
        </w:rPr>
        <w:t>41</w:t>
      </w:r>
      <w:r w:rsidRPr="001E08AC">
        <w:rPr>
          <w:rFonts w:cstheme="minorHAnsi"/>
          <w:noProof/>
        </w:rPr>
        <w:t xml:space="preserve">% of the biodiesel feedstock imports </w:t>
      </w:r>
      <w:bookmarkStart w:id="13" w:name="_Int_mSNcV4F1"/>
      <w:r w:rsidRPr="001E08AC">
        <w:rPr>
          <w:rFonts w:cstheme="minorHAnsi"/>
          <w:noProof/>
        </w:rPr>
        <w:t>is</w:t>
      </w:r>
      <w:bookmarkEnd w:id="13"/>
      <w:r w:rsidRPr="001E08AC">
        <w:rPr>
          <w:rFonts w:cstheme="minorHAnsi"/>
          <w:noProof/>
        </w:rPr>
        <w:t xml:space="preserve"> diversified across more than 9 countries worldwide. </w:t>
      </w:r>
    </w:p>
    <w:p w14:paraId="47E4E9DC" w14:textId="19FA8896" w:rsidR="6A99A684" w:rsidRPr="001E08AC" w:rsidRDefault="6A99A684" w:rsidP="00CF7CEB">
      <w:pPr>
        <w:spacing w:before="240" w:after="120" w:line="240" w:lineRule="auto"/>
        <w:jc w:val="center"/>
        <w:rPr>
          <w:rFonts w:cstheme="minorHAnsi"/>
          <w:noProof/>
        </w:rPr>
      </w:pPr>
      <w:r w:rsidRPr="001E08AC">
        <w:rPr>
          <w:rFonts w:cstheme="minorHAnsi"/>
          <w:noProof/>
          <w:lang w:val="en-GB" w:eastAsia="en-GB"/>
        </w:rPr>
        <w:drawing>
          <wp:inline distT="0" distB="0" distL="0" distR="0" wp14:anchorId="7136041F" wp14:editId="4BAECAC5">
            <wp:extent cx="2887078" cy="2724150"/>
            <wp:effectExtent l="0" t="0" r="0" b="0"/>
            <wp:docPr id="1575273931" name="Picture 1575273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887078" cy="2724150"/>
                    </a:xfrm>
                    <a:prstGeom prst="rect">
                      <a:avLst/>
                    </a:prstGeom>
                  </pic:spPr>
                </pic:pic>
              </a:graphicData>
            </a:graphic>
          </wp:inline>
        </w:drawing>
      </w:r>
      <w:r w:rsidRPr="001E08AC">
        <w:rPr>
          <w:rFonts w:cstheme="minorHAnsi"/>
          <w:noProof/>
          <w:lang w:val="en-GB" w:eastAsia="en-GB"/>
        </w:rPr>
        <w:drawing>
          <wp:inline distT="0" distB="0" distL="0" distR="0" wp14:anchorId="5F911457" wp14:editId="6FD7777B">
            <wp:extent cx="2705100" cy="2737536"/>
            <wp:effectExtent l="0" t="0" r="0" b="0"/>
            <wp:docPr id="20403366" name="Picture 20403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705100" cy="2737536"/>
                    </a:xfrm>
                    <a:prstGeom prst="rect">
                      <a:avLst/>
                    </a:prstGeom>
                  </pic:spPr>
                </pic:pic>
              </a:graphicData>
            </a:graphic>
          </wp:inline>
        </w:drawing>
      </w:r>
    </w:p>
    <w:p w14:paraId="5348D54B" w14:textId="5C4517B8" w:rsidR="6A99A684" w:rsidRPr="001E08AC" w:rsidRDefault="6A99A684" w:rsidP="00CF7CEB">
      <w:pPr>
        <w:spacing w:after="120" w:line="240" w:lineRule="auto"/>
        <w:jc w:val="center"/>
        <w:rPr>
          <w:rFonts w:cstheme="minorHAnsi"/>
          <w:b/>
          <w:bCs/>
          <w:noProof/>
          <w:sz w:val="20"/>
          <w:szCs w:val="20"/>
        </w:rPr>
      </w:pPr>
      <w:r w:rsidRPr="001E08AC">
        <w:rPr>
          <w:rFonts w:cstheme="minorHAnsi"/>
          <w:b/>
          <w:bCs/>
          <w:noProof/>
          <w:sz w:val="20"/>
          <w:szCs w:val="20"/>
        </w:rPr>
        <w:t>Geographical origin of feedstock for biodiesel (left) and bioethanol (right</w:t>
      </w:r>
      <w:r w:rsidR="46DD13CD" w:rsidRPr="001E08AC">
        <w:rPr>
          <w:rFonts w:cstheme="minorHAnsi"/>
          <w:b/>
          <w:bCs/>
          <w:noProof/>
          <w:sz w:val="20"/>
          <w:szCs w:val="20"/>
        </w:rPr>
        <w:t xml:space="preserve">) </w:t>
      </w:r>
      <w:r w:rsidRPr="001E08AC">
        <w:rPr>
          <w:rFonts w:cstheme="minorHAnsi"/>
          <w:b/>
          <w:bCs/>
          <w:noProof/>
          <w:sz w:val="20"/>
          <w:szCs w:val="20"/>
        </w:rPr>
        <w:t>for the EU in 2021</w:t>
      </w:r>
    </w:p>
    <w:p w14:paraId="2409B16D" w14:textId="77777777" w:rsidR="0075280D" w:rsidRPr="001E08AC" w:rsidRDefault="0075280D" w:rsidP="00CF7CEB">
      <w:pPr>
        <w:spacing w:before="240" w:after="120" w:line="240" w:lineRule="auto"/>
        <w:jc w:val="both"/>
        <w:rPr>
          <w:rFonts w:cstheme="minorHAnsi"/>
          <w:b/>
          <w:bCs/>
          <w:i/>
          <w:iCs/>
          <w:noProof/>
        </w:rPr>
        <w:sectPr w:rsidR="0075280D" w:rsidRPr="001E08AC" w:rsidSect="00213ECF">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08" w:footer="708" w:gutter="0"/>
          <w:cols w:space="720"/>
          <w:docGrid w:linePitch="360"/>
        </w:sectPr>
      </w:pPr>
    </w:p>
    <w:p w14:paraId="09D1580C" w14:textId="77777777" w:rsidR="00677529" w:rsidRPr="001E08AC" w:rsidRDefault="00677529" w:rsidP="00CF7CEB">
      <w:pPr>
        <w:spacing w:before="240" w:after="120" w:line="240" w:lineRule="auto"/>
        <w:jc w:val="both"/>
        <w:rPr>
          <w:rFonts w:cstheme="minorHAnsi"/>
          <w:b/>
          <w:bCs/>
          <w:i/>
          <w:iCs/>
          <w:noProof/>
        </w:rPr>
      </w:pPr>
      <w:r w:rsidRPr="001E08AC">
        <w:rPr>
          <w:rFonts w:cstheme="minorHAnsi"/>
          <w:b/>
          <w:bCs/>
          <w:i/>
          <w:iCs/>
          <w:noProof/>
        </w:rPr>
        <w:t xml:space="preserve">Measures reported by the Member States to promote bioenergy and respect the sustainability criteria and GHG saving criteria set out in the Renewable Energy Directive  </w:t>
      </w:r>
    </w:p>
    <w:p w14:paraId="102D9548" w14:textId="6B908CD9" w:rsidR="00783881" w:rsidRPr="001E08AC" w:rsidRDefault="00B10D2F" w:rsidP="00CF7CEB">
      <w:pPr>
        <w:spacing w:before="240" w:after="120" w:line="240" w:lineRule="auto"/>
        <w:jc w:val="both"/>
        <w:rPr>
          <w:rFonts w:cstheme="minorHAnsi"/>
          <w:noProof/>
        </w:rPr>
      </w:pPr>
      <w:r w:rsidRPr="001E08AC">
        <w:rPr>
          <w:rFonts w:cstheme="minorHAnsi"/>
          <w:noProof/>
        </w:rPr>
        <w:t>The Renewable Energy Directive</w:t>
      </w:r>
      <w:r w:rsidR="00983284">
        <w:rPr>
          <w:rFonts w:cstheme="minorHAnsi"/>
          <w:noProof/>
        </w:rPr>
        <w:t xml:space="preserve"> (RED II)</w:t>
      </w:r>
      <w:r w:rsidR="49B57269" w:rsidRPr="001E08AC">
        <w:rPr>
          <w:rFonts w:cstheme="minorHAnsi"/>
          <w:noProof/>
        </w:rPr>
        <w:t xml:space="preserve"> promotes bioenergy as long as it is sustainable</w:t>
      </w:r>
      <w:r w:rsidR="00983284">
        <w:rPr>
          <w:rFonts w:cstheme="minorHAnsi"/>
          <w:noProof/>
        </w:rPr>
        <w:t xml:space="preserve"> </w:t>
      </w:r>
      <w:r w:rsidR="49B57269" w:rsidRPr="001E08AC">
        <w:rPr>
          <w:rFonts w:cstheme="minorHAnsi"/>
          <w:noProof/>
        </w:rPr>
        <w:t>and certified as such. The Directive, including the stricter sustainability criteria</w:t>
      </w:r>
      <w:r w:rsidR="6805D34E" w:rsidRPr="001E08AC">
        <w:rPr>
          <w:rFonts w:cstheme="minorHAnsi"/>
          <w:noProof/>
        </w:rPr>
        <w:t xml:space="preserve"> in Article 29,</w:t>
      </w:r>
      <w:r w:rsidR="49B57269" w:rsidRPr="001E08AC">
        <w:rPr>
          <w:rFonts w:cstheme="minorHAnsi"/>
          <w:noProof/>
        </w:rPr>
        <w:t xml:space="preserve"> </w:t>
      </w:r>
      <w:r w:rsidR="00F7393E" w:rsidRPr="001E08AC">
        <w:rPr>
          <w:rFonts w:cstheme="minorHAnsi"/>
          <w:noProof/>
        </w:rPr>
        <w:t>had to be transposed by</w:t>
      </w:r>
      <w:r w:rsidR="75AAC690" w:rsidRPr="001E08AC">
        <w:rPr>
          <w:rFonts w:cstheme="minorHAnsi"/>
          <w:noProof/>
        </w:rPr>
        <w:t xml:space="preserve"> June 2021. The transposition checks are currently ongoing</w:t>
      </w:r>
      <w:r w:rsidR="00347D7E">
        <w:rPr>
          <w:rStyle w:val="FootnoteReference"/>
          <w:rFonts w:cstheme="minorHAnsi"/>
          <w:noProof/>
        </w:rPr>
        <w:footnoteReference w:id="32"/>
      </w:r>
      <w:r w:rsidR="75AAC690" w:rsidRPr="001E08AC">
        <w:rPr>
          <w:rFonts w:cstheme="minorHAnsi"/>
          <w:noProof/>
        </w:rPr>
        <w:t xml:space="preserve">. Most Member States have at least partially transposed </w:t>
      </w:r>
      <w:r w:rsidR="762EF8B2" w:rsidRPr="001E08AC">
        <w:rPr>
          <w:rFonts w:cstheme="minorHAnsi"/>
          <w:noProof/>
        </w:rPr>
        <w:t>Article</w:t>
      </w:r>
      <w:r w:rsidR="00B84BB3" w:rsidRPr="001E08AC">
        <w:rPr>
          <w:rFonts w:cstheme="minorHAnsi"/>
          <w:noProof/>
        </w:rPr>
        <w:t> </w:t>
      </w:r>
      <w:r w:rsidR="762EF8B2" w:rsidRPr="001E08AC">
        <w:rPr>
          <w:rFonts w:cstheme="minorHAnsi"/>
          <w:noProof/>
        </w:rPr>
        <w:t>29</w:t>
      </w:r>
      <w:r w:rsidR="5EE1E90E" w:rsidRPr="001E08AC">
        <w:rPr>
          <w:rFonts w:cstheme="minorHAnsi"/>
          <w:noProof/>
        </w:rPr>
        <w:t xml:space="preserve"> and updated their existing legislation to include the stricter rules included in the recast Directive. Some Member States have introduced, </w:t>
      </w:r>
      <w:r w:rsidR="26AAB880" w:rsidRPr="001E08AC">
        <w:rPr>
          <w:rFonts w:cstheme="minorHAnsi"/>
          <w:noProof/>
        </w:rPr>
        <w:t xml:space="preserve">besides primary and secondary legislation, some guidelines or guidance </w:t>
      </w:r>
      <w:r w:rsidR="3F2588B9" w:rsidRPr="001E08AC">
        <w:rPr>
          <w:rFonts w:cstheme="minorHAnsi"/>
          <w:noProof/>
        </w:rPr>
        <w:t xml:space="preserve">in environmental or nature protection acts. </w:t>
      </w:r>
      <w:r w:rsidR="3E3A34B3" w:rsidRPr="001E08AC">
        <w:rPr>
          <w:rFonts w:cstheme="minorHAnsi"/>
          <w:noProof/>
        </w:rPr>
        <w:t xml:space="preserve">In the NECPRs, </w:t>
      </w:r>
      <w:r w:rsidR="75FB81BC" w:rsidRPr="001E08AC">
        <w:rPr>
          <w:rFonts w:cstheme="minorHAnsi"/>
          <w:noProof/>
        </w:rPr>
        <w:t xml:space="preserve">Member States did not explicitly report on measures related to the sustainability criteria. </w:t>
      </w:r>
      <w:r w:rsidR="160AAFE3" w:rsidRPr="001E08AC">
        <w:rPr>
          <w:rFonts w:cstheme="minorHAnsi"/>
          <w:noProof/>
        </w:rPr>
        <w:t xml:space="preserve">However, </w:t>
      </w:r>
      <w:r w:rsidR="3FF60E80" w:rsidRPr="001E08AC">
        <w:rPr>
          <w:rFonts w:cstheme="minorHAnsi"/>
          <w:noProof/>
        </w:rPr>
        <w:t xml:space="preserve">Member States mentioned measures related to the transposition of the Directive (and therefore, including the implementation of the sustainability criteria). </w:t>
      </w:r>
      <w:r w:rsidR="3D483BC6" w:rsidRPr="001E08AC">
        <w:rPr>
          <w:rFonts w:cstheme="minorHAnsi"/>
          <w:noProof/>
        </w:rPr>
        <w:t>S</w:t>
      </w:r>
      <w:r w:rsidR="25CAE729" w:rsidRPr="001E08AC">
        <w:rPr>
          <w:rFonts w:cstheme="minorHAnsi"/>
          <w:noProof/>
        </w:rPr>
        <w:t>ustainable</w:t>
      </w:r>
      <w:r w:rsidR="5BB48AB9" w:rsidRPr="001E08AC">
        <w:rPr>
          <w:rFonts w:cstheme="minorHAnsi"/>
          <w:noProof/>
        </w:rPr>
        <w:t xml:space="preserve"> certification was mentioned by two Member States: Spain reported a measure about renewable gas certified sustainably, while</w:t>
      </w:r>
      <w:r w:rsidR="75FB81BC" w:rsidRPr="001E08AC">
        <w:rPr>
          <w:rFonts w:cstheme="minorHAnsi"/>
          <w:noProof/>
        </w:rPr>
        <w:t xml:space="preserve"> Italy reported</w:t>
      </w:r>
      <w:r w:rsidR="73454C1F" w:rsidRPr="001E08AC">
        <w:rPr>
          <w:rFonts w:cstheme="minorHAnsi"/>
          <w:noProof/>
        </w:rPr>
        <w:t xml:space="preserve"> </w:t>
      </w:r>
      <w:r w:rsidR="75FB81BC" w:rsidRPr="001E08AC">
        <w:rPr>
          <w:rFonts w:cstheme="minorHAnsi"/>
          <w:noProof/>
        </w:rPr>
        <w:t>two measures, one related to the establishment of a National Biofuels Sustainability Certification System, and the other</w:t>
      </w:r>
      <w:r w:rsidR="009C0195" w:rsidRPr="001E08AC">
        <w:rPr>
          <w:rFonts w:cstheme="minorHAnsi"/>
          <w:noProof/>
        </w:rPr>
        <w:t xml:space="preserve"> related to</w:t>
      </w:r>
      <w:r w:rsidR="75FB81BC" w:rsidRPr="001E08AC">
        <w:rPr>
          <w:rFonts w:cstheme="minorHAnsi"/>
          <w:noProof/>
        </w:rPr>
        <w:t xml:space="preserve"> an update to the certification system.</w:t>
      </w:r>
    </w:p>
    <w:p w14:paraId="446C4D3E" w14:textId="54AB8434" w:rsidR="007A5FFF" w:rsidRPr="001E08AC" w:rsidRDefault="1ADDA20D" w:rsidP="00CF7CEB">
      <w:pPr>
        <w:spacing w:before="240" w:after="120" w:line="240" w:lineRule="auto"/>
        <w:jc w:val="both"/>
        <w:rPr>
          <w:rFonts w:cstheme="minorHAnsi"/>
          <w:noProof/>
        </w:rPr>
      </w:pPr>
      <w:r w:rsidRPr="001E08AC">
        <w:rPr>
          <w:rFonts w:cstheme="minorHAnsi"/>
          <w:noProof/>
        </w:rPr>
        <w:t xml:space="preserve">Only some Member States reported </w:t>
      </w:r>
      <w:r w:rsidR="00C96BEB" w:rsidRPr="001E08AC">
        <w:rPr>
          <w:rFonts w:cstheme="minorHAnsi"/>
          <w:noProof/>
        </w:rPr>
        <w:t>measures regarding the promotion of the sustainability of</w:t>
      </w:r>
      <w:r w:rsidRPr="001E08AC">
        <w:rPr>
          <w:rFonts w:cstheme="minorHAnsi"/>
          <w:noProof/>
        </w:rPr>
        <w:t xml:space="preserve"> forest biomass</w:t>
      </w:r>
      <w:r w:rsidR="00C96BEB" w:rsidRPr="001E08AC">
        <w:rPr>
          <w:rFonts w:cstheme="minorHAnsi"/>
          <w:noProof/>
        </w:rPr>
        <w:t xml:space="preserve"> for energy production</w:t>
      </w:r>
      <w:r w:rsidRPr="001E08AC">
        <w:rPr>
          <w:rFonts w:cstheme="minorHAnsi"/>
          <w:noProof/>
        </w:rPr>
        <w:t xml:space="preserve">, and only Spain </w:t>
      </w:r>
      <w:r w:rsidR="76F5ACE6" w:rsidRPr="001E08AC">
        <w:rPr>
          <w:rFonts w:cstheme="minorHAnsi"/>
          <w:noProof/>
        </w:rPr>
        <w:t>reported two</w:t>
      </w:r>
      <w:r w:rsidRPr="001E08AC">
        <w:rPr>
          <w:rFonts w:cstheme="minorHAnsi"/>
          <w:noProof/>
        </w:rPr>
        <w:t xml:space="preserve"> measures </w:t>
      </w:r>
      <w:r w:rsidR="4C1C9883" w:rsidRPr="001E08AC">
        <w:rPr>
          <w:rFonts w:cstheme="minorHAnsi"/>
          <w:noProof/>
        </w:rPr>
        <w:t>related to</w:t>
      </w:r>
      <w:r w:rsidRPr="001E08AC">
        <w:rPr>
          <w:rFonts w:cstheme="minorHAnsi"/>
          <w:noProof/>
        </w:rPr>
        <w:t xml:space="preserve"> sustainable forest management and maintaining and improving forest reserves. </w:t>
      </w:r>
      <w:r w:rsidR="00D1011B" w:rsidRPr="001E08AC">
        <w:rPr>
          <w:rFonts w:cstheme="minorHAnsi"/>
          <w:noProof/>
        </w:rPr>
        <w:t>N</w:t>
      </w:r>
      <w:r w:rsidRPr="001E08AC">
        <w:rPr>
          <w:rFonts w:cstheme="minorHAnsi"/>
          <w:noProof/>
        </w:rPr>
        <w:t xml:space="preserve">o </w:t>
      </w:r>
      <w:r w:rsidR="009E3CB6" w:rsidRPr="001E08AC">
        <w:rPr>
          <w:rFonts w:cstheme="minorHAnsi"/>
          <w:noProof/>
        </w:rPr>
        <w:t xml:space="preserve">Member State </w:t>
      </w:r>
      <w:r w:rsidRPr="001E08AC">
        <w:rPr>
          <w:rFonts w:cstheme="minorHAnsi"/>
          <w:noProof/>
        </w:rPr>
        <w:t xml:space="preserve">reported anything about </w:t>
      </w:r>
      <w:r w:rsidR="4338BE59" w:rsidRPr="001E08AC">
        <w:rPr>
          <w:rFonts w:cstheme="minorHAnsi"/>
          <w:noProof/>
        </w:rPr>
        <w:t>the</w:t>
      </w:r>
      <w:r w:rsidR="1ABF7696" w:rsidRPr="001E08AC">
        <w:rPr>
          <w:rFonts w:cstheme="minorHAnsi"/>
          <w:noProof/>
        </w:rPr>
        <w:t xml:space="preserve"> </w:t>
      </w:r>
      <w:r w:rsidRPr="001E08AC">
        <w:rPr>
          <w:rFonts w:cstheme="minorHAnsi"/>
          <w:noProof/>
        </w:rPr>
        <w:t xml:space="preserve">challenges related to forest biomass availability. </w:t>
      </w:r>
      <w:r w:rsidR="4B7167E5" w:rsidRPr="001E08AC">
        <w:rPr>
          <w:rFonts w:cstheme="minorHAnsi"/>
          <w:noProof/>
        </w:rPr>
        <w:t xml:space="preserve"> </w:t>
      </w:r>
    </w:p>
    <w:p w14:paraId="731D1D9C" w14:textId="58F0F2EB" w:rsidR="00783881" w:rsidRPr="001E08AC" w:rsidRDefault="1A1B7A0B" w:rsidP="00CF7CEB">
      <w:pPr>
        <w:spacing w:before="240" w:after="120" w:line="240" w:lineRule="auto"/>
        <w:jc w:val="both"/>
        <w:rPr>
          <w:rFonts w:cstheme="minorHAnsi"/>
          <w:noProof/>
        </w:rPr>
      </w:pPr>
      <w:r w:rsidRPr="001E08AC">
        <w:rPr>
          <w:rFonts w:cstheme="minorHAnsi"/>
          <w:noProof/>
        </w:rPr>
        <w:t>As regards the LULUCF</w:t>
      </w:r>
      <w:r w:rsidR="00B84BB3" w:rsidRPr="001E08AC">
        <w:rPr>
          <w:rStyle w:val="FootnoteReference"/>
          <w:rFonts w:cstheme="minorHAnsi"/>
          <w:noProof/>
        </w:rPr>
        <w:footnoteReference w:id="33"/>
      </w:r>
      <w:r w:rsidRPr="001E08AC">
        <w:rPr>
          <w:rFonts w:cstheme="minorHAnsi"/>
          <w:noProof/>
        </w:rPr>
        <w:t xml:space="preserve"> criteria, Member States only provided </w:t>
      </w:r>
      <w:r w:rsidR="3E9B6BD9" w:rsidRPr="001E08AC">
        <w:rPr>
          <w:rFonts w:cstheme="minorHAnsi"/>
          <w:noProof/>
        </w:rPr>
        <w:t xml:space="preserve">limited information </w:t>
      </w:r>
      <w:r w:rsidR="3FB846B6" w:rsidRPr="001E08AC">
        <w:rPr>
          <w:rFonts w:cstheme="minorHAnsi"/>
          <w:noProof/>
        </w:rPr>
        <w:t xml:space="preserve">in their NECPRs. </w:t>
      </w:r>
      <w:r w:rsidR="05742216" w:rsidRPr="001E08AC">
        <w:rPr>
          <w:rFonts w:cstheme="minorHAnsi"/>
          <w:noProof/>
        </w:rPr>
        <w:t>It should be noted that a</w:t>
      </w:r>
      <w:r w:rsidR="3FB846B6" w:rsidRPr="001E08AC">
        <w:rPr>
          <w:rFonts w:cstheme="minorHAnsi"/>
          <w:noProof/>
        </w:rPr>
        <w:t>ll EU Member States are</w:t>
      </w:r>
      <w:r w:rsidR="3E9B6BD9" w:rsidRPr="001E08AC">
        <w:rPr>
          <w:rFonts w:cstheme="minorHAnsi"/>
          <w:noProof/>
        </w:rPr>
        <w:t xml:space="preserve"> signatory of the Paris Agreement</w:t>
      </w:r>
      <w:r w:rsidR="1AE05E62" w:rsidRPr="001E08AC">
        <w:rPr>
          <w:rFonts w:cstheme="minorHAnsi"/>
          <w:noProof/>
        </w:rPr>
        <w:t xml:space="preserve"> and h</w:t>
      </w:r>
      <w:r w:rsidR="3E9B6BD9" w:rsidRPr="001E08AC">
        <w:rPr>
          <w:rFonts w:cstheme="minorHAnsi"/>
          <w:noProof/>
        </w:rPr>
        <w:t>av</w:t>
      </w:r>
      <w:r w:rsidR="491221C8" w:rsidRPr="001E08AC">
        <w:rPr>
          <w:rFonts w:cstheme="minorHAnsi"/>
          <w:noProof/>
        </w:rPr>
        <w:t>e</w:t>
      </w:r>
      <w:r w:rsidR="3E9B6BD9" w:rsidRPr="001E08AC">
        <w:rPr>
          <w:rFonts w:cstheme="minorHAnsi"/>
          <w:noProof/>
        </w:rPr>
        <w:t xml:space="preserve"> submitted </w:t>
      </w:r>
      <w:r w:rsidR="00B84BB3" w:rsidRPr="001E08AC">
        <w:rPr>
          <w:rFonts w:cstheme="minorHAnsi"/>
          <w:noProof/>
        </w:rPr>
        <w:t>n</w:t>
      </w:r>
      <w:r w:rsidR="1ED2A19E" w:rsidRPr="001E08AC">
        <w:rPr>
          <w:rFonts w:cstheme="minorHAnsi"/>
          <w:noProof/>
        </w:rPr>
        <w:t>ationally determined contributions</w:t>
      </w:r>
      <w:r w:rsidR="3E9B6BD9" w:rsidRPr="001E08AC">
        <w:rPr>
          <w:rFonts w:cstheme="minorHAnsi"/>
          <w:noProof/>
        </w:rPr>
        <w:t xml:space="preserve"> </w:t>
      </w:r>
      <w:r w:rsidR="0E9B67D0" w:rsidRPr="001E08AC">
        <w:rPr>
          <w:rFonts w:cstheme="minorHAnsi"/>
          <w:noProof/>
        </w:rPr>
        <w:t>(</w:t>
      </w:r>
      <w:r w:rsidR="3E9B6BD9" w:rsidRPr="001E08AC">
        <w:rPr>
          <w:rFonts w:cstheme="minorHAnsi"/>
          <w:noProof/>
        </w:rPr>
        <w:t>NDC</w:t>
      </w:r>
      <w:r w:rsidR="7570C1C2" w:rsidRPr="001E08AC">
        <w:rPr>
          <w:rFonts w:cstheme="minorHAnsi"/>
          <w:noProof/>
        </w:rPr>
        <w:t xml:space="preserve">) </w:t>
      </w:r>
      <w:r w:rsidR="3E9B6BD9" w:rsidRPr="001E08AC">
        <w:rPr>
          <w:rFonts w:cstheme="minorHAnsi"/>
          <w:noProof/>
        </w:rPr>
        <w:t xml:space="preserve">to the United Nations </w:t>
      </w:r>
      <w:r w:rsidR="507B5911" w:rsidRPr="001E08AC">
        <w:rPr>
          <w:rFonts w:cstheme="minorHAnsi"/>
          <w:noProof/>
        </w:rPr>
        <w:t xml:space="preserve">Framework </w:t>
      </w:r>
      <w:r w:rsidR="3E9B6BD9" w:rsidRPr="001E08AC">
        <w:rPr>
          <w:rFonts w:cstheme="minorHAnsi"/>
          <w:noProof/>
        </w:rPr>
        <w:t>Convention on Climate Change (UNFCCC)</w:t>
      </w:r>
      <w:r w:rsidR="00783881" w:rsidRPr="001E08AC">
        <w:rPr>
          <w:rFonts w:cstheme="minorHAnsi"/>
          <w:noProof/>
          <w:vertAlign w:val="superscript"/>
        </w:rPr>
        <w:footnoteReference w:id="34"/>
      </w:r>
      <w:r w:rsidR="11F7CE38" w:rsidRPr="001E08AC">
        <w:rPr>
          <w:rFonts w:cstheme="minorHAnsi"/>
          <w:noProof/>
          <w:vertAlign w:val="superscript"/>
        </w:rPr>
        <w:t>.</w:t>
      </w:r>
      <w:r w:rsidR="11F7CE38" w:rsidRPr="001E08AC">
        <w:rPr>
          <w:rFonts w:cstheme="minorHAnsi"/>
          <w:noProof/>
        </w:rPr>
        <w:t xml:space="preserve"> </w:t>
      </w:r>
      <w:r w:rsidR="00294486">
        <w:rPr>
          <w:rFonts w:cstheme="minorHAnsi"/>
          <w:noProof/>
        </w:rPr>
        <w:t>thirteen</w:t>
      </w:r>
      <w:r w:rsidR="00783881" w:rsidRPr="001E08AC">
        <w:rPr>
          <w:rFonts w:cstheme="minorHAnsi"/>
          <w:noProof/>
          <w:vertAlign w:val="superscript"/>
        </w:rPr>
        <w:footnoteReference w:id="35"/>
      </w:r>
      <w:r w:rsidR="664FFA6F" w:rsidRPr="001E08AC">
        <w:rPr>
          <w:rFonts w:cstheme="minorHAnsi"/>
          <w:noProof/>
          <w:vertAlign w:val="superscript"/>
        </w:rPr>
        <w:t xml:space="preserve"> </w:t>
      </w:r>
      <w:r w:rsidR="664FFA6F" w:rsidRPr="001E08AC">
        <w:rPr>
          <w:rFonts w:cstheme="minorHAnsi"/>
          <w:noProof/>
        </w:rPr>
        <w:t xml:space="preserve">out </w:t>
      </w:r>
      <w:r w:rsidR="3E9B6BD9" w:rsidRPr="001E08AC">
        <w:rPr>
          <w:rFonts w:cstheme="minorHAnsi"/>
          <w:noProof/>
        </w:rPr>
        <w:t xml:space="preserve">of the </w:t>
      </w:r>
      <w:r w:rsidR="00294486">
        <w:rPr>
          <w:rFonts w:cstheme="minorHAnsi"/>
          <w:noProof/>
        </w:rPr>
        <w:t>eighteen</w:t>
      </w:r>
      <w:r w:rsidR="3E9B6BD9" w:rsidRPr="001E08AC">
        <w:rPr>
          <w:rFonts w:cstheme="minorHAnsi"/>
          <w:noProof/>
        </w:rPr>
        <w:t xml:space="preserve"> M</w:t>
      </w:r>
      <w:r w:rsidR="60F42F80" w:rsidRPr="001E08AC">
        <w:rPr>
          <w:rFonts w:cstheme="minorHAnsi"/>
          <w:noProof/>
        </w:rPr>
        <w:t xml:space="preserve">ember States that reported in this </w:t>
      </w:r>
      <w:r w:rsidR="64FE41A6" w:rsidRPr="001E08AC">
        <w:rPr>
          <w:rFonts w:cstheme="minorHAnsi"/>
          <w:noProof/>
        </w:rPr>
        <w:t>section</w:t>
      </w:r>
      <w:r w:rsidR="60F42F80" w:rsidRPr="001E08AC">
        <w:rPr>
          <w:rFonts w:cstheme="minorHAnsi"/>
          <w:noProof/>
        </w:rPr>
        <w:t xml:space="preserve"> </w:t>
      </w:r>
      <w:r w:rsidR="65718AAE" w:rsidRPr="001E08AC">
        <w:rPr>
          <w:rFonts w:cstheme="minorHAnsi"/>
          <w:noProof/>
        </w:rPr>
        <w:t>explicitly</w:t>
      </w:r>
      <w:r w:rsidR="60F42F80" w:rsidRPr="001E08AC">
        <w:rPr>
          <w:rFonts w:cstheme="minorHAnsi"/>
          <w:noProof/>
        </w:rPr>
        <w:t xml:space="preserve"> </w:t>
      </w:r>
      <w:r w:rsidR="41376D34" w:rsidRPr="001E08AC">
        <w:rPr>
          <w:rFonts w:cstheme="minorHAnsi"/>
          <w:noProof/>
        </w:rPr>
        <w:t>mentioned</w:t>
      </w:r>
      <w:r w:rsidR="60F42F80" w:rsidRPr="001E08AC">
        <w:rPr>
          <w:rFonts w:cstheme="minorHAnsi"/>
          <w:noProof/>
        </w:rPr>
        <w:t xml:space="preserve"> that they have</w:t>
      </w:r>
      <w:r w:rsidR="4C34ED59" w:rsidRPr="001E08AC">
        <w:rPr>
          <w:rFonts w:cstheme="minorHAnsi"/>
          <w:noProof/>
        </w:rPr>
        <w:t xml:space="preserve"> implemented</w:t>
      </w:r>
      <w:r w:rsidR="60F42F80" w:rsidRPr="001E08AC">
        <w:rPr>
          <w:rFonts w:cstheme="minorHAnsi"/>
          <w:noProof/>
        </w:rPr>
        <w:t xml:space="preserve"> national or sub-national laws</w:t>
      </w:r>
      <w:r w:rsidR="55636532" w:rsidRPr="001E08AC">
        <w:rPr>
          <w:rFonts w:cstheme="minorHAnsi"/>
          <w:noProof/>
        </w:rPr>
        <w:t xml:space="preserve"> to ensure that emissions do not exceed removals</w:t>
      </w:r>
      <w:r w:rsidR="3E9B6BD9" w:rsidRPr="001E08AC">
        <w:rPr>
          <w:rFonts w:cstheme="minorHAnsi"/>
          <w:noProof/>
        </w:rPr>
        <w:t>.</w:t>
      </w:r>
    </w:p>
    <w:p w14:paraId="4EB02858" w14:textId="03F9957C" w:rsidR="00783881" w:rsidRPr="001E08AC" w:rsidRDefault="00F700C5" w:rsidP="00CF7CEB">
      <w:pPr>
        <w:spacing w:before="240" w:after="120" w:line="240" w:lineRule="auto"/>
        <w:jc w:val="both"/>
        <w:rPr>
          <w:rFonts w:cstheme="minorHAnsi"/>
          <w:noProof/>
        </w:rPr>
      </w:pPr>
      <w:bookmarkStart w:id="14" w:name="_Hlk147860418"/>
      <w:r w:rsidRPr="001E08AC">
        <w:rPr>
          <w:rFonts w:cstheme="minorHAnsi"/>
          <w:noProof/>
        </w:rPr>
        <w:t>To</w:t>
      </w:r>
      <w:r w:rsidR="07984B46" w:rsidRPr="001E08AC">
        <w:rPr>
          <w:rFonts w:cstheme="minorHAnsi"/>
          <w:noProof/>
        </w:rPr>
        <w:t xml:space="preserve"> reduce</w:t>
      </w:r>
      <w:r w:rsidR="00467234">
        <w:rPr>
          <w:rFonts w:cstheme="minorHAnsi"/>
          <w:noProof/>
        </w:rPr>
        <w:t xml:space="preserve"> the</w:t>
      </w:r>
      <w:r w:rsidR="07984B46" w:rsidRPr="001E08AC">
        <w:rPr>
          <w:rFonts w:cstheme="minorHAnsi"/>
          <w:noProof/>
        </w:rPr>
        <w:t xml:space="preserve"> EU</w:t>
      </w:r>
      <w:r w:rsidR="00467234">
        <w:rPr>
          <w:rFonts w:cstheme="minorHAnsi"/>
          <w:noProof/>
        </w:rPr>
        <w:t>’s</w:t>
      </w:r>
      <w:r w:rsidR="07984B46" w:rsidRPr="001E08AC">
        <w:rPr>
          <w:rFonts w:cstheme="minorHAnsi"/>
          <w:noProof/>
        </w:rPr>
        <w:t xml:space="preserve"> reliance on imported fossil fuels, the Commission has proposed, in the REPowerEU plan</w:t>
      </w:r>
      <w:r w:rsidR="7C60E7E4" w:rsidRPr="001E08AC">
        <w:rPr>
          <w:rFonts w:cstheme="minorHAnsi"/>
          <w:noProof/>
          <w:vertAlign w:val="superscript"/>
        </w:rPr>
        <w:footnoteReference w:id="36"/>
      </w:r>
      <w:r w:rsidR="07984B46" w:rsidRPr="001E08AC">
        <w:rPr>
          <w:rFonts w:cstheme="minorHAnsi"/>
          <w:noProof/>
        </w:rPr>
        <w:t>, to accelerate the production of sustainably produced biomethane (</w:t>
      </w:r>
      <w:r w:rsidR="00983284">
        <w:rPr>
          <w:rFonts w:cstheme="minorHAnsi"/>
          <w:noProof/>
        </w:rPr>
        <w:t xml:space="preserve">mainly </w:t>
      </w:r>
      <w:r w:rsidR="07984B46" w:rsidRPr="001E08AC">
        <w:rPr>
          <w:rFonts w:cstheme="minorHAnsi"/>
          <w:noProof/>
        </w:rPr>
        <w:t>from organic waste, forest and agricultural residues</w:t>
      </w:r>
      <w:r w:rsidR="00983284">
        <w:rPr>
          <w:rFonts w:cstheme="minorHAnsi"/>
          <w:noProof/>
        </w:rPr>
        <w:t xml:space="preserve"> to avoid land-use change impact</w:t>
      </w:r>
      <w:r w:rsidR="07984B46" w:rsidRPr="001E08AC">
        <w:rPr>
          <w:rFonts w:cstheme="minorHAnsi"/>
          <w:noProof/>
        </w:rPr>
        <w:t xml:space="preserve">). </w:t>
      </w:r>
      <w:bookmarkEnd w:id="14"/>
      <w:r w:rsidR="07984B46" w:rsidRPr="001E08AC">
        <w:rPr>
          <w:rFonts w:cstheme="minorHAnsi"/>
          <w:noProof/>
        </w:rPr>
        <w:t xml:space="preserve">A goal of 35 bcm of </w:t>
      </w:r>
      <w:r w:rsidR="6FBDE8F8" w:rsidRPr="001E08AC">
        <w:rPr>
          <w:rFonts w:cstheme="minorHAnsi"/>
          <w:noProof/>
        </w:rPr>
        <w:t>annual</w:t>
      </w:r>
      <w:r w:rsidR="6D4575BC" w:rsidRPr="001E08AC">
        <w:rPr>
          <w:rFonts w:cstheme="minorHAnsi"/>
          <w:noProof/>
        </w:rPr>
        <w:t xml:space="preserve"> </w:t>
      </w:r>
      <w:r w:rsidR="00F24302" w:rsidRPr="001E08AC">
        <w:rPr>
          <w:rFonts w:cstheme="minorHAnsi"/>
          <w:noProof/>
        </w:rPr>
        <w:t>sustainable</w:t>
      </w:r>
      <w:r w:rsidR="07984B46" w:rsidRPr="001E08AC">
        <w:rPr>
          <w:rFonts w:cstheme="minorHAnsi"/>
          <w:noProof/>
        </w:rPr>
        <w:t xml:space="preserve"> biomethane production by 2030 has been proposed to  reduce imports of natural gas from Russia and to accelerate the EU’s clean energy transition. </w:t>
      </w:r>
      <w:r w:rsidR="6D4575BC" w:rsidRPr="001E08AC">
        <w:rPr>
          <w:rFonts w:cstheme="minorHAnsi"/>
          <w:noProof/>
        </w:rPr>
        <w:t>In the</w:t>
      </w:r>
      <w:r w:rsidR="5BD85786" w:rsidRPr="001E08AC">
        <w:rPr>
          <w:rFonts w:cstheme="minorHAnsi"/>
          <w:noProof/>
        </w:rPr>
        <w:t xml:space="preserve"> </w:t>
      </w:r>
      <w:r w:rsidR="07984B46" w:rsidRPr="001E08AC">
        <w:rPr>
          <w:rFonts w:cstheme="minorHAnsi"/>
          <w:noProof/>
        </w:rPr>
        <w:t>NECPRs</w:t>
      </w:r>
      <w:r w:rsidR="6D4575BC" w:rsidRPr="001E08AC">
        <w:rPr>
          <w:rFonts w:cstheme="minorHAnsi"/>
          <w:noProof/>
        </w:rPr>
        <w:t>,</w:t>
      </w:r>
      <w:r w:rsidR="07984B46" w:rsidRPr="001E08AC">
        <w:rPr>
          <w:rFonts w:cstheme="minorHAnsi"/>
          <w:noProof/>
        </w:rPr>
        <w:t xml:space="preserve"> of the </w:t>
      </w:r>
      <w:r w:rsidR="00294486">
        <w:rPr>
          <w:rFonts w:cstheme="minorHAnsi"/>
          <w:noProof/>
        </w:rPr>
        <w:t>twenty-four</w:t>
      </w:r>
      <w:r w:rsidR="07984B46" w:rsidRPr="001E08AC">
        <w:rPr>
          <w:rFonts w:cstheme="minorHAnsi"/>
          <w:noProof/>
        </w:rPr>
        <w:t xml:space="preserve"> Member States that already reported measures, </w:t>
      </w:r>
      <w:r w:rsidR="00294486">
        <w:rPr>
          <w:rFonts w:cstheme="minorHAnsi"/>
          <w:noProof/>
        </w:rPr>
        <w:t>twenty-one</w:t>
      </w:r>
      <w:r w:rsidR="07984B46" w:rsidRPr="001E08AC">
        <w:rPr>
          <w:rFonts w:cstheme="minorHAnsi"/>
          <w:noProof/>
        </w:rPr>
        <w:t xml:space="preserve"> Member States reported measures related to the promotion of biogas and biomethane</w:t>
      </w:r>
      <w:r w:rsidR="7C60E7E4" w:rsidRPr="001E08AC">
        <w:rPr>
          <w:rFonts w:cstheme="minorHAnsi"/>
          <w:noProof/>
          <w:vertAlign w:val="superscript"/>
        </w:rPr>
        <w:footnoteReference w:id="37"/>
      </w:r>
      <w:r w:rsidR="54640DBF" w:rsidRPr="001E08AC">
        <w:rPr>
          <w:rFonts w:cstheme="minorHAnsi"/>
          <w:noProof/>
        </w:rPr>
        <w:t>and about one third of the reporting Member States mentioned measures promoting biomethane in the transpor</w:t>
      </w:r>
      <w:r w:rsidR="74FE2BAD" w:rsidRPr="001E08AC">
        <w:rPr>
          <w:rFonts w:cstheme="minorHAnsi"/>
          <w:noProof/>
        </w:rPr>
        <w:t xml:space="preserve">t sector, mainly as a </w:t>
      </w:r>
      <w:r w:rsidR="54640DBF" w:rsidRPr="001E08AC">
        <w:rPr>
          <w:rFonts w:cstheme="minorHAnsi"/>
          <w:noProof/>
        </w:rPr>
        <w:t>blending obligation.</w:t>
      </w:r>
      <w:r w:rsidR="2F3916D2" w:rsidRPr="001E08AC">
        <w:rPr>
          <w:rFonts w:cstheme="minorHAnsi"/>
          <w:noProof/>
        </w:rPr>
        <w:t xml:space="preserve"> </w:t>
      </w:r>
      <w:r w:rsidR="6E82572E" w:rsidRPr="001E08AC">
        <w:rPr>
          <w:rFonts w:cstheme="minorHAnsi"/>
          <w:noProof/>
        </w:rPr>
        <w:t>Other Member States reported at least one measure promoting or regulating the injection of renewable gas, namely biogas/biomethane, into the natural gas grid</w:t>
      </w:r>
      <w:r w:rsidR="07984B46" w:rsidRPr="001E08AC">
        <w:rPr>
          <w:rFonts w:cstheme="minorHAnsi"/>
          <w:noProof/>
          <w:vertAlign w:val="superscript"/>
        </w:rPr>
        <w:footnoteReference w:id="38"/>
      </w:r>
      <w:r w:rsidR="6E82572E" w:rsidRPr="001E08AC">
        <w:rPr>
          <w:rFonts w:cstheme="minorHAnsi"/>
          <w:noProof/>
        </w:rPr>
        <w:t>.</w:t>
      </w:r>
      <w:r w:rsidR="00FC6428" w:rsidRPr="001E08AC">
        <w:rPr>
          <w:rFonts w:cstheme="minorHAnsi"/>
          <w:noProof/>
        </w:rPr>
        <w:t xml:space="preserve"> </w:t>
      </w:r>
      <w:r w:rsidR="00BB65C0" w:rsidRPr="001E08AC">
        <w:rPr>
          <w:rFonts w:cstheme="minorHAnsi"/>
          <w:noProof/>
        </w:rPr>
        <w:t xml:space="preserve">Sweden does not report </w:t>
      </w:r>
      <w:r w:rsidR="1FBA23D5" w:rsidRPr="001E08AC">
        <w:rPr>
          <w:rFonts w:cstheme="minorHAnsi"/>
          <w:noProof/>
        </w:rPr>
        <w:t>on</w:t>
      </w:r>
      <w:r w:rsidR="004F0B6A" w:rsidRPr="001E08AC">
        <w:rPr>
          <w:rFonts w:cstheme="minorHAnsi"/>
          <w:noProof/>
        </w:rPr>
        <w:t xml:space="preserve"> </w:t>
      </w:r>
      <w:r w:rsidR="0007010C" w:rsidRPr="001E08AC">
        <w:rPr>
          <w:rFonts w:cstheme="minorHAnsi"/>
          <w:noProof/>
        </w:rPr>
        <w:t>e</w:t>
      </w:r>
      <w:r w:rsidR="00AD5F6D" w:rsidRPr="001E08AC">
        <w:rPr>
          <w:rFonts w:cstheme="minorHAnsi"/>
          <w:noProof/>
        </w:rPr>
        <w:t xml:space="preserve">ither the </w:t>
      </w:r>
      <w:r w:rsidR="00BB65C0" w:rsidRPr="001E08AC">
        <w:rPr>
          <w:rFonts w:cstheme="minorHAnsi"/>
          <w:noProof/>
        </w:rPr>
        <w:t>use of biomethane in transport</w:t>
      </w:r>
      <w:r w:rsidR="00AD5F6D" w:rsidRPr="001E08AC">
        <w:rPr>
          <w:rFonts w:cstheme="minorHAnsi"/>
          <w:noProof/>
        </w:rPr>
        <w:t xml:space="preserve">, </w:t>
      </w:r>
      <w:r w:rsidR="2BB58A11" w:rsidRPr="001E08AC">
        <w:rPr>
          <w:rFonts w:cstheme="minorHAnsi"/>
          <w:noProof/>
        </w:rPr>
        <w:t xml:space="preserve">or </w:t>
      </w:r>
      <w:r w:rsidR="00AD5F6D" w:rsidRPr="001E08AC">
        <w:rPr>
          <w:rFonts w:cstheme="minorHAnsi"/>
          <w:noProof/>
        </w:rPr>
        <w:t>biogas production in 2020 and 2021</w:t>
      </w:r>
      <w:r w:rsidR="00556213" w:rsidRPr="001E08AC">
        <w:rPr>
          <w:rFonts w:cstheme="minorHAnsi"/>
          <w:noProof/>
        </w:rPr>
        <w:t xml:space="preserve">, </w:t>
      </w:r>
      <w:r w:rsidR="64416D48" w:rsidRPr="001E08AC">
        <w:rPr>
          <w:rFonts w:cstheme="minorHAnsi"/>
          <w:noProof/>
        </w:rPr>
        <w:t xml:space="preserve">even though it </w:t>
      </w:r>
      <w:r w:rsidRPr="001E08AC">
        <w:rPr>
          <w:rFonts w:cstheme="minorHAnsi"/>
          <w:noProof/>
        </w:rPr>
        <w:t>is one</w:t>
      </w:r>
      <w:r w:rsidR="00556213" w:rsidRPr="001E08AC">
        <w:rPr>
          <w:rFonts w:cstheme="minorHAnsi"/>
          <w:noProof/>
        </w:rPr>
        <w:t xml:space="preserve"> of the most mature biomethane markets in the EU and h</w:t>
      </w:r>
      <w:r w:rsidR="0043474A" w:rsidRPr="001E08AC">
        <w:rPr>
          <w:rFonts w:cstheme="minorHAnsi"/>
          <w:noProof/>
        </w:rPr>
        <w:t>aving</w:t>
      </w:r>
      <w:r w:rsidR="00556213" w:rsidRPr="001E08AC">
        <w:rPr>
          <w:rFonts w:cstheme="minorHAnsi"/>
          <w:noProof/>
        </w:rPr>
        <w:t xml:space="preserve"> the largest share of biogases use in transport. </w:t>
      </w:r>
      <w:r w:rsidR="00F66843" w:rsidRPr="001E08AC">
        <w:rPr>
          <w:rFonts w:cstheme="minorHAnsi"/>
          <w:noProof/>
        </w:rPr>
        <w:t xml:space="preserve">Similarly, </w:t>
      </w:r>
      <w:r w:rsidR="00A545B3" w:rsidRPr="001E08AC">
        <w:rPr>
          <w:rFonts w:cstheme="minorHAnsi"/>
          <w:noProof/>
        </w:rPr>
        <w:t>Belgium, Finland</w:t>
      </w:r>
      <w:r w:rsidR="000C3CDE" w:rsidRPr="001E08AC">
        <w:rPr>
          <w:rFonts w:cstheme="minorHAnsi"/>
          <w:noProof/>
        </w:rPr>
        <w:t xml:space="preserve"> and</w:t>
      </w:r>
      <w:r w:rsidR="00A545B3" w:rsidRPr="001E08AC">
        <w:rPr>
          <w:rFonts w:cstheme="minorHAnsi"/>
          <w:noProof/>
        </w:rPr>
        <w:t xml:space="preserve"> Hungary did not report in the NECPRs any biogas production neither for 2020 nor 2021.</w:t>
      </w:r>
    </w:p>
    <w:p w14:paraId="5FD79BFC" w14:textId="0A958D4A" w:rsidR="00783881" w:rsidRPr="001E08AC" w:rsidRDefault="5065BB3D" w:rsidP="00CF7CEB">
      <w:pPr>
        <w:spacing w:before="240" w:after="120" w:line="240" w:lineRule="auto"/>
        <w:jc w:val="both"/>
        <w:rPr>
          <w:rFonts w:cstheme="minorHAnsi"/>
          <w:noProof/>
        </w:rPr>
      </w:pPr>
      <w:r w:rsidRPr="001E08AC">
        <w:rPr>
          <w:rFonts w:cstheme="minorHAnsi"/>
          <w:noProof/>
        </w:rPr>
        <w:t xml:space="preserve">In their </w:t>
      </w:r>
      <w:r w:rsidR="0034709A" w:rsidRPr="001E08AC">
        <w:rPr>
          <w:rFonts w:cstheme="minorHAnsi"/>
          <w:noProof/>
        </w:rPr>
        <w:t>NECPRs</w:t>
      </w:r>
      <w:r w:rsidRPr="001E08AC">
        <w:rPr>
          <w:rFonts w:cstheme="minorHAnsi"/>
          <w:noProof/>
        </w:rPr>
        <w:t>, some Member States referred to blending mandates and quotas for the promotion of advance</w:t>
      </w:r>
      <w:r w:rsidR="74C3A96B" w:rsidRPr="001E08AC">
        <w:rPr>
          <w:rFonts w:cstheme="minorHAnsi"/>
          <w:noProof/>
        </w:rPr>
        <w:t>d biofuels.</w:t>
      </w:r>
      <w:r w:rsidRPr="001E08AC">
        <w:rPr>
          <w:rFonts w:cstheme="minorHAnsi"/>
          <w:noProof/>
        </w:rPr>
        <w:t xml:space="preserve"> </w:t>
      </w:r>
      <w:r w:rsidR="568A3EA3" w:rsidRPr="001E08AC">
        <w:rPr>
          <w:rFonts w:cstheme="minorHAnsi"/>
          <w:noProof/>
        </w:rPr>
        <w:t>In some cases (</w:t>
      </w:r>
      <w:r w:rsidRPr="001E08AC">
        <w:rPr>
          <w:rFonts w:cstheme="minorHAnsi"/>
          <w:noProof/>
        </w:rPr>
        <w:t>Denmark</w:t>
      </w:r>
      <w:r w:rsidR="6B22AB48" w:rsidRPr="001E08AC">
        <w:rPr>
          <w:rFonts w:cstheme="minorHAnsi"/>
          <w:noProof/>
        </w:rPr>
        <w:t>, France, Italy, Malta, Spain)</w:t>
      </w:r>
      <w:r w:rsidR="00282CD7" w:rsidRPr="001E08AC">
        <w:rPr>
          <w:rFonts w:cstheme="minorHAnsi"/>
          <w:noProof/>
        </w:rPr>
        <w:t>,</w:t>
      </w:r>
      <w:r w:rsidR="6B22AB48" w:rsidRPr="001E08AC">
        <w:rPr>
          <w:rFonts w:cstheme="minorHAnsi"/>
          <w:noProof/>
        </w:rPr>
        <w:t xml:space="preserve"> those measures have already </w:t>
      </w:r>
      <w:r w:rsidR="25C66C5F" w:rsidRPr="001E08AC">
        <w:rPr>
          <w:rFonts w:cstheme="minorHAnsi"/>
          <w:noProof/>
        </w:rPr>
        <w:t>entered in force</w:t>
      </w:r>
      <w:r w:rsidR="6B22AB48" w:rsidRPr="001E08AC">
        <w:rPr>
          <w:rFonts w:cstheme="minorHAnsi"/>
          <w:noProof/>
        </w:rPr>
        <w:t>, whereas in others,</w:t>
      </w:r>
      <w:r w:rsidR="65404706" w:rsidRPr="001E08AC">
        <w:rPr>
          <w:rFonts w:cstheme="minorHAnsi"/>
          <w:noProof/>
        </w:rPr>
        <w:t xml:space="preserve"> such as </w:t>
      </w:r>
      <w:r w:rsidRPr="001E08AC">
        <w:rPr>
          <w:rFonts w:cstheme="minorHAnsi"/>
          <w:noProof/>
        </w:rPr>
        <w:t>Slovenia</w:t>
      </w:r>
      <w:r w:rsidR="7A97D493" w:rsidRPr="001E08AC">
        <w:rPr>
          <w:rFonts w:cstheme="minorHAnsi"/>
          <w:noProof/>
        </w:rPr>
        <w:t xml:space="preserve"> and Croatia</w:t>
      </w:r>
      <w:r w:rsidR="6BA6DD6A" w:rsidRPr="001E08AC">
        <w:rPr>
          <w:rFonts w:cstheme="minorHAnsi"/>
          <w:noProof/>
        </w:rPr>
        <w:t>, the measures to</w:t>
      </w:r>
      <w:r w:rsidRPr="001E08AC">
        <w:rPr>
          <w:rFonts w:cstheme="minorHAnsi"/>
          <w:noProof/>
        </w:rPr>
        <w:t xml:space="preserve"> increase the share of advanced biofuels in the transport sector</w:t>
      </w:r>
      <w:r w:rsidR="3599E57F" w:rsidRPr="001E08AC">
        <w:rPr>
          <w:rFonts w:cstheme="minorHAnsi"/>
          <w:noProof/>
        </w:rPr>
        <w:t xml:space="preserve"> are to be introduced soon</w:t>
      </w:r>
      <w:r w:rsidRPr="001E08AC">
        <w:rPr>
          <w:rFonts w:cstheme="minorHAnsi"/>
          <w:noProof/>
        </w:rPr>
        <w:t xml:space="preserve">. Spain reported various measures that promote the production of advanced biofuels for use </w:t>
      </w:r>
      <w:r w:rsidR="2A4BC29C" w:rsidRPr="001E08AC">
        <w:rPr>
          <w:rFonts w:cstheme="minorHAnsi"/>
          <w:noProof/>
        </w:rPr>
        <w:t xml:space="preserve">not only </w:t>
      </w:r>
      <w:r w:rsidRPr="001E08AC">
        <w:rPr>
          <w:rFonts w:cstheme="minorHAnsi"/>
          <w:noProof/>
        </w:rPr>
        <w:t>in road</w:t>
      </w:r>
      <w:r w:rsidR="3A9FA76E" w:rsidRPr="001E08AC">
        <w:rPr>
          <w:rFonts w:cstheme="minorHAnsi"/>
          <w:noProof/>
        </w:rPr>
        <w:t xml:space="preserve"> but also in </w:t>
      </w:r>
      <w:r w:rsidR="00282CD7" w:rsidRPr="001E08AC">
        <w:rPr>
          <w:rFonts w:cstheme="minorHAnsi"/>
          <w:noProof/>
        </w:rPr>
        <w:t xml:space="preserve">the </w:t>
      </w:r>
      <w:r w:rsidRPr="001E08AC">
        <w:rPr>
          <w:rFonts w:cstheme="minorHAnsi"/>
          <w:noProof/>
        </w:rPr>
        <w:t xml:space="preserve">air and maritime transport sectors, but the regulatory framework for these measures is still under development.  </w:t>
      </w:r>
    </w:p>
    <w:p w14:paraId="3FD61FBF" w14:textId="77777777" w:rsidR="00B84BB3" w:rsidRPr="001E08AC" w:rsidRDefault="5B462A5F" w:rsidP="00B80FC5">
      <w:pPr>
        <w:spacing w:before="240" w:after="120" w:line="240" w:lineRule="auto"/>
        <w:jc w:val="both"/>
        <w:rPr>
          <w:rFonts w:cstheme="minorHAnsi"/>
          <w:noProof/>
          <w:lang w:val="en-GB"/>
        </w:rPr>
      </w:pPr>
      <w:r w:rsidRPr="001E08AC">
        <w:rPr>
          <w:rFonts w:cstheme="minorHAnsi"/>
          <w:noProof/>
        </w:rPr>
        <w:t>In</w:t>
      </w:r>
      <w:r w:rsidR="1DE8275A" w:rsidRPr="001E08AC">
        <w:rPr>
          <w:rFonts w:cstheme="minorHAnsi"/>
          <w:noProof/>
        </w:rPr>
        <w:t xml:space="preserve"> </w:t>
      </w:r>
      <w:r w:rsidR="5943FA83" w:rsidRPr="001E08AC">
        <w:rPr>
          <w:rFonts w:cstheme="minorHAnsi"/>
          <w:noProof/>
        </w:rPr>
        <w:t>the NECPRs,</w:t>
      </w:r>
      <w:r w:rsidR="4EFDB326" w:rsidRPr="001E08AC">
        <w:rPr>
          <w:rFonts w:cstheme="minorHAnsi"/>
          <w:noProof/>
        </w:rPr>
        <w:t xml:space="preserve"> </w:t>
      </w:r>
      <w:r w:rsidR="5943FA83" w:rsidRPr="001E08AC">
        <w:rPr>
          <w:rFonts w:cstheme="minorHAnsi"/>
          <w:noProof/>
        </w:rPr>
        <w:t>Member States were asked to report</w:t>
      </w:r>
      <w:r w:rsidR="743FA91F" w:rsidRPr="001E08AC">
        <w:rPr>
          <w:rFonts w:cstheme="minorHAnsi"/>
          <w:noProof/>
        </w:rPr>
        <w:t xml:space="preserve"> on the</w:t>
      </w:r>
      <w:r w:rsidR="5943FA83" w:rsidRPr="001E08AC">
        <w:rPr>
          <w:rFonts w:cstheme="minorHAnsi"/>
          <w:noProof/>
        </w:rPr>
        <w:t xml:space="preserve"> </w:t>
      </w:r>
      <w:r w:rsidR="2D5F72E6" w:rsidRPr="001E08AC">
        <w:rPr>
          <w:rFonts w:cstheme="minorHAnsi"/>
          <w:noProof/>
        </w:rPr>
        <w:t>changes in commodity prices and land use within t</w:t>
      </w:r>
      <w:r w:rsidR="665B1032" w:rsidRPr="001E08AC">
        <w:rPr>
          <w:rFonts w:cstheme="minorHAnsi"/>
          <w:noProof/>
        </w:rPr>
        <w:t>heir country,</w:t>
      </w:r>
      <w:r w:rsidR="2D5F72E6" w:rsidRPr="001E08AC">
        <w:rPr>
          <w:rFonts w:cstheme="minorHAnsi"/>
          <w:noProof/>
        </w:rPr>
        <w:t xml:space="preserve"> associated with increased use of biomass</w:t>
      </w:r>
      <w:r w:rsidR="37BCC589" w:rsidRPr="001E08AC">
        <w:rPr>
          <w:rFonts w:cstheme="minorHAnsi"/>
          <w:noProof/>
        </w:rPr>
        <w:t xml:space="preserve">. For commodity prices, </w:t>
      </w:r>
      <w:r w:rsidR="1DE8275A" w:rsidRPr="001E08AC">
        <w:rPr>
          <w:rFonts w:cstheme="minorHAnsi"/>
          <w:noProof/>
        </w:rPr>
        <w:t>M</w:t>
      </w:r>
      <w:r w:rsidR="2FBBAEF9" w:rsidRPr="001E08AC">
        <w:rPr>
          <w:rFonts w:cstheme="minorHAnsi"/>
          <w:noProof/>
        </w:rPr>
        <w:t xml:space="preserve">ember States have reported that even though commodity prices may have increased over the last years, </w:t>
      </w:r>
      <w:r w:rsidR="6EEF2877" w:rsidRPr="001E08AC">
        <w:rPr>
          <w:rFonts w:cstheme="minorHAnsi"/>
          <w:noProof/>
        </w:rPr>
        <w:t>this is not related to</w:t>
      </w:r>
      <w:r w:rsidR="1DE8275A" w:rsidRPr="001E08AC">
        <w:rPr>
          <w:rFonts w:cstheme="minorHAnsi"/>
          <w:noProof/>
        </w:rPr>
        <w:t xml:space="preserve"> increased use of biomass for energy production. Spain </w:t>
      </w:r>
      <w:r w:rsidR="4D7C8542" w:rsidRPr="001E08AC">
        <w:rPr>
          <w:rFonts w:cstheme="minorHAnsi"/>
          <w:noProof/>
        </w:rPr>
        <w:t>reported</w:t>
      </w:r>
      <w:r w:rsidR="1DE8275A" w:rsidRPr="001E08AC">
        <w:rPr>
          <w:rFonts w:cstheme="minorHAnsi"/>
          <w:noProof/>
        </w:rPr>
        <w:t xml:space="preserve"> that the share of feedstocks used for bioenergy purposes are small compared to the total amount of produced feedstocks. </w:t>
      </w:r>
      <w:r w:rsidR="1DE8275A" w:rsidRPr="001E08AC">
        <w:rPr>
          <w:rFonts w:cstheme="minorHAnsi"/>
          <w:noProof/>
          <w:lang w:val="en-GB"/>
        </w:rPr>
        <w:t>Cyprus and Estonia report that</w:t>
      </w:r>
      <w:r w:rsidR="030BF2AE" w:rsidRPr="001E08AC">
        <w:rPr>
          <w:rFonts w:cstheme="minorHAnsi"/>
          <w:noProof/>
          <w:lang w:val="en-GB"/>
        </w:rPr>
        <w:t>, in their countries, agricultural feedstocks are not used for energy production, therefore there is no correlation between</w:t>
      </w:r>
      <w:r w:rsidR="1DE8275A" w:rsidRPr="001E08AC">
        <w:rPr>
          <w:rFonts w:cstheme="minorHAnsi"/>
          <w:noProof/>
          <w:lang w:val="en-GB"/>
        </w:rPr>
        <w:t xml:space="preserve"> the use of biomass for energy production and </w:t>
      </w:r>
      <w:r w:rsidR="1EA0D933" w:rsidRPr="001E08AC">
        <w:rPr>
          <w:rFonts w:cstheme="minorHAnsi"/>
          <w:noProof/>
          <w:lang w:val="en-GB"/>
        </w:rPr>
        <w:t xml:space="preserve">fluctuations in </w:t>
      </w:r>
      <w:r w:rsidR="1DE8275A" w:rsidRPr="001E08AC">
        <w:rPr>
          <w:rFonts w:cstheme="minorHAnsi"/>
          <w:noProof/>
          <w:lang w:val="en-GB"/>
        </w:rPr>
        <w:t xml:space="preserve">commodity prices. </w:t>
      </w:r>
    </w:p>
    <w:p w14:paraId="7F4001E1" w14:textId="4131D5BB" w:rsidR="00783881" w:rsidRPr="001E08AC" w:rsidRDefault="0DEBADD5" w:rsidP="00CF7CEB">
      <w:pPr>
        <w:spacing w:before="240" w:after="120" w:line="240" w:lineRule="auto"/>
        <w:jc w:val="both"/>
        <w:rPr>
          <w:rFonts w:cstheme="minorHAnsi"/>
          <w:noProof/>
          <w:highlight w:val="yellow"/>
        </w:rPr>
      </w:pPr>
      <w:r w:rsidRPr="001E08AC">
        <w:rPr>
          <w:rFonts w:cstheme="minorHAnsi"/>
          <w:noProof/>
          <w:lang w:val="en-GB"/>
        </w:rPr>
        <w:t>When it comes to land-use,</w:t>
      </w:r>
      <w:r w:rsidR="1DE8275A" w:rsidRPr="001E08AC">
        <w:rPr>
          <w:rFonts w:cstheme="minorHAnsi"/>
          <w:noProof/>
        </w:rPr>
        <w:t xml:space="preserve"> </w:t>
      </w:r>
      <w:r w:rsidR="00294486">
        <w:rPr>
          <w:rFonts w:cstheme="minorHAnsi"/>
          <w:noProof/>
        </w:rPr>
        <w:t>fourteen</w:t>
      </w:r>
      <w:r w:rsidR="4945B381" w:rsidRPr="001E08AC">
        <w:rPr>
          <w:rFonts w:cstheme="minorHAnsi"/>
          <w:noProof/>
          <w:lang w:val="en-GB"/>
        </w:rPr>
        <w:t xml:space="preserve"> M</w:t>
      </w:r>
      <w:r w:rsidR="1094DE07" w:rsidRPr="001E08AC">
        <w:rPr>
          <w:rFonts w:cstheme="minorHAnsi"/>
          <w:noProof/>
          <w:lang w:val="en-GB"/>
        </w:rPr>
        <w:t>ember States</w:t>
      </w:r>
      <w:r w:rsidR="4945B381" w:rsidRPr="001E08AC">
        <w:rPr>
          <w:rFonts w:cstheme="minorHAnsi"/>
          <w:noProof/>
          <w:lang w:val="en-GB"/>
        </w:rPr>
        <w:t xml:space="preserve"> have </w:t>
      </w:r>
      <w:r w:rsidR="54382914" w:rsidRPr="001E08AC">
        <w:rPr>
          <w:rFonts w:cstheme="minorHAnsi"/>
          <w:noProof/>
          <w:lang w:val="en-GB"/>
        </w:rPr>
        <w:t>reported the relevant data</w:t>
      </w:r>
      <w:r w:rsidR="00783881" w:rsidRPr="001E08AC">
        <w:rPr>
          <w:rFonts w:cstheme="minorHAnsi"/>
          <w:noProof/>
          <w:vertAlign w:val="superscript"/>
          <w:lang w:val="en-GB"/>
        </w:rPr>
        <w:footnoteReference w:id="39"/>
      </w:r>
      <w:r w:rsidR="00B80FC5" w:rsidRPr="001E08AC">
        <w:rPr>
          <w:rFonts w:cstheme="minorHAnsi"/>
          <w:noProof/>
        </w:rPr>
        <w:t>, out of which five Member States</w:t>
      </w:r>
      <w:r w:rsidR="00B80FC5" w:rsidRPr="001E08AC">
        <w:rPr>
          <w:rStyle w:val="FootnoteReference"/>
          <w:rFonts w:cstheme="minorHAnsi"/>
          <w:noProof/>
        </w:rPr>
        <w:footnoteReference w:id="40"/>
      </w:r>
      <w:r w:rsidR="00B80FC5" w:rsidRPr="001E08AC">
        <w:rPr>
          <w:rFonts w:cstheme="minorHAnsi"/>
          <w:noProof/>
        </w:rPr>
        <w:t xml:space="preserve"> also provided quantitative data</w:t>
      </w:r>
      <w:r w:rsidR="4945B381" w:rsidRPr="001E08AC">
        <w:rPr>
          <w:rFonts w:cstheme="minorHAnsi"/>
          <w:noProof/>
          <w:lang w:val="en-GB"/>
        </w:rPr>
        <w:t xml:space="preserve">. </w:t>
      </w:r>
      <w:r w:rsidR="511512EF" w:rsidRPr="001E08AC">
        <w:rPr>
          <w:rFonts w:cstheme="minorHAnsi"/>
          <w:noProof/>
          <w:lang w:val="en-GB"/>
        </w:rPr>
        <w:t>Finland</w:t>
      </w:r>
      <w:r w:rsidR="1358DDAF" w:rsidRPr="001E08AC">
        <w:rPr>
          <w:rFonts w:cstheme="minorHAnsi"/>
          <w:noProof/>
          <w:lang w:val="en-GB"/>
        </w:rPr>
        <w:t xml:space="preserve">, </w:t>
      </w:r>
      <w:r w:rsidR="04AD5115" w:rsidRPr="001E08AC">
        <w:rPr>
          <w:rFonts w:cstheme="minorHAnsi"/>
          <w:noProof/>
          <w:lang w:val="en-GB"/>
        </w:rPr>
        <w:t>Lithuani</w:t>
      </w:r>
      <w:r w:rsidR="2070BF54" w:rsidRPr="001E08AC">
        <w:rPr>
          <w:rFonts w:cstheme="minorHAnsi"/>
          <w:noProof/>
          <w:lang w:val="en-GB"/>
        </w:rPr>
        <w:t>a and Slovakia</w:t>
      </w:r>
      <w:r w:rsidR="5FF81F65" w:rsidRPr="001E08AC">
        <w:rPr>
          <w:rFonts w:cstheme="minorHAnsi"/>
          <w:noProof/>
          <w:lang w:val="en-GB"/>
        </w:rPr>
        <w:t xml:space="preserve"> </w:t>
      </w:r>
      <w:r w:rsidR="04AD5115" w:rsidRPr="001E08AC">
        <w:rPr>
          <w:rFonts w:cstheme="minorHAnsi"/>
          <w:noProof/>
          <w:lang w:val="en-GB"/>
        </w:rPr>
        <w:t xml:space="preserve">reported no change in land use. </w:t>
      </w:r>
      <w:r w:rsidR="00B80FC5" w:rsidRPr="001E08AC">
        <w:rPr>
          <w:rFonts w:cstheme="minorHAnsi"/>
          <w:noProof/>
        </w:rPr>
        <w:t>Denmark, Italy and Latvia reported an increase of land area related to bioenergy production. Denmark reported an increase in maize growing as biogas co-feedstock from 2,390 ha in 2012 to the current 17,433 ha in 2020/2021, although biogas production is relying dominantly on waste and residues. Italy reported land-use change without further details. Latvia reported an increase of 3.0% in 2021 compared to 2020 for cereals</w:t>
      </w:r>
      <w:r w:rsidR="00B84BB3" w:rsidRPr="001E08AC">
        <w:rPr>
          <w:rFonts w:cstheme="minorHAnsi"/>
          <w:noProof/>
        </w:rPr>
        <w:t>,</w:t>
      </w:r>
      <w:r w:rsidR="00B80FC5" w:rsidRPr="001E08AC">
        <w:rPr>
          <w:rFonts w:cstheme="minorHAnsi"/>
          <w:noProof/>
        </w:rPr>
        <w:t xml:space="preserve"> but note that the change is negligible in comparison with the remaining cropland. Poland reported an annual 4% increase or estimated 797 kha of land for bioenergy cultivation in 2021. Luxembourg was the only Member State that reported a drop of 0.6 pp of land use for energy crops from 2018 to 2022. The dominant energy crop is maize for biogas (67% in 2022). </w:t>
      </w:r>
      <w:r w:rsidR="004D1C46" w:rsidRPr="001E08AC">
        <w:rPr>
          <w:rFonts w:cstheme="minorHAnsi"/>
          <w:noProof/>
          <w:lang w:val="en-GB"/>
        </w:rPr>
        <w:t>Au</w:t>
      </w:r>
      <w:r w:rsidR="4945B381" w:rsidRPr="001E08AC">
        <w:rPr>
          <w:rFonts w:cstheme="minorHAnsi"/>
          <w:noProof/>
          <w:lang w:val="en-GB"/>
        </w:rPr>
        <w:t xml:space="preserve">stria, Cyprus, Hungary, Malta, Spain and Sweden reported </w:t>
      </w:r>
      <w:r w:rsidR="3B5D93ED" w:rsidRPr="001E08AC">
        <w:rPr>
          <w:rFonts w:cstheme="minorHAnsi"/>
          <w:noProof/>
          <w:lang w:val="en-GB"/>
        </w:rPr>
        <w:t xml:space="preserve">that </w:t>
      </w:r>
      <w:r w:rsidR="4945B381" w:rsidRPr="001E08AC">
        <w:rPr>
          <w:rFonts w:cstheme="minorHAnsi"/>
          <w:noProof/>
          <w:lang w:val="en-GB"/>
        </w:rPr>
        <w:t xml:space="preserve">there was either no or no significant </w:t>
      </w:r>
      <w:r w:rsidR="004D1C46" w:rsidRPr="001E08AC">
        <w:rPr>
          <w:rFonts w:cstheme="minorHAnsi"/>
          <w:noProof/>
          <w:lang w:val="en-GB"/>
        </w:rPr>
        <w:t>a</w:t>
      </w:r>
      <w:r w:rsidR="4945B381" w:rsidRPr="001E08AC">
        <w:rPr>
          <w:rFonts w:cstheme="minorHAnsi"/>
          <w:noProof/>
          <w:lang w:val="en-GB"/>
        </w:rPr>
        <w:t xml:space="preserve">mount of land used for bioenergy. </w:t>
      </w:r>
    </w:p>
    <w:p w14:paraId="6EF5A4D6" w14:textId="500F1851" w:rsidR="00783881" w:rsidRPr="001E08AC" w:rsidRDefault="00783881" w:rsidP="00CF7CEB">
      <w:pPr>
        <w:spacing w:before="240" w:after="120" w:line="240" w:lineRule="auto"/>
        <w:jc w:val="both"/>
        <w:rPr>
          <w:rFonts w:cstheme="minorHAnsi"/>
          <w:b/>
          <w:i/>
          <w:noProof/>
        </w:rPr>
      </w:pPr>
      <w:r w:rsidRPr="001E08AC">
        <w:rPr>
          <w:rFonts w:cstheme="minorHAnsi"/>
          <w:b/>
          <w:bCs/>
          <w:i/>
          <w:iCs/>
          <w:noProof/>
        </w:rPr>
        <w:t xml:space="preserve">Technological development and deployment of biofuels made from feedstocks listed in Annex IX to Directive (EU) 2018/2001 </w:t>
      </w:r>
    </w:p>
    <w:p w14:paraId="23730DC1" w14:textId="28CB15E5" w:rsidR="00783881" w:rsidRPr="001E08AC" w:rsidRDefault="00783881" w:rsidP="007C34B7">
      <w:pPr>
        <w:pStyle w:val="BodyText1"/>
        <w:spacing w:before="240"/>
        <w:rPr>
          <w:rFonts w:asciiTheme="minorHAnsi" w:eastAsiaTheme="minorEastAsia" w:hAnsiTheme="minorHAnsi" w:cstheme="minorHAnsi"/>
          <w:szCs w:val="22"/>
          <w:lang w:val="en-US"/>
        </w:rPr>
      </w:pPr>
      <w:r w:rsidRPr="001E08AC">
        <w:rPr>
          <w:rFonts w:asciiTheme="minorHAnsi" w:eastAsiaTheme="minorEastAsia" w:hAnsiTheme="minorHAnsi" w:cstheme="minorHAnsi"/>
          <w:szCs w:val="22"/>
          <w:lang w:val="en-US"/>
        </w:rPr>
        <w:t xml:space="preserve">Annex IX of </w:t>
      </w:r>
      <w:r w:rsidR="00B512C7" w:rsidRPr="001E08AC">
        <w:rPr>
          <w:rFonts w:asciiTheme="minorHAnsi" w:eastAsiaTheme="minorEastAsia" w:hAnsiTheme="minorHAnsi" w:cstheme="minorHAnsi"/>
          <w:szCs w:val="22"/>
          <w:lang w:val="en-US"/>
        </w:rPr>
        <w:t>the Renewable Energy Directive</w:t>
      </w:r>
      <w:r w:rsidRPr="001E08AC">
        <w:rPr>
          <w:rFonts w:asciiTheme="minorHAnsi" w:eastAsiaTheme="minorEastAsia" w:hAnsiTheme="minorHAnsi" w:cstheme="minorHAnsi"/>
          <w:szCs w:val="22"/>
          <w:lang w:val="en-US"/>
        </w:rPr>
        <w:t xml:space="preserve"> includes a list of feedstocks </w:t>
      </w:r>
      <w:r w:rsidR="00F026A4" w:rsidRPr="001E08AC">
        <w:rPr>
          <w:rFonts w:asciiTheme="minorHAnsi" w:eastAsiaTheme="minorEastAsia" w:hAnsiTheme="minorHAnsi" w:cstheme="minorHAnsi"/>
          <w:szCs w:val="22"/>
          <w:lang w:val="en-US"/>
        </w:rPr>
        <w:t xml:space="preserve">which can be </w:t>
      </w:r>
      <w:r w:rsidRPr="001E08AC">
        <w:rPr>
          <w:rFonts w:asciiTheme="minorHAnsi" w:eastAsiaTheme="minorEastAsia" w:hAnsiTheme="minorHAnsi" w:cstheme="minorHAnsi"/>
          <w:szCs w:val="22"/>
          <w:lang w:val="en-US"/>
        </w:rPr>
        <w:t xml:space="preserve">used the production of </w:t>
      </w:r>
      <w:r w:rsidR="006C3FF7" w:rsidRPr="001E08AC">
        <w:rPr>
          <w:rFonts w:asciiTheme="minorHAnsi" w:eastAsiaTheme="minorEastAsia" w:hAnsiTheme="minorHAnsi" w:cstheme="minorHAnsi"/>
          <w:szCs w:val="22"/>
          <w:lang w:val="en-US"/>
        </w:rPr>
        <w:t>biogas for transport</w:t>
      </w:r>
      <w:r w:rsidR="0058446A" w:rsidRPr="001E08AC">
        <w:rPr>
          <w:rFonts w:asciiTheme="minorHAnsi" w:eastAsiaTheme="minorEastAsia" w:hAnsiTheme="minorHAnsi" w:cstheme="minorHAnsi"/>
          <w:szCs w:val="22"/>
        </w:rPr>
        <w:t>,</w:t>
      </w:r>
      <w:r w:rsidR="006C3FF7" w:rsidRPr="001E08AC">
        <w:rPr>
          <w:rFonts w:asciiTheme="minorHAnsi" w:eastAsiaTheme="minorEastAsia" w:hAnsiTheme="minorHAnsi" w:cstheme="minorHAnsi"/>
          <w:szCs w:val="22"/>
          <w:lang w:val="en-US"/>
        </w:rPr>
        <w:t xml:space="preserve"> advanced biofuels</w:t>
      </w:r>
      <w:r w:rsidR="0058446A" w:rsidRPr="001E08AC">
        <w:rPr>
          <w:rFonts w:asciiTheme="minorHAnsi" w:eastAsiaTheme="minorEastAsia" w:hAnsiTheme="minorHAnsi" w:cstheme="minorHAnsi"/>
          <w:szCs w:val="22"/>
        </w:rPr>
        <w:t xml:space="preserve"> and biofuels</w:t>
      </w:r>
      <w:r w:rsidR="0009761B" w:rsidRPr="001E08AC">
        <w:rPr>
          <w:rFonts w:asciiTheme="minorHAnsi" w:eastAsiaTheme="minorEastAsia" w:hAnsiTheme="minorHAnsi" w:cstheme="minorHAnsi"/>
          <w:szCs w:val="22"/>
          <w:lang w:val="en-US"/>
        </w:rPr>
        <w:t>to</w:t>
      </w:r>
      <w:r w:rsidRPr="001E08AC">
        <w:rPr>
          <w:rFonts w:asciiTheme="minorHAnsi" w:eastAsiaTheme="minorEastAsia" w:hAnsiTheme="minorHAnsi" w:cstheme="minorHAnsi"/>
          <w:szCs w:val="22"/>
          <w:lang w:val="en-US"/>
        </w:rPr>
        <w:t>. Advanced biofuels are produced from feedstocks listed in Part A of Annex IX</w:t>
      </w:r>
      <w:r w:rsidR="0050086D">
        <w:rPr>
          <w:rFonts w:asciiTheme="minorHAnsi" w:eastAsiaTheme="minorEastAsia" w:hAnsiTheme="minorHAnsi" w:cstheme="minorHAnsi"/>
          <w:szCs w:val="22"/>
          <w:lang w:val="en-US"/>
        </w:rPr>
        <w:t xml:space="preserve"> to the Renewable Energy Directive</w:t>
      </w:r>
      <w:r w:rsidR="006A018C" w:rsidRPr="001E08AC">
        <w:rPr>
          <w:rFonts w:asciiTheme="minorHAnsi" w:eastAsiaTheme="minorEastAsia" w:hAnsiTheme="minorHAnsi" w:cstheme="minorHAnsi"/>
          <w:szCs w:val="22"/>
          <w:lang w:val="en-US"/>
        </w:rPr>
        <w:t xml:space="preserve">, whereas </w:t>
      </w:r>
      <w:r w:rsidR="006E5ABA" w:rsidRPr="001E08AC">
        <w:rPr>
          <w:rFonts w:asciiTheme="minorHAnsi" w:eastAsiaTheme="minorEastAsia" w:hAnsiTheme="minorHAnsi" w:cstheme="minorHAnsi"/>
          <w:szCs w:val="22"/>
          <w:lang w:val="en-US"/>
        </w:rPr>
        <w:t>Part B lists</w:t>
      </w:r>
      <w:r w:rsidR="00EA2F89" w:rsidRPr="001E08AC">
        <w:rPr>
          <w:rFonts w:asciiTheme="minorHAnsi" w:eastAsiaTheme="minorEastAsia" w:hAnsiTheme="minorHAnsi" w:cstheme="minorHAnsi"/>
          <w:szCs w:val="22"/>
          <w:lang w:val="en-US"/>
        </w:rPr>
        <w:t xml:space="preserve"> </w:t>
      </w:r>
      <w:r w:rsidR="00166EAA" w:rsidRPr="001E08AC">
        <w:rPr>
          <w:rFonts w:asciiTheme="minorHAnsi" w:eastAsiaTheme="minorEastAsia" w:hAnsiTheme="minorHAnsi" w:cstheme="minorHAnsi"/>
          <w:szCs w:val="22"/>
          <w:lang w:val="en-US"/>
        </w:rPr>
        <w:t xml:space="preserve">feedstocks </w:t>
      </w:r>
      <w:r w:rsidR="00264262" w:rsidRPr="001E08AC">
        <w:rPr>
          <w:rFonts w:asciiTheme="minorHAnsi" w:eastAsiaTheme="minorEastAsia" w:hAnsiTheme="minorHAnsi" w:cstheme="minorHAnsi"/>
          <w:szCs w:val="22"/>
          <w:lang w:val="en-US"/>
        </w:rPr>
        <w:t>to produce</w:t>
      </w:r>
      <w:r w:rsidR="00166EAA" w:rsidRPr="001E08AC">
        <w:rPr>
          <w:rFonts w:asciiTheme="minorHAnsi" w:eastAsiaTheme="minorEastAsia" w:hAnsiTheme="minorHAnsi" w:cstheme="minorHAnsi"/>
          <w:szCs w:val="22"/>
          <w:lang w:val="en-US"/>
        </w:rPr>
        <w:t xml:space="preserve"> biofuels and biogas for transport</w:t>
      </w:r>
      <w:r w:rsidR="0050086D">
        <w:rPr>
          <w:rFonts w:asciiTheme="minorHAnsi" w:eastAsiaTheme="minorEastAsia" w:hAnsiTheme="minorHAnsi" w:cstheme="minorHAnsi"/>
          <w:szCs w:val="22"/>
          <w:lang w:val="en-US"/>
        </w:rPr>
        <w:t xml:space="preserve"> (together referred to in this section as “Annex IX biofuels”)</w:t>
      </w:r>
      <w:r w:rsidR="00166EAA" w:rsidRPr="001E08AC">
        <w:rPr>
          <w:rFonts w:asciiTheme="minorHAnsi" w:eastAsiaTheme="minorEastAsia" w:hAnsiTheme="minorHAnsi" w:cstheme="minorHAnsi"/>
          <w:szCs w:val="22"/>
          <w:lang w:val="en-US"/>
        </w:rPr>
        <w:t xml:space="preserve">, the contribution of which towards the minimum </w:t>
      </w:r>
      <w:r w:rsidR="00404CC5" w:rsidRPr="001E08AC">
        <w:rPr>
          <w:rFonts w:asciiTheme="minorHAnsi" w:eastAsiaTheme="minorEastAsia" w:hAnsiTheme="minorHAnsi" w:cstheme="minorHAnsi"/>
          <w:szCs w:val="22"/>
          <w:lang w:val="en-US"/>
        </w:rPr>
        <w:t xml:space="preserve">share </w:t>
      </w:r>
      <w:r w:rsidR="007C6A5A" w:rsidRPr="001E08AC">
        <w:rPr>
          <w:rFonts w:asciiTheme="minorHAnsi" w:eastAsiaTheme="minorEastAsia" w:hAnsiTheme="minorHAnsi" w:cstheme="minorHAnsi"/>
          <w:szCs w:val="22"/>
          <w:lang w:val="en-US"/>
        </w:rPr>
        <w:t>established in the first subparagraph of Article</w:t>
      </w:r>
      <w:r w:rsidR="0050086D">
        <w:rPr>
          <w:rFonts w:asciiTheme="minorHAnsi" w:eastAsiaTheme="minorEastAsia" w:hAnsiTheme="minorHAnsi" w:cstheme="minorHAnsi"/>
          <w:szCs w:val="22"/>
          <w:lang w:val="en-US"/>
        </w:rPr>
        <w:t> </w:t>
      </w:r>
      <w:r w:rsidR="007C6A5A" w:rsidRPr="001E08AC">
        <w:rPr>
          <w:rFonts w:asciiTheme="minorHAnsi" w:eastAsiaTheme="minorEastAsia" w:hAnsiTheme="minorHAnsi" w:cstheme="minorHAnsi"/>
          <w:szCs w:val="22"/>
          <w:lang w:val="en-US"/>
        </w:rPr>
        <w:t>25(1) s</w:t>
      </w:r>
      <w:r w:rsidR="00166EAA" w:rsidRPr="001E08AC">
        <w:rPr>
          <w:rFonts w:asciiTheme="minorHAnsi" w:eastAsiaTheme="minorEastAsia" w:hAnsiTheme="minorHAnsi" w:cstheme="minorHAnsi"/>
          <w:szCs w:val="22"/>
          <w:lang w:val="en-US"/>
        </w:rPr>
        <w:t xml:space="preserve">hall be limited and may be considered to be twice their energy content. </w:t>
      </w:r>
      <w:r w:rsidR="00EA2F89" w:rsidRPr="001E08AC">
        <w:rPr>
          <w:rFonts w:asciiTheme="minorHAnsi" w:eastAsiaTheme="minorEastAsia" w:hAnsiTheme="minorHAnsi" w:cstheme="minorHAnsi"/>
          <w:szCs w:val="22"/>
          <w:lang w:val="en-US"/>
        </w:rPr>
        <w:t>In the NECPRs, most Member States</w:t>
      </w:r>
      <w:r w:rsidR="00C70AC3" w:rsidRPr="001E08AC">
        <w:rPr>
          <w:rStyle w:val="FootnoteReference"/>
          <w:rFonts w:asciiTheme="minorHAnsi" w:eastAsiaTheme="minorEastAsia" w:hAnsiTheme="minorHAnsi" w:cstheme="minorHAnsi"/>
          <w:szCs w:val="22"/>
          <w:lang w:val="en-US"/>
        </w:rPr>
        <w:footnoteReference w:id="41"/>
      </w:r>
      <w:r w:rsidR="00EA2F89" w:rsidRPr="001E08AC">
        <w:rPr>
          <w:rFonts w:asciiTheme="minorHAnsi" w:eastAsiaTheme="minorEastAsia" w:hAnsiTheme="minorHAnsi" w:cstheme="minorHAnsi"/>
          <w:szCs w:val="22"/>
          <w:lang w:val="en-US"/>
        </w:rPr>
        <w:t xml:space="preserve"> have not reported the amounts of Annex IX use and production, whereas the units and years for which data has been provided differ per Member States. For the following analysis, data reported in SHARES is used. </w:t>
      </w:r>
    </w:p>
    <w:p w14:paraId="60C1A81E" w14:textId="2C95EE15" w:rsidR="00783881" w:rsidRPr="001E08AC" w:rsidRDefault="00783881" w:rsidP="00C53BBF">
      <w:pPr>
        <w:pStyle w:val="BodyText1"/>
        <w:spacing w:before="240"/>
        <w:rPr>
          <w:rFonts w:asciiTheme="minorHAnsi" w:eastAsiaTheme="minorEastAsia" w:hAnsiTheme="minorHAnsi" w:cstheme="minorHAnsi"/>
          <w:szCs w:val="22"/>
          <w:lang w:val="en-US"/>
        </w:rPr>
      </w:pPr>
      <w:r w:rsidRPr="001E08AC">
        <w:rPr>
          <w:rFonts w:asciiTheme="minorHAnsi" w:eastAsiaTheme="minorEastAsia" w:hAnsiTheme="minorHAnsi" w:cstheme="minorHAnsi"/>
          <w:szCs w:val="22"/>
          <w:lang w:val="en-US"/>
        </w:rPr>
        <w:t>The consumption of biofuels</w:t>
      </w:r>
      <w:r w:rsidR="0050086D">
        <w:rPr>
          <w:rFonts w:asciiTheme="minorHAnsi" w:eastAsiaTheme="minorEastAsia" w:hAnsiTheme="minorHAnsi" w:cstheme="minorHAnsi"/>
          <w:szCs w:val="22"/>
          <w:lang w:val="en-US"/>
        </w:rPr>
        <w:t xml:space="preserve"> pursuant to </w:t>
      </w:r>
      <w:r w:rsidR="0050086D" w:rsidRPr="001E08AC">
        <w:rPr>
          <w:rFonts w:asciiTheme="minorHAnsi" w:eastAsiaTheme="minorEastAsia" w:hAnsiTheme="minorHAnsi" w:cstheme="minorHAnsi"/>
          <w:szCs w:val="22"/>
          <w:lang w:val="en-US"/>
        </w:rPr>
        <w:t>Annex IX</w:t>
      </w:r>
      <w:r w:rsidRPr="001E08AC">
        <w:rPr>
          <w:rFonts w:asciiTheme="minorHAnsi" w:eastAsiaTheme="minorEastAsia" w:hAnsiTheme="minorHAnsi" w:cstheme="minorHAnsi"/>
          <w:szCs w:val="22"/>
          <w:lang w:val="en-US"/>
        </w:rPr>
        <w:t xml:space="preserve"> is </w:t>
      </w:r>
      <w:r w:rsidR="006E5ABA" w:rsidRPr="001E08AC">
        <w:rPr>
          <w:rFonts w:asciiTheme="minorHAnsi" w:eastAsiaTheme="minorEastAsia" w:hAnsiTheme="minorHAnsi" w:cstheme="minorHAnsi"/>
          <w:szCs w:val="22"/>
          <w:lang w:val="en-US"/>
        </w:rPr>
        <w:t xml:space="preserve">shown </w:t>
      </w:r>
      <w:r w:rsidRPr="001E08AC">
        <w:rPr>
          <w:rFonts w:asciiTheme="minorHAnsi" w:eastAsiaTheme="minorEastAsia" w:hAnsiTheme="minorHAnsi" w:cstheme="minorHAnsi"/>
          <w:szCs w:val="22"/>
          <w:lang w:val="en-US"/>
        </w:rPr>
        <w:t xml:space="preserve">in </w:t>
      </w:r>
      <w:r w:rsidR="5840B652" w:rsidRPr="001E08AC">
        <w:rPr>
          <w:rFonts w:asciiTheme="minorHAnsi" w:eastAsiaTheme="minorEastAsia" w:hAnsiTheme="minorHAnsi" w:cstheme="minorHAnsi"/>
          <w:szCs w:val="22"/>
          <w:lang w:val="en-US"/>
        </w:rPr>
        <w:t xml:space="preserve">the </w:t>
      </w:r>
      <w:r w:rsidR="00FC4781" w:rsidRPr="001E08AC">
        <w:rPr>
          <w:rFonts w:asciiTheme="minorHAnsi" w:eastAsiaTheme="minorEastAsia" w:hAnsiTheme="minorHAnsi" w:cstheme="minorHAnsi"/>
          <w:szCs w:val="22"/>
          <w:lang w:val="en-US"/>
        </w:rPr>
        <w:t>f</w:t>
      </w:r>
      <w:r w:rsidR="5840B652" w:rsidRPr="001E08AC">
        <w:rPr>
          <w:rFonts w:asciiTheme="minorHAnsi" w:eastAsiaTheme="minorEastAsia" w:hAnsiTheme="minorHAnsi" w:cstheme="minorHAnsi"/>
          <w:szCs w:val="22"/>
          <w:lang w:val="en-US"/>
        </w:rPr>
        <w:t xml:space="preserve">igure </w:t>
      </w:r>
      <w:r w:rsidRPr="001E08AC">
        <w:rPr>
          <w:rFonts w:asciiTheme="minorHAnsi" w:eastAsiaTheme="minorEastAsia" w:hAnsiTheme="minorHAnsi" w:cstheme="minorHAnsi"/>
          <w:szCs w:val="22"/>
          <w:lang w:val="en-US"/>
        </w:rPr>
        <w:t>below for the year</w:t>
      </w:r>
      <w:r w:rsidR="78427C28" w:rsidRPr="001E08AC">
        <w:rPr>
          <w:rFonts w:asciiTheme="minorHAnsi" w:eastAsiaTheme="minorEastAsia" w:hAnsiTheme="minorHAnsi" w:cstheme="minorHAnsi"/>
          <w:szCs w:val="22"/>
          <w:lang w:val="en-US"/>
        </w:rPr>
        <w:t>s</w:t>
      </w:r>
      <w:r w:rsidRPr="001E08AC">
        <w:rPr>
          <w:rFonts w:asciiTheme="minorHAnsi" w:eastAsiaTheme="minorEastAsia" w:hAnsiTheme="minorHAnsi" w:cstheme="minorHAnsi"/>
          <w:szCs w:val="22"/>
          <w:lang w:val="en-US"/>
        </w:rPr>
        <w:t xml:space="preserve"> 2017-2021. An overall increase is observed in Annex IX biofuels use, from 2,317 ktoe in 2017 to 5,474 ktoe in 2021. Consumption of biofuels produced from</w:t>
      </w:r>
      <w:r w:rsidR="006E5ABA" w:rsidRPr="001E08AC">
        <w:rPr>
          <w:rFonts w:asciiTheme="minorHAnsi" w:eastAsiaTheme="minorEastAsia" w:hAnsiTheme="minorHAnsi" w:cstheme="minorHAnsi"/>
          <w:szCs w:val="22"/>
          <w:lang w:val="en-US"/>
        </w:rPr>
        <w:t xml:space="preserve"> used cooking oil</w:t>
      </w:r>
      <w:r w:rsidRPr="001E08AC">
        <w:rPr>
          <w:rFonts w:asciiTheme="minorHAnsi" w:eastAsiaTheme="minorEastAsia" w:hAnsiTheme="minorHAnsi" w:cstheme="minorHAnsi"/>
          <w:szCs w:val="22"/>
          <w:lang w:val="en-US"/>
        </w:rPr>
        <w:t xml:space="preserve"> </w:t>
      </w:r>
      <w:r w:rsidR="006E5ABA" w:rsidRPr="001E08AC">
        <w:rPr>
          <w:rFonts w:asciiTheme="minorHAnsi" w:eastAsiaTheme="minorEastAsia" w:hAnsiTheme="minorHAnsi" w:cstheme="minorHAnsi"/>
          <w:szCs w:val="22"/>
          <w:lang w:val="en-US"/>
        </w:rPr>
        <w:t>(</w:t>
      </w:r>
      <w:r w:rsidRPr="001E08AC">
        <w:rPr>
          <w:rFonts w:asciiTheme="minorHAnsi" w:eastAsiaTheme="minorEastAsia" w:hAnsiTheme="minorHAnsi" w:cstheme="minorHAnsi"/>
          <w:szCs w:val="22"/>
          <w:lang w:val="en-US"/>
        </w:rPr>
        <w:t>UCO</w:t>
      </w:r>
      <w:r w:rsidR="006E5ABA" w:rsidRPr="001E08AC">
        <w:rPr>
          <w:rFonts w:asciiTheme="minorHAnsi" w:eastAsiaTheme="minorEastAsia" w:hAnsiTheme="minorHAnsi" w:cstheme="minorHAnsi"/>
          <w:szCs w:val="22"/>
          <w:lang w:val="en-US"/>
        </w:rPr>
        <w:t>,</w:t>
      </w:r>
      <w:r w:rsidRPr="001E08AC">
        <w:rPr>
          <w:rFonts w:asciiTheme="minorHAnsi" w:eastAsiaTheme="minorEastAsia" w:hAnsiTheme="minorHAnsi" w:cstheme="minorHAnsi"/>
          <w:szCs w:val="22"/>
          <w:lang w:val="en-US"/>
        </w:rPr>
        <w:t xml:space="preserve"> Annex IX Part B (a)) is the highest of all Annex IX feedstocks. When it comes to Annex IX </w:t>
      </w:r>
      <w:r w:rsidR="00B84BB3" w:rsidRPr="001E08AC">
        <w:rPr>
          <w:rFonts w:asciiTheme="minorHAnsi" w:eastAsiaTheme="minorEastAsia" w:hAnsiTheme="minorHAnsi" w:cstheme="minorHAnsi"/>
          <w:szCs w:val="22"/>
          <w:lang w:val="en-US"/>
        </w:rPr>
        <w:t>P</w:t>
      </w:r>
      <w:r w:rsidRPr="001E08AC">
        <w:rPr>
          <w:rFonts w:asciiTheme="minorHAnsi" w:eastAsiaTheme="minorEastAsia" w:hAnsiTheme="minorHAnsi" w:cstheme="minorHAnsi"/>
          <w:szCs w:val="22"/>
          <w:lang w:val="en-US"/>
        </w:rPr>
        <w:t xml:space="preserve">art A feedstocks, consumption of biofuels derived from feedstocks listed in points (d) </w:t>
      </w:r>
      <w:r w:rsidRPr="001E08AC">
        <w:rPr>
          <w:rFonts w:asciiTheme="minorHAnsi" w:eastAsiaTheme="minorEastAsia" w:hAnsiTheme="minorHAnsi" w:cstheme="minorHAnsi"/>
          <w:i/>
          <w:iCs/>
          <w:szCs w:val="22"/>
          <w:lang w:val="en-US"/>
        </w:rPr>
        <w:t>biomass fraction of industrial waste not fit for use in the food or feed chain</w:t>
      </w:r>
      <w:r w:rsidRPr="001E08AC">
        <w:rPr>
          <w:rFonts w:asciiTheme="minorHAnsi" w:eastAsiaTheme="minorEastAsia" w:hAnsiTheme="minorHAnsi" w:cstheme="minorHAnsi"/>
          <w:szCs w:val="22"/>
          <w:lang w:val="en-US"/>
        </w:rPr>
        <w:t xml:space="preserve"> and (g) </w:t>
      </w:r>
      <w:r w:rsidRPr="001E08AC">
        <w:rPr>
          <w:rFonts w:asciiTheme="minorHAnsi" w:eastAsiaTheme="minorEastAsia" w:hAnsiTheme="minorHAnsi" w:cstheme="minorHAnsi"/>
          <w:i/>
          <w:iCs/>
          <w:szCs w:val="22"/>
          <w:lang w:val="en-US"/>
        </w:rPr>
        <w:t>palm oil mill effluent and empty palm fruit bunches</w:t>
      </w:r>
      <w:r w:rsidRPr="001E08AC">
        <w:rPr>
          <w:rFonts w:asciiTheme="minorHAnsi" w:eastAsiaTheme="minorEastAsia" w:hAnsiTheme="minorHAnsi" w:cstheme="minorHAnsi"/>
          <w:szCs w:val="22"/>
          <w:lang w:val="en-US"/>
        </w:rPr>
        <w:t xml:space="preserve"> is the highest. In contrast, biofuels from the following Annex IX Part A feedstocks are not used at all or used less than 1 ktoe throughout the whole EU in all considered years: (a) </w:t>
      </w:r>
      <w:r w:rsidRPr="001E08AC">
        <w:rPr>
          <w:rFonts w:asciiTheme="minorHAnsi" w:eastAsiaTheme="minorEastAsia" w:hAnsiTheme="minorHAnsi" w:cstheme="minorHAnsi"/>
          <w:i/>
          <w:iCs/>
          <w:szCs w:val="22"/>
          <w:lang w:val="en-US"/>
        </w:rPr>
        <w:t>algae if cultivated on land in ponds or photobioreactors</w:t>
      </w:r>
      <w:r w:rsidRPr="001E08AC">
        <w:rPr>
          <w:rFonts w:asciiTheme="minorHAnsi" w:eastAsiaTheme="minorEastAsia" w:hAnsiTheme="minorHAnsi" w:cstheme="minorHAnsi"/>
          <w:szCs w:val="22"/>
          <w:lang w:val="en-US"/>
        </w:rPr>
        <w:t xml:space="preserve">; (l) </w:t>
      </w:r>
      <w:r w:rsidRPr="001E08AC">
        <w:rPr>
          <w:rFonts w:asciiTheme="minorHAnsi" w:eastAsiaTheme="minorEastAsia" w:hAnsiTheme="minorHAnsi" w:cstheme="minorHAnsi"/>
          <w:i/>
          <w:iCs/>
          <w:szCs w:val="22"/>
          <w:lang w:val="en-US"/>
        </w:rPr>
        <w:t>nut shells</w:t>
      </w:r>
      <w:r w:rsidRPr="001E08AC">
        <w:rPr>
          <w:rFonts w:asciiTheme="minorHAnsi" w:eastAsiaTheme="minorEastAsia" w:hAnsiTheme="minorHAnsi" w:cstheme="minorHAnsi"/>
          <w:szCs w:val="22"/>
          <w:lang w:val="en-US"/>
        </w:rPr>
        <w:t xml:space="preserve">; (m) </w:t>
      </w:r>
      <w:r w:rsidRPr="001E08AC">
        <w:rPr>
          <w:rFonts w:asciiTheme="minorHAnsi" w:eastAsiaTheme="minorEastAsia" w:hAnsiTheme="minorHAnsi" w:cstheme="minorHAnsi"/>
          <w:i/>
          <w:iCs/>
          <w:szCs w:val="22"/>
          <w:lang w:val="en-US"/>
        </w:rPr>
        <w:t>husks</w:t>
      </w:r>
      <w:r w:rsidRPr="001E08AC">
        <w:rPr>
          <w:rFonts w:asciiTheme="minorHAnsi" w:eastAsiaTheme="minorEastAsia" w:hAnsiTheme="minorHAnsi" w:cstheme="minorHAnsi"/>
          <w:szCs w:val="22"/>
          <w:lang w:val="en-US"/>
        </w:rPr>
        <w:t xml:space="preserve">; (n) </w:t>
      </w:r>
      <w:r w:rsidRPr="001E08AC">
        <w:rPr>
          <w:rFonts w:asciiTheme="minorHAnsi" w:eastAsiaTheme="minorEastAsia" w:hAnsiTheme="minorHAnsi" w:cstheme="minorHAnsi"/>
          <w:i/>
          <w:iCs/>
          <w:szCs w:val="22"/>
          <w:lang w:val="en-US"/>
        </w:rPr>
        <w:t>cobs cleaned of kernels of corn</w:t>
      </w:r>
      <w:r w:rsidRPr="001E08AC">
        <w:rPr>
          <w:rFonts w:asciiTheme="minorHAnsi" w:eastAsiaTheme="minorEastAsia" w:hAnsiTheme="minorHAnsi" w:cstheme="minorHAnsi"/>
          <w:szCs w:val="22"/>
          <w:lang w:val="en-US"/>
        </w:rPr>
        <w:t xml:space="preserve"> and; (q) </w:t>
      </w:r>
      <w:r w:rsidRPr="001E08AC">
        <w:rPr>
          <w:rFonts w:asciiTheme="minorHAnsi" w:eastAsiaTheme="minorEastAsia" w:hAnsiTheme="minorHAnsi" w:cstheme="minorHAnsi"/>
          <w:i/>
          <w:iCs/>
          <w:szCs w:val="22"/>
          <w:lang w:val="en-US"/>
        </w:rPr>
        <w:t>other ligno-cellulosic material except saw logs and veneer logs</w:t>
      </w:r>
      <w:r w:rsidRPr="001E08AC">
        <w:rPr>
          <w:rFonts w:asciiTheme="minorHAnsi" w:eastAsiaTheme="minorEastAsia" w:hAnsiTheme="minorHAnsi" w:cstheme="minorHAnsi"/>
          <w:szCs w:val="22"/>
          <w:lang w:val="en-US"/>
        </w:rPr>
        <w:t>.</w:t>
      </w:r>
    </w:p>
    <w:p w14:paraId="005B62D7" w14:textId="77777777" w:rsidR="00783881" w:rsidRPr="001E08AC" w:rsidRDefault="00783881" w:rsidP="008E3492">
      <w:pPr>
        <w:keepNext/>
        <w:spacing w:before="240" w:after="120" w:line="240" w:lineRule="auto"/>
        <w:rPr>
          <w:rFonts w:cstheme="minorHAnsi"/>
          <w:noProof/>
        </w:rPr>
      </w:pPr>
      <w:r w:rsidRPr="001E08AC">
        <w:rPr>
          <w:rFonts w:cstheme="minorHAnsi"/>
          <w:noProof/>
          <w:lang w:val="en-GB" w:eastAsia="en-GB"/>
        </w:rPr>
        <w:drawing>
          <wp:inline distT="0" distB="0" distL="0" distR="0" wp14:anchorId="018B6295" wp14:editId="5B51A80C">
            <wp:extent cx="5580380" cy="2262505"/>
            <wp:effectExtent l="0" t="0" r="1270" b="4445"/>
            <wp:docPr id="13" name="Picture 13" descr="A graph with different colore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aph with different colored lines&#10;&#10;Description automatically generated with medium confidenc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580380" cy="2262505"/>
                    </a:xfrm>
                    <a:prstGeom prst="rect">
                      <a:avLst/>
                    </a:prstGeom>
                  </pic:spPr>
                </pic:pic>
              </a:graphicData>
            </a:graphic>
          </wp:inline>
        </w:drawing>
      </w:r>
    </w:p>
    <w:p w14:paraId="4CEB80B6" w14:textId="578DA55A" w:rsidR="00783881" w:rsidRPr="001E08AC" w:rsidRDefault="19FBE07A" w:rsidP="008E3492">
      <w:pPr>
        <w:pStyle w:val="Caption"/>
        <w:spacing w:before="0"/>
        <w:rPr>
          <w:rFonts w:asciiTheme="minorHAnsi" w:hAnsiTheme="minorHAnsi" w:cstheme="minorHAnsi"/>
          <w:b/>
          <w:bCs/>
          <w:i w:val="0"/>
          <w:noProof/>
          <w:sz w:val="20"/>
          <w:lang w:val="en-GB"/>
        </w:rPr>
      </w:pPr>
      <w:r w:rsidRPr="001E08AC">
        <w:rPr>
          <w:rFonts w:asciiTheme="minorHAnsi" w:hAnsiTheme="minorHAnsi" w:cstheme="minorHAnsi"/>
          <w:b/>
          <w:bCs/>
          <w:i w:val="0"/>
          <w:noProof/>
          <w:sz w:val="20"/>
          <w:lang w:val="en-IE"/>
        </w:rPr>
        <w:t xml:space="preserve"> Trend of Annex IX biofuel demand for EU-27 from 2017 to 2021</w:t>
      </w:r>
      <w:r w:rsidR="003413EA" w:rsidRPr="001E08AC">
        <w:rPr>
          <w:rStyle w:val="FootnoteReference"/>
          <w:rFonts w:asciiTheme="minorHAnsi" w:hAnsiTheme="minorHAnsi" w:cstheme="minorHAnsi"/>
          <w:b/>
          <w:bCs/>
          <w:i w:val="0"/>
          <w:noProof/>
          <w:sz w:val="20"/>
          <w:lang w:val="en-IE"/>
        </w:rPr>
        <w:footnoteReference w:id="42"/>
      </w:r>
      <w:r w:rsidRPr="001E08AC">
        <w:rPr>
          <w:rFonts w:asciiTheme="minorHAnsi" w:hAnsiTheme="minorHAnsi" w:cstheme="minorHAnsi"/>
          <w:b/>
          <w:bCs/>
          <w:i w:val="0"/>
          <w:noProof/>
          <w:sz w:val="20"/>
          <w:lang w:val="en-IE"/>
        </w:rPr>
        <w:t xml:space="preserve"> </w:t>
      </w:r>
    </w:p>
    <w:p w14:paraId="01B59F36" w14:textId="77777777" w:rsidR="00783881" w:rsidRPr="001E08AC" w:rsidRDefault="00783881" w:rsidP="008E3492">
      <w:pPr>
        <w:spacing w:before="240" w:after="120" w:line="240" w:lineRule="auto"/>
        <w:jc w:val="both"/>
        <w:rPr>
          <w:rFonts w:cstheme="minorHAnsi"/>
          <w:noProof/>
        </w:rPr>
      </w:pPr>
      <w:r w:rsidRPr="001E08AC">
        <w:rPr>
          <w:rFonts w:cstheme="minorHAnsi"/>
          <w:noProof/>
        </w:rPr>
        <w:t xml:space="preserve">Italy is the largest consumer of Annex IX biofuels and, along with Spain, the largest user of Annex IX Part A biofuels. Italy is also the largest consumer of Annex IX Part B biofuels, followed by Germany, Spain, the Netherlands, and Sweden. Other Member States (Romania and Latvia) did not consume any Annex IX feedstocks, while Austria consumed only a small amount (&lt;1 ktoe). </w:t>
      </w:r>
    </w:p>
    <w:p w14:paraId="2FA99B5B" w14:textId="77777777" w:rsidR="00783881" w:rsidRPr="001E08AC" w:rsidRDefault="00783881" w:rsidP="008E3492">
      <w:pPr>
        <w:keepNext/>
        <w:spacing w:before="240" w:after="120" w:line="240" w:lineRule="auto"/>
        <w:rPr>
          <w:rFonts w:cstheme="minorHAnsi"/>
          <w:noProof/>
        </w:rPr>
      </w:pPr>
      <w:r w:rsidRPr="001E08AC">
        <w:rPr>
          <w:rFonts w:cstheme="minorHAnsi"/>
          <w:noProof/>
          <w:lang w:val="en-GB" w:eastAsia="en-GB"/>
        </w:rPr>
        <w:drawing>
          <wp:inline distT="0" distB="0" distL="0" distR="0" wp14:anchorId="66A8BDDC" wp14:editId="72887CA2">
            <wp:extent cx="5580380" cy="2171700"/>
            <wp:effectExtent l="0" t="0" r="1270" b="0"/>
            <wp:docPr id="4" name="Picture 4" descr="A graph of different colo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of different colored squares&#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580380" cy="2171700"/>
                    </a:xfrm>
                    <a:prstGeom prst="rect">
                      <a:avLst/>
                    </a:prstGeom>
                  </pic:spPr>
                </pic:pic>
              </a:graphicData>
            </a:graphic>
          </wp:inline>
        </w:drawing>
      </w:r>
    </w:p>
    <w:p w14:paraId="18B9C981" w14:textId="41C6BD0F" w:rsidR="00783881" w:rsidRPr="001E08AC" w:rsidRDefault="19FBE07A" w:rsidP="00B80FC5">
      <w:pPr>
        <w:pStyle w:val="Caption"/>
        <w:spacing w:before="0"/>
        <w:rPr>
          <w:rFonts w:asciiTheme="minorHAnsi" w:hAnsiTheme="minorHAnsi" w:cstheme="minorHAnsi"/>
          <w:b/>
          <w:i w:val="0"/>
          <w:noProof/>
          <w:sz w:val="20"/>
          <w:lang w:val="en-IE"/>
        </w:rPr>
      </w:pPr>
      <w:r w:rsidRPr="001E08AC">
        <w:rPr>
          <w:rFonts w:asciiTheme="minorHAnsi" w:hAnsiTheme="minorHAnsi" w:cstheme="minorHAnsi"/>
          <w:b/>
          <w:bCs/>
          <w:i w:val="0"/>
          <w:noProof/>
          <w:sz w:val="20"/>
          <w:lang w:val="en-IE"/>
        </w:rPr>
        <w:t xml:space="preserve">Split of Annex IX biofuel consumption per feedstock for each </w:t>
      </w:r>
      <w:r w:rsidR="6BD15E4F" w:rsidRPr="001E08AC">
        <w:rPr>
          <w:rFonts w:asciiTheme="minorHAnsi" w:hAnsiTheme="minorHAnsi" w:cstheme="minorHAnsi"/>
          <w:b/>
          <w:bCs/>
          <w:i w:val="0"/>
          <w:noProof/>
          <w:sz w:val="20"/>
          <w:lang w:val="en-IE"/>
        </w:rPr>
        <w:t xml:space="preserve">Member State </w:t>
      </w:r>
      <w:r w:rsidRPr="001E08AC">
        <w:rPr>
          <w:rFonts w:asciiTheme="minorHAnsi" w:hAnsiTheme="minorHAnsi" w:cstheme="minorHAnsi"/>
          <w:b/>
          <w:bCs/>
          <w:i w:val="0"/>
          <w:noProof/>
          <w:sz w:val="20"/>
          <w:lang w:val="en-IE"/>
        </w:rPr>
        <w:t>in 2021</w:t>
      </w:r>
      <w:r w:rsidR="00C67B52" w:rsidRPr="001E08AC">
        <w:rPr>
          <w:rStyle w:val="FootnoteReference"/>
          <w:rFonts w:asciiTheme="minorHAnsi" w:hAnsiTheme="minorHAnsi" w:cstheme="minorHAnsi"/>
          <w:b/>
          <w:i w:val="0"/>
          <w:noProof/>
          <w:sz w:val="20"/>
          <w:lang w:val="en-IE"/>
        </w:rPr>
        <w:footnoteReference w:id="43"/>
      </w:r>
      <w:r w:rsidRPr="001E08AC">
        <w:rPr>
          <w:rFonts w:asciiTheme="minorHAnsi" w:hAnsiTheme="minorHAnsi" w:cstheme="minorHAnsi"/>
          <w:b/>
          <w:bCs/>
          <w:i w:val="0"/>
          <w:noProof/>
          <w:sz w:val="20"/>
          <w:lang w:val="en-IE"/>
        </w:rPr>
        <w:t xml:space="preserve"> </w:t>
      </w:r>
    </w:p>
    <w:p w14:paraId="481B1A73" w14:textId="02827517" w:rsidR="003941B2" w:rsidRPr="001E08AC" w:rsidRDefault="00CD6D7B" w:rsidP="007C34B7">
      <w:pPr>
        <w:spacing w:before="240" w:after="120" w:line="240" w:lineRule="auto"/>
        <w:jc w:val="both"/>
        <w:rPr>
          <w:rFonts w:cstheme="minorHAnsi"/>
          <w:noProof/>
        </w:rPr>
      </w:pPr>
      <w:r>
        <w:rPr>
          <w:rFonts w:cstheme="minorHAnsi"/>
          <w:noProof/>
        </w:rPr>
        <w:t>T</w:t>
      </w:r>
      <w:r w:rsidR="00294486">
        <w:rPr>
          <w:rFonts w:cstheme="minorHAnsi"/>
          <w:noProof/>
        </w:rPr>
        <w:t>en</w:t>
      </w:r>
      <w:r w:rsidR="0030338F" w:rsidRPr="001E08AC">
        <w:rPr>
          <w:rFonts w:cstheme="minorHAnsi"/>
          <w:noProof/>
        </w:rPr>
        <w:t xml:space="preserve"> </w:t>
      </w:r>
      <w:r w:rsidR="003B6D10" w:rsidRPr="001E08AC">
        <w:rPr>
          <w:rFonts w:cstheme="minorHAnsi"/>
          <w:noProof/>
        </w:rPr>
        <w:t>Member States</w:t>
      </w:r>
      <w:r w:rsidR="0030338F" w:rsidRPr="001E08AC">
        <w:rPr>
          <w:rStyle w:val="FootnoteReference"/>
          <w:rFonts w:cstheme="minorHAnsi"/>
          <w:noProof/>
        </w:rPr>
        <w:footnoteReference w:id="44"/>
      </w:r>
      <w:r w:rsidR="003B6D10" w:rsidRPr="001E08AC">
        <w:rPr>
          <w:rFonts w:cstheme="minorHAnsi"/>
          <w:noProof/>
        </w:rPr>
        <w:t xml:space="preserve"> </w:t>
      </w:r>
      <w:r w:rsidR="00905901" w:rsidRPr="001E08AC">
        <w:rPr>
          <w:rFonts w:cstheme="minorHAnsi"/>
          <w:noProof/>
        </w:rPr>
        <w:t>reported</w:t>
      </w:r>
      <w:r w:rsidR="003B6D10" w:rsidRPr="001E08AC">
        <w:rPr>
          <w:rFonts w:cstheme="minorHAnsi"/>
          <w:noProof/>
        </w:rPr>
        <w:t xml:space="preserve"> on </w:t>
      </w:r>
      <w:r w:rsidR="00E8585E" w:rsidRPr="001E08AC">
        <w:rPr>
          <w:rFonts w:cstheme="minorHAnsi"/>
          <w:noProof/>
        </w:rPr>
        <w:t>technological development and deployment of Annex IX biofuels</w:t>
      </w:r>
      <w:r w:rsidR="00526E07" w:rsidRPr="001E08AC">
        <w:rPr>
          <w:rFonts w:cstheme="minorHAnsi"/>
          <w:noProof/>
        </w:rPr>
        <w:t>, yet with fragmented and inconsistent data</w:t>
      </w:r>
      <w:r w:rsidR="006C451B" w:rsidRPr="001E08AC">
        <w:rPr>
          <w:rFonts w:cstheme="minorHAnsi"/>
          <w:noProof/>
        </w:rPr>
        <w:t>. Based on information available</w:t>
      </w:r>
      <w:r w:rsidR="00013483" w:rsidRPr="001E08AC">
        <w:rPr>
          <w:rStyle w:val="FootnoteReference"/>
          <w:rFonts w:cstheme="minorHAnsi"/>
          <w:noProof/>
        </w:rPr>
        <w:footnoteReference w:id="45"/>
      </w:r>
      <w:r w:rsidR="0054449E" w:rsidRPr="001E08AC">
        <w:rPr>
          <w:rFonts w:cstheme="minorHAnsi"/>
          <w:noProof/>
        </w:rPr>
        <w:t xml:space="preserve">, </w:t>
      </w:r>
      <w:r w:rsidR="006C451B" w:rsidRPr="001E08AC">
        <w:rPr>
          <w:rFonts w:cstheme="minorHAnsi"/>
          <w:noProof/>
        </w:rPr>
        <w:t>there are at least</w:t>
      </w:r>
      <w:r w:rsidR="00A95106" w:rsidRPr="001E08AC">
        <w:rPr>
          <w:rFonts w:cstheme="minorHAnsi"/>
          <w:noProof/>
        </w:rPr>
        <w:t xml:space="preserve"> </w:t>
      </w:r>
      <w:r w:rsidR="00E44FE0" w:rsidRPr="001E08AC">
        <w:rPr>
          <w:rFonts w:cstheme="minorHAnsi"/>
          <w:noProof/>
        </w:rPr>
        <w:t xml:space="preserve">12 </w:t>
      </w:r>
      <w:r w:rsidR="000B6DA7" w:rsidRPr="001E08AC">
        <w:rPr>
          <w:rFonts w:cstheme="minorHAnsi"/>
          <w:noProof/>
        </w:rPr>
        <w:t xml:space="preserve">  </w:t>
      </w:r>
      <w:r w:rsidR="00481D12" w:rsidRPr="001E08AC">
        <w:rPr>
          <w:rFonts w:cstheme="minorHAnsi"/>
          <w:noProof/>
        </w:rPr>
        <w:t xml:space="preserve">investments </w:t>
      </w:r>
      <w:r w:rsidR="000B6DA7" w:rsidRPr="001E08AC">
        <w:rPr>
          <w:rFonts w:cstheme="minorHAnsi"/>
          <w:noProof/>
        </w:rPr>
        <w:t xml:space="preserve">related to </w:t>
      </w:r>
      <w:r w:rsidR="00481D12" w:rsidRPr="001E08AC">
        <w:rPr>
          <w:rFonts w:cstheme="minorHAnsi"/>
          <w:noProof/>
        </w:rPr>
        <w:t>the</w:t>
      </w:r>
      <w:r w:rsidR="000B6DA7" w:rsidRPr="001E08AC">
        <w:rPr>
          <w:rFonts w:cstheme="minorHAnsi"/>
          <w:noProof/>
        </w:rPr>
        <w:t xml:space="preserve"> production</w:t>
      </w:r>
      <w:r w:rsidR="00951937" w:rsidRPr="001E08AC">
        <w:rPr>
          <w:rFonts w:cstheme="minorHAnsi"/>
          <w:noProof/>
        </w:rPr>
        <w:t xml:space="preserve"> </w:t>
      </w:r>
      <w:r w:rsidR="00481D12" w:rsidRPr="001E08AC">
        <w:rPr>
          <w:rFonts w:cstheme="minorHAnsi"/>
          <w:noProof/>
        </w:rPr>
        <w:t xml:space="preserve">of hydrotreated vegetable oils (HVO) </w:t>
      </w:r>
      <w:r w:rsidR="00951937" w:rsidRPr="001E08AC">
        <w:rPr>
          <w:rFonts w:cstheme="minorHAnsi"/>
          <w:noProof/>
        </w:rPr>
        <w:t xml:space="preserve">with annual capacity ranging from 24 to 1.300 </w:t>
      </w:r>
      <w:r w:rsidR="00075CCA" w:rsidRPr="001E08AC">
        <w:rPr>
          <w:rFonts w:cstheme="minorHAnsi"/>
          <w:noProof/>
        </w:rPr>
        <w:t>kt per year</w:t>
      </w:r>
      <w:r w:rsidR="001C561F" w:rsidRPr="001E08AC">
        <w:rPr>
          <w:rFonts w:cstheme="minorHAnsi"/>
          <w:noProof/>
        </w:rPr>
        <w:t xml:space="preserve"> in five Member States</w:t>
      </w:r>
      <w:r w:rsidR="001C561F" w:rsidRPr="001E08AC">
        <w:rPr>
          <w:rStyle w:val="FootnoteReference"/>
          <w:rFonts w:cstheme="minorHAnsi"/>
          <w:noProof/>
        </w:rPr>
        <w:footnoteReference w:id="46"/>
      </w:r>
      <w:r w:rsidR="00CD0187" w:rsidRPr="001E08AC">
        <w:rPr>
          <w:rFonts w:cstheme="minorHAnsi"/>
          <w:noProof/>
        </w:rPr>
        <w:t xml:space="preserve">. The largest single capacities are </w:t>
      </w:r>
      <w:r w:rsidR="00DD659D" w:rsidRPr="001E08AC">
        <w:rPr>
          <w:rFonts w:cstheme="minorHAnsi"/>
          <w:noProof/>
        </w:rPr>
        <w:t xml:space="preserve">recorded </w:t>
      </w:r>
      <w:r w:rsidR="00CD0187" w:rsidRPr="001E08AC">
        <w:rPr>
          <w:rFonts w:cstheme="minorHAnsi"/>
          <w:noProof/>
        </w:rPr>
        <w:t>in Sweden</w:t>
      </w:r>
      <w:r w:rsidR="00DD659D" w:rsidRPr="001E08AC">
        <w:rPr>
          <w:rFonts w:cstheme="minorHAnsi"/>
          <w:noProof/>
        </w:rPr>
        <w:t xml:space="preserve">: Lysekil and Gothenburg, </w:t>
      </w:r>
      <w:r w:rsidR="000A1181" w:rsidRPr="001E08AC">
        <w:rPr>
          <w:rFonts w:cstheme="minorHAnsi"/>
          <w:noProof/>
        </w:rPr>
        <w:t>each</w:t>
      </w:r>
      <w:r w:rsidR="00DD659D" w:rsidRPr="001E08AC">
        <w:rPr>
          <w:rFonts w:cstheme="minorHAnsi"/>
          <w:noProof/>
        </w:rPr>
        <w:t xml:space="preserve"> of 1.300 kt </w:t>
      </w:r>
      <w:r w:rsidR="000A1181" w:rsidRPr="001E08AC">
        <w:rPr>
          <w:rFonts w:cstheme="minorHAnsi"/>
          <w:noProof/>
        </w:rPr>
        <w:t xml:space="preserve">of HVO </w:t>
      </w:r>
      <w:r w:rsidR="00DD659D" w:rsidRPr="001E08AC">
        <w:rPr>
          <w:rFonts w:cstheme="minorHAnsi"/>
          <w:noProof/>
        </w:rPr>
        <w:t>prod</w:t>
      </w:r>
      <w:r w:rsidR="000A1181" w:rsidRPr="001E08AC">
        <w:rPr>
          <w:rFonts w:cstheme="minorHAnsi"/>
          <w:noProof/>
        </w:rPr>
        <w:t>uction capacity</w:t>
      </w:r>
      <w:r w:rsidR="00B85DD6" w:rsidRPr="001E08AC">
        <w:rPr>
          <w:rFonts w:cstheme="minorHAnsi"/>
          <w:noProof/>
        </w:rPr>
        <w:t xml:space="preserve">. </w:t>
      </w:r>
      <w:r w:rsidR="00296298" w:rsidRPr="001E08AC">
        <w:rPr>
          <w:rFonts w:cstheme="minorHAnsi"/>
          <w:noProof/>
        </w:rPr>
        <w:t xml:space="preserve">The second most represented technology is bioethanol </w:t>
      </w:r>
      <w:r w:rsidR="00685ABD" w:rsidRPr="001E08AC">
        <w:rPr>
          <w:rFonts w:cstheme="minorHAnsi"/>
          <w:noProof/>
        </w:rPr>
        <w:t xml:space="preserve">production with six investments </w:t>
      </w:r>
      <w:r w:rsidR="00FD4155" w:rsidRPr="001E08AC">
        <w:rPr>
          <w:rFonts w:cstheme="minorHAnsi"/>
          <w:noProof/>
        </w:rPr>
        <w:t>of 25 – 50 kt/yr capacity</w:t>
      </w:r>
      <w:r w:rsidR="003F71AF" w:rsidRPr="001E08AC">
        <w:rPr>
          <w:rFonts w:cstheme="minorHAnsi"/>
          <w:noProof/>
        </w:rPr>
        <w:t xml:space="preserve"> in </w:t>
      </w:r>
      <w:r w:rsidR="001C561F" w:rsidRPr="001E08AC">
        <w:rPr>
          <w:rFonts w:cstheme="minorHAnsi"/>
          <w:noProof/>
        </w:rPr>
        <w:t>six Member States</w:t>
      </w:r>
      <w:r w:rsidR="001C561F" w:rsidRPr="001E08AC">
        <w:rPr>
          <w:rStyle w:val="FootnoteReference"/>
          <w:rFonts w:cstheme="minorHAnsi"/>
          <w:noProof/>
        </w:rPr>
        <w:footnoteReference w:id="47"/>
      </w:r>
      <w:r w:rsidR="00FD4155" w:rsidRPr="001E08AC">
        <w:rPr>
          <w:rFonts w:cstheme="minorHAnsi"/>
          <w:noProof/>
        </w:rPr>
        <w:t xml:space="preserve">. </w:t>
      </w:r>
      <w:r w:rsidR="00142E61" w:rsidRPr="001E08AC">
        <w:rPr>
          <w:rFonts w:cstheme="minorHAnsi"/>
          <w:noProof/>
        </w:rPr>
        <w:t xml:space="preserve">Biomethanol production </w:t>
      </w:r>
      <w:r w:rsidR="00EB1FFD" w:rsidRPr="001E08AC">
        <w:rPr>
          <w:rFonts w:cstheme="minorHAnsi"/>
          <w:noProof/>
        </w:rPr>
        <w:t xml:space="preserve">in five </w:t>
      </w:r>
      <w:r w:rsidR="001C4EA7" w:rsidRPr="001E08AC">
        <w:rPr>
          <w:rFonts w:cstheme="minorHAnsi"/>
          <w:noProof/>
        </w:rPr>
        <w:t>sites</w:t>
      </w:r>
      <w:r w:rsidR="0072672B" w:rsidRPr="001E08AC">
        <w:rPr>
          <w:rFonts w:cstheme="minorHAnsi"/>
          <w:noProof/>
        </w:rPr>
        <w:t xml:space="preserve"> (capacity 5.25 – 450 kt/yr) </w:t>
      </w:r>
      <w:r w:rsidR="00142E61" w:rsidRPr="001E08AC">
        <w:rPr>
          <w:rFonts w:cstheme="minorHAnsi"/>
          <w:noProof/>
        </w:rPr>
        <w:t xml:space="preserve">is announced in </w:t>
      </w:r>
      <w:r w:rsidR="001C4EA7" w:rsidRPr="001E08AC">
        <w:rPr>
          <w:rFonts w:cstheme="minorHAnsi"/>
          <w:noProof/>
        </w:rPr>
        <w:t xml:space="preserve">three </w:t>
      </w:r>
      <w:r w:rsidR="0072672B" w:rsidRPr="001E08AC">
        <w:rPr>
          <w:rFonts w:cstheme="minorHAnsi"/>
          <w:noProof/>
        </w:rPr>
        <w:t>M</w:t>
      </w:r>
      <w:r w:rsidR="001C4EA7" w:rsidRPr="001E08AC">
        <w:rPr>
          <w:rFonts w:cstheme="minorHAnsi"/>
          <w:noProof/>
        </w:rPr>
        <w:t>ember States</w:t>
      </w:r>
      <w:r w:rsidR="001C4EA7" w:rsidRPr="001E08AC">
        <w:rPr>
          <w:rStyle w:val="FootnoteReference"/>
          <w:rFonts w:cstheme="minorHAnsi"/>
          <w:noProof/>
        </w:rPr>
        <w:footnoteReference w:id="48"/>
      </w:r>
      <w:r w:rsidR="0072672B" w:rsidRPr="001E08AC">
        <w:rPr>
          <w:rFonts w:cstheme="minorHAnsi"/>
          <w:noProof/>
        </w:rPr>
        <w:t xml:space="preserve">. </w:t>
      </w:r>
      <w:r w:rsidR="00481D12" w:rsidRPr="001E08AC">
        <w:rPr>
          <w:rFonts w:cstheme="minorHAnsi"/>
          <w:noProof/>
        </w:rPr>
        <w:t>Other</w:t>
      </w:r>
      <w:r w:rsidR="0072672B" w:rsidRPr="001E08AC">
        <w:rPr>
          <w:rFonts w:cstheme="minorHAnsi"/>
          <w:noProof/>
        </w:rPr>
        <w:t xml:space="preserve"> investments are </w:t>
      </w:r>
      <w:r w:rsidR="00C1764D" w:rsidRPr="001E08AC">
        <w:rPr>
          <w:rFonts w:cstheme="minorHAnsi"/>
          <w:noProof/>
        </w:rPr>
        <w:t>Fischer–Tropsch (France), biomethane</w:t>
      </w:r>
      <w:r w:rsidR="00DA53D8" w:rsidRPr="001E08AC">
        <w:rPr>
          <w:rFonts w:cstheme="minorHAnsi"/>
          <w:noProof/>
        </w:rPr>
        <w:t>, BioLPG, Naptha</w:t>
      </w:r>
      <w:r w:rsidR="00C1764D" w:rsidRPr="001E08AC">
        <w:rPr>
          <w:rFonts w:cstheme="minorHAnsi"/>
          <w:noProof/>
        </w:rPr>
        <w:t xml:space="preserve"> (</w:t>
      </w:r>
      <w:r w:rsidR="00DA53D8" w:rsidRPr="001E08AC">
        <w:rPr>
          <w:rFonts w:cstheme="minorHAnsi"/>
          <w:noProof/>
        </w:rPr>
        <w:t xml:space="preserve">all in </w:t>
      </w:r>
      <w:r w:rsidR="00C1764D" w:rsidRPr="001E08AC">
        <w:rPr>
          <w:rFonts w:cstheme="minorHAnsi"/>
          <w:noProof/>
        </w:rPr>
        <w:t>the Nethe</w:t>
      </w:r>
      <w:r w:rsidR="00481D12" w:rsidRPr="001E08AC">
        <w:rPr>
          <w:rFonts w:cstheme="minorHAnsi"/>
          <w:noProof/>
        </w:rPr>
        <w:t>r</w:t>
      </w:r>
      <w:r w:rsidR="00C1764D" w:rsidRPr="001E08AC">
        <w:rPr>
          <w:rFonts w:cstheme="minorHAnsi"/>
          <w:noProof/>
        </w:rPr>
        <w:t>lands)</w:t>
      </w:r>
      <w:r w:rsidR="00DA53D8" w:rsidRPr="001E08AC">
        <w:rPr>
          <w:rFonts w:cstheme="minorHAnsi"/>
          <w:noProof/>
        </w:rPr>
        <w:t xml:space="preserve"> or unknown/various (Finl</w:t>
      </w:r>
      <w:r w:rsidR="00481D12" w:rsidRPr="001E08AC">
        <w:rPr>
          <w:rFonts w:cstheme="minorHAnsi"/>
          <w:noProof/>
        </w:rPr>
        <w:t>a</w:t>
      </w:r>
      <w:r w:rsidR="00DA53D8" w:rsidRPr="001E08AC">
        <w:rPr>
          <w:rFonts w:cstheme="minorHAnsi"/>
          <w:noProof/>
        </w:rPr>
        <w:t>nd)</w:t>
      </w:r>
      <w:r w:rsidR="00287EBD" w:rsidRPr="001E08AC">
        <w:rPr>
          <w:rFonts w:cstheme="minorHAnsi"/>
          <w:noProof/>
        </w:rPr>
        <w:t xml:space="preserve">. </w:t>
      </w:r>
    </w:p>
    <w:p w14:paraId="322B090B" w14:textId="475512F3" w:rsidR="00783881" w:rsidRPr="001E08AC" w:rsidRDefault="195F41A8" w:rsidP="00B80FC5">
      <w:pPr>
        <w:spacing w:before="240" w:after="120" w:line="240" w:lineRule="auto"/>
        <w:jc w:val="both"/>
        <w:rPr>
          <w:rFonts w:cstheme="minorHAnsi"/>
          <w:b/>
          <w:i/>
          <w:noProof/>
        </w:rPr>
      </w:pPr>
      <w:r w:rsidRPr="001E08AC">
        <w:rPr>
          <w:rFonts w:cstheme="minorHAnsi"/>
          <w:b/>
          <w:bCs/>
          <w:i/>
          <w:iCs/>
          <w:noProof/>
        </w:rPr>
        <w:t>A</w:t>
      </w:r>
      <w:r w:rsidR="00783881" w:rsidRPr="001E08AC">
        <w:rPr>
          <w:rFonts w:cstheme="minorHAnsi"/>
          <w:b/>
          <w:bCs/>
          <w:i/>
          <w:iCs/>
          <w:noProof/>
        </w:rPr>
        <w:t>vailable</w:t>
      </w:r>
      <w:r w:rsidR="00783881" w:rsidRPr="001E08AC">
        <w:rPr>
          <w:rFonts w:cstheme="minorHAnsi"/>
          <w:b/>
          <w:i/>
          <w:noProof/>
        </w:rPr>
        <w:t xml:space="preserve"> scientific research results regarding indirect land-use change </w:t>
      </w:r>
    </w:p>
    <w:p w14:paraId="3806B327" w14:textId="212820C4" w:rsidR="00783881" w:rsidRPr="001E08AC" w:rsidRDefault="19FBE07A" w:rsidP="00B80FC5">
      <w:pPr>
        <w:pStyle w:val="NormalTimesNewRoman"/>
        <w:spacing w:before="240" w:after="120" w:line="240" w:lineRule="auto"/>
        <w:rPr>
          <w:rFonts w:asciiTheme="minorHAnsi" w:eastAsiaTheme="minorHAnsi" w:hAnsiTheme="minorHAnsi" w:cstheme="minorHAnsi"/>
          <w:noProof/>
          <w:sz w:val="22"/>
          <w:szCs w:val="22"/>
        </w:rPr>
      </w:pPr>
      <w:r w:rsidRPr="001E08AC">
        <w:rPr>
          <w:rFonts w:asciiTheme="minorHAnsi" w:eastAsiaTheme="minorEastAsia" w:hAnsiTheme="minorHAnsi" w:cstheme="minorHAnsi"/>
          <w:noProof/>
          <w:sz w:val="22"/>
          <w:szCs w:val="22"/>
        </w:rPr>
        <w:t xml:space="preserve">The Commission is monitoring the situation related to biofuels, bioliquids and biomass fuels with a high risk of indirect-land use change </w:t>
      </w:r>
      <w:r w:rsidR="6BD5C27A" w:rsidRPr="001E08AC">
        <w:rPr>
          <w:rFonts w:asciiTheme="minorHAnsi" w:eastAsiaTheme="minorEastAsia" w:hAnsiTheme="minorHAnsi" w:cstheme="minorHAnsi"/>
          <w:noProof/>
          <w:sz w:val="22"/>
          <w:szCs w:val="22"/>
        </w:rPr>
        <w:t xml:space="preserve">(ILUC) </w:t>
      </w:r>
      <w:r w:rsidRPr="001E08AC">
        <w:rPr>
          <w:rFonts w:asciiTheme="minorHAnsi" w:eastAsiaTheme="minorEastAsia" w:hAnsiTheme="minorHAnsi" w:cstheme="minorHAnsi"/>
          <w:noProof/>
          <w:sz w:val="22"/>
          <w:szCs w:val="22"/>
        </w:rPr>
        <w:t>and will continue to regularly update the data based on latest scientific evidence. The Commission has launched two studies</w:t>
      </w:r>
      <w:r w:rsidR="00783881" w:rsidRPr="001E08AC">
        <w:rPr>
          <w:rStyle w:val="FootnoteReference"/>
          <w:rFonts w:asciiTheme="minorHAnsi" w:eastAsiaTheme="minorEastAsia" w:hAnsiTheme="minorHAnsi" w:cstheme="minorHAnsi"/>
          <w:noProof/>
          <w:sz w:val="22"/>
          <w:szCs w:val="22"/>
        </w:rPr>
        <w:footnoteReference w:id="49"/>
      </w:r>
      <w:r w:rsidRPr="001E08AC">
        <w:rPr>
          <w:rFonts w:asciiTheme="minorHAnsi" w:eastAsiaTheme="minorEastAsia" w:hAnsiTheme="minorHAnsi" w:cstheme="minorHAnsi"/>
          <w:noProof/>
          <w:sz w:val="22"/>
          <w:szCs w:val="22"/>
        </w:rPr>
        <w:t xml:space="preserve"> in this regard and the assessment is currently ongoing. The </w:t>
      </w:r>
      <w:r w:rsidR="00D803E2" w:rsidRPr="001E08AC">
        <w:rPr>
          <w:rFonts w:asciiTheme="minorHAnsi" w:eastAsiaTheme="minorEastAsia" w:hAnsiTheme="minorHAnsi" w:cstheme="minorHAnsi"/>
          <w:noProof/>
          <w:sz w:val="22"/>
          <w:szCs w:val="22"/>
        </w:rPr>
        <w:t>results</w:t>
      </w:r>
      <w:r w:rsidRPr="001E08AC">
        <w:rPr>
          <w:rFonts w:asciiTheme="minorHAnsi" w:eastAsiaTheme="minorEastAsia" w:hAnsiTheme="minorHAnsi" w:cstheme="minorHAnsi"/>
          <w:noProof/>
          <w:sz w:val="22"/>
          <w:szCs w:val="22"/>
        </w:rPr>
        <w:t xml:space="preserve"> of the study will be used to support the Commission to also update, if needed, the criteria applied for identifying feedstock with high ILUC-risk and for certifying low ILUC-risk fuels.    </w:t>
      </w:r>
    </w:p>
    <w:p w14:paraId="721E5400" w14:textId="32AA8464" w:rsidR="00783881" w:rsidRPr="001E08AC" w:rsidRDefault="19FBE07A" w:rsidP="00B80FC5">
      <w:pPr>
        <w:pStyle w:val="NormalTimesNewRoman"/>
        <w:spacing w:before="240" w:after="120" w:line="240" w:lineRule="auto"/>
        <w:rPr>
          <w:rFonts w:asciiTheme="minorHAnsi" w:eastAsiaTheme="minorEastAsia" w:hAnsiTheme="minorHAnsi" w:cstheme="minorHAnsi"/>
          <w:noProof/>
          <w:sz w:val="22"/>
          <w:szCs w:val="22"/>
        </w:rPr>
      </w:pPr>
      <w:r w:rsidRPr="001E08AC">
        <w:rPr>
          <w:rFonts w:asciiTheme="minorHAnsi" w:eastAsiaTheme="minorEastAsia" w:hAnsiTheme="minorHAnsi" w:cstheme="minorHAnsi"/>
          <w:noProof/>
          <w:sz w:val="22"/>
          <w:szCs w:val="22"/>
        </w:rPr>
        <w:t>Further guidance on the implementation of low ILUC-risk certification was included in Chapter V of the Implementing Regulation (EU) 2022/996</w:t>
      </w:r>
      <w:r w:rsidR="00783881" w:rsidRPr="001E08AC">
        <w:rPr>
          <w:rStyle w:val="FootnoteReference"/>
          <w:rFonts w:asciiTheme="minorHAnsi" w:eastAsiaTheme="minorEastAsia" w:hAnsiTheme="minorHAnsi" w:cstheme="minorHAnsi"/>
          <w:noProof/>
          <w:sz w:val="22"/>
          <w:szCs w:val="22"/>
        </w:rPr>
        <w:footnoteReference w:id="50"/>
      </w:r>
      <w:r w:rsidRPr="001E08AC">
        <w:rPr>
          <w:rFonts w:asciiTheme="minorHAnsi" w:eastAsiaTheme="minorEastAsia" w:hAnsiTheme="minorHAnsi" w:cstheme="minorHAnsi"/>
          <w:noProof/>
          <w:sz w:val="22"/>
          <w:szCs w:val="22"/>
        </w:rPr>
        <w:t xml:space="preserve"> on certification rules for voluntary schemes. In Articles 24-27</w:t>
      </w:r>
      <w:r w:rsidR="6C065EA7" w:rsidRPr="001E08AC">
        <w:rPr>
          <w:rFonts w:asciiTheme="minorHAnsi" w:eastAsiaTheme="minorEastAsia" w:hAnsiTheme="minorHAnsi" w:cstheme="minorHAnsi"/>
          <w:noProof/>
          <w:sz w:val="22"/>
          <w:szCs w:val="22"/>
        </w:rPr>
        <w:t>,</w:t>
      </w:r>
      <w:r w:rsidRPr="001E08AC">
        <w:rPr>
          <w:rFonts w:asciiTheme="minorHAnsi" w:eastAsiaTheme="minorEastAsia" w:hAnsiTheme="minorHAnsi" w:cstheme="minorHAnsi"/>
          <w:noProof/>
          <w:sz w:val="22"/>
          <w:szCs w:val="22"/>
        </w:rPr>
        <w:t xml:space="preserve"> the specific requirements for low ILUC-risk certification are explained</w:t>
      </w:r>
      <w:r w:rsidR="00142453" w:rsidRPr="001E08AC">
        <w:rPr>
          <w:rFonts w:asciiTheme="minorHAnsi" w:eastAsiaTheme="minorEastAsia" w:hAnsiTheme="minorHAnsi" w:cstheme="minorHAnsi"/>
          <w:noProof/>
          <w:sz w:val="22"/>
          <w:szCs w:val="22"/>
        </w:rPr>
        <w:t>,</w:t>
      </w:r>
      <w:r w:rsidRPr="001E08AC">
        <w:rPr>
          <w:rFonts w:asciiTheme="minorHAnsi" w:eastAsiaTheme="minorEastAsia" w:hAnsiTheme="minorHAnsi" w:cstheme="minorHAnsi"/>
          <w:noProof/>
          <w:sz w:val="22"/>
          <w:szCs w:val="22"/>
        </w:rPr>
        <w:t xml:space="preserve"> </w:t>
      </w:r>
      <w:r w:rsidR="2D7906AB" w:rsidRPr="001E08AC">
        <w:rPr>
          <w:rFonts w:asciiTheme="minorHAnsi" w:eastAsiaTheme="minorEastAsia" w:hAnsiTheme="minorHAnsi" w:cstheme="minorHAnsi"/>
          <w:noProof/>
          <w:sz w:val="22"/>
          <w:szCs w:val="22"/>
        </w:rPr>
        <w:t xml:space="preserve">and </w:t>
      </w:r>
      <w:r w:rsidRPr="001E08AC">
        <w:rPr>
          <w:rFonts w:asciiTheme="minorHAnsi" w:eastAsiaTheme="minorEastAsia" w:hAnsiTheme="minorHAnsi" w:cstheme="minorHAnsi"/>
          <w:noProof/>
          <w:sz w:val="22"/>
          <w:szCs w:val="22"/>
        </w:rPr>
        <w:t xml:space="preserve">rules for proving additionality and detailed guidance for complying with the requirements for production on unused or abandoned land and for determining additional biomass for yield increase measures are included. These technical rules aim to ensure a </w:t>
      </w:r>
      <w:r w:rsidR="02FEE653" w:rsidRPr="001E08AC">
        <w:rPr>
          <w:rFonts w:asciiTheme="minorHAnsi" w:eastAsiaTheme="minorEastAsia" w:hAnsiTheme="minorHAnsi" w:cstheme="minorHAnsi"/>
          <w:noProof/>
          <w:sz w:val="22"/>
          <w:szCs w:val="22"/>
        </w:rPr>
        <w:t>harmonized</w:t>
      </w:r>
      <w:r w:rsidRPr="001E08AC">
        <w:rPr>
          <w:rFonts w:asciiTheme="minorHAnsi" w:eastAsiaTheme="minorEastAsia" w:hAnsiTheme="minorHAnsi" w:cstheme="minorHAnsi"/>
          <w:noProof/>
          <w:sz w:val="22"/>
          <w:szCs w:val="22"/>
        </w:rPr>
        <w:t xml:space="preserve"> and robust approach across certification bodies. </w:t>
      </w:r>
      <w:r w:rsidR="3730049D" w:rsidRPr="001E08AC">
        <w:rPr>
          <w:rFonts w:asciiTheme="minorHAnsi" w:eastAsiaTheme="minorEastAsia" w:hAnsiTheme="minorHAnsi" w:cstheme="minorHAnsi"/>
          <w:noProof/>
          <w:sz w:val="22"/>
          <w:szCs w:val="22"/>
        </w:rPr>
        <w:t xml:space="preserve"> The Commission may further elaborate the guidance based on the </w:t>
      </w:r>
      <w:r w:rsidR="37FC08F5" w:rsidRPr="001E08AC">
        <w:rPr>
          <w:rFonts w:asciiTheme="minorHAnsi" w:eastAsiaTheme="minorEastAsia" w:hAnsiTheme="minorHAnsi" w:cstheme="minorHAnsi"/>
          <w:noProof/>
          <w:sz w:val="22"/>
          <w:szCs w:val="22"/>
        </w:rPr>
        <w:t>results</w:t>
      </w:r>
      <w:r w:rsidR="3730049D" w:rsidRPr="001E08AC">
        <w:rPr>
          <w:rFonts w:asciiTheme="minorHAnsi" w:eastAsiaTheme="minorEastAsia" w:hAnsiTheme="minorHAnsi" w:cstheme="minorHAnsi"/>
          <w:noProof/>
          <w:sz w:val="22"/>
          <w:szCs w:val="22"/>
        </w:rPr>
        <w:t xml:space="preserve"> of pilot testing of the methodology that was </w:t>
      </w:r>
      <w:r w:rsidR="70093A40" w:rsidRPr="001E08AC">
        <w:rPr>
          <w:rFonts w:asciiTheme="minorHAnsi" w:eastAsiaTheme="minorEastAsia" w:hAnsiTheme="minorHAnsi" w:cstheme="minorHAnsi"/>
          <w:noProof/>
          <w:sz w:val="22"/>
          <w:szCs w:val="22"/>
        </w:rPr>
        <w:t xml:space="preserve">recently completed as part of </w:t>
      </w:r>
      <w:r w:rsidR="1D1696C1" w:rsidRPr="001E08AC">
        <w:rPr>
          <w:rFonts w:asciiTheme="minorHAnsi" w:eastAsiaTheme="minorEastAsia" w:hAnsiTheme="minorHAnsi" w:cstheme="minorHAnsi"/>
          <w:noProof/>
          <w:sz w:val="22"/>
          <w:szCs w:val="22"/>
        </w:rPr>
        <w:t xml:space="preserve">the above-mentioned </w:t>
      </w:r>
      <w:r w:rsidR="67DE0013" w:rsidRPr="001E08AC">
        <w:rPr>
          <w:rFonts w:asciiTheme="minorHAnsi" w:eastAsiaTheme="minorEastAsia" w:hAnsiTheme="minorHAnsi" w:cstheme="minorHAnsi"/>
          <w:noProof/>
          <w:sz w:val="22"/>
          <w:szCs w:val="22"/>
        </w:rPr>
        <w:t>studies</w:t>
      </w:r>
      <w:r w:rsidR="31686A51" w:rsidRPr="001E08AC">
        <w:rPr>
          <w:rFonts w:asciiTheme="minorHAnsi" w:eastAsiaTheme="minorEastAsia" w:hAnsiTheme="minorHAnsi" w:cstheme="minorHAnsi"/>
          <w:noProof/>
          <w:sz w:val="22"/>
          <w:szCs w:val="22"/>
        </w:rPr>
        <w:t xml:space="preserve"> contracted by the Commission</w:t>
      </w:r>
      <w:r w:rsidR="03B420FB" w:rsidRPr="001E08AC">
        <w:rPr>
          <w:rFonts w:asciiTheme="minorHAnsi" w:eastAsiaTheme="minorEastAsia" w:hAnsiTheme="minorHAnsi" w:cstheme="minorHAnsi"/>
          <w:noProof/>
          <w:sz w:val="22"/>
          <w:szCs w:val="22"/>
        </w:rPr>
        <w:t>.</w:t>
      </w:r>
      <w:r w:rsidR="00783881" w:rsidRPr="001E08AC">
        <w:rPr>
          <w:rFonts w:asciiTheme="minorHAnsi" w:eastAsiaTheme="minorEastAsia" w:hAnsiTheme="minorHAnsi" w:cstheme="minorHAnsi"/>
          <w:noProof/>
          <w:sz w:val="22"/>
          <w:szCs w:val="22"/>
          <w:vertAlign w:val="superscript"/>
        </w:rPr>
        <w:footnoteReference w:id="51"/>
      </w:r>
    </w:p>
    <w:p w14:paraId="312FFCC2" w14:textId="16FEDD6D" w:rsidR="0C989FD7" w:rsidRPr="001E08AC" w:rsidRDefault="0C989FD7" w:rsidP="00B80FC5">
      <w:pPr>
        <w:spacing w:before="240" w:after="120" w:line="240" w:lineRule="auto"/>
        <w:rPr>
          <w:rFonts w:eastAsiaTheme="minorEastAsia" w:cstheme="minorHAnsi"/>
          <w:b/>
          <w:bCs/>
          <w:i/>
          <w:iCs/>
          <w:noProof/>
        </w:rPr>
      </w:pPr>
      <w:r w:rsidRPr="001E08AC">
        <w:rPr>
          <w:rFonts w:eastAsiaTheme="minorEastAsia" w:cstheme="minorHAnsi"/>
          <w:b/>
          <w:bCs/>
          <w:i/>
          <w:iCs/>
          <w:noProof/>
        </w:rPr>
        <w:t>Voluntary and national certification schemes under the Renewable Energy Directive</w:t>
      </w:r>
    </w:p>
    <w:p w14:paraId="138CCA08" w14:textId="233C0144" w:rsidR="7251A8D3" w:rsidRPr="001E08AC" w:rsidRDefault="7251A8D3" w:rsidP="00B80FC5">
      <w:pPr>
        <w:spacing w:before="240" w:after="120" w:line="240" w:lineRule="auto"/>
        <w:jc w:val="both"/>
        <w:rPr>
          <w:rFonts w:eastAsiaTheme="minorEastAsia" w:cstheme="minorHAnsi"/>
          <w:noProof/>
        </w:rPr>
      </w:pPr>
      <w:r w:rsidRPr="001E08AC">
        <w:rPr>
          <w:rFonts w:eastAsiaTheme="minorEastAsia" w:cstheme="minorHAnsi"/>
          <w:noProof/>
        </w:rPr>
        <w:t xml:space="preserve">Voluntary schemes and national certification schemes of EU countries help to ensure that biofuels, bioliquids and biomass fuels as well as renewable hydrogen and its derivatives (renewable fuels of non-biological origin or RFNBOs), and recycled carbon fuels (RCF) are sustainably produced by verifying that they comply with the </w:t>
      </w:r>
      <w:r w:rsidRPr="001E08AC">
        <w:rPr>
          <w:rFonts w:eastAsia="Arial" w:cstheme="minorHAnsi"/>
          <w:noProof/>
        </w:rPr>
        <w:t>EU sustainability criteria</w:t>
      </w:r>
      <w:r w:rsidRPr="001E08AC">
        <w:rPr>
          <w:rFonts w:eastAsiaTheme="minorEastAsia" w:cstheme="minorHAnsi"/>
          <w:noProof/>
        </w:rPr>
        <w:t xml:space="preserve"> as well as </w:t>
      </w:r>
      <w:r w:rsidR="00A630DF" w:rsidRPr="001E08AC">
        <w:rPr>
          <w:rFonts w:eastAsiaTheme="minorEastAsia" w:cstheme="minorHAnsi"/>
          <w:noProof/>
        </w:rPr>
        <w:t xml:space="preserve">with </w:t>
      </w:r>
      <w:r w:rsidRPr="001E08AC">
        <w:rPr>
          <w:rFonts w:eastAsiaTheme="minorEastAsia" w:cstheme="minorHAnsi"/>
          <w:noProof/>
        </w:rPr>
        <w:t>the relevant methodologies for RFNBOs and RCF.</w:t>
      </w:r>
    </w:p>
    <w:p w14:paraId="593E72D8" w14:textId="52A5C3DF" w:rsidR="7251A8D3" w:rsidRPr="001E08AC" w:rsidRDefault="7251A8D3" w:rsidP="00B80FC5">
      <w:pPr>
        <w:spacing w:before="240" w:after="120" w:line="240" w:lineRule="auto"/>
        <w:jc w:val="both"/>
        <w:rPr>
          <w:rFonts w:eastAsiaTheme="minorEastAsia" w:cstheme="minorHAnsi"/>
          <w:noProof/>
        </w:rPr>
      </w:pPr>
      <w:r w:rsidRPr="001E08AC">
        <w:rPr>
          <w:rFonts w:eastAsiaTheme="minorEastAsia" w:cstheme="minorHAnsi"/>
          <w:noProof/>
        </w:rPr>
        <w:t>As such, the schemes check that</w:t>
      </w:r>
      <w:r w:rsidR="00142453" w:rsidRPr="001E08AC">
        <w:rPr>
          <w:rFonts w:eastAsiaTheme="minorEastAsia" w:cstheme="minorHAnsi"/>
          <w:noProof/>
        </w:rPr>
        <w:t>:</w:t>
      </w:r>
    </w:p>
    <w:p w14:paraId="18547C65" w14:textId="54DDE3EF" w:rsidR="7251A8D3" w:rsidRPr="001E08AC" w:rsidRDefault="7251A8D3" w:rsidP="00B80FC5">
      <w:pPr>
        <w:pStyle w:val="ListParagraph"/>
        <w:numPr>
          <w:ilvl w:val="0"/>
          <w:numId w:val="2"/>
        </w:numPr>
        <w:spacing w:before="240" w:after="120" w:line="240" w:lineRule="auto"/>
        <w:jc w:val="both"/>
        <w:rPr>
          <w:rFonts w:eastAsiaTheme="minorEastAsia" w:cstheme="minorHAnsi"/>
          <w:noProof/>
        </w:rPr>
      </w:pPr>
      <w:r w:rsidRPr="001E08AC">
        <w:rPr>
          <w:rFonts w:eastAsiaTheme="minorEastAsia" w:cstheme="minorHAnsi"/>
          <w:noProof/>
        </w:rPr>
        <w:t>production of feedstock used for the production of biofuels, bioliquids and biomass fuels does not take place on land with high biodiversity and that land with a high amount of carbon has not been converted for such feedstock production</w:t>
      </w:r>
      <w:r w:rsidR="00A630DF" w:rsidRPr="001E08AC">
        <w:rPr>
          <w:rFonts w:eastAsiaTheme="minorEastAsia" w:cstheme="minorHAnsi"/>
          <w:noProof/>
        </w:rPr>
        <w:t>;</w:t>
      </w:r>
    </w:p>
    <w:p w14:paraId="3C6A75F1" w14:textId="1FC76019" w:rsidR="7251A8D3" w:rsidRPr="001E08AC" w:rsidRDefault="7251A8D3" w:rsidP="00B80FC5">
      <w:pPr>
        <w:pStyle w:val="ListParagraph"/>
        <w:numPr>
          <w:ilvl w:val="0"/>
          <w:numId w:val="2"/>
        </w:numPr>
        <w:spacing w:before="240" w:after="120" w:line="240" w:lineRule="auto"/>
        <w:jc w:val="both"/>
        <w:rPr>
          <w:rFonts w:eastAsiaTheme="minorEastAsia" w:cstheme="minorHAnsi"/>
          <w:noProof/>
        </w:rPr>
      </w:pPr>
      <w:r w:rsidRPr="001E08AC">
        <w:rPr>
          <w:rFonts w:eastAsiaTheme="minorEastAsia" w:cstheme="minorHAnsi"/>
          <w:noProof/>
        </w:rPr>
        <w:t>electricity used for the production of renewable hydrogen is of renewable origin</w:t>
      </w:r>
      <w:r w:rsidR="00A630DF" w:rsidRPr="001E08AC">
        <w:rPr>
          <w:rFonts w:eastAsiaTheme="minorEastAsia" w:cstheme="minorHAnsi"/>
          <w:noProof/>
        </w:rPr>
        <w:t xml:space="preserve">; and </w:t>
      </w:r>
    </w:p>
    <w:p w14:paraId="4C199D89" w14:textId="3EBE5747" w:rsidR="7251A8D3" w:rsidRPr="001E08AC" w:rsidRDefault="7251A8D3" w:rsidP="00B80FC5">
      <w:pPr>
        <w:pStyle w:val="ListParagraph"/>
        <w:numPr>
          <w:ilvl w:val="0"/>
          <w:numId w:val="2"/>
        </w:numPr>
        <w:spacing w:before="240" w:after="120" w:line="240" w:lineRule="auto"/>
        <w:jc w:val="both"/>
        <w:rPr>
          <w:rFonts w:eastAsiaTheme="minorEastAsia" w:cstheme="minorHAnsi"/>
          <w:noProof/>
        </w:rPr>
      </w:pPr>
      <w:r w:rsidRPr="001E08AC">
        <w:rPr>
          <w:rFonts w:eastAsiaTheme="minorEastAsia" w:cstheme="minorHAnsi"/>
          <w:noProof/>
        </w:rPr>
        <w:t>production of renewable fuels and gases leads to sufficient greenhouse gas emissions savings</w:t>
      </w:r>
      <w:r w:rsidR="00A630DF" w:rsidRPr="001E08AC">
        <w:rPr>
          <w:rFonts w:eastAsiaTheme="minorEastAsia" w:cstheme="minorHAnsi"/>
          <w:noProof/>
        </w:rPr>
        <w:t>.</w:t>
      </w:r>
    </w:p>
    <w:p w14:paraId="1F1CC7B7" w14:textId="7ABD34E1" w:rsidR="7251A8D3" w:rsidRPr="001E08AC" w:rsidRDefault="7251A8D3" w:rsidP="00B80FC5">
      <w:pPr>
        <w:spacing w:before="240" w:after="120" w:line="240" w:lineRule="auto"/>
        <w:jc w:val="both"/>
        <w:rPr>
          <w:rFonts w:eastAsiaTheme="minorEastAsia" w:cstheme="minorHAnsi"/>
          <w:noProof/>
        </w:rPr>
      </w:pPr>
      <w:r w:rsidRPr="001E08AC">
        <w:rPr>
          <w:rFonts w:eastAsiaTheme="minorEastAsia" w:cstheme="minorHAnsi"/>
          <w:noProof/>
        </w:rPr>
        <w:t>Several schemes also take into account additional sustainability aspects such as soil, water, air protection and social criteria. For the certification process, an external auditor verifies the whole production chain from the origin of the raw material and energy to the fuel producer or trader.</w:t>
      </w:r>
    </w:p>
    <w:p w14:paraId="29FBD29A" w14:textId="706A7F40" w:rsidR="7251A8D3" w:rsidRPr="001E08AC" w:rsidRDefault="7251A8D3" w:rsidP="00B80FC5">
      <w:pPr>
        <w:spacing w:before="240" w:after="120" w:line="240" w:lineRule="auto"/>
        <w:jc w:val="both"/>
        <w:rPr>
          <w:rFonts w:eastAsiaTheme="minorEastAsia" w:cstheme="minorHAnsi"/>
          <w:noProof/>
        </w:rPr>
      </w:pPr>
      <w:r w:rsidRPr="001E08AC">
        <w:rPr>
          <w:rFonts w:eastAsiaTheme="minorEastAsia" w:cstheme="minorHAnsi"/>
          <w:noProof/>
        </w:rPr>
        <w:t>While the schemes are run privately, the European Commission can recognise them as compliant with the rules included in the Renewable Energy Directive</w:t>
      </w:r>
      <w:r w:rsidR="27451D74" w:rsidRPr="001E08AC">
        <w:rPr>
          <w:rFonts w:eastAsiaTheme="minorEastAsia" w:cstheme="minorHAnsi"/>
          <w:noProof/>
        </w:rPr>
        <w:t xml:space="preserve">. </w:t>
      </w:r>
      <w:r w:rsidR="1475B9A1" w:rsidRPr="001E08AC">
        <w:rPr>
          <w:rFonts w:eastAsiaTheme="minorEastAsia" w:cstheme="minorHAnsi"/>
          <w:noProof/>
        </w:rPr>
        <w:t>The</w:t>
      </w:r>
      <w:r w:rsidR="2EEA6670" w:rsidRPr="001E08AC">
        <w:rPr>
          <w:rFonts w:eastAsiaTheme="minorEastAsia" w:cstheme="minorHAnsi"/>
          <w:noProof/>
        </w:rPr>
        <w:t xml:space="preserve"> </w:t>
      </w:r>
      <w:r w:rsidR="1475B9A1" w:rsidRPr="001E08AC">
        <w:rPr>
          <w:rFonts w:eastAsiaTheme="minorEastAsia" w:cstheme="minorHAnsi"/>
          <w:noProof/>
        </w:rPr>
        <w:t xml:space="preserve">recognition process is </w:t>
      </w:r>
      <w:r w:rsidR="2CDC6319" w:rsidRPr="001E08AC">
        <w:rPr>
          <w:rFonts w:eastAsiaTheme="minorEastAsia" w:cstheme="minorHAnsi"/>
          <w:noProof/>
        </w:rPr>
        <w:t>carried out</w:t>
      </w:r>
      <w:r w:rsidR="1475B9A1" w:rsidRPr="001E08AC">
        <w:rPr>
          <w:rFonts w:eastAsiaTheme="minorEastAsia" w:cstheme="minorHAnsi"/>
          <w:noProof/>
        </w:rPr>
        <w:t xml:space="preserve"> </w:t>
      </w:r>
      <w:r w:rsidR="2EEA6670" w:rsidRPr="001E08AC">
        <w:rPr>
          <w:rFonts w:eastAsiaTheme="minorEastAsia" w:cstheme="minorHAnsi"/>
          <w:noProof/>
        </w:rPr>
        <w:t xml:space="preserve">in accordance with </w:t>
      </w:r>
      <w:r w:rsidR="00A630DF" w:rsidRPr="001E08AC">
        <w:rPr>
          <w:rFonts w:eastAsiaTheme="minorEastAsia" w:cstheme="minorHAnsi"/>
          <w:noProof/>
        </w:rPr>
        <w:t>A</w:t>
      </w:r>
      <w:r w:rsidR="2EEA6670" w:rsidRPr="001E08AC">
        <w:rPr>
          <w:rFonts w:eastAsiaTheme="minorEastAsia" w:cstheme="minorHAnsi"/>
          <w:noProof/>
        </w:rPr>
        <w:t>rticle 30</w:t>
      </w:r>
      <w:r w:rsidR="1EB7524D" w:rsidRPr="001E08AC">
        <w:rPr>
          <w:rFonts w:eastAsiaTheme="minorEastAsia" w:cstheme="minorHAnsi"/>
          <w:noProof/>
        </w:rPr>
        <w:t xml:space="preserve"> (</w:t>
      </w:r>
      <w:r w:rsidR="50A45FEB" w:rsidRPr="001E08AC">
        <w:rPr>
          <w:rFonts w:eastAsiaTheme="minorEastAsia" w:cstheme="minorHAnsi"/>
          <w:noProof/>
        </w:rPr>
        <w:t>4</w:t>
      </w:r>
      <w:r w:rsidR="572D2921" w:rsidRPr="001E08AC">
        <w:rPr>
          <w:rFonts w:eastAsiaTheme="minorEastAsia" w:cstheme="minorHAnsi"/>
          <w:noProof/>
        </w:rPr>
        <w:t>)</w:t>
      </w:r>
      <w:r w:rsidR="50A45FEB" w:rsidRPr="001E08AC">
        <w:rPr>
          <w:rFonts w:eastAsiaTheme="minorEastAsia" w:cstheme="minorHAnsi"/>
          <w:noProof/>
        </w:rPr>
        <w:t xml:space="preserve"> and </w:t>
      </w:r>
      <w:r w:rsidR="666101E5" w:rsidRPr="001E08AC">
        <w:rPr>
          <w:rFonts w:eastAsiaTheme="minorEastAsia" w:cstheme="minorHAnsi"/>
          <w:noProof/>
        </w:rPr>
        <w:t>(</w:t>
      </w:r>
      <w:r w:rsidR="50A45FEB" w:rsidRPr="001E08AC">
        <w:rPr>
          <w:rFonts w:eastAsiaTheme="minorEastAsia" w:cstheme="minorHAnsi"/>
          <w:noProof/>
        </w:rPr>
        <w:t>6</w:t>
      </w:r>
      <w:r w:rsidR="3166E357" w:rsidRPr="001E08AC">
        <w:rPr>
          <w:rFonts w:eastAsiaTheme="minorEastAsia" w:cstheme="minorHAnsi"/>
          <w:noProof/>
        </w:rPr>
        <w:t>) of</w:t>
      </w:r>
      <w:r w:rsidR="2EEA6670" w:rsidRPr="001E08AC">
        <w:rPr>
          <w:rFonts w:eastAsiaTheme="minorEastAsia" w:cstheme="minorHAnsi"/>
          <w:noProof/>
        </w:rPr>
        <w:t xml:space="preserve"> </w:t>
      </w:r>
      <w:r w:rsidR="57537A1B" w:rsidRPr="001E08AC">
        <w:rPr>
          <w:rFonts w:eastAsiaTheme="minorEastAsia" w:cstheme="minorHAnsi"/>
          <w:noProof/>
        </w:rPr>
        <w:t xml:space="preserve">the Renewable Energy Directive. </w:t>
      </w:r>
    </w:p>
    <w:p w14:paraId="77BB6894" w14:textId="40A0ADA4" w:rsidR="57537A1B" w:rsidRPr="001E08AC" w:rsidRDefault="57537A1B" w:rsidP="00B80FC5">
      <w:pPr>
        <w:spacing w:before="240" w:after="120" w:line="240" w:lineRule="auto"/>
        <w:jc w:val="both"/>
        <w:rPr>
          <w:rFonts w:eastAsiaTheme="minorEastAsia" w:cstheme="minorHAnsi"/>
          <w:noProof/>
        </w:rPr>
      </w:pPr>
      <w:r w:rsidRPr="001E08AC">
        <w:rPr>
          <w:rFonts w:eastAsiaTheme="minorEastAsia" w:cstheme="minorHAnsi"/>
          <w:noProof/>
        </w:rPr>
        <w:t>For a scheme to be recognised by the Commission, it must fulfil criteria such as</w:t>
      </w:r>
      <w:r w:rsidR="00A630DF" w:rsidRPr="001E08AC">
        <w:rPr>
          <w:rFonts w:eastAsiaTheme="minorEastAsia" w:cstheme="minorHAnsi"/>
          <w:noProof/>
        </w:rPr>
        <w:t>:</w:t>
      </w:r>
    </w:p>
    <w:p w14:paraId="69D5F4B8" w14:textId="50094D2B" w:rsidR="57537A1B" w:rsidRPr="001E08AC" w:rsidRDefault="57537A1B" w:rsidP="00B80FC5">
      <w:pPr>
        <w:pStyle w:val="ListParagraph"/>
        <w:numPr>
          <w:ilvl w:val="0"/>
          <w:numId w:val="2"/>
        </w:numPr>
        <w:spacing w:before="240" w:after="120" w:line="240" w:lineRule="auto"/>
        <w:jc w:val="both"/>
        <w:rPr>
          <w:rFonts w:eastAsiaTheme="minorEastAsia" w:cstheme="minorHAnsi"/>
          <w:noProof/>
        </w:rPr>
      </w:pPr>
      <w:r w:rsidRPr="001E08AC">
        <w:rPr>
          <w:rFonts w:eastAsiaTheme="minorEastAsia" w:cstheme="minorHAnsi"/>
          <w:noProof/>
        </w:rPr>
        <w:t>feedstock producers comply with the sustainability criteria and the criteria for RFNBOs production set out in the Renewable Energy Directive and its implementing legislation</w:t>
      </w:r>
      <w:r w:rsidR="00A630DF" w:rsidRPr="001E08AC">
        <w:rPr>
          <w:rFonts w:eastAsiaTheme="minorEastAsia" w:cstheme="minorHAnsi"/>
          <w:noProof/>
        </w:rPr>
        <w:t>;</w:t>
      </w:r>
    </w:p>
    <w:p w14:paraId="5C499289" w14:textId="0FE23EB2" w:rsidR="57537A1B" w:rsidRPr="001E08AC" w:rsidRDefault="57537A1B" w:rsidP="00B80FC5">
      <w:pPr>
        <w:pStyle w:val="ListParagraph"/>
        <w:numPr>
          <w:ilvl w:val="0"/>
          <w:numId w:val="2"/>
        </w:numPr>
        <w:spacing w:before="240" w:after="120" w:line="240" w:lineRule="auto"/>
        <w:jc w:val="both"/>
        <w:rPr>
          <w:rFonts w:eastAsiaTheme="minorEastAsia" w:cstheme="minorHAnsi"/>
          <w:noProof/>
        </w:rPr>
      </w:pPr>
      <w:r w:rsidRPr="001E08AC">
        <w:rPr>
          <w:rFonts w:eastAsiaTheme="minorEastAsia" w:cstheme="minorHAnsi"/>
          <w:noProof/>
        </w:rPr>
        <w:t>information on the sustainability characteristics can be traced to the origin of the feedstock</w:t>
      </w:r>
      <w:r w:rsidR="00A630DF" w:rsidRPr="001E08AC">
        <w:rPr>
          <w:rFonts w:eastAsiaTheme="minorEastAsia" w:cstheme="minorHAnsi"/>
          <w:noProof/>
        </w:rPr>
        <w:t>;</w:t>
      </w:r>
    </w:p>
    <w:p w14:paraId="3CC92576" w14:textId="758BDE7F" w:rsidR="57537A1B" w:rsidRPr="001E08AC" w:rsidRDefault="57537A1B" w:rsidP="00B80FC5">
      <w:pPr>
        <w:pStyle w:val="ListParagraph"/>
        <w:numPr>
          <w:ilvl w:val="0"/>
          <w:numId w:val="2"/>
        </w:numPr>
        <w:spacing w:before="240" w:after="120" w:line="240" w:lineRule="auto"/>
        <w:jc w:val="both"/>
        <w:rPr>
          <w:rFonts w:eastAsiaTheme="minorEastAsia" w:cstheme="minorHAnsi"/>
          <w:noProof/>
        </w:rPr>
      </w:pPr>
      <w:r w:rsidRPr="001E08AC">
        <w:rPr>
          <w:rFonts w:eastAsiaTheme="minorEastAsia" w:cstheme="minorHAnsi"/>
          <w:noProof/>
        </w:rPr>
        <w:t>all information is well documented</w:t>
      </w:r>
      <w:r w:rsidR="00A630DF" w:rsidRPr="001E08AC">
        <w:rPr>
          <w:rFonts w:eastAsiaTheme="minorEastAsia" w:cstheme="minorHAnsi"/>
          <w:noProof/>
        </w:rPr>
        <w:t>;</w:t>
      </w:r>
    </w:p>
    <w:p w14:paraId="7A9B84E2" w14:textId="249BCBF4" w:rsidR="57537A1B" w:rsidRPr="001E08AC" w:rsidRDefault="57537A1B" w:rsidP="00B80FC5">
      <w:pPr>
        <w:pStyle w:val="ListParagraph"/>
        <w:numPr>
          <w:ilvl w:val="0"/>
          <w:numId w:val="2"/>
        </w:numPr>
        <w:spacing w:before="240" w:after="120" w:line="240" w:lineRule="auto"/>
        <w:jc w:val="both"/>
        <w:rPr>
          <w:rFonts w:eastAsiaTheme="minorEastAsia" w:cstheme="minorHAnsi"/>
          <w:noProof/>
        </w:rPr>
      </w:pPr>
      <w:r w:rsidRPr="001E08AC">
        <w:rPr>
          <w:rFonts w:eastAsiaTheme="minorEastAsia" w:cstheme="minorHAnsi"/>
          <w:noProof/>
        </w:rPr>
        <w:t>companies are audited before they start to participate in the scheme and recertification pr surve</w:t>
      </w:r>
      <w:r w:rsidR="7B2D3627" w:rsidRPr="001E08AC">
        <w:rPr>
          <w:rFonts w:eastAsiaTheme="minorEastAsia" w:cstheme="minorHAnsi"/>
          <w:noProof/>
        </w:rPr>
        <w:t>ya</w:t>
      </w:r>
      <w:r w:rsidRPr="001E08AC">
        <w:rPr>
          <w:rFonts w:eastAsiaTheme="minorEastAsia" w:cstheme="minorHAnsi"/>
          <w:noProof/>
        </w:rPr>
        <w:t>nce audits take place regularly</w:t>
      </w:r>
      <w:r w:rsidR="00A630DF" w:rsidRPr="001E08AC">
        <w:rPr>
          <w:rFonts w:eastAsiaTheme="minorEastAsia" w:cstheme="minorHAnsi"/>
          <w:noProof/>
        </w:rPr>
        <w:t>; and</w:t>
      </w:r>
    </w:p>
    <w:p w14:paraId="4CD59981" w14:textId="07EC11F5" w:rsidR="57537A1B" w:rsidRPr="001E08AC" w:rsidRDefault="57537A1B" w:rsidP="00B80FC5">
      <w:pPr>
        <w:pStyle w:val="ListParagraph"/>
        <w:numPr>
          <w:ilvl w:val="0"/>
          <w:numId w:val="2"/>
        </w:numPr>
        <w:spacing w:before="240" w:after="120" w:line="240" w:lineRule="auto"/>
        <w:jc w:val="both"/>
        <w:rPr>
          <w:rFonts w:eastAsiaTheme="minorEastAsia" w:cstheme="minorHAnsi"/>
          <w:noProof/>
        </w:rPr>
      </w:pPr>
      <w:r w:rsidRPr="001E08AC">
        <w:rPr>
          <w:rFonts w:eastAsiaTheme="minorEastAsia" w:cstheme="minorHAnsi"/>
          <w:noProof/>
        </w:rPr>
        <w:t>the auditors have both the generic and specific auditing skills needed with regard to the scheme’s criteria</w:t>
      </w:r>
      <w:r w:rsidR="00A630DF" w:rsidRPr="001E08AC">
        <w:rPr>
          <w:rFonts w:eastAsiaTheme="minorEastAsia" w:cstheme="minorHAnsi"/>
          <w:noProof/>
        </w:rPr>
        <w:t>.</w:t>
      </w:r>
    </w:p>
    <w:p w14:paraId="284F3353" w14:textId="599504E4" w:rsidR="57537A1B" w:rsidRPr="001E08AC" w:rsidRDefault="57537A1B" w:rsidP="00B80FC5">
      <w:pPr>
        <w:spacing w:before="240" w:after="120" w:line="240" w:lineRule="auto"/>
        <w:jc w:val="both"/>
        <w:rPr>
          <w:rFonts w:eastAsiaTheme="minorEastAsia" w:cstheme="minorHAnsi"/>
          <w:noProof/>
        </w:rPr>
      </w:pPr>
      <w:r w:rsidRPr="001E08AC">
        <w:rPr>
          <w:rFonts w:eastAsiaTheme="minorEastAsia" w:cstheme="minorHAnsi"/>
          <w:noProof/>
        </w:rPr>
        <w:t>The decision recognising a voluntary scheme has usually a legal period of validity of 5 years.</w:t>
      </w:r>
    </w:p>
    <w:p w14:paraId="0EC2F699" w14:textId="3BBE7366" w:rsidR="0193CC8C" w:rsidRPr="001E08AC" w:rsidRDefault="0C1AF1E3" w:rsidP="00B80FC5">
      <w:pPr>
        <w:spacing w:before="240" w:after="120" w:line="240" w:lineRule="auto"/>
        <w:jc w:val="both"/>
        <w:rPr>
          <w:rFonts w:eastAsiaTheme="minorEastAsia" w:cstheme="minorHAnsi"/>
          <w:noProof/>
        </w:rPr>
      </w:pPr>
      <w:r w:rsidRPr="001E08AC">
        <w:rPr>
          <w:rFonts w:eastAsiaTheme="minorEastAsia" w:cstheme="minorHAnsi"/>
          <w:noProof/>
        </w:rPr>
        <w:t>The Commission has so far formally recognised</w:t>
      </w:r>
      <w:r w:rsidR="20F4C520" w:rsidRPr="001E08AC">
        <w:rPr>
          <w:rFonts w:eastAsiaTheme="minorEastAsia" w:cstheme="minorHAnsi"/>
          <w:noProof/>
        </w:rPr>
        <w:t xml:space="preserve"> </w:t>
      </w:r>
      <w:r w:rsidR="766B9D00" w:rsidRPr="001E08AC">
        <w:rPr>
          <w:rFonts w:eastAsiaTheme="minorEastAsia" w:cstheme="minorHAnsi"/>
          <w:noProof/>
        </w:rPr>
        <w:t>15 voluntary and national certification schemes</w:t>
      </w:r>
      <w:r w:rsidR="0193CC8C" w:rsidRPr="001E08AC">
        <w:rPr>
          <w:rFonts w:eastAsiaTheme="minorEastAsia" w:cstheme="minorHAnsi"/>
          <w:noProof/>
          <w:vertAlign w:val="superscript"/>
        </w:rPr>
        <w:footnoteReference w:id="52"/>
      </w:r>
      <w:r w:rsidR="20F4C520" w:rsidRPr="001E08AC">
        <w:rPr>
          <w:rFonts w:eastAsiaTheme="minorEastAsia" w:cstheme="minorHAnsi"/>
          <w:noProof/>
        </w:rPr>
        <w:t xml:space="preserve">. </w:t>
      </w:r>
      <w:r w:rsidR="4FF031CE" w:rsidRPr="001E08AC">
        <w:rPr>
          <w:rFonts w:eastAsiaTheme="minorEastAsia" w:cstheme="minorHAnsi"/>
          <w:noProof/>
        </w:rPr>
        <w:t>T</w:t>
      </w:r>
      <w:r w:rsidRPr="001E08AC">
        <w:rPr>
          <w:rFonts w:eastAsiaTheme="minorEastAsia" w:cstheme="minorHAnsi"/>
          <w:noProof/>
        </w:rPr>
        <w:t>he Implementing Regulation</w:t>
      </w:r>
      <w:r w:rsidR="60943137" w:rsidRPr="001E08AC">
        <w:rPr>
          <w:rFonts w:eastAsiaTheme="minorEastAsia" w:cstheme="minorHAnsi"/>
          <w:noProof/>
        </w:rPr>
        <w:t xml:space="preserve"> (EU) 2022/996</w:t>
      </w:r>
      <w:r w:rsidR="2A949865" w:rsidRPr="001E08AC">
        <w:rPr>
          <w:rFonts w:eastAsiaTheme="minorEastAsia" w:cstheme="minorHAnsi"/>
          <w:noProof/>
        </w:rPr>
        <w:t xml:space="preserve"> </w:t>
      </w:r>
      <w:r w:rsidR="36DFFDD0" w:rsidRPr="001E08AC">
        <w:rPr>
          <w:rFonts w:eastAsiaTheme="minorEastAsia" w:cstheme="minorHAnsi"/>
          <w:noProof/>
        </w:rPr>
        <w:t xml:space="preserve">has introduced new and strengthened rules </w:t>
      </w:r>
      <w:r w:rsidR="6C77C476" w:rsidRPr="001E08AC">
        <w:rPr>
          <w:rFonts w:eastAsiaTheme="minorEastAsia" w:cstheme="minorHAnsi"/>
          <w:noProof/>
        </w:rPr>
        <w:t>in the area of</w:t>
      </w:r>
      <w:r w:rsidR="36DFFDD0" w:rsidRPr="001E08AC">
        <w:rPr>
          <w:rFonts w:eastAsiaTheme="minorEastAsia" w:cstheme="minorHAnsi"/>
          <w:noProof/>
        </w:rPr>
        <w:t xml:space="preserve"> </w:t>
      </w:r>
      <w:r w:rsidR="5E8C1237" w:rsidRPr="001E08AC">
        <w:rPr>
          <w:rFonts w:eastAsiaTheme="minorEastAsia" w:cstheme="minorHAnsi"/>
          <w:noProof/>
        </w:rPr>
        <w:t xml:space="preserve">bioenergy </w:t>
      </w:r>
      <w:r w:rsidR="36DFFDD0" w:rsidRPr="001E08AC">
        <w:rPr>
          <w:rFonts w:eastAsiaTheme="minorEastAsia" w:cstheme="minorHAnsi"/>
          <w:noProof/>
        </w:rPr>
        <w:t>cer</w:t>
      </w:r>
      <w:r w:rsidR="4AA8EC36" w:rsidRPr="001E08AC">
        <w:rPr>
          <w:rFonts w:eastAsiaTheme="minorEastAsia" w:cstheme="minorHAnsi"/>
          <w:noProof/>
        </w:rPr>
        <w:t>tification. The Commission has launch</w:t>
      </w:r>
      <w:r w:rsidR="6BAEAAD2" w:rsidRPr="001E08AC">
        <w:rPr>
          <w:rFonts w:eastAsiaTheme="minorEastAsia" w:cstheme="minorHAnsi"/>
          <w:noProof/>
        </w:rPr>
        <w:t>ed</w:t>
      </w:r>
      <w:r w:rsidR="4AA8EC36" w:rsidRPr="001E08AC">
        <w:rPr>
          <w:rFonts w:eastAsiaTheme="minorEastAsia" w:cstheme="minorHAnsi"/>
          <w:noProof/>
        </w:rPr>
        <w:t xml:space="preserve"> a formal </w:t>
      </w:r>
      <w:r w:rsidR="31BED6DB" w:rsidRPr="001E08AC">
        <w:rPr>
          <w:rFonts w:eastAsiaTheme="minorEastAsia" w:cstheme="minorHAnsi"/>
          <w:noProof/>
        </w:rPr>
        <w:t xml:space="preserve">process of reassessment of all the recognised schemes to </w:t>
      </w:r>
      <w:r w:rsidR="6F6FBA99" w:rsidRPr="001E08AC">
        <w:rPr>
          <w:rFonts w:eastAsiaTheme="minorEastAsia" w:cstheme="minorHAnsi"/>
          <w:noProof/>
        </w:rPr>
        <w:t>ensure</w:t>
      </w:r>
      <w:r w:rsidR="31BED6DB" w:rsidRPr="001E08AC">
        <w:rPr>
          <w:rFonts w:eastAsiaTheme="minorEastAsia" w:cstheme="minorHAnsi"/>
          <w:noProof/>
        </w:rPr>
        <w:t xml:space="preserve"> that they are still fit for purpose for certifyi</w:t>
      </w:r>
      <w:r w:rsidR="402C20D6" w:rsidRPr="001E08AC">
        <w:rPr>
          <w:rFonts w:eastAsiaTheme="minorEastAsia" w:cstheme="minorHAnsi"/>
          <w:noProof/>
        </w:rPr>
        <w:t>ng</w:t>
      </w:r>
      <w:r w:rsidR="31BED6DB" w:rsidRPr="001E08AC">
        <w:rPr>
          <w:rFonts w:eastAsiaTheme="minorEastAsia" w:cstheme="minorHAnsi"/>
          <w:noProof/>
        </w:rPr>
        <w:t xml:space="preserve"> the com</w:t>
      </w:r>
      <w:r w:rsidR="1CF88C66" w:rsidRPr="001E08AC">
        <w:rPr>
          <w:rFonts w:eastAsiaTheme="minorEastAsia" w:cstheme="minorHAnsi"/>
          <w:noProof/>
        </w:rPr>
        <w:t>pliance o</w:t>
      </w:r>
      <w:r w:rsidR="31BED6DB" w:rsidRPr="001E08AC">
        <w:rPr>
          <w:rFonts w:eastAsiaTheme="minorEastAsia" w:cstheme="minorHAnsi"/>
          <w:noProof/>
        </w:rPr>
        <w:t>f econom</w:t>
      </w:r>
      <w:r w:rsidR="56CF0735" w:rsidRPr="001E08AC">
        <w:rPr>
          <w:rFonts w:eastAsiaTheme="minorEastAsia" w:cstheme="minorHAnsi"/>
          <w:noProof/>
        </w:rPr>
        <w:t>i</w:t>
      </w:r>
      <w:r w:rsidR="31BED6DB" w:rsidRPr="001E08AC">
        <w:rPr>
          <w:rFonts w:eastAsiaTheme="minorEastAsia" w:cstheme="minorHAnsi"/>
          <w:noProof/>
        </w:rPr>
        <w:t xml:space="preserve">c operators with </w:t>
      </w:r>
      <w:r w:rsidR="084C373A" w:rsidRPr="001E08AC">
        <w:rPr>
          <w:rFonts w:eastAsiaTheme="minorEastAsia" w:cstheme="minorHAnsi"/>
          <w:noProof/>
        </w:rPr>
        <w:t xml:space="preserve">the sustainability criteria of the Renewable Energy Directive. </w:t>
      </w:r>
      <w:r w:rsidR="4C80A5C1" w:rsidRPr="001E08AC">
        <w:rPr>
          <w:rFonts w:eastAsiaTheme="minorEastAsia" w:cstheme="minorHAnsi"/>
          <w:noProof/>
        </w:rPr>
        <w:t xml:space="preserve">This process will be completed by </w:t>
      </w:r>
      <w:r w:rsidR="1695C761" w:rsidRPr="001E08AC">
        <w:rPr>
          <w:rFonts w:eastAsiaTheme="minorEastAsia" w:cstheme="minorHAnsi"/>
          <w:noProof/>
        </w:rPr>
        <w:t xml:space="preserve">the </w:t>
      </w:r>
      <w:r w:rsidR="4C80A5C1" w:rsidRPr="001E08AC">
        <w:rPr>
          <w:rFonts w:eastAsiaTheme="minorEastAsia" w:cstheme="minorHAnsi"/>
          <w:noProof/>
        </w:rPr>
        <w:t xml:space="preserve">end of 2023. </w:t>
      </w:r>
      <w:r w:rsidR="15622751" w:rsidRPr="001E08AC">
        <w:rPr>
          <w:rFonts w:eastAsiaTheme="minorEastAsia" w:cstheme="minorHAnsi"/>
          <w:noProof/>
        </w:rPr>
        <w:t>In parallel, new assessment processes have been launch</w:t>
      </w:r>
      <w:r w:rsidR="37C836BC" w:rsidRPr="001E08AC">
        <w:rPr>
          <w:rFonts w:eastAsiaTheme="minorEastAsia" w:cstheme="minorHAnsi"/>
          <w:noProof/>
        </w:rPr>
        <w:t>ed</w:t>
      </w:r>
      <w:r w:rsidR="15622751" w:rsidRPr="001E08AC">
        <w:rPr>
          <w:rFonts w:eastAsiaTheme="minorEastAsia" w:cstheme="minorHAnsi"/>
          <w:noProof/>
        </w:rPr>
        <w:t xml:space="preserve"> for schem</w:t>
      </w:r>
      <w:r w:rsidR="72D0535E" w:rsidRPr="001E08AC">
        <w:rPr>
          <w:rFonts w:eastAsiaTheme="minorEastAsia" w:cstheme="minorHAnsi"/>
          <w:noProof/>
        </w:rPr>
        <w:t>e</w:t>
      </w:r>
      <w:r w:rsidR="15622751" w:rsidRPr="001E08AC">
        <w:rPr>
          <w:rFonts w:eastAsiaTheme="minorEastAsia" w:cstheme="minorHAnsi"/>
          <w:noProof/>
        </w:rPr>
        <w:t xml:space="preserve">s </w:t>
      </w:r>
      <w:r w:rsidR="6A97C67D" w:rsidRPr="001E08AC">
        <w:rPr>
          <w:rFonts w:eastAsiaTheme="minorEastAsia" w:cstheme="minorHAnsi"/>
          <w:noProof/>
        </w:rPr>
        <w:t>willing to</w:t>
      </w:r>
      <w:r w:rsidR="4FA187A4" w:rsidRPr="001E08AC">
        <w:rPr>
          <w:rFonts w:eastAsiaTheme="minorEastAsia" w:cstheme="minorHAnsi"/>
          <w:noProof/>
        </w:rPr>
        <w:t xml:space="preserve"> certify </w:t>
      </w:r>
      <w:r w:rsidR="25D39EF6" w:rsidRPr="001E08AC">
        <w:rPr>
          <w:rFonts w:eastAsiaTheme="minorEastAsia" w:cstheme="minorHAnsi"/>
          <w:noProof/>
        </w:rPr>
        <w:t>Renewable Fuels of Non-biological Origin (</w:t>
      </w:r>
      <w:r w:rsidR="4FA187A4" w:rsidRPr="001E08AC">
        <w:rPr>
          <w:rFonts w:eastAsiaTheme="minorEastAsia" w:cstheme="minorHAnsi"/>
          <w:noProof/>
        </w:rPr>
        <w:t>RFNBOs</w:t>
      </w:r>
      <w:r w:rsidR="4B0A1F5A" w:rsidRPr="001E08AC">
        <w:rPr>
          <w:rFonts w:eastAsiaTheme="minorEastAsia" w:cstheme="minorHAnsi"/>
          <w:noProof/>
        </w:rPr>
        <w:t>)</w:t>
      </w:r>
      <w:r w:rsidR="4FA187A4" w:rsidRPr="001E08AC">
        <w:rPr>
          <w:rFonts w:eastAsiaTheme="minorEastAsia" w:cstheme="minorHAnsi"/>
          <w:noProof/>
        </w:rPr>
        <w:t xml:space="preserve"> on the basis of newly adopted methodologies </w:t>
      </w:r>
      <w:r w:rsidR="53867FEC" w:rsidRPr="001E08AC">
        <w:rPr>
          <w:rFonts w:eastAsiaTheme="minorEastAsia" w:cstheme="minorHAnsi"/>
          <w:noProof/>
        </w:rPr>
        <w:t>f</w:t>
      </w:r>
      <w:r w:rsidR="5A4C7083" w:rsidRPr="001E08AC">
        <w:rPr>
          <w:rFonts w:eastAsiaTheme="minorEastAsia" w:cstheme="minorHAnsi"/>
          <w:noProof/>
        </w:rPr>
        <w:t>o</w:t>
      </w:r>
      <w:r w:rsidR="7E1C9D69" w:rsidRPr="001E08AC">
        <w:rPr>
          <w:rFonts w:eastAsiaTheme="minorEastAsia" w:cstheme="minorHAnsi"/>
          <w:noProof/>
        </w:rPr>
        <w:t>r</w:t>
      </w:r>
      <w:r w:rsidR="5A4C7083" w:rsidRPr="001E08AC">
        <w:rPr>
          <w:rFonts w:eastAsiaTheme="minorEastAsia" w:cstheme="minorHAnsi"/>
          <w:noProof/>
        </w:rPr>
        <w:t xml:space="preserve"> </w:t>
      </w:r>
      <w:r w:rsidR="1526F241" w:rsidRPr="001E08AC">
        <w:rPr>
          <w:rFonts w:eastAsiaTheme="minorEastAsia" w:cstheme="minorHAnsi"/>
          <w:noProof/>
        </w:rPr>
        <w:t>assessing</w:t>
      </w:r>
      <w:r w:rsidR="5A4C7083" w:rsidRPr="001E08AC">
        <w:rPr>
          <w:rFonts w:eastAsiaTheme="minorEastAsia" w:cstheme="minorHAnsi"/>
          <w:noProof/>
        </w:rPr>
        <w:t xml:space="preserve"> </w:t>
      </w:r>
      <w:r w:rsidR="3AA58DD4" w:rsidRPr="001E08AC">
        <w:rPr>
          <w:rFonts w:eastAsiaTheme="minorEastAsia" w:cstheme="minorHAnsi"/>
          <w:noProof/>
        </w:rPr>
        <w:t>their</w:t>
      </w:r>
      <w:r w:rsidR="5A4C7083" w:rsidRPr="001E08AC">
        <w:rPr>
          <w:rFonts w:eastAsiaTheme="minorEastAsia" w:cstheme="minorHAnsi"/>
          <w:noProof/>
        </w:rPr>
        <w:t xml:space="preserve"> sustai</w:t>
      </w:r>
      <w:r w:rsidR="0AB81AD7" w:rsidRPr="001E08AC">
        <w:rPr>
          <w:rFonts w:eastAsiaTheme="minorEastAsia" w:cstheme="minorHAnsi"/>
          <w:noProof/>
        </w:rPr>
        <w:t>na</w:t>
      </w:r>
      <w:r w:rsidR="5A4C7083" w:rsidRPr="001E08AC">
        <w:rPr>
          <w:rFonts w:eastAsiaTheme="minorEastAsia" w:cstheme="minorHAnsi"/>
          <w:noProof/>
        </w:rPr>
        <w:t xml:space="preserve">bility. </w:t>
      </w:r>
    </w:p>
    <w:p w14:paraId="1B7F6F40" w14:textId="6F323BED" w:rsidR="67A8251F" w:rsidRPr="001E08AC" w:rsidRDefault="67A8251F" w:rsidP="00B80FC5">
      <w:pPr>
        <w:spacing w:before="240" w:after="120" w:line="240" w:lineRule="auto"/>
        <w:jc w:val="both"/>
        <w:rPr>
          <w:rFonts w:eastAsiaTheme="minorEastAsia" w:cstheme="minorHAnsi"/>
          <w:noProof/>
        </w:rPr>
      </w:pPr>
      <w:r w:rsidRPr="001E08AC">
        <w:rPr>
          <w:rFonts w:eastAsiaTheme="minorEastAsia" w:cstheme="minorHAnsi"/>
          <w:noProof/>
        </w:rPr>
        <w:t xml:space="preserve">The Commission plans to launch </w:t>
      </w:r>
      <w:r w:rsidR="4D612E1C" w:rsidRPr="001E08AC">
        <w:rPr>
          <w:rFonts w:eastAsiaTheme="minorEastAsia" w:cstheme="minorHAnsi"/>
          <w:noProof/>
        </w:rPr>
        <w:t xml:space="preserve">by the end of 2023 </w:t>
      </w:r>
      <w:r w:rsidRPr="001E08AC">
        <w:rPr>
          <w:rFonts w:eastAsiaTheme="minorEastAsia" w:cstheme="minorHAnsi"/>
          <w:noProof/>
        </w:rPr>
        <w:t xml:space="preserve">a </w:t>
      </w:r>
      <w:r w:rsidR="1FDC49DD" w:rsidRPr="001E08AC">
        <w:rPr>
          <w:rFonts w:eastAsiaTheme="minorEastAsia" w:cstheme="minorHAnsi"/>
          <w:noProof/>
        </w:rPr>
        <w:t xml:space="preserve">comprehensive </w:t>
      </w:r>
      <w:r w:rsidRPr="001E08AC">
        <w:rPr>
          <w:rFonts w:eastAsiaTheme="minorEastAsia" w:cstheme="minorHAnsi"/>
          <w:noProof/>
        </w:rPr>
        <w:t>study on the performance of the certificat</w:t>
      </w:r>
      <w:r w:rsidR="7B7402FE" w:rsidRPr="001E08AC">
        <w:rPr>
          <w:rFonts w:eastAsiaTheme="minorEastAsia" w:cstheme="minorHAnsi"/>
          <w:noProof/>
        </w:rPr>
        <w:t>i</w:t>
      </w:r>
      <w:r w:rsidRPr="001E08AC">
        <w:rPr>
          <w:rFonts w:eastAsiaTheme="minorEastAsia" w:cstheme="minorHAnsi"/>
          <w:noProof/>
        </w:rPr>
        <w:t xml:space="preserve">on system under the Renewable Energy Directive. </w:t>
      </w:r>
      <w:r w:rsidR="410CAF74" w:rsidRPr="001E08AC">
        <w:rPr>
          <w:rFonts w:eastAsiaTheme="minorEastAsia" w:cstheme="minorHAnsi"/>
          <w:noProof/>
        </w:rPr>
        <w:t>The first results of this study can be expected at the end of 2024.</w:t>
      </w:r>
    </w:p>
    <w:p w14:paraId="03A21319" w14:textId="00A0F81F" w:rsidR="00783881" w:rsidRPr="001E08AC" w:rsidRDefault="00783881" w:rsidP="00B80FC5">
      <w:pPr>
        <w:spacing w:before="240" w:after="120" w:line="240" w:lineRule="auto"/>
        <w:rPr>
          <w:rFonts w:cstheme="minorHAnsi"/>
          <w:b/>
          <w:i/>
          <w:noProof/>
        </w:rPr>
      </w:pPr>
      <w:r w:rsidRPr="001E08AC">
        <w:rPr>
          <w:rFonts w:cstheme="minorHAnsi"/>
          <w:b/>
          <w:i/>
          <w:noProof/>
        </w:rPr>
        <w:t>Update on the Union database referred to in Article 28(2) of Directive (EU) 2018/2001</w:t>
      </w:r>
    </w:p>
    <w:p w14:paraId="7BC34CE4" w14:textId="3234D8FA" w:rsidR="00783881" w:rsidRPr="001E08AC" w:rsidRDefault="19FBE07A" w:rsidP="00CF7CEB">
      <w:pPr>
        <w:spacing w:before="240" w:after="120" w:line="240" w:lineRule="auto"/>
        <w:contextualSpacing/>
        <w:jc w:val="both"/>
        <w:rPr>
          <w:rFonts w:eastAsia="Times New Roman" w:cstheme="minorHAnsi"/>
          <w:noProof/>
        </w:rPr>
      </w:pPr>
      <w:r w:rsidRPr="001E08AC">
        <w:rPr>
          <w:rFonts w:eastAsia="Times New Roman" w:cstheme="minorHAnsi"/>
          <w:noProof/>
        </w:rPr>
        <w:t xml:space="preserve">Pursuant to Article 28 (2) of </w:t>
      </w:r>
      <w:r w:rsidR="3A493185" w:rsidRPr="001E08AC">
        <w:rPr>
          <w:rFonts w:eastAsia="Times New Roman" w:cstheme="minorHAnsi"/>
          <w:noProof/>
        </w:rPr>
        <w:t>the Renewable Energy Directive</w:t>
      </w:r>
      <w:r w:rsidRPr="001E08AC">
        <w:rPr>
          <w:rFonts w:eastAsia="Times New Roman" w:cstheme="minorHAnsi"/>
          <w:noProof/>
        </w:rPr>
        <w:t xml:space="preserve">, the Commission shall ensure that a Union database (UDB) is put in place to </w:t>
      </w:r>
      <w:r w:rsidR="00A630DF" w:rsidRPr="001E08AC">
        <w:rPr>
          <w:rFonts w:eastAsia="Times New Roman" w:cstheme="minorHAnsi"/>
          <w:noProof/>
        </w:rPr>
        <w:t>“</w:t>
      </w:r>
      <w:r w:rsidRPr="001E08AC">
        <w:rPr>
          <w:rFonts w:eastAsia="Times New Roman" w:cstheme="minorHAnsi"/>
          <w:i/>
          <w:iCs/>
          <w:noProof/>
        </w:rPr>
        <w:t>enable the tracing of liquid and gaseous transport fuels</w:t>
      </w:r>
      <w:r w:rsidR="00A630DF" w:rsidRPr="001E08AC">
        <w:rPr>
          <w:rFonts w:eastAsia="Times New Roman" w:cstheme="minorHAnsi"/>
          <w:noProof/>
        </w:rPr>
        <w:t>”</w:t>
      </w:r>
      <w:r w:rsidRPr="001E08AC">
        <w:rPr>
          <w:rFonts w:eastAsia="Times New Roman" w:cstheme="minorHAnsi"/>
          <w:i/>
          <w:iCs/>
          <w:noProof/>
        </w:rPr>
        <w:t xml:space="preserve">. </w:t>
      </w:r>
      <w:r w:rsidRPr="001E08AC">
        <w:rPr>
          <w:rFonts w:eastAsia="Times New Roman" w:cstheme="minorHAnsi"/>
          <w:noProof/>
        </w:rPr>
        <w:t>In scope are</w:t>
      </w:r>
      <w:r w:rsidRPr="001E08AC">
        <w:rPr>
          <w:rFonts w:eastAsia="Times New Roman" w:cstheme="minorHAnsi"/>
          <w:i/>
          <w:iCs/>
          <w:noProof/>
        </w:rPr>
        <w:t xml:space="preserve"> </w:t>
      </w:r>
      <w:r w:rsidR="00A630DF" w:rsidRPr="001E08AC">
        <w:rPr>
          <w:rFonts w:eastAsia="Times New Roman" w:cstheme="minorHAnsi"/>
          <w:i/>
          <w:iCs/>
          <w:noProof/>
        </w:rPr>
        <w:t>“</w:t>
      </w:r>
      <w:r w:rsidRPr="001E08AC">
        <w:rPr>
          <w:rFonts w:eastAsia="Times New Roman" w:cstheme="minorHAnsi"/>
          <w:i/>
          <w:iCs/>
          <w:noProof/>
        </w:rPr>
        <w:t xml:space="preserve">biofuels, </w:t>
      </w:r>
      <w:r w:rsidR="5B9259DE" w:rsidRPr="001E08AC">
        <w:rPr>
          <w:rFonts w:eastAsia="Times New Roman" w:cstheme="minorHAnsi"/>
          <w:i/>
          <w:iCs/>
          <w:noProof/>
        </w:rPr>
        <w:t>renewable fuels of non-biological origin</w:t>
      </w:r>
      <w:r w:rsidRPr="001E08AC">
        <w:rPr>
          <w:rFonts w:eastAsia="Times New Roman" w:cstheme="minorHAnsi"/>
          <w:i/>
          <w:iCs/>
          <w:noProof/>
        </w:rPr>
        <w:t xml:space="preserve"> and recycled carbon fuels in the transport sector</w:t>
      </w:r>
      <w:r w:rsidR="00A630DF" w:rsidRPr="001E08AC">
        <w:rPr>
          <w:rFonts w:eastAsia="Times New Roman" w:cstheme="minorHAnsi"/>
          <w:i/>
          <w:iCs/>
          <w:noProof/>
        </w:rPr>
        <w:t>”</w:t>
      </w:r>
      <w:r w:rsidRPr="001E08AC">
        <w:rPr>
          <w:rFonts w:eastAsia="Times New Roman" w:cstheme="minorHAnsi"/>
          <w:noProof/>
        </w:rPr>
        <w:t xml:space="preserve">. It should be noted that solid biomass fuels are excluded and the scope of </w:t>
      </w:r>
      <w:r w:rsidRPr="001E08AC">
        <w:rPr>
          <w:rFonts w:eastAsiaTheme="minorEastAsia" w:cstheme="minorHAnsi"/>
          <w:noProof/>
        </w:rPr>
        <w:t>the</w:t>
      </w:r>
      <w:r w:rsidRPr="001E08AC">
        <w:rPr>
          <w:rFonts w:eastAsia="Times New Roman" w:cstheme="minorHAnsi"/>
          <w:noProof/>
        </w:rPr>
        <w:t xml:space="preserve"> UDB currently only covers the transport sector. The Commission is in the process of putting the database into operation, which will ensure the traceability of renewable fuels and reinforce transparency. Implementing Regulation (EU) 2022/996 lays down specific rules to ensure that the compliance of biofuels, bioliquids and biomass fuels with </w:t>
      </w:r>
      <w:r w:rsidR="00A630DF" w:rsidRPr="001E08AC">
        <w:rPr>
          <w:rFonts w:eastAsia="Times New Roman" w:cstheme="minorHAnsi"/>
          <w:noProof/>
        </w:rPr>
        <w:t>the</w:t>
      </w:r>
      <w:r w:rsidRPr="001E08AC">
        <w:rPr>
          <w:rFonts w:eastAsia="Times New Roman" w:cstheme="minorHAnsi"/>
          <w:noProof/>
        </w:rPr>
        <w:t xml:space="preserve"> rules</w:t>
      </w:r>
      <w:r w:rsidR="00A630DF" w:rsidRPr="001E08AC">
        <w:rPr>
          <w:rFonts w:eastAsia="Times New Roman" w:cstheme="minorHAnsi"/>
          <w:noProof/>
        </w:rPr>
        <w:t xml:space="preserve"> of the Renewable Energy Directive</w:t>
      </w:r>
      <w:r w:rsidRPr="001E08AC">
        <w:rPr>
          <w:rFonts w:eastAsia="Times New Roman" w:cstheme="minorHAnsi"/>
          <w:noProof/>
        </w:rPr>
        <w:t xml:space="preserve"> </w:t>
      </w:r>
      <w:r w:rsidR="00A630DF" w:rsidRPr="001E08AC">
        <w:rPr>
          <w:rFonts w:eastAsia="Times New Roman" w:cstheme="minorHAnsi"/>
          <w:noProof/>
        </w:rPr>
        <w:t>are</w:t>
      </w:r>
      <w:r w:rsidRPr="001E08AC">
        <w:rPr>
          <w:rFonts w:eastAsia="Times New Roman" w:cstheme="minorHAnsi"/>
          <w:noProof/>
        </w:rPr>
        <w:t xml:space="preserve"> verified in an efficient and harmonized way and that fraud is prevented. </w:t>
      </w:r>
    </w:p>
    <w:p w14:paraId="0E69CA7B" w14:textId="77777777" w:rsidR="00783881" w:rsidRPr="001E08AC" w:rsidRDefault="00783881" w:rsidP="00CF7CEB">
      <w:pPr>
        <w:spacing w:before="240" w:after="120" w:line="240" w:lineRule="auto"/>
        <w:contextualSpacing/>
        <w:jc w:val="both"/>
        <w:rPr>
          <w:rFonts w:eastAsia="Times New Roman" w:cstheme="minorHAnsi"/>
          <w:noProof/>
        </w:rPr>
      </w:pPr>
    </w:p>
    <w:p w14:paraId="0B8989B5" w14:textId="3FC4D96E" w:rsidR="00783881" w:rsidRPr="001E08AC" w:rsidRDefault="00783881" w:rsidP="00CF7CEB">
      <w:pPr>
        <w:spacing w:before="240" w:after="120" w:line="240" w:lineRule="auto"/>
        <w:contextualSpacing/>
        <w:jc w:val="both"/>
        <w:rPr>
          <w:rFonts w:eastAsia="Times New Roman" w:cstheme="minorHAnsi"/>
          <w:noProof/>
        </w:rPr>
      </w:pPr>
      <w:r w:rsidRPr="001E08AC">
        <w:rPr>
          <w:rFonts w:eastAsia="Times New Roman" w:cstheme="minorHAnsi"/>
          <w:noProof/>
        </w:rPr>
        <w:t xml:space="preserve">According to </w:t>
      </w:r>
      <w:r w:rsidR="00A630DF" w:rsidRPr="001E08AC">
        <w:rPr>
          <w:rFonts w:eastAsia="Times New Roman" w:cstheme="minorHAnsi"/>
          <w:noProof/>
        </w:rPr>
        <w:t>the Renewable Energy Directive</w:t>
      </w:r>
      <w:r w:rsidRPr="001E08AC">
        <w:rPr>
          <w:rFonts w:eastAsia="Times New Roman" w:cstheme="minorHAnsi"/>
          <w:noProof/>
        </w:rPr>
        <w:t xml:space="preserve">, Member shall require economic operators to enter information into the database, including for the sustainability and greenhouse gas emission saving characteristics of renewable transport fuels placed on the market. The UDB covers the entire supply chain, starting from the first gathering point for agricultural or forestry raw material or collection point for wastes and residues up to the point of consumption. For gathering and collecting points, this means that also the points of origin will need to be documented in the UDB and all deliveries from these points of origin will have to be registered in the UDB. Similarly, all dependent warehouses and dependent collecting points covered by group certification will need to be recorded so that the relevant material can be traced back at each </w:t>
      </w:r>
      <w:r w:rsidR="77ED0FD3" w:rsidRPr="001E08AC">
        <w:rPr>
          <w:rFonts w:eastAsia="Times New Roman" w:cstheme="minorHAnsi"/>
          <w:noProof/>
        </w:rPr>
        <w:t>location where</w:t>
      </w:r>
      <w:r w:rsidRPr="001E08AC">
        <w:rPr>
          <w:rFonts w:eastAsia="Times New Roman" w:cstheme="minorHAnsi"/>
          <w:noProof/>
        </w:rPr>
        <w:t xml:space="preserve"> it has been stored.</w:t>
      </w:r>
    </w:p>
    <w:p w14:paraId="3674A0FF" w14:textId="77777777" w:rsidR="00783881" w:rsidRPr="001E08AC" w:rsidRDefault="00783881" w:rsidP="00CF7CEB">
      <w:pPr>
        <w:spacing w:before="240" w:after="120" w:line="240" w:lineRule="auto"/>
        <w:contextualSpacing/>
        <w:jc w:val="both"/>
        <w:rPr>
          <w:rFonts w:eastAsia="Times New Roman" w:cstheme="minorHAnsi"/>
          <w:noProof/>
        </w:rPr>
      </w:pPr>
      <w:r w:rsidRPr="001E08AC">
        <w:rPr>
          <w:rFonts w:eastAsia="Times New Roman" w:cstheme="minorHAnsi"/>
          <w:noProof/>
        </w:rPr>
        <w:t xml:space="preserve"> </w:t>
      </w:r>
    </w:p>
    <w:p w14:paraId="335131FA" w14:textId="7DD62720" w:rsidR="00783881" w:rsidRPr="001E08AC" w:rsidRDefault="19FBE07A" w:rsidP="00CF7CEB">
      <w:pPr>
        <w:spacing w:before="240" w:after="120" w:line="240" w:lineRule="auto"/>
        <w:contextualSpacing/>
        <w:jc w:val="both"/>
        <w:rPr>
          <w:rFonts w:eastAsia="Times New Roman" w:cstheme="minorHAnsi"/>
          <w:noProof/>
        </w:rPr>
      </w:pPr>
      <w:r w:rsidRPr="001E08AC">
        <w:rPr>
          <w:rFonts w:eastAsia="Times New Roman" w:cstheme="minorHAnsi"/>
          <w:noProof/>
        </w:rPr>
        <w:t xml:space="preserve">During 2022, </w:t>
      </w:r>
      <w:r w:rsidR="7014B24F" w:rsidRPr="001E08AC">
        <w:rPr>
          <w:rFonts w:eastAsia="Times New Roman" w:cstheme="minorHAnsi"/>
          <w:noProof/>
        </w:rPr>
        <w:t>the first</w:t>
      </w:r>
      <w:r w:rsidRPr="001E08AC">
        <w:rPr>
          <w:rFonts w:eastAsia="Times New Roman" w:cstheme="minorHAnsi"/>
          <w:noProof/>
        </w:rPr>
        <w:t xml:space="preserve"> pilot testing of the UDB was undertaken by around 20 economic operators. Following this process, the UDB was formally launched on 16 January 2023 with the aim to onboard all the respective economic operators, the voluntary international and national verification schemes, </w:t>
      </w:r>
      <w:r w:rsidR="3EA5087A" w:rsidRPr="001E08AC">
        <w:rPr>
          <w:rFonts w:eastAsia="Times New Roman" w:cstheme="minorHAnsi"/>
          <w:noProof/>
        </w:rPr>
        <w:t xml:space="preserve">and </w:t>
      </w:r>
      <w:r w:rsidRPr="001E08AC">
        <w:rPr>
          <w:rFonts w:eastAsia="Times New Roman" w:cstheme="minorHAnsi"/>
          <w:noProof/>
        </w:rPr>
        <w:t>EU Member States. Member State’s national databases can also be linked to the UDB. The onboarding is taking place in stages and involves the registration of all relevant user information. Economic operators have to provide information on the certified site as well as the active certificate of conformity. A National Trade Register Identifier (NTR ID)</w:t>
      </w:r>
      <w:r w:rsidR="00783881" w:rsidRPr="001E08AC">
        <w:rPr>
          <w:rStyle w:val="FootnoteReference"/>
          <w:rFonts w:eastAsia="Times New Roman" w:cstheme="minorHAnsi"/>
          <w:noProof/>
        </w:rPr>
        <w:footnoteReference w:id="53"/>
      </w:r>
      <w:r w:rsidRPr="001E08AC">
        <w:rPr>
          <w:rFonts w:eastAsia="Times New Roman" w:cstheme="minorHAnsi"/>
          <w:noProof/>
        </w:rPr>
        <w:t xml:space="preserve"> is also required to ensure that each economic operator can be uniquely identified </w:t>
      </w:r>
      <w:r w:rsidR="74C04561" w:rsidRPr="001E08AC">
        <w:rPr>
          <w:rFonts w:eastAsia="Times New Roman" w:cstheme="minorHAnsi"/>
          <w:noProof/>
        </w:rPr>
        <w:t xml:space="preserve">by </w:t>
      </w:r>
      <w:r w:rsidRPr="001E08AC">
        <w:rPr>
          <w:rFonts w:eastAsia="Times New Roman" w:cstheme="minorHAnsi"/>
          <w:noProof/>
        </w:rPr>
        <w:t>third parties. The Commission has also launched an online Wiki page in March 2023 to support this process. This provides background information on the UDB, relevant training material, and frequently asked questions</w:t>
      </w:r>
      <w:r w:rsidR="00783881" w:rsidRPr="001E08AC">
        <w:rPr>
          <w:rStyle w:val="FootnoteReference"/>
          <w:rFonts w:eastAsia="Times New Roman" w:cstheme="minorHAnsi"/>
          <w:noProof/>
        </w:rPr>
        <w:footnoteReference w:id="54"/>
      </w:r>
      <w:r w:rsidRPr="001E08AC">
        <w:rPr>
          <w:rFonts w:eastAsia="Times New Roman" w:cstheme="minorHAnsi"/>
          <w:noProof/>
        </w:rPr>
        <w:t xml:space="preserve">. </w:t>
      </w:r>
      <w:r w:rsidR="070E014B" w:rsidRPr="001E08AC">
        <w:rPr>
          <w:rFonts w:eastAsia="Times New Roman" w:cstheme="minorHAnsi"/>
          <w:noProof/>
        </w:rPr>
        <w:t xml:space="preserve"> </w:t>
      </w:r>
    </w:p>
    <w:p w14:paraId="4CF70768" w14:textId="77777777" w:rsidR="00783881" w:rsidRPr="001E08AC" w:rsidRDefault="00783881" w:rsidP="00CF7CEB">
      <w:pPr>
        <w:spacing w:before="240" w:after="120" w:line="240" w:lineRule="auto"/>
        <w:contextualSpacing/>
        <w:jc w:val="both"/>
        <w:rPr>
          <w:rFonts w:eastAsia="Times New Roman" w:cstheme="minorHAnsi"/>
          <w:noProof/>
        </w:rPr>
      </w:pPr>
    </w:p>
    <w:p w14:paraId="3BE3F47A" w14:textId="0B07A332" w:rsidR="00783881" w:rsidRDefault="00783881" w:rsidP="00CF7CEB">
      <w:pPr>
        <w:spacing w:before="240" w:after="120" w:line="240" w:lineRule="auto"/>
        <w:contextualSpacing/>
        <w:jc w:val="both"/>
        <w:rPr>
          <w:rFonts w:eastAsia="Times New Roman" w:cstheme="minorHAnsi"/>
          <w:noProof/>
        </w:rPr>
      </w:pPr>
      <w:r w:rsidRPr="001E08AC">
        <w:rPr>
          <w:rFonts w:eastAsia="Times New Roman" w:cstheme="minorHAnsi"/>
          <w:noProof/>
        </w:rPr>
        <w:t xml:space="preserve">As of 1 September 2023, </w:t>
      </w:r>
      <w:r w:rsidR="5564BE6A" w:rsidRPr="001E08AC">
        <w:rPr>
          <w:rFonts w:eastAsia="Times New Roman" w:cstheme="minorHAnsi"/>
          <w:noProof/>
        </w:rPr>
        <w:t>about 8</w:t>
      </w:r>
      <w:r w:rsidR="00467234">
        <w:rPr>
          <w:rFonts w:eastAsia="Times New Roman" w:cstheme="minorHAnsi"/>
          <w:noProof/>
        </w:rPr>
        <w:t>,</w:t>
      </w:r>
      <w:r w:rsidR="1B11212C" w:rsidRPr="001E08AC">
        <w:rPr>
          <w:rFonts w:eastAsia="Times New Roman" w:cstheme="minorHAnsi"/>
          <w:noProof/>
        </w:rPr>
        <w:t>000</w:t>
      </w:r>
      <w:r w:rsidR="00026F23" w:rsidRPr="001E08AC">
        <w:rPr>
          <w:rFonts w:eastAsia="Times New Roman" w:cstheme="minorHAnsi"/>
          <w:noProof/>
        </w:rPr>
        <w:t xml:space="preserve"> e</w:t>
      </w:r>
      <w:r w:rsidRPr="001E08AC">
        <w:rPr>
          <w:rFonts w:eastAsia="Times New Roman" w:cstheme="minorHAnsi"/>
          <w:noProof/>
        </w:rPr>
        <w:t>conomic operators</w:t>
      </w:r>
      <w:r w:rsidR="2BC36F2F" w:rsidRPr="001E08AC">
        <w:rPr>
          <w:rFonts w:eastAsia="Times New Roman" w:cstheme="minorHAnsi"/>
          <w:noProof/>
        </w:rPr>
        <w:t xml:space="preserve"> have been onboarded </w:t>
      </w:r>
      <w:r w:rsidR="64F5C835" w:rsidRPr="001E08AC">
        <w:rPr>
          <w:rFonts w:eastAsia="Times New Roman" w:cstheme="minorHAnsi"/>
          <w:noProof/>
        </w:rPr>
        <w:t xml:space="preserve">with the support of the voluntary schemes </w:t>
      </w:r>
      <w:r w:rsidR="2BC36F2F" w:rsidRPr="001E08AC">
        <w:rPr>
          <w:rFonts w:eastAsia="Times New Roman" w:cstheme="minorHAnsi"/>
          <w:noProof/>
        </w:rPr>
        <w:t xml:space="preserve">out of </w:t>
      </w:r>
      <w:r w:rsidR="63AFE53F" w:rsidRPr="001E08AC">
        <w:rPr>
          <w:rFonts w:eastAsia="Times New Roman" w:cstheme="minorHAnsi"/>
          <w:noProof/>
        </w:rPr>
        <w:t>a</w:t>
      </w:r>
      <w:r w:rsidR="368438C5" w:rsidRPr="001E08AC">
        <w:rPr>
          <w:rFonts w:eastAsia="Times New Roman" w:cstheme="minorHAnsi"/>
          <w:noProof/>
        </w:rPr>
        <w:t>n</w:t>
      </w:r>
      <w:r w:rsidR="63AFE53F" w:rsidRPr="001E08AC">
        <w:rPr>
          <w:rFonts w:eastAsia="Times New Roman" w:cstheme="minorHAnsi"/>
          <w:noProof/>
        </w:rPr>
        <w:t xml:space="preserve"> </w:t>
      </w:r>
      <w:r w:rsidR="1AD44DEE" w:rsidRPr="001E08AC">
        <w:rPr>
          <w:rFonts w:eastAsia="Times New Roman" w:cstheme="minorHAnsi"/>
          <w:noProof/>
        </w:rPr>
        <w:t>estimated</w:t>
      </w:r>
      <w:r w:rsidR="63AFE53F" w:rsidRPr="001E08AC">
        <w:rPr>
          <w:rFonts w:eastAsia="Times New Roman" w:cstheme="minorHAnsi"/>
          <w:noProof/>
        </w:rPr>
        <w:t xml:space="preserve"> total </w:t>
      </w:r>
      <w:r w:rsidR="2CB33BB4" w:rsidRPr="001E08AC">
        <w:rPr>
          <w:rFonts w:eastAsia="Times New Roman" w:cstheme="minorHAnsi"/>
          <w:noProof/>
        </w:rPr>
        <w:t>of</w:t>
      </w:r>
      <w:r w:rsidR="2BC36F2F" w:rsidRPr="001E08AC">
        <w:rPr>
          <w:rFonts w:eastAsia="Times New Roman" w:cstheme="minorHAnsi"/>
          <w:noProof/>
        </w:rPr>
        <w:t xml:space="preserve"> </w:t>
      </w:r>
      <w:r w:rsidR="34746530" w:rsidRPr="001E08AC">
        <w:rPr>
          <w:rFonts w:eastAsia="Times New Roman" w:cstheme="minorHAnsi"/>
          <w:noProof/>
        </w:rPr>
        <w:t xml:space="preserve">about </w:t>
      </w:r>
      <w:r w:rsidR="2BC36F2F" w:rsidRPr="001E08AC">
        <w:rPr>
          <w:rFonts w:eastAsia="Times New Roman" w:cstheme="minorHAnsi"/>
          <w:noProof/>
        </w:rPr>
        <w:t>12</w:t>
      </w:r>
      <w:r w:rsidR="00467234">
        <w:rPr>
          <w:rFonts w:eastAsia="Times New Roman" w:cstheme="minorHAnsi"/>
          <w:noProof/>
        </w:rPr>
        <w:t>,</w:t>
      </w:r>
      <w:r w:rsidR="2BC36F2F" w:rsidRPr="001E08AC">
        <w:rPr>
          <w:rFonts w:eastAsia="Times New Roman" w:cstheme="minorHAnsi"/>
          <w:noProof/>
        </w:rPr>
        <w:t>000</w:t>
      </w:r>
      <w:r w:rsidR="5251FB54" w:rsidRPr="001E08AC">
        <w:rPr>
          <w:rFonts w:eastAsia="Times New Roman" w:cstheme="minorHAnsi"/>
          <w:noProof/>
        </w:rPr>
        <w:t>.</w:t>
      </w:r>
      <w:r w:rsidR="642C69E9" w:rsidRPr="001E08AC">
        <w:rPr>
          <w:rFonts w:eastAsia="Times New Roman" w:cstheme="minorHAnsi"/>
          <w:noProof/>
        </w:rPr>
        <w:t xml:space="preserve"> </w:t>
      </w:r>
      <w:r w:rsidRPr="001E08AC">
        <w:rPr>
          <w:rFonts w:eastAsia="Times New Roman" w:cstheme="minorHAnsi"/>
          <w:noProof/>
        </w:rPr>
        <w:t>Member States</w:t>
      </w:r>
      <w:r w:rsidRPr="001E08AC" w:rsidDel="00783881">
        <w:rPr>
          <w:rFonts w:eastAsia="Times New Roman" w:cstheme="minorHAnsi"/>
          <w:noProof/>
        </w:rPr>
        <w:t xml:space="preserve"> </w:t>
      </w:r>
      <w:r w:rsidRPr="001E08AC">
        <w:rPr>
          <w:rFonts w:eastAsia="Times New Roman" w:cstheme="minorHAnsi"/>
          <w:noProof/>
        </w:rPr>
        <w:t>have also started the process on their side</w:t>
      </w:r>
      <w:r w:rsidR="1B588010" w:rsidRPr="001E08AC">
        <w:rPr>
          <w:rFonts w:eastAsia="Times New Roman" w:cstheme="minorHAnsi"/>
          <w:noProof/>
        </w:rPr>
        <w:t xml:space="preserve"> by identifying and onboarding the institutional users o</w:t>
      </w:r>
      <w:r w:rsidR="11598EF0" w:rsidRPr="001E08AC">
        <w:rPr>
          <w:rFonts w:eastAsia="Times New Roman" w:cstheme="minorHAnsi"/>
          <w:noProof/>
        </w:rPr>
        <w:t>f the system</w:t>
      </w:r>
      <w:r w:rsidRPr="001E08AC">
        <w:rPr>
          <w:rFonts w:eastAsia="Times New Roman" w:cstheme="minorHAnsi"/>
          <w:noProof/>
        </w:rPr>
        <w:t>. Initial stock registration of raw materials and fuels is envisaged to commence once at least 80% of the economic operators have been onboarded. The stocks registered should correspond to the net mass balancing figure of the last mass balance period. After this time, economic operators will be able to register and manage transactions of incoming and outgoing material in the UDB. Transactions will need to be registered within 72 hours of the traded date/shipment and the accompanying sustainability certificates must be updated before the end of the mass-balance period.</w:t>
      </w:r>
    </w:p>
    <w:p w14:paraId="54BF29E0" w14:textId="7F82D07C" w:rsidR="001B701F" w:rsidRDefault="001B701F" w:rsidP="00CF7CEB">
      <w:pPr>
        <w:spacing w:before="240" w:after="120" w:line="240" w:lineRule="auto"/>
        <w:contextualSpacing/>
        <w:jc w:val="both"/>
        <w:rPr>
          <w:rFonts w:eastAsia="Times New Roman" w:cstheme="minorHAnsi"/>
          <w:noProof/>
        </w:rPr>
      </w:pPr>
    </w:p>
    <w:p w14:paraId="58852433" w14:textId="3C6D4BD5" w:rsidR="001B701F" w:rsidRPr="001E08AC" w:rsidRDefault="001B701F" w:rsidP="00CF7CEB">
      <w:pPr>
        <w:spacing w:before="240" w:after="120" w:line="240" w:lineRule="auto"/>
        <w:contextualSpacing/>
        <w:jc w:val="both"/>
        <w:rPr>
          <w:rFonts w:eastAsia="Times New Roman" w:cstheme="minorHAnsi"/>
          <w:noProof/>
        </w:rPr>
      </w:pPr>
    </w:p>
    <w:p w14:paraId="3326C20A" w14:textId="77777777" w:rsidR="00783881" w:rsidRPr="007C34B7" w:rsidRDefault="00783881" w:rsidP="00CF7CEB">
      <w:pPr>
        <w:spacing w:before="240" w:after="120" w:line="240" w:lineRule="auto"/>
        <w:contextualSpacing/>
        <w:jc w:val="both"/>
        <w:rPr>
          <w:rFonts w:eastAsia="Times New Roman" w:cstheme="minorHAnsi"/>
          <w:noProof/>
        </w:rPr>
      </w:pPr>
    </w:p>
    <w:p w14:paraId="1408A815" w14:textId="77777777" w:rsidR="00783881" w:rsidRPr="007C34B7" w:rsidRDefault="00783881" w:rsidP="00CF7CEB">
      <w:pPr>
        <w:spacing w:before="240" w:after="120" w:line="240" w:lineRule="auto"/>
        <w:contextualSpacing/>
        <w:jc w:val="both"/>
        <w:rPr>
          <w:rFonts w:eastAsia="Times New Roman" w:cstheme="minorHAnsi"/>
          <w:noProof/>
        </w:rPr>
      </w:pPr>
    </w:p>
    <w:p w14:paraId="4D2EC250" w14:textId="77777777" w:rsidR="002D74BF" w:rsidRPr="007C34B7" w:rsidRDefault="002D74BF" w:rsidP="00CF7CEB">
      <w:pPr>
        <w:spacing w:before="240" w:after="120" w:line="240" w:lineRule="auto"/>
        <w:rPr>
          <w:rFonts w:cstheme="minorHAnsi"/>
          <w:noProof/>
        </w:rPr>
      </w:pPr>
    </w:p>
    <w:sectPr w:rsidR="002D74BF" w:rsidRPr="007C34B7" w:rsidSect="00E1737B">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6661F" w14:textId="77777777" w:rsidR="00A65460" w:rsidRDefault="00A65460" w:rsidP="00783881">
      <w:pPr>
        <w:spacing w:after="0" w:line="240" w:lineRule="auto"/>
      </w:pPr>
      <w:r>
        <w:separator/>
      </w:r>
    </w:p>
  </w:endnote>
  <w:endnote w:type="continuationSeparator" w:id="0">
    <w:p w14:paraId="03BC8DC7" w14:textId="77777777" w:rsidR="00A65460" w:rsidRDefault="00A65460" w:rsidP="00783881">
      <w:pPr>
        <w:spacing w:after="0" w:line="240" w:lineRule="auto"/>
      </w:pPr>
      <w:r>
        <w:continuationSeparator/>
      </w:r>
    </w:p>
  </w:endnote>
  <w:endnote w:type="continuationNotice" w:id="1">
    <w:p w14:paraId="1ECF0521" w14:textId="77777777" w:rsidR="00A65460" w:rsidRDefault="00A654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560FB" w14:textId="7D9CE006" w:rsidR="009A4AD4" w:rsidRPr="003B76DB" w:rsidRDefault="009A4AD4" w:rsidP="003B7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9F8CE" w14:textId="37AE86AD" w:rsidR="009A4AD4" w:rsidRPr="003B76DB" w:rsidRDefault="003B76DB" w:rsidP="003B76DB">
    <w:pPr>
      <w:pStyle w:val="FooterCoverPage"/>
      <w:rPr>
        <w:rFonts w:ascii="Arial" w:hAnsi="Arial" w:cs="Arial"/>
        <w:b/>
        <w:sz w:val="48"/>
      </w:rPr>
    </w:pPr>
    <w:r w:rsidRPr="003B76DB">
      <w:rPr>
        <w:rFonts w:ascii="Arial" w:hAnsi="Arial" w:cs="Arial"/>
        <w:b/>
        <w:sz w:val="48"/>
      </w:rPr>
      <w:t>EN</w:t>
    </w:r>
    <w:r w:rsidRPr="003B76DB">
      <w:rPr>
        <w:rFonts w:ascii="Arial" w:hAnsi="Arial" w:cs="Arial"/>
        <w:b/>
        <w:sz w:val="48"/>
      </w:rPr>
      <w:tab/>
    </w:r>
    <w:r w:rsidRPr="003B76DB">
      <w:rPr>
        <w:rFonts w:ascii="Arial" w:hAnsi="Arial" w:cs="Arial"/>
        <w:b/>
        <w:sz w:val="48"/>
      </w:rPr>
      <w:tab/>
    </w:r>
    <w:r w:rsidRPr="003B76DB">
      <w:tab/>
    </w:r>
    <w:r w:rsidRPr="003B76DB">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61FAA" w14:textId="77777777" w:rsidR="003B76DB" w:rsidRPr="003B76DB" w:rsidRDefault="003B76DB" w:rsidP="003B76D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F9927" w14:textId="77777777" w:rsidR="00213ECF" w:rsidRDefault="00213E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CA7E9" w14:textId="5CDA3EF2" w:rsidR="00213ECF" w:rsidRDefault="00213ECF">
    <w:pPr>
      <w:pStyle w:val="Footer"/>
      <w:jc w:val="center"/>
      <w:rPr>
        <w:caps/>
        <w:noProof/>
        <w:color w:val="4472C4" w:themeColor="accent1"/>
      </w:rPr>
    </w:pPr>
    <w:r w:rsidRPr="6F0D4C97">
      <w:rPr>
        <w:caps/>
        <w:noProof/>
        <w:color w:val="4472C4" w:themeColor="accent1"/>
      </w:rPr>
      <w:fldChar w:fldCharType="begin"/>
    </w:r>
    <w:r>
      <w:instrText>PAGE</w:instrText>
    </w:r>
    <w:r w:rsidRPr="6F0D4C97">
      <w:fldChar w:fldCharType="separate"/>
    </w:r>
    <w:r w:rsidR="003B76DB">
      <w:rPr>
        <w:noProof/>
      </w:rPr>
      <w:t>1</w:t>
    </w:r>
    <w:r w:rsidRPr="6F0D4C97">
      <w:rPr>
        <w:caps/>
        <w:noProof/>
        <w:color w:val="4472C4" w:themeColor="accent1"/>
      </w:rPr>
      <w:fldChar w:fldCharType="end"/>
    </w:r>
  </w:p>
  <w:p w14:paraId="102257E2" w14:textId="77777777" w:rsidR="00213ECF" w:rsidRDefault="00213E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351B9" w14:textId="77777777" w:rsidR="00213ECF" w:rsidRDefault="00213EC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B99ED" w14:textId="77777777" w:rsidR="00466F38" w:rsidRDefault="00466F3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9976D" w14:textId="4F3AD91E" w:rsidR="00466F38" w:rsidRDefault="00466F38">
    <w:pPr>
      <w:pStyle w:val="Footer"/>
      <w:jc w:val="center"/>
      <w:rPr>
        <w:caps/>
        <w:noProof/>
        <w:color w:val="4472C4" w:themeColor="accent1"/>
      </w:rPr>
    </w:pPr>
    <w:r w:rsidRPr="6F0D4C97">
      <w:rPr>
        <w:caps/>
        <w:noProof/>
        <w:color w:val="4472C4" w:themeColor="accent1"/>
      </w:rPr>
      <w:fldChar w:fldCharType="begin"/>
    </w:r>
    <w:r>
      <w:instrText>PAGE</w:instrText>
    </w:r>
    <w:r w:rsidRPr="6F0D4C97">
      <w:fldChar w:fldCharType="separate"/>
    </w:r>
    <w:r w:rsidR="003B76DB">
      <w:rPr>
        <w:noProof/>
      </w:rPr>
      <w:t>16</w:t>
    </w:r>
    <w:r w:rsidRPr="6F0D4C97">
      <w:rPr>
        <w:caps/>
        <w:noProof/>
        <w:color w:val="4472C4" w:themeColor="accent1"/>
      </w:rPr>
      <w:fldChar w:fldCharType="end"/>
    </w:r>
  </w:p>
  <w:p w14:paraId="58A30E2F" w14:textId="77777777" w:rsidR="00466F38" w:rsidRDefault="00466F3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B29FF" w14:textId="77777777" w:rsidR="00466F38" w:rsidRDefault="00466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2F6FA" w14:textId="77777777" w:rsidR="00A65460" w:rsidRDefault="00A65460" w:rsidP="00783881">
      <w:pPr>
        <w:spacing w:after="0" w:line="240" w:lineRule="auto"/>
      </w:pPr>
      <w:r>
        <w:separator/>
      </w:r>
    </w:p>
  </w:footnote>
  <w:footnote w:type="continuationSeparator" w:id="0">
    <w:p w14:paraId="78314B7D" w14:textId="77777777" w:rsidR="00A65460" w:rsidRDefault="00A65460" w:rsidP="00783881">
      <w:pPr>
        <w:spacing w:after="0" w:line="240" w:lineRule="auto"/>
      </w:pPr>
      <w:r>
        <w:continuationSeparator/>
      </w:r>
    </w:p>
  </w:footnote>
  <w:footnote w:type="continuationNotice" w:id="1">
    <w:p w14:paraId="6160E34C" w14:textId="77777777" w:rsidR="00A65460" w:rsidRDefault="00A65460">
      <w:pPr>
        <w:spacing w:after="0" w:line="240" w:lineRule="auto"/>
      </w:pPr>
    </w:p>
  </w:footnote>
  <w:footnote w:id="2">
    <w:p w14:paraId="21540D16" w14:textId="0688F447" w:rsidR="00F700C5" w:rsidRPr="001E08AC" w:rsidRDefault="00F700C5" w:rsidP="00591EFA">
      <w:pPr>
        <w:pStyle w:val="FootnoteText"/>
        <w:jc w:val="both"/>
      </w:pPr>
      <w:r w:rsidRPr="001E08AC">
        <w:rPr>
          <w:rStyle w:val="FootnoteReference"/>
        </w:rPr>
        <w:footnoteRef/>
      </w:r>
      <w:r w:rsidRPr="001E08AC">
        <w:t xml:space="preserve"> R</w:t>
      </w:r>
      <w:r w:rsidRPr="001E08AC">
        <w:rPr>
          <w:shd w:val="clear" w:color="auto" w:fill="FFFFFF"/>
        </w:rPr>
        <w:t>egulation (EU) 2018/1999 of the European Parliament and of the Council of 11 December 2018 on the Governance of the Energy Union and Climate Action</w:t>
      </w:r>
      <w:r w:rsidR="00310E55" w:rsidRPr="001E08AC">
        <w:rPr>
          <w:shd w:val="clear" w:color="auto" w:fill="FFFFFF"/>
        </w:rPr>
        <w:t>, OJ Regulation (EU) 2018/1999.</w:t>
      </w:r>
    </w:p>
  </w:footnote>
  <w:footnote w:id="3">
    <w:p w14:paraId="638C539D" w14:textId="25C4C98C" w:rsidR="4B86C49B" w:rsidRPr="001E08AC" w:rsidRDefault="4B86C49B" w:rsidP="00591EFA">
      <w:pPr>
        <w:spacing w:after="0" w:line="240" w:lineRule="auto"/>
        <w:jc w:val="both"/>
        <w:rPr>
          <w:rFonts w:cstheme="minorHAnsi"/>
          <w:sz w:val="20"/>
          <w:szCs w:val="20"/>
        </w:rPr>
      </w:pPr>
      <w:r w:rsidRPr="001E08AC">
        <w:rPr>
          <w:rFonts w:cstheme="minorHAnsi"/>
          <w:sz w:val="20"/>
          <w:szCs w:val="20"/>
          <w:vertAlign w:val="superscript"/>
        </w:rPr>
        <w:footnoteRef/>
      </w:r>
      <w:r w:rsidRPr="001E08AC">
        <w:rPr>
          <w:rFonts w:cstheme="minorHAnsi"/>
          <w:sz w:val="20"/>
          <w:szCs w:val="20"/>
        </w:rPr>
        <w:t xml:space="preserve"> Eurostat</w:t>
      </w:r>
      <w:r w:rsidR="00F700C5" w:rsidRPr="001E08AC">
        <w:rPr>
          <w:rFonts w:cstheme="minorHAnsi"/>
          <w:sz w:val="20"/>
          <w:szCs w:val="20"/>
        </w:rPr>
        <w:t>: Energy Balances 2021</w:t>
      </w:r>
      <w:r w:rsidRPr="001E08AC">
        <w:rPr>
          <w:rFonts w:cstheme="minorHAnsi"/>
          <w:sz w:val="20"/>
          <w:szCs w:val="20"/>
        </w:rPr>
        <w:t>.</w:t>
      </w:r>
    </w:p>
  </w:footnote>
  <w:footnote w:id="4">
    <w:p w14:paraId="6C1FE172" w14:textId="01828B5E" w:rsidR="00783881" w:rsidRPr="001E08AC" w:rsidRDefault="00783881" w:rsidP="00591EFA">
      <w:pPr>
        <w:pStyle w:val="FootnoteText"/>
        <w:jc w:val="both"/>
        <w:rPr>
          <w:rFonts w:cstheme="minorHAnsi"/>
        </w:rPr>
      </w:pPr>
      <w:r w:rsidRPr="001E08AC">
        <w:rPr>
          <w:rStyle w:val="FootnoteReference"/>
          <w:rFonts w:cstheme="minorHAnsi"/>
        </w:rPr>
        <w:footnoteRef/>
      </w:r>
      <w:r w:rsidRPr="001E08AC">
        <w:rPr>
          <w:rFonts w:cstheme="minorHAnsi"/>
        </w:rPr>
        <w:t xml:space="preserve"> </w:t>
      </w:r>
      <w:r w:rsidR="00F700C5" w:rsidRPr="001E08AC">
        <w:rPr>
          <w:rFonts w:cstheme="minorHAnsi"/>
        </w:rPr>
        <w:t xml:space="preserve">Eurostat: </w:t>
      </w:r>
      <w:r w:rsidRPr="001E08AC">
        <w:rPr>
          <w:rFonts w:cstheme="minorHAnsi"/>
        </w:rPr>
        <w:t>Supply of biomass - annual data</w:t>
      </w:r>
      <w:r w:rsidR="00310E55" w:rsidRPr="001E08AC">
        <w:rPr>
          <w:rFonts w:cstheme="minorHAnsi"/>
        </w:rPr>
        <w:t>.</w:t>
      </w:r>
      <w:r w:rsidRPr="001E08AC">
        <w:rPr>
          <w:rFonts w:cstheme="minorHAnsi"/>
        </w:rPr>
        <w:t xml:space="preserve"> </w:t>
      </w:r>
    </w:p>
  </w:footnote>
  <w:footnote w:id="5">
    <w:p w14:paraId="1E18CAC0" w14:textId="797B146E" w:rsidR="00783881" w:rsidRPr="001E08AC" w:rsidRDefault="00783881" w:rsidP="00591EFA">
      <w:pPr>
        <w:pStyle w:val="FootnoteText"/>
        <w:jc w:val="both"/>
        <w:rPr>
          <w:rFonts w:cstheme="minorHAnsi"/>
          <w:lang w:val="en-IE"/>
        </w:rPr>
      </w:pPr>
      <w:r w:rsidRPr="001E08AC">
        <w:rPr>
          <w:rStyle w:val="FootnoteReference"/>
          <w:rFonts w:cstheme="minorHAnsi"/>
        </w:rPr>
        <w:footnoteRef/>
      </w:r>
      <w:r w:rsidRPr="001E08AC">
        <w:rPr>
          <w:rFonts w:cstheme="minorHAnsi"/>
        </w:rPr>
        <w:t xml:space="preserve"> </w:t>
      </w:r>
      <w:bookmarkStart w:id="2" w:name="_Hlk146439113"/>
      <w:r w:rsidRPr="001E08AC">
        <w:rPr>
          <w:rFonts w:cstheme="minorHAnsi"/>
        </w:rPr>
        <w:t>Eurostat</w:t>
      </w:r>
      <w:r w:rsidR="009C52EB" w:rsidRPr="001E08AC">
        <w:rPr>
          <w:rFonts w:cstheme="minorHAnsi"/>
        </w:rPr>
        <w:t>:</w:t>
      </w:r>
      <w:r w:rsidRPr="001E08AC">
        <w:rPr>
          <w:rFonts w:cstheme="minorHAnsi"/>
        </w:rPr>
        <w:t xml:space="preserve"> Supply of biomass, annual data</w:t>
      </w:r>
      <w:r w:rsidR="004D56D0" w:rsidRPr="001E08AC">
        <w:rPr>
          <w:rFonts w:cstheme="minorHAnsi"/>
        </w:rPr>
        <w:t>.</w:t>
      </w:r>
      <w:bookmarkEnd w:id="2"/>
    </w:p>
  </w:footnote>
  <w:footnote w:id="6">
    <w:p w14:paraId="58DA059D" w14:textId="01CBBA79" w:rsidR="00783881" w:rsidRPr="001E08AC" w:rsidRDefault="00783881" w:rsidP="00591EFA">
      <w:pPr>
        <w:pStyle w:val="FootnoteText"/>
        <w:jc w:val="both"/>
        <w:rPr>
          <w:rFonts w:cstheme="minorHAnsi"/>
        </w:rPr>
      </w:pPr>
      <w:r w:rsidRPr="001E08AC">
        <w:rPr>
          <w:rStyle w:val="FootnoteReference"/>
          <w:rFonts w:cstheme="minorHAnsi"/>
        </w:rPr>
        <w:footnoteRef/>
      </w:r>
      <w:r w:rsidRPr="001E08AC">
        <w:rPr>
          <w:rFonts w:cstheme="minorHAnsi"/>
        </w:rPr>
        <w:t xml:space="preserve"> Eurostat</w:t>
      </w:r>
      <w:r w:rsidR="009C52EB" w:rsidRPr="001E08AC">
        <w:rPr>
          <w:rFonts w:cstheme="minorHAnsi"/>
        </w:rPr>
        <w:t>:</w:t>
      </w:r>
      <w:r w:rsidRPr="001E08AC">
        <w:rPr>
          <w:rFonts w:cstheme="minorHAnsi"/>
        </w:rPr>
        <w:t xml:space="preserve"> table NRG_CB_RW</w:t>
      </w:r>
      <w:r w:rsidR="004D56D0" w:rsidRPr="001E08AC">
        <w:rPr>
          <w:rFonts w:cstheme="minorHAnsi"/>
        </w:rPr>
        <w:t>.</w:t>
      </w:r>
    </w:p>
  </w:footnote>
  <w:footnote w:id="7">
    <w:p w14:paraId="0AECA642" w14:textId="0974CE76" w:rsidR="6D72BAC0" w:rsidRPr="001E08AC" w:rsidRDefault="6D72BAC0" w:rsidP="00591EFA">
      <w:pPr>
        <w:spacing w:after="0" w:line="240" w:lineRule="auto"/>
        <w:jc w:val="both"/>
        <w:rPr>
          <w:rFonts w:cstheme="minorHAnsi"/>
          <w:sz w:val="20"/>
          <w:szCs w:val="20"/>
          <w:lang w:val="en-IE"/>
        </w:rPr>
      </w:pPr>
      <w:r w:rsidRPr="001E08AC">
        <w:rPr>
          <w:rFonts w:cstheme="minorHAnsi"/>
          <w:sz w:val="20"/>
          <w:szCs w:val="20"/>
          <w:vertAlign w:val="superscript"/>
        </w:rPr>
        <w:footnoteRef/>
      </w:r>
      <w:r w:rsidRPr="001E08AC">
        <w:rPr>
          <w:rFonts w:cstheme="minorHAnsi"/>
          <w:sz w:val="20"/>
          <w:szCs w:val="20"/>
          <w:lang w:val="en-IE"/>
        </w:rPr>
        <w:t xml:space="preserve"> Eurostat</w:t>
      </w:r>
      <w:r w:rsidR="00F700C5" w:rsidRPr="001E08AC">
        <w:rPr>
          <w:rFonts w:cstheme="minorHAnsi"/>
          <w:sz w:val="20"/>
          <w:szCs w:val="20"/>
        </w:rPr>
        <w:t>:</w:t>
      </w:r>
      <w:r w:rsidRPr="001E08AC">
        <w:rPr>
          <w:rFonts w:cstheme="minorHAnsi"/>
          <w:sz w:val="20"/>
          <w:szCs w:val="20"/>
          <w:lang w:val="en-IE"/>
        </w:rPr>
        <w:t xml:space="preserve"> table NRG_CB_RW</w:t>
      </w:r>
      <w:r w:rsidR="004D56D0" w:rsidRPr="001E08AC">
        <w:rPr>
          <w:rFonts w:cstheme="minorHAnsi"/>
          <w:sz w:val="20"/>
          <w:szCs w:val="20"/>
          <w:lang w:val="en-IE"/>
        </w:rPr>
        <w:t>.</w:t>
      </w:r>
    </w:p>
  </w:footnote>
  <w:footnote w:id="8">
    <w:p w14:paraId="6AFA821F" w14:textId="77777777" w:rsidR="00AC1AAA" w:rsidRPr="001E08AC" w:rsidRDefault="00AC1AAA" w:rsidP="00591EFA">
      <w:pPr>
        <w:pStyle w:val="FootnoteText"/>
        <w:jc w:val="both"/>
        <w:rPr>
          <w:rFonts w:cstheme="minorHAnsi"/>
        </w:rPr>
      </w:pPr>
      <w:r w:rsidRPr="001E08AC">
        <w:rPr>
          <w:rStyle w:val="FootnoteReference"/>
          <w:rFonts w:cstheme="minorHAnsi"/>
        </w:rPr>
        <w:footnoteRef/>
      </w:r>
      <w:r w:rsidRPr="001E08AC">
        <w:rPr>
          <w:rFonts w:cstheme="minorHAnsi"/>
        </w:rPr>
        <w:t xml:space="preserve"> Ibid. </w:t>
      </w:r>
    </w:p>
  </w:footnote>
  <w:footnote w:id="9">
    <w:p w14:paraId="275EC7CA" w14:textId="1E5258AA" w:rsidR="00AC1AAA" w:rsidRPr="001E08AC" w:rsidRDefault="00AC1AAA" w:rsidP="00591EFA">
      <w:pPr>
        <w:pStyle w:val="FootnoteText"/>
        <w:jc w:val="both"/>
        <w:rPr>
          <w:rFonts w:cstheme="minorHAnsi"/>
        </w:rPr>
      </w:pPr>
      <w:r w:rsidRPr="001E08AC">
        <w:rPr>
          <w:rStyle w:val="FootnoteReference"/>
          <w:rFonts w:cstheme="minorHAnsi"/>
        </w:rPr>
        <w:footnoteRef/>
      </w:r>
      <w:r w:rsidRPr="001E08AC">
        <w:rPr>
          <w:rFonts w:cstheme="minorHAnsi"/>
        </w:rPr>
        <w:t xml:space="preserve"> Eurostat</w:t>
      </w:r>
      <w:r w:rsidR="00F700C5" w:rsidRPr="001E08AC">
        <w:rPr>
          <w:rFonts w:cstheme="minorHAnsi"/>
        </w:rPr>
        <w:t>:</w:t>
      </w:r>
      <w:r w:rsidRPr="001E08AC">
        <w:rPr>
          <w:rFonts w:cstheme="minorHAnsi"/>
        </w:rPr>
        <w:t xml:space="preserve"> Supply of biomass, annual data.</w:t>
      </w:r>
    </w:p>
  </w:footnote>
  <w:footnote w:id="10">
    <w:p w14:paraId="44B6A99F" w14:textId="77777777" w:rsidR="00783881" w:rsidRPr="001E08AC" w:rsidRDefault="00783881" w:rsidP="00591EFA">
      <w:pPr>
        <w:pStyle w:val="FootnoteText"/>
        <w:jc w:val="both"/>
        <w:rPr>
          <w:rFonts w:cstheme="minorHAnsi"/>
        </w:rPr>
      </w:pPr>
      <w:r w:rsidRPr="001E08AC">
        <w:rPr>
          <w:rStyle w:val="FootnoteReference"/>
          <w:rFonts w:cstheme="minorHAnsi"/>
        </w:rPr>
        <w:footnoteRef/>
      </w:r>
      <w:r w:rsidRPr="001E08AC">
        <w:rPr>
          <w:rFonts w:cstheme="minorHAnsi"/>
        </w:rPr>
        <w:t xml:space="preserve"> AT, BG, CY, CZ, DK, EL, FI, and PT.</w:t>
      </w:r>
    </w:p>
  </w:footnote>
  <w:footnote w:id="11">
    <w:p w14:paraId="2E960CC2" w14:textId="066E98C7" w:rsidR="00783881" w:rsidRPr="001E08AC" w:rsidRDefault="00783881" w:rsidP="00591EFA">
      <w:pPr>
        <w:pStyle w:val="FootnoteText"/>
        <w:jc w:val="both"/>
        <w:rPr>
          <w:rFonts w:cstheme="minorHAnsi"/>
          <w:lang w:val="en-IE"/>
        </w:rPr>
      </w:pPr>
      <w:r w:rsidRPr="001E08AC">
        <w:rPr>
          <w:rStyle w:val="FootnoteReference"/>
          <w:rFonts w:cstheme="minorHAnsi"/>
        </w:rPr>
        <w:footnoteRef/>
      </w:r>
      <w:r w:rsidRPr="001E08AC">
        <w:rPr>
          <w:rFonts w:cstheme="minorHAnsi"/>
        </w:rPr>
        <w:t xml:space="preserve"> </w:t>
      </w:r>
      <w:r w:rsidR="00F700C5" w:rsidRPr="001E08AC">
        <w:rPr>
          <w:rFonts w:cstheme="minorHAnsi"/>
        </w:rPr>
        <w:t xml:space="preserve">Eurostat: table </w:t>
      </w:r>
      <w:r w:rsidRPr="001E08AC">
        <w:rPr>
          <w:rFonts w:cstheme="minorHAnsi"/>
        </w:rPr>
        <w:t>NRG_BAL_C</w:t>
      </w:r>
      <w:r w:rsidR="004D56D0" w:rsidRPr="001E08AC">
        <w:rPr>
          <w:rFonts w:cstheme="minorHAnsi"/>
        </w:rPr>
        <w:t>.</w:t>
      </w:r>
    </w:p>
  </w:footnote>
  <w:footnote w:id="12">
    <w:p w14:paraId="4D7439B4" w14:textId="56846094" w:rsidR="00783881" w:rsidRPr="001E08AC" w:rsidRDefault="00783881" w:rsidP="00591EFA">
      <w:pPr>
        <w:pStyle w:val="FootnoteText"/>
        <w:jc w:val="both"/>
        <w:rPr>
          <w:rFonts w:cstheme="minorHAnsi"/>
          <w:lang w:val="en-IE"/>
        </w:rPr>
      </w:pPr>
      <w:r w:rsidRPr="001E08AC">
        <w:rPr>
          <w:rStyle w:val="FootnoteReference"/>
          <w:rFonts w:cstheme="minorHAnsi"/>
        </w:rPr>
        <w:footnoteRef/>
      </w:r>
      <w:r w:rsidRPr="001E08AC">
        <w:rPr>
          <w:rFonts w:cstheme="minorHAnsi"/>
        </w:rPr>
        <w:t xml:space="preserve"> Eurostat</w:t>
      </w:r>
      <w:r w:rsidR="00F700C5" w:rsidRPr="001E08AC">
        <w:rPr>
          <w:rFonts w:cstheme="minorHAnsi"/>
        </w:rPr>
        <w:t>:</w:t>
      </w:r>
      <w:r w:rsidRPr="001E08AC">
        <w:rPr>
          <w:rFonts w:cstheme="minorHAnsi"/>
        </w:rPr>
        <w:t xml:space="preserve"> Energy Balances </w:t>
      </w:r>
      <w:r w:rsidR="00F700C5" w:rsidRPr="001E08AC">
        <w:rPr>
          <w:rFonts w:cstheme="minorHAnsi"/>
        </w:rPr>
        <w:t xml:space="preserve">2021 </w:t>
      </w:r>
      <w:r w:rsidRPr="001E08AC">
        <w:rPr>
          <w:rFonts w:cstheme="minorHAnsi"/>
        </w:rPr>
        <w:t>table NRG_BAL_C</w:t>
      </w:r>
      <w:r w:rsidR="004D56D0" w:rsidRPr="001E08AC">
        <w:rPr>
          <w:rFonts w:cstheme="minorHAnsi"/>
        </w:rPr>
        <w:t>.</w:t>
      </w:r>
    </w:p>
  </w:footnote>
  <w:footnote w:id="13">
    <w:p w14:paraId="7ED69650" w14:textId="42EFFE6E" w:rsidR="00783881" w:rsidRPr="001E08AC" w:rsidRDefault="00783881" w:rsidP="00591EFA">
      <w:pPr>
        <w:pStyle w:val="FootnoteText"/>
        <w:jc w:val="both"/>
        <w:rPr>
          <w:rFonts w:cstheme="minorHAnsi"/>
        </w:rPr>
      </w:pPr>
      <w:r w:rsidRPr="001E08AC">
        <w:rPr>
          <w:rStyle w:val="FootnoteReference"/>
          <w:rFonts w:cstheme="minorHAnsi"/>
        </w:rPr>
        <w:footnoteRef/>
      </w:r>
      <w:r w:rsidRPr="001E08AC">
        <w:rPr>
          <w:rFonts w:cstheme="minorHAnsi"/>
        </w:rPr>
        <w:t xml:space="preserve"> Ibid</w:t>
      </w:r>
      <w:r w:rsidR="004D56D0" w:rsidRPr="001E08AC">
        <w:rPr>
          <w:rFonts w:cstheme="minorHAnsi"/>
        </w:rPr>
        <w:t>.</w:t>
      </w:r>
      <w:r w:rsidRPr="001E08AC">
        <w:rPr>
          <w:rFonts w:cstheme="minorHAnsi"/>
        </w:rPr>
        <w:t xml:space="preserve"> </w:t>
      </w:r>
    </w:p>
  </w:footnote>
  <w:footnote w:id="14">
    <w:p w14:paraId="474DD772" w14:textId="424DF51F" w:rsidR="002E41A6" w:rsidRPr="001E08AC" w:rsidRDefault="002E41A6" w:rsidP="00591EFA">
      <w:pPr>
        <w:pStyle w:val="FootnoteText"/>
        <w:jc w:val="both"/>
        <w:rPr>
          <w:rFonts w:cstheme="minorHAnsi"/>
        </w:rPr>
      </w:pPr>
      <w:r w:rsidRPr="001E08AC">
        <w:rPr>
          <w:rStyle w:val="FootnoteReference"/>
          <w:rFonts w:cstheme="minorHAnsi"/>
        </w:rPr>
        <w:footnoteRef/>
      </w:r>
      <w:r w:rsidRPr="001E08AC">
        <w:rPr>
          <w:rFonts w:cstheme="minorHAnsi"/>
        </w:rPr>
        <w:t xml:space="preserve"> AT, CZ, DK, EE, FI, IT, SE</w:t>
      </w:r>
      <w:r w:rsidR="004D56D0" w:rsidRPr="001E08AC">
        <w:rPr>
          <w:rFonts w:cstheme="minorHAnsi"/>
        </w:rPr>
        <w:t>.</w:t>
      </w:r>
    </w:p>
  </w:footnote>
  <w:footnote w:id="15">
    <w:p w14:paraId="2AF81CB2" w14:textId="0F125DAB" w:rsidR="008E3492" w:rsidRPr="001E08AC" w:rsidRDefault="008E3492" w:rsidP="00591EFA">
      <w:pPr>
        <w:pStyle w:val="FootnoteText"/>
        <w:jc w:val="both"/>
      </w:pPr>
      <w:r w:rsidRPr="001E08AC">
        <w:rPr>
          <w:rStyle w:val="FootnoteReference"/>
        </w:rPr>
        <w:footnoteRef/>
      </w:r>
      <w:r w:rsidRPr="001E08AC">
        <w:t xml:space="preserve"> Eurostat</w:t>
      </w:r>
      <w:r w:rsidR="00F700C5" w:rsidRPr="001E08AC">
        <w:t xml:space="preserve">: </w:t>
      </w:r>
      <w:r w:rsidRPr="001E08AC">
        <w:t xml:space="preserve">SHARES </w:t>
      </w:r>
      <w:r w:rsidR="009C52EB" w:rsidRPr="001E08AC">
        <w:t>data</w:t>
      </w:r>
    </w:p>
  </w:footnote>
  <w:footnote w:id="16">
    <w:p w14:paraId="095178CC" w14:textId="7614D869" w:rsidR="00783881" w:rsidRPr="001E08AC" w:rsidRDefault="00783881" w:rsidP="00591EFA">
      <w:pPr>
        <w:pStyle w:val="FootnoteText"/>
        <w:jc w:val="both"/>
        <w:rPr>
          <w:rFonts w:cstheme="minorHAnsi"/>
        </w:rPr>
      </w:pPr>
      <w:r w:rsidRPr="001E08AC">
        <w:rPr>
          <w:rStyle w:val="FootnoteReference"/>
          <w:rFonts w:cstheme="minorHAnsi"/>
        </w:rPr>
        <w:footnoteRef/>
      </w:r>
      <w:r w:rsidRPr="001E08AC">
        <w:rPr>
          <w:rFonts w:cstheme="minorHAnsi"/>
        </w:rPr>
        <w:t xml:space="preserve"> </w:t>
      </w:r>
      <w:r w:rsidR="009C52EB" w:rsidRPr="001E08AC">
        <w:rPr>
          <w:rFonts w:cstheme="minorHAnsi"/>
        </w:rPr>
        <w:t>Ibid.</w:t>
      </w:r>
    </w:p>
  </w:footnote>
  <w:footnote w:id="17">
    <w:p w14:paraId="5F4775D7" w14:textId="5DE70EAE" w:rsidR="002D47B9" w:rsidRPr="001E08AC" w:rsidRDefault="002D47B9" w:rsidP="00591EFA">
      <w:pPr>
        <w:pStyle w:val="FootnoteText"/>
        <w:jc w:val="both"/>
        <w:rPr>
          <w:rFonts w:cstheme="minorHAnsi"/>
        </w:rPr>
      </w:pPr>
      <w:r w:rsidRPr="001E08AC">
        <w:rPr>
          <w:rStyle w:val="FootnoteReference"/>
          <w:rFonts w:cstheme="minorHAnsi"/>
        </w:rPr>
        <w:footnoteRef/>
      </w:r>
      <w:r w:rsidRPr="001E08AC">
        <w:rPr>
          <w:rFonts w:cstheme="minorHAnsi"/>
        </w:rPr>
        <w:t xml:space="preserve"> </w:t>
      </w:r>
      <w:r w:rsidR="00851CA7" w:rsidRPr="001E08AC">
        <w:rPr>
          <w:rFonts w:cstheme="minorHAnsi"/>
        </w:rPr>
        <w:t xml:space="preserve">Directive (EU) </w:t>
      </w:r>
      <w:r w:rsidR="00DE60EE" w:rsidRPr="001E08AC">
        <w:rPr>
          <w:rFonts w:cstheme="minorHAnsi"/>
        </w:rPr>
        <w:t>2018/2001 on the promotion of the use of energy from renewable sources, OJ L 328, 21.12.2018, p. 82</w:t>
      </w:r>
      <w:r w:rsidR="004D56D0" w:rsidRPr="001E08AC">
        <w:rPr>
          <w:rFonts w:cstheme="minorHAnsi"/>
        </w:rPr>
        <w:t>.</w:t>
      </w:r>
    </w:p>
  </w:footnote>
  <w:footnote w:id="18">
    <w:p w14:paraId="2F7B924C" w14:textId="43166CD0" w:rsidR="00055590" w:rsidRPr="00A97919" w:rsidRDefault="00055590" w:rsidP="00A97919">
      <w:pPr>
        <w:pStyle w:val="FootnoteText"/>
        <w:jc w:val="both"/>
        <w:rPr>
          <w:lang w:val="en-IE"/>
        </w:rPr>
      </w:pPr>
      <w:r>
        <w:rPr>
          <w:rStyle w:val="FootnoteReference"/>
        </w:rPr>
        <w:footnoteRef/>
      </w:r>
      <w:r>
        <w:t xml:space="preserve"> </w:t>
      </w:r>
      <w:r w:rsidRPr="00055590">
        <w:t>Eurostat: Table NRG_BAL_C Flow ‘Gross Heat Production’ (complementing indicator). This indicator includes: Main activity producer heat only + Main activity producer CHP + Autoproducer heat only + Autoproducer CHP. Product codes: biodiesel [R5220P + R5220B]; biogases [code: R5300]; other liquid biofuels [R5290]; primary solid biofuels [R5110-5150_W6000RI]; renewable municipal waste [W6210]. Energy Balances dataset (code: NRG_BAL_C). Please note that this indicator represents ‘Transformation output’ values.  Hence, for heat production this refers to the energy that is obtained from biomass fuels and bioliquids after conversion.</w:t>
      </w:r>
    </w:p>
  </w:footnote>
  <w:footnote w:id="19">
    <w:p w14:paraId="1ACF2A72" w14:textId="400E095C" w:rsidR="00783881" w:rsidRPr="001E08AC" w:rsidRDefault="00783881" w:rsidP="00591EFA">
      <w:pPr>
        <w:pStyle w:val="FootnoteText"/>
        <w:jc w:val="both"/>
        <w:rPr>
          <w:rFonts w:cstheme="minorHAnsi"/>
        </w:rPr>
      </w:pPr>
      <w:r w:rsidRPr="001E08AC">
        <w:rPr>
          <w:rStyle w:val="FootnoteReference"/>
          <w:rFonts w:cstheme="minorHAnsi"/>
        </w:rPr>
        <w:footnoteRef/>
      </w:r>
      <w:r w:rsidRPr="001E08AC">
        <w:rPr>
          <w:rFonts w:cstheme="minorHAnsi"/>
        </w:rPr>
        <w:t xml:space="preserve"> </w:t>
      </w:r>
      <w:r w:rsidR="00F700C5" w:rsidRPr="001E08AC">
        <w:rPr>
          <w:rFonts w:cstheme="minorHAnsi"/>
        </w:rPr>
        <w:t xml:space="preserve">Eurostat: Table </w:t>
      </w:r>
      <w:r w:rsidRPr="001E08AC">
        <w:rPr>
          <w:rFonts w:cstheme="minorHAnsi"/>
        </w:rPr>
        <w:t xml:space="preserve">NRG_BAL_C . Flow ‘Gross Electricity Production’ (complementing indicator). This indicator includes Main activity producer electricity only + Main activity producer CHP + Autoproducer electricity only + Autoproducer CHP. Product codes: biodiesel [R5220P + R5220B]; biogases [code: R5300]; other liquid biofuels [R5290]; primary solid biofuels [R5110-5150_W6000RI]; renewable municipal waste [W6210]. Energy Balances dataset (code: NRG_BAL_C). </w:t>
      </w:r>
    </w:p>
  </w:footnote>
  <w:footnote w:id="20">
    <w:p w14:paraId="692A84CA" w14:textId="7CA31E09" w:rsidR="00F64FCE" w:rsidRPr="001E08AC" w:rsidRDefault="00F64FCE" w:rsidP="00591EFA">
      <w:pPr>
        <w:pStyle w:val="FootnoteText"/>
        <w:jc w:val="both"/>
        <w:rPr>
          <w:rFonts w:cstheme="minorHAnsi"/>
        </w:rPr>
      </w:pPr>
      <w:r w:rsidRPr="001E08AC">
        <w:rPr>
          <w:rStyle w:val="FootnoteReference"/>
          <w:rFonts w:cstheme="minorHAnsi"/>
        </w:rPr>
        <w:footnoteRef/>
      </w:r>
      <w:r w:rsidRPr="001E08AC">
        <w:rPr>
          <w:rFonts w:cstheme="minorHAnsi"/>
        </w:rPr>
        <w:t xml:space="preserve"> AT, BG, CY, CZ, DK, EL, FI, and PT.</w:t>
      </w:r>
    </w:p>
  </w:footnote>
  <w:footnote w:id="21">
    <w:p w14:paraId="4AED3BB4" w14:textId="16ABF5C3" w:rsidR="000F1EDF" w:rsidRPr="00DF1841" w:rsidRDefault="000F1EDF" w:rsidP="00591EFA">
      <w:pPr>
        <w:pStyle w:val="FootnoteText"/>
        <w:jc w:val="both"/>
        <w:rPr>
          <w:rFonts w:cstheme="minorHAnsi"/>
          <w:lang w:val="en-IE"/>
        </w:rPr>
      </w:pPr>
      <w:r w:rsidRPr="001E08AC">
        <w:rPr>
          <w:rStyle w:val="FootnoteReference"/>
          <w:rFonts w:cstheme="minorHAnsi"/>
        </w:rPr>
        <w:footnoteRef/>
      </w:r>
      <w:r w:rsidRPr="00DF1841">
        <w:rPr>
          <w:rFonts w:cstheme="minorHAnsi"/>
          <w:lang w:val="en-IE"/>
        </w:rPr>
        <w:t xml:space="preserve"> HR, ES, HU, L</w:t>
      </w:r>
      <w:r w:rsidR="00033732" w:rsidRPr="00DF1841">
        <w:rPr>
          <w:rFonts w:cstheme="minorHAnsi"/>
          <w:lang w:val="en-IE"/>
        </w:rPr>
        <w:t>T</w:t>
      </w:r>
      <w:r w:rsidRPr="00DF1841">
        <w:rPr>
          <w:rFonts w:cstheme="minorHAnsi"/>
          <w:lang w:val="en-IE"/>
        </w:rPr>
        <w:t>, SE</w:t>
      </w:r>
      <w:r w:rsidR="004D56D0" w:rsidRPr="00DF1841">
        <w:rPr>
          <w:rFonts w:cstheme="minorHAnsi"/>
          <w:lang w:val="en-IE"/>
        </w:rPr>
        <w:t>.</w:t>
      </w:r>
    </w:p>
  </w:footnote>
  <w:footnote w:id="22">
    <w:p w14:paraId="3AB134CE" w14:textId="423A4CFD" w:rsidR="0018266C" w:rsidRPr="001E08AC" w:rsidRDefault="0018266C" w:rsidP="00591EFA">
      <w:pPr>
        <w:pStyle w:val="FootnoteText"/>
        <w:jc w:val="both"/>
        <w:rPr>
          <w:rFonts w:cstheme="minorHAnsi"/>
          <w:lang w:val="sv-SE"/>
        </w:rPr>
      </w:pPr>
      <w:r w:rsidRPr="001E08AC">
        <w:rPr>
          <w:rStyle w:val="FootnoteReference"/>
          <w:rFonts w:cstheme="minorHAnsi"/>
        </w:rPr>
        <w:footnoteRef/>
      </w:r>
      <w:r w:rsidRPr="001E08AC">
        <w:rPr>
          <w:rFonts w:cstheme="minorHAnsi"/>
          <w:lang w:val="sv-SE"/>
        </w:rPr>
        <w:t xml:space="preserve"> IT, MT, </w:t>
      </w:r>
      <w:r w:rsidR="00033732" w:rsidRPr="001E08AC">
        <w:rPr>
          <w:rFonts w:cstheme="minorHAnsi"/>
          <w:lang w:val="sv-SE"/>
        </w:rPr>
        <w:t xml:space="preserve">LV, </w:t>
      </w:r>
      <w:r w:rsidRPr="001E08AC">
        <w:rPr>
          <w:rFonts w:cstheme="minorHAnsi"/>
          <w:lang w:val="sv-SE"/>
        </w:rPr>
        <w:t>SK, SE</w:t>
      </w:r>
      <w:r w:rsidR="004D56D0" w:rsidRPr="001E08AC">
        <w:rPr>
          <w:rFonts w:cstheme="minorHAnsi"/>
          <w:lang w:val="sv-SE"/>
        </w:rPr>
        <w:t>.</w:t>
      </w:r>
    </w:p>
  </w:footnote>
  <w:footnote w:id="23">
    <w:p w14:paraId="189C11C9" w14:textId="149588BC" w:rsidR="00783881" w:rsidRPr="001E08AC" w:rsidRDefault="00783881" w:rsidP="00591EFA">
      <w:pPr>
        <w:pStyle w:val="FootnoteText"/>
        <w:jc w:val="both"/>
        <w:rPr>
          <w:rFonts w:cstheme="minorHAnsi"/>
          <w:lang w:val="en-IE"/>
        </w:rPr>
      </w:pPr>
      <w:r w:rsidRPr="001E08AC">
        <w:rPr>
          <w:rStyle w:val="FootnoteReference"/>
          <w:rFonts w:cstheme="minorHAnsi"/>
        </w:rPr>
        <w:footnoteRef/>
      </w:r>
      <w:r w:rsidRPr="001E08AC">
        <w:rPr>
          <w:rFonts w:cstheme="minorHAnsi"/>
        </w:rPr>
        <w:t xml:space="preserve"> Eurostat</w:t>
      </w:r>
      <w:r w:rsidR="0075280D" w:rsidRPr="001E08AC">
        <w:rPr>
          <w:rFonts w:cstheme="minorHAnsi"/>
        </w:rPr>
        <w:t>:</w:t>
      </w:r>
      <w:r w:rsidRPr="001E08AC">
        <w:rPr>
          <w:rFonts w:cstheme="minorHAnsi"/>
        </w:rPr>
        <w:t xml:space="preserve"> Supply of biomass, annual data</w:t>
      </w:r>
      <w:r w:rsidR="004D56D0" w:rsidRPr="001E08AC">
        <w:rPr>
          <w:rFonts w:cstheme="minorHAnsi"/>
        </w:rPr>
        <w:t>.</w:t>
      </w:r>
    </w:p>
  </w:footnote>
  <w:footnote w:id="24">
    <w:p w14:paraId="4340B0D7" w14:textId="2C3F3BEB" w:rsidR="00CD3E48" w:rsidRPr="001E08AC" w:rsidRDefault="00CD3E48" w:rsidP="00591EFA">
      <w:pPr>
        <w:pStyle w:val="FootnoteText"/>
        <w:jc w:val="both"/>
        <w:rPr>
          <w:rFonts w:cstheme="minorHAnsi"/>
          <w:lang w:val="en-IE"/>
        </w:rPr>
      </w:pPr>
      <w:r w:rsidRPr="001E08AC">
        <w:rPr>
          <w:rStyle w:val="FootnoteReference"/>
          <w:rFonts w:cstheme="minorHAnsi"/>
        </w:rPr>
        <w:footnoteRef/>
      </w:r>
      <w:r w:rsidRPr="001E08AC">
        <w:rPr>
          <w:rFonts w:cstheme="minorHAnsi"/>
        </w:rPr>
        <w:t xml:space="preserve"> Black liquor is a pulp industry by-product </w:t>
      </w:r>
      <w:r w:rsidR="00F700C5" w:rsidRPr="001E08AC">
        <w:rPr>
          <w:rFonts w:cstheme="minorHAnsi"/>
        </w:rPr>
        <w:t>where</w:t>
      </w:r>
      <w:r w:rsidRPr="001E08AC">
        <w:rPr>
          <w:rFonts w:cstheme="minorHAnsi"/>
        </w:rPr>
        <w:t xml:space="preserve"> each ton of wood pulp</w:t>
      </w:r>
      <w:r w:rsidR="00F700C5" w:rsidRPr="001E08AC">
        <w:rPr>
          <w:rFonts w:cstheme="minorHAnsi"/>
        </w:rPr>
        <w:t xml:space="preserve"> generates</w:t>
      </w:r>
      <w:r w:rsidRPr="001E08AC">
        <w:rPr>
          <w:rFonts w:cstheme="minorHAnsi"/>
        </w:rPr>
        <w:t xml:space="preserve"> 7 tons of black liquor </w:t>
      </w:r>
      <w:r w:rsidR="00F700C5" w:rsidRPr="001E08AC">
        <w:rPr>
          <w:rFonts w:cstheme="minorHAnsi"/>
        </w:rPr>
        <w:t>as byproduct</w:t>
      </w:r>
      <w:r w:rsidRPr="001E08AC">
        <w:rPr>
          <w:rFonts w:cstheme="minorHAnsi"/>
        </w:rPr>
        <w:t>; this means that the volume may be high but of low energy density compared to the original wood used for the pulping processing.</w:t>
      </w:r>
    </w:p>
  </w:footnote>
  <w:footnote w:id="25">
    <w:p w14:paraId="6D79B944" w14:textId="47AB5004" w:rsidR="6D72BAC0" w:rsidRPr="001E08AC" w:rsidRDefault="6D72BAC0" w:rsidP="00591EFA">
      <w:pPr>
        <w:spacing w:after="0" w:line="240" w:lineRule="auto"/>
        <w:jc w:val="both"/>
        <w:rPr>
          <w:rFonts w:cstheme="minorHAnsi"/>
          <w:sz w:val="20"/>
          <w:szCs w:val="20"/>
        </w:rPr>
      </w:pPr>
      <w:r w:rsidRPr="001E08AC">
        <w:rPr>
          <w:rFonts w:cstheme="minorHAnsi"/>
          <w:sz w:val="20"/>
          <w:szCs w:val="20"/>
          <w:vertAlign w:val="superscript"/>
        </w:rPr>
        <w:footnoteRef/>
      </w:r>
      <w:r w:rsidRPr="001E08AC">
        <w:rPr>
          <w:rFonts w:cstheme="minorHAnsi"/>
          <w:sz w:val="20"/>
          <w:szCs w:val="20"/>
          <w:vertAlign w:val="superscript"/>
        </w:rPr>
        <w:t xml:space="preserve"> </w:t>
      </w:r>
      <w:r w:rsidRPr="001E08AC">
        <w:rPr>
          <w:rFonts w:cstheme="minorHAnsi"/>
          <w:sz w:val="20"/>
          <w:szCs w:val="20"/>
        </w:rPr>
        <w:t>Eurostat</w:t>
      </w:r>
      <w:r w:rsidR="0075280D" w:rsidRPr="001E08AC">
        <w:rPr>
          <w:rFonts w:cstheme="minorHAnsi"/>
          <w:sz w:val="20"/>
          <w:szCs w:val="20"/>
        </w:rPr>
        <w:t>:</w:t>
      </w:r>
      <w:r w:rsidRPr="001E08AC">
        <w:rPr>
          <w:rFonts w:cstheme="minorHAnsi"/>
          <w:sz w:val="20"/>
          <w:szCs w:val="20"/>
        </w:rPr>
        <w:t xml:space="preserve"> Supply of biomass - annual data (NRG_CB_BM)</w:t>
      </w:r>
      <w:r w:rsidR="004D56D0" w:rsidRPr="001E08AC">
        <w:rPr>
          <w:rFonts w:cstheme="minorHAnsi"/>
          <w:sz w:val="20"/>
          <w:szCs w:val="20"/>
        </w:rPr>
        <w:t>.</w:t>
      </w:r>
    </w:p>
  </w:footnote>
  <w:footnote w:id="26">
    <w:p w14:paraId="3663129A" w14:textId="591346F4" w:rsidR="00783881" w:rsidRPr="001E08AC" w:rsidRDefault="00783881" w:rsidP="00591EFA">
      <w:pPr>
        <w:pStyle w:val="FootnoteText"/>
        <w:jc w:val="both"/>
        <w:rPr>
          <w:rFonts w:cstheme="minorHAnsi"/>
          <w:lang w:val="en-IE"/>
        </w:rPr>
      </w:pPr>
      <w:r w:rsidRPr="001E08AC">
        <w:rPr>
          <w:rStyle w:val="FootnoteReference"/>
          <w:rFonts w:cstheme="minorHAnsi"/>
        </w:rPr>
        <w:footnoteRef/>
      </w:r>
      <w:r w:rsidRPr="001E08AC">
        <w:rPr>
          <w:rFonts w:cstheme="minorHAnsi"/>
        </w:rPr>
        <w:t xml:space="preserve"> Ibid</w:t>
      </w:r>
      <w:r w:rsidR="004D56D0" w:rsidRPr="001E08AC">
        <w:rPr>
          <w:rFonts w:cstheme="minorHAnsi"/>
        </w:rPr>
        <w:t>.</w:t>
      </w:r>
    </w:p>
  </w:footnote>
  <w:footnote w:id="27">
    <w:p w14:paraId="11CD7BD5" w14:textId="6D27BFC0" w:rsidR="00783881" w:rsidRPr="001E08AC" w:rsidRDefault="00783881" w:rsidP="00591EFA">
      <w:pPr>
        <w:pStyle w:val="FootnoteText"/>
        <w:jc w:val="both"/>
        <w:rPr>
          <w:rFonts w:cstheme="minorHAnsi"/>
          <w:lang w:val="en-IE"/>
        </w:rPr>
      </w:pPr>
      <w:r w:rsidRPr="001E08AC">
        <w:rPr>
          <w:rStyle w:val="FootnoteReference"/>
          <w:rFonts w:cstheme="minorHAnsi"/>
        </w:rPr>
        <w:footnoteRef/>
      </w:r>
      <w:r w:rsidRPr="001E08AC">
        <w:rPr>
          <w:rFonts w:cstheme="minorHAnsi"/>
        </w:rPr>
        <w:t xml:space="preserve"> </w:t>
      </w:r>
      <w:r w:rsidR="00717B7F" w:rsidRPr="001E08AC">
        <w:rPr>
          <w:rFonts w:cstheme="minorHAnsi"/>
        </w:rPr>
        <w:t xml:space="preserve">More information on wood pellet imports can be found in Eurostat, </w:t>
      </w:r>
      <w:r w:rsidRPr="001E08AC">
        <w:rPr>
          <w:rFonts w:cstheme="minorHAnsi"/>
        </w:rPr>
        <w:t>EU trade since 1988 by HS2-4-6 and CN8</w:t>
      </w:r>
      <w:r w:rsidR="004D56D0" w:rsidRPr="001E08AC">
        <w:rPr>
          <w:rFonts w:cstheme="minorHAnsi"/>
        </w:rPr>
        <w:t>.</w:t>
      </w:r>
    </w:p>
  </w:footnote>
  <w:footnote w:id="28">
    <w:p w14:paraId="236B97FF" w14:textId="5E4F4F5D" w:rsidR="00134EE4" w:rsidRPr="001E08AC" w:rsidRDefault="00134EE4" w:rsidP="00591EFA">
      <w:pPr>
        <w:pStyle w:val="FootnoteText"/>
        <w:jc w:val="both"/>
        <w:rPr>
          <w:rFonts w:cstheme="minorHAnsi"/>
        </w:rPr>
      </w:pPr>
      <w:r w:rsidRPr="001E08AC">
        <w:rPr>
          <w:rStyle w:val="FootnoteReference"/>
          <w:rFonts w:cstheme="minorHAnsi"/>
        </w:rPr>
        <w:footnoteRef/>
      </w:r>
      <w:r w:rsidRPr="001E08AC">
        <w:rPr>
          <w:rFonts w:cstheme="minorHAnsi"/>
        </w:rPr>
        <w:t xml:space="preserve"> The Netherlands and Denmark were found to be the two largest importing countries in both datasets</w:t>
      </w:r>
      <w:r w:rsidR="009C7C5F" w:rsidRPr="001E08AC">
        <w:rPr>
          <w:rFonts w:cstheme="minorHAnsi"/>
        </w:rPr>
        <w:t>.</w:t>
      </w:r>
      <w:r w:rsidR="00AA5241" w:rsidRPr="001E08AC">
        <w:rPr>
          <w:rFonts w:cstheme="minorHAnsi"/>
        </w:rPr>
        <w:t xml:space="preserve"> According to Eurostat wood pellet imports: 34% of the total imported wood pellets were imported in the Netherlands, 15% in Denmark, 12% in Belgium, and 8% in Latvia in 2021.</w:t>
      </w:r>
    </w:p>
  </w:footnote>
  <w:footnote w:id="29">
    <w:p w14:paraId="106854CA" w14:textId="77777777" w:rsidR="00783881" w:rsidRPr="001E08AC" w:rsidRDefault="00783881" w:rsidP="00591EFA">
      <w:pPr>
        <w:pStyle w:val="FootnoteText"/>
        <w:jc w:val="both"/>
        <w:rPr>
          <w:rFonts w:cstheme="minorHAnsi"/>
          <w:lang w:val="en-IE"/>
        </w:rPr>
      </w:pPr>
      <w:r w:rsidRPr="001E08AC">
        <w:rPr>
          <w:rStyle w:val="FootnoteReference"/>
          <w:rFonts w:cstheme="minorHAnsi"/>
        </w:rPr>
        <w:footnoteRef/>
      </w:r>
      <w:r w:rsidRPr="001E08AC">
        <w:rPr>
          <w:rFonts w:cstheme="minorHAnsi"/>
        </w:rPr>
        <w:t xml:space="preserve"> It should be noted that the reported data are for the total wood pellets imported to the EU, thus not only for energy production.</w:t>
      </w:r>
    </w:p>
  </w:footnote>
  <w:footnote w:id="30">
    <w:p w14:paraId="0D89857B" w14:textId="77777777" w:rsidR="00783881" w:rsidRPr="001E08AC" w:rsidRDefault="00783881" w:rsidP="00591EFA">
      <w:pPr>
        <w:pStyle w:val="FootnoteText"/>
        <w:jc w:val="both"/>
        <w:rPr>
          <w:rFonts w:cstheme="minorHAnsi"/>
          <w:lang w:val="en-IE"/>
        </w:rPr>
      </w:pPr>
      <w:r w:rsidRPr="001E08AC">
        <w:rPr>
          <w:rStyle w:val="FootnoteReference"/>
          <w:rFonts w:cstheme="minorHAnsi"/>
        </w:rPr>
        <w:footnoteRef/>
      </w:r>
      <w:r w:rsidRPr="001E08AC">
        <w:rPr>
          <w:rFonts w:cstheme="minorHAnsi"/>
          <w:lang w:val="en-IE"/>
        </w:rPr>
        <w:t>BE, NL, PT. SE.</w:t>
      </w:r>
    </w:p>
  </w:footnote>
  <w:footnote w:id="31">
    <w:p w14:paraId="6FD266B8" w14:textId="0E05F033" w:rsidR="00783881" w:rsidRPr="001E08AC" w:rsidRDefault="00783881" w:rsidP="00591EFA">
      <w:pPr>
        <w:pStyle w:val="FootnoteText"/>
        <w:jc w:val="both"/>
        <w:rPr>
          <w:rFonts w:cstheme="minorHAnsi"/>
          <w:lang w:val="en-IE"/>
        </w:rPr>
      </w:pPr>
      <w:r w:rsidRPr="001E08AC">
        <w:rPr>
          <w:rStyle w:val="FootnoteReference"/>
          <w:rFonts w:cstheme="minorHAnsi"/>
        </w:rPr>
        <w:footnoteRef/>
      </w:r>
      <w:r w:rsidRPr="001E08AC">
        <w:rPr>
          <w:rFonts w:cstheme="minorHAnsi"/>
          <w:lang w:val="en-IE"/>
        </w:rPr>
        <w:t xml:space="preserve"> </w:t>
      </w:r>
      <w:bookmarkStart w:id="11" w:name="_Hlk146454974"/>
      <w:r w:rsidR="00C30435" w:rsidRPr="001E08AC">
        <w:rPr>
          <w:rFonts w:cstheme="minorHAnsi"/>
        </w:rPr>
        <w:t xml:space="preserve">European Commission (2023): </w:t>
      </w:r>
      <w:r w:rsidR="00B35858" w:rsidRPr="001E08AC">
        <w:rPr>
          <w:rFonts w:cstheme="minorHAnsi"/>
        </w:rPr>
        <w:t>Union Bioenergy Sustainability Report</w:t>
      </w:r>
      <w:r w:rsidR="00E41A36" w:rsidRPr="001E08AC">
        <w:rPr>
          <w:rFonts w:cstheme="minorHAnsi"/>
        </w:rPr>
        <w:t xml:space="preserve"> – Study to support reporting under Article 35 of Regulation (EU) 2018/1999</w:t>
      </w:r>
      <w:r w:rsidR="00FC4781" w:rsidRPr="001E08AC">
        <w:rPr>
          <w:rFonts w:cstheme="minorHAnsi"/>
        </w:rPr>
        <w:t xml:space="preserve"> (draft), to be published</w:t>
      </w:r>
      <w:r w:rsidR="004D56D0" w:rsidRPr="001E08AC">
        <w:rPr>
          <w:rFonts w:cstheme="minorHAnsi"/>
        </w:rPr>
        <w:t>.</w:t>
      </w:r>
      <w:bookmarkEnd w:id="11"/>
    </w:p>
  </w:footnote>
  <w:footnote w:id="32">
    <w:p w14:paraId="6BEC2D19" w14:textId="051999D2" w:rsidR="00347D7E" w:rsidRPr="00347D7E" w:rsidRDefault="00347D7E">
      <w:pPr>
        <w:pStyle w:val="FootnoteText"/>
      </w:pPr>
      <w:r>
        <w:rPr>
          <w:rStyle w:val="FootnoteReference"/>
        </w:rPr>
        <w:footnoteRef/>
      </w:r>
      <w:r>
        <w:t xml:space="preserve"> </w:t>
      </w:r>
      <w:hyperlink r:id="rId1" w:history="1">
        <w:r w:rsidRPr="00193895">
          <w:rPr>
            <w:rStyle w:val="Hyperlink"/>
          </w:rPr>
          <w:t>https://ec.europa.eu/atwork/applying-eu-law/infringements-proceedings/infringement_decisions/</w:t>
        </w:r>
      </w:hyperlink>
      <w:r>
        <w:t xml:space="preserve"> </w:t>
      </w:r>
    </w:p>
  </w:footnote>
  <w:footnote w:id="33">
    <w:p w14:paraId="422601A8" w14:textId="7E20A20B" w:rsidR="00B84BB3" w:rsidRPr="001E08AC" w:rsidRDefault="00B84BB3">
      <w:pPr>
        <w:pStyle w:val="FootnoteText"/>
        <w:rPr>
          <w:lang w:val="en-IE"/>
        </w:rPr>
      </w:pPr>
      <w:r w:rsidRPr="001E08AC">
        <w:rPr>
          <w:rStyle w:val="FootnoteReference"/>
        </w:rPr>
        <w:footnoteRef/>
      </w:r>
      <w:r w:rsidRPr="001E08AC">
        <w:t xml:space="preserve"> </w:t>
      </w:r>
      <w:r w:rsidRPr="001E08AC">
        <w:rPr>
          <w:lang w:val="en-IE"/>
        </w:rPr>
        <w:t>Land use, land use change and forestry.</w:t>
      </w:r>
    </w:p>
  </w:footnote>
  <w:footnote w:id="34">
    <w:p w14:paraId="1EAF3485" w14:textId="781FFAC6" w:rsidR="45EE80C5" w:rsidRPr="001E08AC" w:rsidRDefault="45EE80C5" w:rsidP="00591EFA">
      <w:pPr>
        <w:spacing w:after="0" w:line="240" w:lineRule="auto"/>
        <w:jc w:val="both"/>
        <w:rPr>
          <w:rFonts w:cstheme="minorHAnsi"/>
          <w:sz w:val="20"/>
          <w:szCs w:val="20"/>
          <w:lang w:val="es-ES"/>
        </w:rPr>
      </w:pPr>
      <w:r w:rsidRPr="001E08AC">
        <w:rPr>
          <w:rFonts w:cstheme="minorHAnsi"/>
          <w:sz w:val="20"/>
          <w:szCs w:val="20"/>
          <w:vertAlign w:val="superscript"/>
        </w:rPr>
        <w:footnoteRef/>
      </w:r>
      <w:r w:rsidRPr="001E08AC">
        <w:rPr>
          <w:rFonts w:cstheme="minorHAnsi"/>
          <w:sz w:val="20"/>
          <w:szCs w:val="20"/>
          <w:vertAlign w:val="superscript"/>
          <w:lang w:val="es-ES"/>
        </w:rPr>
        <w:t xml:space="preserve"> </w:t>
      </w:r>
      <w:r w:rsidR="00143B9A">
        <w:rPr>
          <w:rFonts w:cstheme="minorHAnsi"/>
          <w:sz w:val="20"/>
          <w:szCs w:val="20"/>
          <w:vertAlign w:val="superscript"/>
          <w:lang w:val="es-ES"/>
        </w:rPr>
        <w:t xml:space="preserve"> </w:t>
      </w:r>
      <w:hyperlink r:id="rId2">
        <w:r w:rsidRPr="001E08AC">
          <w:rPr>
            <w:rStyle w:val="Hyperlink"/>
            <w:rFonts w:cstheme="minorHAnsi"/>
            <w:color w:val="auto"/>
            <w:sz w:val="20"/>
            <w:szCs w:val="20"/>
            <w:lang w:val="es-ES"/>
          </w:rPr>
          <w:t>https://unfccc.int/NDCREG</w:t>
        </w:r>
      </w:hyperlink>
      <w:r w:rsidR="00E03EC6" w:rsidRPr="001E08AC">
        <w:rPr>
          <w:rStyle w:val="Hyperlink"/>
          <w:rFonts w:cstheme="minorHAnsi"/>
          <w:color w:val="auto"/>
          <w:sz w:val="20"/>
          <w:szCs w:val="20"/>
          <w:lang w:val="es-ES"/>
        </w:rPr>
        <w:t>.</w:t>
      </w:r>
      <w:r w:rsidRPr="001E08AC">
        <w:rPr>
          <w:rFonts w:cstheme="minorHAnsi"/>
          <w:sz w:val="20"/>
          <w:szCs w:val="20"/>
          <w:lang w:val="es-ES"/>
        </w:rPr>
        <w:t xml:space="preserve"> </w:t>
      </w:r>
    </w:p>
  </w:footnote>
  <w:footnote w:id="35">
    <w:p w14:paraId="1CCD5D40" w14:textId="12AEB8E6" w:rsidR="45EE80C5" w:rsidRPr="001E08AC" w:rsidRDefault="45EE80C5" w:rsidP="00591EFA">
      <w:pPr>
        <w:spacing w:after="0" w:line="240" w:lineRule="auto"/>
        <w:jc w:val="both"/>
        <w:rPr>
          <w:rFonts w:cstheme="minorHAnsi"/>
          <w:sz w:val="20"/>
          <w:szCs w:val="20"/>
          <w:lang w:val="es-ES"/>
        </w:rPr>
      </w:pPr>
      <w:r w:rsidRPr="001E08AC">
        <w:rPr>
          <w:rFonts w:cstheme="minorHAnsi"/>
          <w:sz w:val="20"/>
          <w:szCs w:val="20"/>
          <w:vertAlign w:val="superscript"/>
        </w:rPr>
        <w:footnoteRef/>
      </w:r>
      <w:r w:rsidRPr="001E08AC">
        <w:rPr>
          <w:rFonts w:cstheme="minorHAnsi"/>
          <w:sz w:val="20"/>
          <w:szCs w:val="20"/>
          <w:vertAlign w:val="superscript"/>
          <w:lang w:val="es-ES"/>
        </w:rPr>
        <w:t xml:space="preserve"> </w:t>
      </w:r>
      <w:r w:rsidRPr="001E08AC">
        <w:rPr>
          <w:rFonts w:cstheme="minorHAnsi"/>
          <w:sz w:val="20"/>
          <w:szCs w:val="20"/>
          <w:lang w:val="es-ES"/>
        </w:rPr>
        <w:t>AT, BG, CZ, DK, EE, ES, FI, HR, LT, NL, PT, SI, SE.</w:t>
      </w:r>
    </w:p>
  </w:footnote>
  <w:footnote w:id="36">
    <w:p w14:paraId="25B81A7F" w14:textId="743F1CEA" w:rsidR="2F55BBB0" w:rsidRPr="001E08AC" w:rsidRDefault="2F55BBB0" w:rsidP="00591EFA">
      <w:pPr>
        <w:spacing w:after="0" w:line="240" w:lineRule="auto"/>
        <w:jc w:val="both"/>
        <w:rPr>
          <w:rFonts w:cstheme="minorHAnsi"/>
          <w:sz w:val="20"/>
          <w:szCs w:val="20"/>
          <w:lang w:val="es-ES"/>
        </w:rPr>
      </w:pPr>
      <w:r w:rsidRPr="001E08AC">
        <w:rPr>
          <w:rFonts w:cstheme="minorHAnsi"/>
          <w:sz w:val="20"/>
          <w:szCs w:val="20"/>
          <w:vertAlign w:val="superscript"/>
        </w:rPr>
        <w:footnoteRef/>
      </w:r>
      <w:r w:rsidRPr="001E08AC">
        <w:rPr>
          <w:rFonts w:cstheme="minorHAnsi"/>
          <w:sz w:val="20"/>
          <w:szCs w:val="20"/>
          <w:lang w:val="es-ES"/>
        </w:rPr>
        <w:t xml:space="preserve"> COM(2022) 230 final</w:t>
      </w:r>
      <w:r w:rsidR="00E03EC6" w:rsidRPr="001E08AC">
        <w:rPr>
          <w:rFonts w:cstheme="minorHAnsi"/>
          <w:sz w:val="20"/>
          <w:szCs w:val="20"/>
          <w:lang w:val="es-ES"/>
        </w:rPr>
        <w:t>.</w:t>
      </w:r>
    </w:p>
  </w:footnote>
  <w:footnote w:id="37">
    <w:p w14:paraId="21E58ABD" w14:textId="2E25E090" w:rsidR="2F55BBB0" w:rsidRPr="001E08AC" w:rsidRDefault="2F55BBB0" w:rsidP="00591EFA">
      <w:pPr>
        <w:spacing w:after="0" w:line="240" w:lineRule="auto"/>
        <w:jc w:val="both"/>
        <w:rPr>
          <w:rFonts w:cstheme="minorHAnsi"/>
          <w:sz w:val="20"/>
          <w:szCs w:val="20"/>
          <w:lang w:val="es-ES"/>
        </w:rPr>
      </w:pPr>
      <w:r w:rsidRPr="001E08AC">
        <w:rPr>
          <w:rFonts w:cstheme="minorHAnsi"/>
          <w:sz w:val="20"/>
          <w:szCs w:val="20"/>
          <w:vertAlign w:val="superscript"/>
        </w:rPr>
        <w:footnoteRef/>
      </w:r>
      <w:r w:rsidRPr="001E08AC">
        <w:rPr>
          <w:rFonts w:cstheme="minorHAnsi"/>
          <w:sz w:val="20"/>
          <w:szCs w:val="20"/>
          <w:lang w:val="es-ES"/>
        </w:rPr>
        <w:t xml:space="preserve"> AT, BE, CY, DK, EE, EL, ES, FI, FR, HR, HU, IE, IT, LT, LV, NL, PT, RO, SE, SI, and SK.</w:t>
      </w:r>
    </w:p>
  </w:footnote>
  <w:footnote w:id="38">
    <w:p w14:paraId="6788E383" w14:textId="07141DFD" w:rsidR="6BD30AF6" w:rsidRPr="001E08AC" w:rsidRDefault="6BD30AF6" w:rsidP="00591EFA">
      <w:pPr>
        <w:spacing w:after="0" w:line="240" w:lineRule="auto"/>
        <w:jc w:val="both"/>
        <w:rPr>
          <w:rFonts w:cstheme="minorHAnsi"/>
          <w:sz w:val="20"/>
          <w:szCs w:val="20"/>
        </w:rPr>
      </w:pPr>
      <w:r w:rsidRPr="001E08AC">
        <w:rPr>
          <w:rFonts w:cstheme="minorHAnsi"/>
          <w:sz w:val="20"/>
          <w:szCs w:val="20"/>
          <w:vertAlign w:val="superscript"/>
        </w:rPr>
        <w:footnoteRef/>
      </w:r>
      <w:r w:rsidRPr="001E08AC">
        <w:rPr>
          <w:rFonts w:cstheme="minorHAnsi"/>
          <w:sz w:val="20"/>
          <w:szCs w:val="20"/>
        </w:rPr>
        <w:t xml:space="preserve"> </w:t>
      </w:r>
      <w:r w:rsidR="00E03EC6" w:rsidRPr="001E08AC">
        <w:rPr>
          <w:rFonts w:cstheme="minorHAnsi"/>
          <w:sz w:val="20"/>
          <w:szCs w:val="20"/>
        </w:rPr>
        <w:t>DK</w:t>
      </w:r>
      <w:r w:rsidRPr="001E08AC">
        <w:rPr>
          <w:rFonts w:cstheme="minorHAnsi"/>
          <w:sz w:val="20"/>
          <w:szCs w:val="20"/>
        </w:rPr>
        <w:t xml:space="preserve">, </w:t>
      </w:r>
      <w:r w:rsidR="00E03EC6" w:rsidRPr="001E08AC">
        <w:rPr>
          <w:rFonts w:cstheme="minorHAnsi"/>
          <w:sz w:val="20"/>
          <w:szCs w:val="20"/>
        </w:rPr>
        <w:t>ES, FR, IT, PT, SE and SK.</w:t>
      </w:r>
    </w:p>
  </w:footnote>
  <w:footnote w:id="39">
    <w:p w14:paraId="7E4B7C9A" w14:textId="0C706516" w:rsidR="45EE80C5" w:rsidRPr="001E08AC" w:rsidRDefault="45EE80C5" w:rsidP="00591EFA">
      <w:pPr>
        <w:spacing w:after="0" w:line="240" w:lineRule="auto"/>
        <w:jc w:val="both"/>
        <w:rPr>
          <w:rFonts w:cstheme="minorHAnsi"/>
          <w:sz w:val="20"/>
          <w:szCs w:val="20"/>
        </w:rPr>
      </w:pPr>
      <w:r w:rsidRPr="001E08AC">
        <w:rPr>
          <w:rFonts w:cstheme="minorHAnsi"/>
          <w:sz w:val="20"/>
          <w:szCs w:val="20"/>
          <w:vertAlign w:val="superscript"/>
        </w:rPr>
        <w:footnoteRef/>
      </w:r>
      <w:r w:rsidRPr="001E08AC">
        <w:rPr>
          <w:rFonts w:cstheme="minorHAnsi"/>
          <w:sz w:val="20"/>
          <w:szCs w:val="20"/>
        </w:rPr>
        <w:t xml:space="preserve"> AT, CY, DK, ES, FI, HU, IT, LV, LT, LU, MT, </w:t>
      </w:r>
      <w:r w:rsidR="6BD30AF6" w:rsidRPr="001E08AC">
        <w:rPr>
          <w:rFonts w:cstheme="minorHAnsi"/>
          <w:sz w:val="20"/>
          <w:szCs w:val="20"/>
        </w:rPr>
        <w:t xml:space="preserve">PL, </w:t>
      </w:r>
      <w:r w:rsidRPr="001E08AC">
        <w:rPr>
          <w:rFonts w:cstheme="minorHAnsi"/>
          <w:sz w:val="20"/>
          <w:szCs w:val="20"/>
        </w:rPr>
        <w:t>SK and SE</w:t>
      </w:r>
      <w:r w:rsidR="00E03EC6" w:rsidRPr="001E08AC">
        <w:rPr>
          <w:rFonts w:cstheme="minorHAnsi"/>
          <w:sz w:val="20"/>
          <w:szCs w:val="20"/>
        </w:rPr>
        <w:t>.</w:t>
      </w:r>
    </w:p>
  </w:footnote>
  <w:footnote w:id="40">
    <w:p w14:paraId="33AB1920" w14:textId="77777777" w:rsidR="00B80FC5" w:rsidRPr="001E08AC" w:rsidRDefault="00B80FC5" w:rsidP="00591EFA">
      <w:pPr>
        <w:pStyle w:val="FootnoteText"/>
        <w:jc w:val="both"/>
        <w:rPr>
          <w:rFonts w:cstheme="minorHAnsi"/>
          <w:lang w:val="sv-SE"/>
        </w:rPr>
      </w:pPr>
      <w:r w:rsidRPr="001E08AC">
        <w:rPr>
          <w:rStyle w:val="FootnoteReference"/>
          <w:rFonts w:cstheme="minorHAnsi"/>
        </w:rPr>
        <w:footnoteRef/>
      </w:r>
      <w:r w:rsidRPr="001E08AC">
        <w:rPr>
          <w:rFonts w:cstheme="minorHAnsi"/>
          <w:lang w:val="sv-SE"/>
        </w:rPr>
        <w:t xml:space="preserve"> DK, LV, LT, LU, PL.</w:t>
      </w:r>
    </w:p>
  </w:footnote>
  <w:footnote w:id="41">
    <w:p w14:paraId="2BB66765" w14:textId="5BAB71F8" w:rsidR="00C70AC3" w:rsidRPr="001E08AC" w:rsidRDefault="00C70AC3" w:rsidP="00591EFA">
      <w:pPr>
        <w:pStyle w:val="FootnoteText"/>
        <w:jc w:val="both"/>
        <w:rPr>
          <w:rFonts w:cstheme="minorHAnsi"/>
        </w:rPr>
      </w:pPr>
      <w:r w:rsidRPr="001E08AC">
        <w:rPr>
          <w:rStyle w:val="FootnoteReference"/>
          <w:rFonts w:cstheme="minorHAnsi"/>
        </w:rPr>
        <w:footnoteRef/>
      </w:r>
      <w:r w:rsidRPr="001E08AC">
        <w:rPr>
          <w:rFonts w:cstheme="minorHAnsi"/>
        </w:rPr>
        <w:t xml:space="preserve"> </w:t>
      </w:r>
      <w:r w:rsidR="008C45B1" w:rsidRPr="001E08AC">
        <w:rPr>
          <w:rFonts w:cstheme="minorHAnsi"/>
        </w:rPr>
        <w:t xml:space="preserve">Reported </w:t>
      </w:r>
      <w:r w:rsidR="006A2662" w:rsidRPr="001E08AC">
        <w:rPr>
          <w:rFonts w:cstheme="minorHAnsi"/>
        </w:rPr>
        <w:t>amounts of Annex IX biofuels in the NECPRs</w:t>
      </w:r>
      <w:r w:rsidR="008C45B1" w:rsidRPr="001E08AC">
        <w:rPr>
          <w:rFonts w:cstheme="minorHAnsi"/>
        </w:rPr>
        <w:t>: DK, ES, IE, IT, LU</w:t>
      </w:r>
      <w:r w:rsidR="00E03EC6" w:rsidRPr="001E08AC">
        <w:rPr>
          <w:rFonts w:cstheme="minorHAnsi"/>
        </w:rPr>
        <w:t>.</w:t>
      </w:r>
    </w:p>
  </w:footnote>
  <w:footnote w:id="42">
    <w:p w14:paraId="5E77568B" w14:textId="1A1B50DB" w:rsidR="003413EA" w:rsidRPr="001E08AC" w:rsidRDefault="003413EA" w:rsidP="00591EFA">
      <w:pPr>
        <w:pStyle w:val="FootnoteText"/>
        <w:jc w:val="both"/>
        <w:rPr>
          <w:rFonts w:cstheme="minorHAnsi"/>
          <w:lang w:val="en-IE"/>
        </w:rPr>
      </w:pPr>
      <w:r w:rsidRPr="001E08AC">
        <w:rPr>
          <w:rStyle w:val="FootnoteReference"/>
          <w:rFonts w:cstheme="minorHAnsi"/>
        </w:rPr>
        <w:footnoteRef/>
      </w:r>
      <w:r w:rsidRPr="001E08AC">
        <w:rPr>
          <w:rFonts w:cstheme="minorHAnsi"/>
        </w:rPr>
        <w:t xml:space="preserve"> </w:t>
      </w:r>
      <w:r w:rsidRPr="001E08AC">
        <w:rPr>
          <w:rFonts w:cstheme="minorHAnsi"/>
          <w:iCs/>
          <w:lang w:val="en-IE"/>
        </w:rPr>
        <w:t>Source: Eurostat SHARES database</w:t>
      </w:r>
      <w:r w:rsidR="00E03EC6" w:rsidRPr="001E08AC">
        <w:rPr>
          <w:rFonts w:cstheme="minorHAnsi"/>
          <w:iCs/>
          <w:lang w:val="en-IE"/>
        </w:rPr>
        <w:t>.</w:t>
      </w:r>
    </w:p>
  </w:footnote>
  <w:footnote w:id="43">
    <w:p w14:paraId="649559D0" w14:textId="390BEAA1" w:rsidR="00C67B52" w:rsidRPr="001E08AC" w:rsidRDefault="00C67B52" w:rsidP="00591EFA">
      <w:pPr>
        <w:pStyle w:val="FootnoteText"/>
        <w:jc w:val="both"/>
        <w:rPr>
          <w:rFonts w:cstheme="minorHAnsi"/>
        </w:rPr>
      </w:pPr>
      <w:r w:rsidRPr="001E08AC">
        <w:rPr>
          <w:rStyle w:val="FootnoteReference"/>
          <w:rFonts w:cstheme="minorHAnsi"/>
        </w:rPr>
        <w:footnoteRef/>
      </w:r>
      <w:r w:rsidRPr="001E08AC">
        <w:rPr>
          <w:rFonts w:cstheme="minorHAnsi"/>
        </w:rPr>
        <w:t xml:space="preserve"> </w:t>
      </w:r>
      <w:r w:rsidR="00D803E2" w:rsidRPr="001E08AC">
        <w:rPr>
          <w:rFonts w:cstheme="minorHAnsi"/>
          <w:bCs/>
          <w:iCs/>
        </w:rPr>
        <w:t>Ibid.</w:t>
      </w:r>
    </w:p>
  </w:footnote>
  <w:footnote w:id="44">
    <w:p w14:paraId="6112B0A0" w14:textId="56646488" w:rsidR="0030338F" w:rsidRPr="001E08AC" w:rsidRDefault="0030338F" w:rsidP="00591EFA">
      <w:pPr>
        <w:pStyle w:val="FootnoteText"/>
        <w:jc w:val="both"/>
        <w:rPr>
          <w:rFonts w:cstheme="minorHAnsi"/>
        </w:rPr>
      </w:pPr>
      <w:r w:rsidRPr="001E08AC">
        <w:rPr>
          <w:rStyle w:val="FootnoteReference"/>
          <w:rFonts w:cstheme="minorHAnsi"/>
        </w:rPr>
        <w:footnoteRef/>
      </w:r>
      <w:r w:rsidRPr="001E08AC">
        <w:rPr>
          <w:rFonts w:cstheme="minorHAnsi"/>
          <w:lang w:val="en-IE"/>
        </w:rPr>
        <w:t xml:space="preserve"> </w:t>
      </w:r>
      <w:r w:rsidR="00AC51B5" w:rsidRPr="001E08AC">
        <w:rPr>
          <w:rFonts w:cstheme="minorHAnsi"/>
        </w:rPr>
        <w:t>BG, FI, FR, IT, NL, PL, RO, SK, ES, SE</w:t>
      </w:r>
      <w:r w:rsidR="00E03EC6" w:rsidRPr="001E08AC">
        <w:rPr>
          <w:rFonts w:cstheme="minorHAnsi"/>
        </w:rPr>
        <w:t>.</w:t>
      </w:r>
    </w:p>
  </w:footnote>
  <w:footnote w:id="45">
    <w:p w14:paraId="04FBAB90" w14:textId="092F1501" w:rsidR="00013483" w:rsidRPr="001E08AC" w:rsidRDefault="00013483" w:rsidP="00591EFA">
      <w:pPr>
        <w:pStyle w:val="FootnoteText"/>
        <w:jc w:val="both"/>
        <w:rPr>
          <w:rFonts w:cstheme="minorHAnsi"/>
        </w:rPr>
      </w:pPr>
      <w:r w:rsidRPr="001E08AC">
        <w:rPr>
          <w:rStyle w:val="FootnoteReference"/>
          <w:rFonts w:cstheme="minorHAnsi"/>
        </w:rPr>
        <w:footnoteRef/>
      </w:r>
      <w:r w:rsidRPr="001E08AC">
        <w:rPr>
          <w:rFonts w:cstheme="minorHAnsi"/>
        </w:rPr>
        <w:t xml:space="preserve"> </w:t>
      </w:r>
      <w:r w:rsidR="00481D12" w:rsidRPr="001E08AC">
        <w:rPr>
          <w:rFonts w:cstheme="minorHAnsi"/>
        </w:rPr>
        <w:t>European Commission (2023): Union Bioenergy Sustainability Report – Study to support reporting under Article 35 of Regulation (EU) 2018/1999 (draft), to be published</w:t>
      </w:r>
    </w:p>
  </w:footnote>
  <w:footnote w:id="46">
    <w:p w14:paraId="683A6191" w14:textId="6471AA84" w:rsidR="001C561F" w:rsidRPr="001E08AC" w:rsidRDefault="001C561F" w:rsidP="00591EFA">
      <w:pPr>
        <w:pStyle w:val="FootnoteText"/>
        <w:jc w:val="both"/>
        <w:rPr>
          <w:rFonts w:cstheme="minorHAnsi"/>
          <w:lang w:val="sv-SE"/>
        </w:rPr>
      </w:pPr>
      <w:r w:rsidRPr="001E08AC">
        <w:rPr>
          <w:rStyle w:val="FootnoteReference"/>
          <w:rFonts w:cstheme="minorHAnsi"/>
        </w:rPr>
        <w:footnoteRef/>
      </w:r>
      <w:r w:rsidRPr="001E08AC">
        <w:rPr>
          <w:rFonts w:cstheme="minorHAnsi"/>
          <w:lang w:val="sv-SE"/>
        </w:rPr>
        <w:t xml:space="preserve"> FI, FR, NL, PL, SE</w:t>
      </w:r>
      <w:r w:rsidR="00E03EC6" w:rsidRPr="001E08AC">
        <w:rPr>
          <w:rFonts w:cstheme="minorHAnsi"/>
          <w:lang w:val="sv-SE"/>
        </w:rPr>
        <w:t>.</w:t>
      </w:r>
    </w:p>
  </w:footnote>
  <w:footnote w:id="47">
    <w:p w14:paraId="3E20A077" w14:textId="5FCB2FAE" w:rsidR="001C561F" w:rsidRPr="001E08AC" w:rsidRDefault="001C561F" w:rsidP="00591EFA">
      <w:pPr>
        <w:pStyle w:val="FootnoteText"/>
        <w:jc w:val="both"/>
        <w:rPr>
          <w:rFonts w:cstheme="minorHAnsi"/>
          <w:lang w:val="sv-SE"/>
        </w:rPr>
      </w:pPr>
      <w:r w:rsidRPr="001E08AC">
        <w:rPr>
          <w:rStyle w:val="FootnoteReference"/>
          <w:rFonts w:cstheme="minorHAnsi"/>
        </w:rPr>
        <w:footnoteRef/>
      </w:r>
      <w:r w:rsidRPr="001E08AC">
        <w:rPr>
          <w:rFonts w:cstheme="minorHAnsi"/>
          <w:lang w:val="sv-SE"/>
        </w:rPr>
        <w:t xml:space="preserve"> BG, FI, IT, PL, RO, SK</w:t>
      </w:r>
      <w:r w:rsidR="00E03EC6" w:rsidRPr="001E08AC">
        <w:rPr>
          <w:rFonts w:cstheme="minorHAnsi"/>
          <w:lang w:val="sv-SE"/>
        </w:rPr>
        <w:t>.</w:t>
      </w:r>
    </w:p>
  </w:footnote>
  <w:footnote w:id="48">
    <w:p w14:paraId="7E1A9BA0" w14:textId="0C50B1A2" w:rsidR="001C4EA7" w:rsidRPr="001E08AC" w:rsidRDefault="001C4EA7" w:rsidP="00591EFA">
      <w:pPr>
        <w:pStyle w:val="FootnoteText"/>
        <w:jc w:val="both"/>
        <w:rPr>
          <w:rFonts w:cstheme="minorHAnsi"/>
          <w:lang w:val="es-ES"/>
        </w:rPr>
      </w:pPr>
      <w:r w:rsidRPr="001E08AC">
        <w:rPr>
          <w:rStyle w:val="FootnoteReference"/>
          <w:rFonts w:cstheme="minorHAnsi"/>
        </w:rPr>
        <w:footnoteRef/>
      </w:r>
      <w:r w:rsidRPr="001E08AC">
        <w:rPr>
          <w:rFonts w:cstheme="minorHAnsi"/>
          <w:lang w:val="es-ES"/>
        </w:rPr>
        <w:t xml:space="preserve"> ES, NL, SE</w:t>
      </w:r>
      <w:r w:rsidR="00E03EC6" w:rsidRPr="001E08AC">
        <w:rPr>
          <w:rFonts w:cstheme="minorHAnsi"/>
          <w:lang w:val="es-ES"/>
        </w:rPr>
        <w:t>.</w:t>
      </w:r>
    </w:p>
  </w:footnote>
  <w:footnote w:id="49">
    <w:p w14:paraId="75BB9308" w14:textId="4F55FDDD" w:rsidR="00783881" w:rsidRPr="006754F8" w:rsidRDefault="00783881" w:rsidP="00591EFA">
      <w:pPr>
        <w:pStyle w:val="FootnoteText"/>
        <w:jc w:val="both"/>
        <w:rPr>
          <w:rFonts w:cstheme="minorHAnsi"/>
          <w:lang w:val="en-IE"/>
        </w:rPr>
      </w:pPr>
      <w:r w:rsidRPr="001E08AC">
        <w:rPr>
          <w:rStyle w:val="FootnoteReference"/>
          <w:rFonts w:cstheme="minorHAnsi"/>
        </w:rPr>
        <w:footnoteRef/>
      </w:r>
      <w:r w:rsidRPr="00A97919">
        <w:rPr>
          <w:rFonts w:cstheme="minorHAnsi"/>
          <w:lang w:val="en-IE"/>
        </w:rPr>
        <w:t xml:space="preserve"> </w:t>
      </w:r>
      <w:hyperlink r:id="rId3" w:history="1">
        <w:r w:rsidRPr="006754F8">
          <w:rPr>
            <w:rStyle w:val="Hyperlink"/>
            <w:rFonts w:cstheme="minorHAnsi"/>
            <w:color w:val="auto"/>
            <w:lang w:val="en-IE"/>
          </w:rPr>
          <w:t>https://iluc.guidehouse.com/</w:t>
        </w:r>
      </w:hyperlink>
      <w:r w:rsidR="00E03EC6" w:rsidRPr="006754F8">
        <w:rPr>
          <w:rStyle w:val="Hyperlink"/>
          <w:rFonts w:cstheme="minorHAnsi"/>
          <w:color w:val="auto"/>
          <w:lang w:val="en-IE"/>
        </w:rPr>
        <w:t>.</w:t>
      </w:r>
      <w:r w:rsidRPr="006754F8">
        <w:rPr>
          <w:rFonts w:cstheme="minorHAnsi"/>
          <w:lang w:val="en-IE"/>
        </w:rPr>
        <w:t xml:space="preserve"> </w:t>
      </w:r>
    </w:p>
  </w:footnote>
  <w:footnote w:id="50">
    <w:p w14:paraId="229081D2" w14:textId="77777777" w:rsidR="00783881" w:rsidRPr="001E08AC" w:rsidRDefault="00783881" w:rsidP="00591EFA">
      <w:pPr>
        <w:pStyle w:val="FootnoteText"/>
        <w:jc w:val="both"/>
        <w:rPr>
          <w:rFonts w:cstheme="minorHAnsi"/>
        </w:rPr>
      </w:pPr>
      <w:r w:rsidRPr="001E08AC">
        <w:rPr>
          <w:rStyle w:val="FootnoteReference"/>
          <w:rFonts w:cstheme="minorHAnsi"/>
        </w:rPr>
        <w:footnoteRef/>
      </w:r>
      <w:r w:rsidRPr="001E08AC">
        <w:rPr>
          <w:rFonts w:cstheme="minorHAnsi"/>
        </w:rPr>
        <w:t xml:space="preserve"> </w:t>
      </w:r>
      <w:r w:rsidRPr="001E08AC">
        <w:rPr>
          <w:rFonts w:cstheme="minorHAnsi"/>
          <w:iCs/>
        </w:rPr>
        <w:t xml:space="preserve">Commission Implementing Regulation (EU) 2022/996 of 14 June 2022 on rules to verify sustainability and greenhouse gas emissions saving criteria and low indirect land-use change-risk criteria, </w:t>
      </w:r>
      <w:r w:rsidRPr="001E08AC">
        <w:rPr>
          <w:rFonts w:cstheme="minorHAnsi"/>
        </w:rPr>
        <w:t>OJ L 168, 27.6.2022, p. 1.</w:t>
      </w:r>
    </w:p>
  </w:footnote>
  <w:footnote w:id="51">
    <w:p w14:paraId="49EA0298" w14:textId="01AF54F5" w:rsidR="63E6E840" w:rsidRPr="001E08AC" w:rsidRDefault="63E6E840" w:rsidP="00591EFA">
      <w:pPr>
        <w:spacing w:after="0" w:line="240" w:lineRule="auto"/>
        <w:jc w:val="both"/>
        <w:rPr>
          <w:rFonts w:cstheme="minorHAnsi"/>
          <w:sz w:val="20"/>
          <w:szCs w:val="20"/>
        </w:rPr>
      </w:pPr>
      <w:r w:rsidRPr="001E08AC">
        <w:rPr>
          <w:rFonts w:cstheme="minorHAnsi"/>
          <w:sz w:val="20"/>
          <w:szCs w:val="20"/>
          <w:vertAlign w:val="superscript"/>
        </w:rPr>
        <w:footnoteRef/>
      </w:r>
      <w:r w:rsidRPr="001E08AC">
        <w:rPr>
          <w:rFonts w:cstheme="minorHAnsi"/>
          <w:sz w:val="20"/>
          <w:szCs w:val="20"/>
        </w:rPr>
        <w:t xml:space="preserve"> </w:t>
      </w:r>
      <w:hyperlink r:id="rId4" w:history="1">
        <w:r w:rsidRPr="001E08AC">
          <w:rPr>
            <w:rStyle w:val="Hyperlink"/>
            <w:rFonts w:cstheme="minorHAnsi"/>
            <w:color w:val="auto"/>
            <w:sz w:val="20"/>
            <w:szCs w:val="20"/>
          </w:rPr>
          <w:t>https://guidehouse.com/case-studies/energy/2021/biofuels-with-indirect-land-use-change-risk</w:t>
        </w:r>
      </w:hyperlink>
      <w:r w:rsidR="00E03EC6" w:rsidRPr="001E08AC">
        <w:rPr>
          <w:rStyle w:val="Hyperlink"/>
          <w:rFonts w:cstheme="minorHAnsi"/>
          <w:color w:val="auto"/>
          <w:sz w:val="20"/>
          <w:szCs w:val="20"/>
        </w:rPr>
        <w:t>.</w:t>
      </w:r>
      <w:r w:rsidRPr="001E08AC">
        <w:rPr>
          <w:rFonts w:cstheme="minorHAnsi"/>
          <w:sz w:val="20"/>
          <w:szCs w:val="20"/>
        </w:rPr>
        <w:t xml:space="preserve"> </w:t>
      </w:r>
    </w:p>
  </w:footnote>
  <w:footnote w:id="52">
    <w:p w14:paraId="0060CC08" w14:textId="7096362B" w:rsidR="60942957" w:rsidRPr="001E08AC" w:rsidRDefault="60942957" w:rsidP="00591EFA">
      <w:pPr>
        <w:spacing w:after="0" w:line="240" w:lineRule="auto"/>
        <w:jc w:val="both"/>
        <w:rPr>
          <w:rFonts w:cstheme="minorHAnsi"/>
          <w:sz w:val="20"/>
          <w:szCs w:val="20"/>
        </w:rPr>
      </w:pPr>
      <w:r w:rsidRPr="001E08AC">
        <w:rPr>
          <w:rFonts w:cstheme="minorHAnsi"/>
          <w:sz w:val="20"/>
          <w:szCs w:val="20"/>
          <w:vertAlign w:val="superscript"/>
        </w:rPr>
        <w:footnoteRef/>
      </w:r>
      <w:r w:rsidRPr="001E08AC">
        <w:rPr>
          <w:rFonts w:cstheme="minorHAnsi"/>
          <w:sz w:val="20"/>
          <w:szCs w:val="20"/>
        </w:rPr>
        <w:t xml:space="preserve"> More information along with the recognising decisions can be found in the following link: </w:t>
      </w:r>
      <w:hyperlink r:id="rId5" w:history="1">
        <w:r w:rsidR="00E03EC6" w:rsidRPr="001E08AC">
          <w:rPr>
            <w:rStyle w:val="Hyperlink"/>
            <w:color w:val="auto"/>
            <w:sz w:val="20"/>
            <w:szCs w:val="20"/>
          </w:rPr>
          <w:t>https://energy.ec.europa.eu/topics/renewable-energy/bioenergy/voluntary-schemes_en</w:t>
        </w:r>
      </w:hyperlink>
      <w:r w:rsidR="00E03EC6" w:rsidRPr="001E08AC">
        <w:rPr>
          <w:rFonts w:cstheme="minorHAnsi"/>
          <w:sz w:val="20"/>
          <w:szCs w:val="20"/>
        </w:rPr>
        <w:t xml:space="preserve">. </w:t>
      </w:r>
    </w:p>
  </w:footnote>
  <w:footnote w:id="53">
    <w:p w14:paraId="1A97B563" w14:textId="77777777" w:rsidR="00783881" w:rsidRPr="001E08AC" w:rsidRDefault="00783881" w:rsidP="00591EFA">
      <w:pPr>
        <w:pStyle w:val="FootnoteText"/>
        <w:jc w:val="both"/>
        <w:rPr>
          <w:rFonts w:cstheme="minorHAnsi"/>
          <w:lang w:val="en-US"/>
        </w:rPr>
      </w:pPr>
      <w:r w:rsidRPr="001E08AC">
        <w:rPr>
          <w:rStyle w:val="FootnoteReference"/>
          <w:rFonts w:cstheme="minorHAnsi"/>
        </w:rPr>
        <w:footnoteRef/>
      </w:r>
      <w:r w:rsidRPr="001E08AC">
        <w:rPr>
          <w:rFonts w:cstheme="minorHAnsi"/>
        </w:rPr>
        <w:t xml:space="preserve"> The NTR ID is country-specific and could be a VAT number, business register number, or equivalent.</w:t>
      </w:r>
    </w:p>
  </w:footnote>
  <w:footnote w:id="54">
    <w:p w14:paraId="49164DD0" w14:textId="7BC81E4D" w:rsidR="00783881" w:rsidRPr="001E08AC" w:rsidRDefault="00783881" w:rsidP="00591EFA">
      <w:pPr>
        <w:pStyle w:val="FootnoteText"/>
        <w:jc w:val="both"/>
        <w:rPr>
          <w:rFonts w:cstheme="minorHAnsi"/>
          <w:lang w:val="en-US"/>
        </w:rPr>
      </w:pPr>
      <w:r w:rsidRPr="001E08AC">
        <w:rPr>
          <w:rStyle w:val="FootnoteReference"/>
          <w:rFonts w:cstheme="minorHAnsi"/>
        </w:rPr>
        <w:footnoteRef/>
      </w:r>
      <w:r w:rsidRPr="001E08AC">
        <w:rPr>
          <w:rFonts w:cstheme="minorHAnsi"/>
        </w:rPr>
        <w:t xml:space="preserve"> </w:t>
      </w:r>
      <w:hyperlink r:id="rId6" w:history="1">
        <w:r w:rsidRPr="001E08AC">
          <w:rPr>
            <w:rStyle w:val="Hyperlink"/>
            <w:rFonts w:cstheme="minorHAnsi"/>
            <w:color w:val="auto"/>
          </w:rPr>
          <w:t>https://wikis.ec.europa.eu/display/UDBBIS/Union+Database+for+Biofuels+-+Public+wiki</w:t>
        </w:r>
      </w:hyperlink>
      <w:r w:rsidR="001E08AC" w:rsidRPr="001E08AC">
        <w:rPr>
          <w:rStyle w:val="Hyperlink"/>
          <w:rFonts w:cstheme="minorHAnsi"/>
          <w:color w:val="auto"/>
          <w:u w:val="none"/>
        </w:rPr>
        <w:t>.</w:t>
      </w:r>
      <w:r w:rsidRPr="001E08AC">
        <w:rPr>
          <w:rFonts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F1771" w14:textId="77777777" w:rsidR="003B76DB" w:rsidRPr="003B76DB" w:rsidRDefault="003B76DB" w:rsidP="003B7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C4FF4" w14:textId="77777777" w:rsidR="003B76DB" w:rsidRPr="003B76DB" w:rsidRDefault="003B76DB" w:rsidP="003B76D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E2273" w14:textId="77777777" w:rsidR="003B76DB" w:rsidRPr="003B76DB" w:rsidRDefault="003B76DB" w:rsidP="003B76D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190D3" w14:textId="77777777" w:rsidR="00213ECF" w:rsidRDefault="00213E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894CC" w14:textId="77777777" w:rsidR="00213ECF" w:rsidRDefault="00213EC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6E634" w14:textId="77777777" w:rsidR="00213ECF" w:rsidRDefault="00213EC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0E019" w14:textId="77777777" w:rsidR="00466F38" w:rsidRDefault="00466F3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417E2" w14:textId="77777777" w:rsidR="00466F38" w:rsidRDefault="00466F3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57352" w14:textId="77777777" w:rsidR="00466F38" w:rsidRDefault="00466F38">
    <w:pPr>
      <w:pStyle w:val="Header"/>
    </w:pPr>
  </w:p>
</w:hdr>
</file>

<file path=word/intelligence2.xml><?xml version="1.0" encoding="utf-8"?>
<int2:intelligence xmlns:int2="http://schemas.microsoft.com/office/intelligence/2020/intelligence" xmlns:oel="http://schemas.microsoft.com/office/2019/extlst">
  <int2:observations>
    <int2:textHash int2:hashCode="IknMeE5XC/atct" int2:id="8wW9mQzl">
      <int2:state int2:value="Rejected" int2:type="AugLoop_Text_Critique"/>
    </int2:textHash>
    <int2:textHash int2:hashCode="Z336OOcNgpS+Z0" int2:id="LaELm4PY">
      <int2:state int2:value="Rejected" int2:type="AugLoop_Text_Critique"/>
    </int2:textHash>
    <int2:textHash int2:hashCode="xQy+KnIliT8rxm" int2:id="Lr9FPsEe">
      <int2:state int2:value="Rejected" int2:type="AugLoop_Text_Critique"/>
    </int2:textHash>
    <int2:textHash int2:hashCode="lrFlbkxW0jJf/3" int2:id="SnSZxKwP">
      <int2:state int2:value="Rejected" int2:type="AugLoop_Text_Critique"/>
    </int2:textHash>
    <int2:textHash int2:hashCode="nRSox3TdiEm2GZ" int2:id="hRt4Pyai">
      <int2:state int2:value="Rejected" int2:type="AugLoop_Text_Critique"/>
    </int2:textHash>
    <int2:textHash int2:hashCode="hN6B5b8f/AaH/i" int2:id="iFgnpY05">
      <int2:state int2:value="Rejected" int2:type="AugLoop_Text_Critique"/>
    </int2:textHash>
    <int2:textHash int2:hashCode="KgJJpPGvRdOe8Y" int2:id="qK0xgHPW">
      <int2:state int2:value="Rejected" int2:type="AugLoop_Text_Critique"/>
    </int2:textHash>
    <int2:bookmark int2:bookmarkName="_Int_5lhDm0Bp" int2:invalidationBookmarkName="" int2:hashCode="2zzAJcwyoS06vM" int2:id="2qb5Zb0H">
      <int2:state int2:value="Rejected" int2:type="AugLoop_Text_Critique"/>
    </int2:bookmark>
    <int2:bookmark int2:bookmarkName="_Int_mSNcV4F1" int2:invalidationBookmarkName="" int2:hashCode="tH82PitDDAZH8U" int2:id="yvssK1aR">
      <int2:state int2:value="Rejected" int2:type="AugLoop_Text_Critique"/>
    </int2:bookmark>
    <int2:bookmark int2:bookmarkName="_Int_QwF92176" int2:invalidationBookmarkName="" int2:hashCode="VezZF3rNeksb0L" int2:id="KborcRvq">
      <int2:state int2:value="Rejected" int2:type="AugLoop_Text_Critique"/>
    </int2:bookmark>
    <int2:bookmark int2:bookmarkName="_Int_56wte61G" int2:invalidationBookmarkName="" int2:hashCode="PhJNdC9mn7iGYB" int2:id="MCNajk4N">
      <int2:state int2:value="Rejected" int2:type="AugLoop_Text_Critique"/>
    </int2:bookmark>
    <int2:bookmark int2:bookmarkName="_Int_IYjpsOw1" int2:invalidationBookmarkName="" int2:hashCode="GYH/wP01Um4R2W" int2:id="cVtFF4HL">
      <int2:state int2:value="Rejected" int2:type="AugLoop_Text_Critique"/>
    </int2:bookmark>
    <int2:bookmark int2:bookmarkName="_Int_2oKxtIn3" int2:invalidationBookmarkName="" int2:hashCode="BEiaEruqauv/th" int2:id="jdFceuKq">
      <int2:state int2:value="Rejected" int2:type="AugLoop_Text_Critique"/>
    </int2:bookmark>
    <int2:bookmark int2:bookmarkName="_Int_Esa9SuuP" int2:invalidationBookmarkName="" int2:hashCode="hZY+CeUSorNFnA" int2:id="uVdb6w2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9CDF"/>
    <w:multiLevelType w:val="hybridMultilevel"/>
    <w:tmpl w:val="2A4CF60C"/>
    <w:lvl w:ilvl="0" w:tplc="DBB6923C">
      <w:start w:val="1"/>
      <w:numFmt w:val="decimal"/>
      <w:lvlText w:val="%1."/>
      <w:lvlJc w:val="left"/>
      <w:pPr>
        <w:ind w:left="720" w:hanging="360"/>
      </w:pPr>
    </w:lvl>
    <w:lvl w:ilvl="1" w:tplc="9600FF4A">
      <w:start w:val="1"/>
      <w:numFmt w:val="lowerLetter"/>
      <w:lvlText w:val="%2."/>
      <w:lvlJc w:val="left"/>
      <w:pPr>
        <w:ind w:left="1440" w:hanging="360"/>
      </w:pPr>
    </w:lvl>
    <w:lvl w:ilvl="2" w:tplc="59428D0C">
      <w:start w:val="1"/>
      <w:numFmt w:val="lowerRoman"/>
      <w:lvlText w:val="%3."/>
      <w:lvlJc w:val="right"/>
      <w:pPr>
        <w:ind w:left="2160" w:hanging="180"/>
      </w:pPr>
    </w:lvl>
    <w:lvl w:ilvl="3" w:tplc="A704C934">
      <w:start w:val="1"/>
      <w:numFmt w:val="decimal"/>
      <w:lvlText w:val="%4."/>
      <w:lvlJc w:val="left"/>
      <w:pPr>
        <w:ind w:left="2880" w:hanging="360"/>
      </w:pPr>
    </w:lvl>
    <w:lvl w:ilvl="4" w:tplc="748A5756">
      <w:start w:val="1"/>
      <w:numFmt w:val="lowerLetter"/>
      <w:lvlText w:val="%5."/>
      <w:lvlJc w:val="left"/>
      <w:pPr>
        <w:ind w:left="3600" w:hanging="360"/>
      </w:pPr>
    </w:lvl>
    <w:lvl w:ilvl="5" w:tplc="0AA0E30C">
      <w:start w:val="1"/>
      <w:numFmt w:val="lowerRoman"/>
      <w:lvlText w:val="%6."/>
      <w:lvlJc w:val="right"/>
      <w:pPr>
        <w:ind w:left="4320" w:hanging="180"/>
      </w:pPr>
    </w:lvl>
    <w:lvl w:ilvl="6" w:tplc="D6D427F0">
      <w:start w:val="1"/>
      <w:numFmt w:val="decimal"/>
      <w:lvlText w:val="%7."/>
      <w:lvlJc w:val="left"/>
      <w:pPr>
        <w:ind w:left="5040" w:hanging="360"/>
      </w:pPr>
    </w:lvl>
    <w:lvl w:ilvl="7" w:tplc="751660D2">
      <w:start w:val="1"/>
      <w:numFmt w:val="lowerLetter"/>
      <w:lvlText w:val="%8."/>
      <w:lvlJc w:val="left"/>
      <w:pPr>
        <w:ind w:left="5760" w:hanging="360"/>
      </w:pPr>
    </w:lvl>
    <w:lvl w:ilvl="8" w:tplc="B3A44E08">
      <w:start w:val="1"/>
      <w:numFmt w:val="lowerRoman"/>
      <w:lvlText w:val="%9."/>
      <w:lvlJc w:val="right"/>
      <w:pPr>
        <w:ind w:left="6480" w:hanging="180"/>
      </w:pPr>
    </w:lvl>
  </w:abstractNum>
  <w:abstractNum w:abstractNumId="1" w15:restartNumberingAfterBreak="0">
    <w:nsid w:val="246888BF"/>
    <w:multiLevelType w:val="hybridMultilevel"/>
    <w:tmpl w:val="FFFFFFFF"/>
    <w:lvl w:ilvl="0" w:tplc="1BE0ADCC">
      <w:start w:val="1"/>
      <w:numFmt w:val="bullet"/>
      <w:lvlText w:val=""/>
      <w:lvlJc w:val="left"/>
      <w:pPr>
        <w:ind w:left="720" w:hanging="360"/>
      </w:pPr>
      <w:rPr>
        <w:rFonts w:ascii="Symbol" w:hAnsi="Symbol" w:hint="default"/>
      </w:rPr>
    </w:lvl>
    <w:lvl w:ilvl="1" w:tplc="028C2A6A">
      <w:start w:val="1"/>
      <w:numFmt w:val="bullet"/>
      <w:lvlText w:val="o"/>
      <w:lvlJc w:val="left"/>
      <w:pPr>
        <w:ind w:left="1440" w:hanging="360"/>
      </w:pPr>
      <w:rPr>
        <w:rFonts w:ascii="Courier New" w:hAnsi="Courier New" w:hint="default"/>
      </w:rPr>
    </w:lvl>
    <w:lvl w:ilvl="2" w:tplc="B1A8194A">
      <w:start w:val="1"/>
      <w:numFmt w:val="bullet"/>
      <w:lvlText w:val=""/>
      <w:lvlJc w:val="left"/>
      <w:pPr>
        <w:ind w:left="2160" w:hanging="360"/>
      </w:pPr>
      <w:rPr>
        <w:rFonts w:ascii="Wingdings" w:hAnsi="Wingdings" w:hint="default"/>
      </w:rPr>
    </w:lvl>
    <w:lvl w:ilvl="3" w:tplc="6BC2659C">
      <w:start w:val="1"/>
      <w:numFmt w:val="bullet"/>
      <w:lvlText w:val=""/>
      <w:lvlJc w:val="left"/>
      <w:pPr>
        <w:ind w:left="2880" w:hanging="360"/>
      </w:pPr>
      <w:rPr>
        <w:rFonts w:ascii="Symbol" w:hAnsi="Symbol" w:hint="default"/>
      </w:rPr>
    </w:lvl>
    <w:lvl w:ilvl="4" w:tplc="9DDCABE4">
      <w:start w:val="1"/>
      <w:numFmt w:val="bullet"/>
      <w:lvlText w:val="o"/>
      <w:lvlJc w:val="left"/>
      <w:pPr>
        <w:ind w:left="3600" w:hanging="360"/>
      </w:pPr>
      <w:rPr>
        <w:rFonts w:ascii="Courier New" w:hAnsi="Courier New" w:hint="default"/>
      </w:rPr>
    </w:lvl>
    <w:lvl w:ilvl="5" w:tplc="D592ECEC">
      <w:start w:val="1"/>
      <w:numFmt w:val="bullet"/>
      <w:lvlText w:val=""/>
      <w:lvlJc w:val="left"/>
      <w:pPr>
        <w:ind w:left="4320" w:hanging="360"/>
      </w:pPr>
      <w:rPr>
        <w:rFonts w:ascii="Wingdings" w:hAnsi="Wingdings" w:hint="default"/>
      </w:rPr>
    </w:lvl>
    <w:lvl w:ilvl="6" w:tplc="AFBC4440">
      <w:start w:val="1"/>
      <w:numFmt w:val="bullet"/>
      <w:lvlText w:val=""/>
      <w:lvlJc w:val="left"/>
      <w:pPr>
        <w:ind w:left="5040" w:hanging="360"/>
      </w:pPr>
      <w:rPr>
        <w:rFonts w:ascii="Symbol" w:hAnsi="Symbol" w:hint="default"/>
      </w:rPr>
    </w:lvl>
    <w:lvl w:ilvl="7" w:tplc="A776DF58">
      <w:start w:val="1"/>
      <w:numFmt w:val="bullet"/>
      <w:lvlText w:val="o"/>
      <w:lvlJc w:val="left"/>
      <w:pPr>
        <w:ind w:left="5760" w:hanging="360"/>
      </w:pPr>
      <w:rPr>
        <w:rFonts w:ascii="Courier New" w:hAnsi="Courier New" w:hint="default"/>
      </w:rPr>
    </w:lvl>
    <w:lvl w:ilvl="8" w:tplc="F2EC0F8C">
      <w:start w:val="1"/>
      <w:numFmt w:val="bullet"/>
      <w:lvlText w:val=""/>
      <w:lvlJc w:val="left"/>
      <w:pPr>
        <w:ind w:left="6480" w:hanging="360"/>
      </w:pPr>
      <w:rPr>
        <w:rFonts w:ascii="Wingdings" w:hAnsi="Wingdings" w:hint="default"/>
      </w:rPr>
    </w:lvl>
  </w:abstractNum>
  <w:abstractNum w:abstractNumId="2" w15:restartNumberingAfterBreak="0">
    <w:nsid w:val="4B280779"/>
    <w:multiLevelType w:val="hybridMultilevel"/>
    <w:tmpl w:val="98D0EB86"/>
    <w:lvl w:ilvl="0" w:tplc="17266368">
      <w:start w:val="1"/>
      <w:numFmt w:val="bullet"/>
      <w:lvlText w:val=""/>
      <w:lvlJc w:val="left"/>
      <w:pPr>
        <w:ind w:left="1080" w:hanging="360"/>
      </w:pPr>
      <w:rPr>
        <w:rFonts w:ascii="Symbol" w:hAnsi="Symbol"/>
      </w:rPr>
    </w:lvl>
    <w:lvl w:ilvl="1" w:tplc="ECF05E60">
      <w:start w:val="1"/>
      <w:numFmt w:val="bullet"/>
      <w:lvlText w:val=""/>
      <w:lvlJc w:val="left"/>
      <w:pPr>
        <w:ind w:left="1080" w:hanging="360"/>
      </w:pPr>
      <w:rPr>
        <w:rFonts w:ascii="Symbol" w:hAnsi="Symbol"/>
      </w:rPr>
    </w:lvl>
    <w:lvl w:ilvl="2" w:tplc="EAC8C16E">
      <w:start w:val="1"/>
      <w:numFmt w:val="bullet"/>
      <w:lvlText w:val=""/>
      <w:lvlJc w:val="left"/>
      <w:pPr>
        <w:ind w:left="1080" w:hanging="360"/>
      </w:pPr>
      <w:rPr>
        <w:rFonts w:ascii="Symbol" w:hAnsi="Symbol"/>
      </w:rPr>
    </w:lvl>
    <w:lvl w:ilvl="3" w:tplc="1824955A">
      <w:start w:val="1"/>
      <w:numFmt w:val="bullet"/>
      <w:lvlText w:val=""/>
      <w:lvlJc w:val="left"/>
      <w:pPr>
        <w:ind w:left="1080" w:hanging="360"/>
      </w:pPr>
      <w:rPr>
        <w:rFonts w:ascii="Symbol" w:hAnsi="Symbol"/>
      </w:rPr>
    </w:lvl>
    <w:lvl w:ilvl="4" w:tplc="2D187844">
      <w:start w:val="1"/>
      <w:numFmt w:val="bullet"/>
      <w:lvlText w:val=""/>
      <w:lvlJc w:val="left"/>
      <w:pPr>
        <w:ind w:left="1080" w:hanging="360"/>
      </w:pPr>
      <w:rPr>
        <w:rFonts w:ascii="Symbol" w:hAnsi="Symbol"/>
      </w:rPr>
    </w:lvl>
    <w:lvl w:ilvl="5" w:tplc="6C405262">
      <w:start w:val="1"/>
      <w:numFmt w:val="bullet"/>
      <w:lvlText w:val=""/>
      <w:lvlJc w:val="left"/>
      <w:pPr>
        <w:ind w:left="1080" w:hanging="360"/>
      </w:pPr>
      <w:rPr>
        <w:rFonts w:ascii="Symbol" w:hAnsi="Symbol"/>
      </w:rPr>
    </w:lvl>
    <w:lvl w:ilvl="6" w:tplc="FC888F50">
      <w:start w:val="1"/>
      <w:numFmt w:val="bullet"/>
      <w:lvlText w:val=""/>
      <w:lvlJc w:val="left"/>
      <w:pPr>
        <w:ind w:left="1080" w:hanging="360"/>
      </w:pPr>
      <w:rPr>
        <w:rFonts w:ascii="Symbol" w:hAnsi="Symbol"/>
      </w:rPr>
    </w:lvl>
    <w:lvl w:ilvl="7" w:tplc="72DCD1CC">
      <w:start w:val="1"/>
      <w:numFmt w:val="bullet"/>
      <w:lvlText w:val=""/>
      <w:lvlJc w:val="left"/>
      <w:pPr>
        <w:ind w:left="1080" w:hanging="360"/>
      </w:pPr>
      <w:rPr>
        <w:rFonts w:ascii="Symbol" w:hAnsi="Symbol"/>
      </w:rPr>
    </w:lvl>
    <w:lvl w:ilvl="8" w:tplc="1296596E">
      <w:start w:val="1"/>
      <w:numFmt w:val="bullet"/>
      <w:lvlText w:val=""/>
      <w:lvlJc w:val="left"/>
      <w:pPr>
        <w:ind w:left="1080" w:hanging="360"/>
      </w:pPr>
      <w:rPr>
        <w:rFonts w:ascii="Symbol" w:hAnsi="Symbol"/>
      </w:rPr>
    </w:lvl>
  </w:abstractNum>
  <w:abstractNum w:abstractNumId="3" w15:restartNumberingAfterBreak="0">
    <w:nsid w:val="6A365CEC"/>
    <w:multiLevelType w:val="hybridMultilevel"/>
    <w:tmpl w:val="26C480CE"/>
    <w:lvl w:ilvl="0" w:tplc="02561038">
      <w:start w:val="1"/>
      <w:numFmt w:val="decimal"/>
      <w:lvlText w:val="%1."/>
      <w:lvlJc w:val="left"/>
      <w:pPr>
        <w:ind w:left="1440" w:hanging="360"/>
      </w:pPr>
    </w:lvl>
    <w:lvl w:ilvl="1" w:tplc="A470E762">
      <w:start w:val="1"/>
      <w:numFmt w:val="decimal"/>
      <w:lvlText w:val="%2."/>
      <w:lvlJc w:val="left"/>
      <w:pPr>
        <w:ind w:left="1440" w:hanging="360"/>
      </w:pPr>
    </w:lvl>
    <w:lvl w:ilvl="2" w:tplc="2286CBB8">
      <w:start w:val="1"/>
      <w:numFmt w:val="decimal"/>
      <w:lvlText w:val="%3."/>
      <w:lvlJc w:val="left"/>
      <w:pPr>
        <w:ind w:left="1440" w:hanging="360"/>
      </w:pPr>
    </w:lvl>
    <w:lvl w:ilvl="3" w:tplc="D5B290B8">
      <w:start w:val="1"/>
      <w:numFmt w:val="decimal"/>
      <w:lvlText w:val="%4."/>
      <w:lvlJc w:val="left"/>
      <w:pPr>
        <w:ind w:left="1440" w:hanging="360"/>
      </w:pPr>
    </w:lvl>
    <w:lvl w:ilvl="4" w:tplc="5E16084A">
      <w:start w:val="1"/>
      <w:numFmt w:val="decimal"/>
      <w:lvlText w:val="%5."/>
      <w:lvlJc w:val="left"/>
      <w:pPr>
        <w:ind w:left="1440" w:hanging="360"/>
      </w:pPr>
    </w:lvl>
    <w:lvl w:ilvl="5" w:tplc="3FC00A38">
      <w:start w:val="1"/>
      <w:numFmt w:val="decimal"/>
      <w:lvlText w:val="%6."/>
      <w:lvlJc w:val="left"/>
      <w:pPr>
        <w:ind w:left="1440" w:hanging="360"/>
      </w:pPr>
    </w:lvl>
    <w:lvl w:ilvl="6" w:tplc="735AA05C">
      <w:start w:val="1"/>
      <w:numFmt w:val="decimal"/>
      <w:lvlText w:val="%7."/>
      <w:lvlJc w:val="left"/>
      <w:pPr>
        <w:ind w:left="1440" w:hanging="360"/>
      </w:pPr>
    </w:lvl>
    <w:lvl w:ilvl="7" w:tplc="553E9C6C">
      <w:start w:val="1"/>
      <w:numFmt w:val="decimal"/>
      <w:lvlText w:val="%8."/>
      <w:lvlJc w:val="left"/>
      <w:pPr>
        <w:ind w:left="1440" w:hanging="360"/>
      </w:pPr>
    </w:lvl>
    <w:lvl w:ilvl="8" w:tplc="789ECDDE">
      <w:start w:val="1"/>
      <w:numFmt w:val="decimal"/>
      <w:lvlText w:val="%9."/>
      <w:lvlJc w:val="left"/>
      <w:pPr>
        <w:ind w:left="144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to the "/>
    <w:docVar w:name="LW_ANNEX_NBR_FIRST" w:val="1"/>
    <w:docVar w:name="LW_ANNEX_NBR_LAST" w:val="1"/>
    <w:docVar w:name="LW_ANNEX_UNIQUE" w:val="0"/>
    <w:docVar w:name="LW_CORRIGENDUM" w:val="&lt;UNUSED&gt;"/>
    <w:docVar w:name="LW_COVERPAGE_EXISTS" w:val="True"/>
    <w:docVar w:name="LW_COVERPAGE_GUID" w:val="1403033A-298F-434A-843C-66D9D88CBE3B"/>
    <w:docVar w:name="LW_COVERPAGE_TYPE" w:val="1"/>
    <w:docVar w:name="LW_CROSSREFERENCE" w:val="{SWD(2023) 646 final}"/>
    <w:docVar w:name="LW_DocType" w:val="NORMAL"/>
    <w:docVar w:name="LW_EMISSION" w:val="24.10.2023"/>
    <w:docVar w:name="LW_EMISSION_ISODATE" w:val="2023-10-24"/>
    <w:docVar w:name="LW_EMISSION_LOCATION" w:val="BRX"/>
    <w:docVar w:name="LW_EMISSION_PREFIX" w:val="Brussels, "/>
    <w:docVar w:name="LW_EMISSION_SUFFIX" w:val=" "/>
    <w:docVar w:name="LW_ID_DOCTYPE_NONLW" w:val="CP-039"/>
    <w:docVar w:name="LW_LANGUE" w:val="EN"/>
    <w:docVar w:name="LW_LEVEL_OF_SENSITIVITY" w:val="Standard treatment"/>
    <w:docVar w:name="LW_NOM.INST" w:val="EUROPEAN COMMISSION"/>
    <w:docVar w:name="LW_NOM.INST_JOINTDOC" w:val="&lt;EMPTY&gt;"/>
    <w:docVar w:name="LW_OBJETACTEPRINCIPAL.CP" w:val="State of the Energy Union Report 2023 _x000d__x000b__x000b__x000b__x000b_(pursuant to Regulation (EU) 2018/1999 on the Governance of the Energy Union and Climate Action)"/>
    <w:docVar w:name="LW_PART_NBR" w:val="1"/>
    <w:docVar w:name="LW_PART_NBR_TOTAL" w:val="1"/>
    <w:docVar w:name="LW_REF.INST.NEW" w:val="COM"/>
    <w:docVar w:name="LW_REF.INST.NEW_ADOPTED" w:val="final"/>
    <w:docVar w:name="LW_REF.INST.NEW_TEXT" w:val="(2023) 65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Union Bioenergy Sustainability Report "/>
    <w:docVar w:name="LW_TYPE.DOC.CP" w:val="ANNEX_x000b_"/>
    <w:docVar w:name="LW_TYPEACTEPRINCIPAL.CP" w:val="Report from the Commission to the European Parliament, the Council, the European Economic and Social Committee and the Committee of the Regions"/>
    <w:docVar w:name="LwApiVersions" w:val="LW4CoDe 1.23.2.0; LW 8.0, Build 20211117"/>
  </w:docVars>
  <w:rsids>
    <w:rsidRoot w:val="00783881"/>
    <w:rsid w:val="000021F8"/>
    <w:rsid w:val="00003793"/>
    <w:rsid w:val="000049D6"/>
    <w:rsid w:val="000078FB"/>
    <w:rsid w:val="00011A94"/>
    <w:rsid w:val="00013483"/>
    <w:rsid w:val="00015981"/>
    <w:rsid w:val="000168E2"/>
    <w:rsid w:val="000261BB"/>
    <w:rsid w:val="00026F23"/>
    <w:rsid w:val="000316E1"/>
    <w:rsid w:val="00033732"/>
    <w:rsid w:val="00041C5B"/>
    <w:rsid w:val="00044A48"/>
    <w:rsid w:val="00044CAA"/>
    <w:rsid w:val="00052FF1"/>
    <w:rsid w:val="00055590"/>
    <w:rsid w:val="00056A36"/>
    <w:rsid w:val="0005728E"/>
    <w:rsid w:val="000602CE"/>
    <w:rsid w:val="00060C30"/>
    <w:rsid w:val="00061518"/>
    <w:rsid w:val="00063959"/>
    <w:rsid w:val="00065085"/>
    <w:rsid w:val="000663CF"/>
    <w:rsid w:val="00066C72"/>
    <w:rsid w:val="000700C8"/>
    <w:rsid w:val="0007010C"/>
    <w:rsid w:val="0007084C"/>
    <w:rsid w:val="0007422A"/>
    <w:rsid w:val="000752C6"/>
    <w:rsid w:val="00075CCA"/>
    <w:rsid w:val="000818B0"/>
    <w:rsid w:val="000846A8"/>
    <w:rsid w:val="000901FA"/>
    <w:rsid w:val="00094A0F"/>
    <w:rsid w:val="0009670D"/>
    <w:rsid w:val="0009761B"/>
    <w:rsid w:val="000A032A"/>
    <w:rsid w:val="000A09E7"/>
    <w:rsid w:val="000A1068"/>
    <w:rsid w:val="000A1181"/>
    <w:rsid w:val="000B2325"/>
    <w:rsid w:val="000B6DA7"/>
    <w:rsid w:val="000C0301"/>
    <w:rsid w:val="000C0FBC"/>
    <w:rsid w:val="000C3CDE"/>
    <w:rsid w:val="000C4AED"/>
    <w:rsid w:val="000C4B0D"/>
    <w:rsid w:val="000D59E3"/>
    <w:rsid w:val="000E044F"/>
    <w:rsid w:val="000E7F9F"/>
    <w:rsid w:val="000F101D"/>
    <w:rsid w:val="000F1EDF"/>
    <w:rsid w:val="000F3DD4"/>
    <w:rsid w:val="000F5D54"/>
    <w:rsid w:val="000F6C2D"/>
    <w:rsid w:val="000F7A53"/>
    <w:rsid w:val="000F7DA3"/>
    <w:rsid w:val="001022DF"/>
    <w:rsid w:val="00103ACD"/>
    <w:rsid w:val="00105C0B"/>
    <w:rsid w:val="001114A9"/>
    <w:rsid w:val="00112D8F"/>
    <w:rsid w:val="00113488"/>
    <w:rsid w:val="00116536"/>
    <w:rsid w:val="0011666A"/>
    <w:rsid w:val="00121BD1"/>
    <w:rsid w:val="00126EA3"/>
    <w:rsid w:val="0013095A"/>
    <w:rsid w:val="00131A03"/>
    <w:rsid w:val="0013423F"/>
    <w:rsid w:val="00134EE4"/>
    <w:rsid w:val="00137290"/>
    <w:rsid w:val="001404DA"/>
    <w:rsid w:val="00142453"/>
    <w:rsid w:val="001428D0"/>
    <w:rsid w:val="00142E61"/>
    <w:rsid w:val="00143B9A"/>
    <w:rsid w:val="001464DD"/>
    <w:rsid w:val="00163E94"/>
    <w:rsid w:val="00166D74"/>
    <w:rsid w:val="00166EAA"/>
    <w:rsid w:val="001675FF"/>
    <w:rsid w:val="001714E9"/>
    <w:rsid w:val="001744E6"/>
    <w:rsid w:val="00176C22"/>
    <w:rsid w:val="001778B9"/>
    <w:rsid w:val="001820CF"/>
    <w:rsid w:val="0018266C"/>
    <w:rsid w:val="00182B52"/>
    <w:rsid w:val="001853CC"/>
    <w:rsid w:val="0018D8E5"/>
    <w:rsid w:val="0019073E"/>
    <w:rsid w:val="0019122B"/>
    <w:rsid w:val="001945BE"/>
    <w:rsid w:val="0019471C"/>
    <w:rsid w:val="00195C45"/>
    <w:rsid w:val="001A0CEB"/>
    <w:rsid w:val="001A217F"/>
    <w:rsid w:val="001A5429"/>
    <w:rsid w:val="001B21F2"/>
    <w:rsid w:val="001B353A"/>
    <w:rsid w:val="001B3799"/>
    <w:rsid w:val="001B701F"/>
    <w:rsid w:val="001C4EA7"/>
    <w:rsid w:val="001C561F"/>
    <w:rsid w:val="001D3FC8"/>
    <w:rsid w:val="001D5EF6"/>
    <w:rsid w:val="001D612B"/>
    <w:rsid w:val="001D6C99"/>
    <w:rsid w:val="001D6D33"/>
    <w:rsid w:val="001D72C3"/>
    <w:rsid w:val="001D7F66"/>
    <w:rsid w:val="001E08AC"/>
    <w:rsid w:val="001E2588"/>
    <w:rsid w:val="001E6197"/>
    <w:rsid w:val="001F048B"/>
    <w:rsid w:val="001F0FBB"/>
    <w:rsid w:val="001F7B92"/>
    <w:rsid w:val="00202A94"/>
    <w:rsid w:val="002033F1"/>
    <w:rsid w:val="002042CB"/>
    <w:rsid w:val="00204C9C"/>
    <w:rsid w:val="002061B4"/>
    <w:rsid w:val="002077FC"/>
    <w:rsid w:val="00210110"/>
    <w:rsid w:val="00211A14"/>
    <w:rsid w:val="00213ECF"/>
    <w:rsid w:val="0021534F"/>
    <w:rsid w:val="00216B63"/>
    <w:rsid w:val="002234C1"/>
    <w:rsid w:val="00223BE2"/>
    <w:rsid w:val="002318F7"/>
    <w:rsid w:val="00231B67"/>
    <w:rsid w:val="00231E17"/>
    <w:rsid w:val="00232505"/>
    <w:rsid w:val="00237D48"/>
    <w:rsid w:val="00242EF8"/>
    <w:rsid w:val="00250647"/>
    <w:rsid w:val="0025095F"/>
    <w:rsid w:val="002529EC"/>
    <w:rsid w:val="002533EF"/>
    <w:rsid w:val="00254171"/>
    <w:rsid w:val="00260D8A"/>
    <w:rsid w:val="002616FD"/>
    <w:rsid w:val="00264262"/>
    <w:rsid w:val="0026487C"/>
    <w:rsid w:val="00264C6D"/>
    <w:rsid w:val="002764F7"/>
    <w:rsid w:val="00277034"/>
    <w:rsid w:val="00277AF2"/>
    <w:rsid w:val="0028027B"/>
    <w:rsid w:val="002814FC"/>
    <w:rsid w:val="00281DEE"/>
    <w:rsid w:val="00282CD7"/>
    <w:rsid w:val="00282E95"/>
    <w:rsid w:val="0028361D"/>
    <w:rsid w:val="00283D21"/>
    <w:rsid w:val="00283EC8"/>
    <w:rsid w:val="00285450"/>
    <w:rsid w:val="00287EBD"/>
    <w:rsid w:val="00290A5D"/>
    <w:rsid w:val="0029370B"/>
    <w:rsid w:val="00294486"/>
    <w:rsid w:val="00294C95"/>
    <w:rsid w:val="00294FDB"/>
    <w:rsid w:val="002961A0"/>
    <w:rsid w:val="00296298"/>
    <w:rsid w:val="00297417"/>
    <w:rsid w:val="002A1A4D"/>
    <w:rsid w:val="002A2902"/>
    <w:rsid w:val="002A35EC"/>
    <w:rsid w:val="002A49F7"/>
    <w:rsid w:val="002A4CED"/>
    <w:rsid w:val="002B2342"/>
    <w:rsid w:val="002B41DA"/>
    <w:rsid w:val="002B69C3"/>
    <w:rsid w:val="002C14CB"/>
    <w:rsid w:val="002C5E08"/>
    <w:rsid w:val="002C6D66"/>
    <w:rsid w:val="002D3ACF"/>
    <w:rsid w:val="002D47B9"/>
    <w:rsid w:val="002D74BF"/>
    <w:rsid w:val="002D7F4E"/>
    <w:rsid w:val="002E41A6"/>
    <w:rsid w:val="002E6381"/>
    <w:rsid w:val="002E6A51"/>
    <w:rsid w:val="002E79C8"/>
    <w:rsid w:val="002F051D"/>
    <w:rsid w:val="002F1D1C"/>
    <w:rsid w:val="002F29D1"/>
    <w:rsid w:val="002F5E6C"/>
    <w:rsid w:val="002F6E9D"/>
    <w:rsid w:val="0030086D"/>
    <w:rsid w:val="00301282"/>
    <w:rsid w:val="00302406"/>
    <w:rsid w:val="00302E0A"/>
    <w:rsid w:val="0030338F"/>
    <w:rsid w:val="003048E5"/>
    <w:rsid w:val="0030493C"/>
    <w:rsid w:val="0030496D"/>
    <w:rsid w:val="00304D87"/>
    <w:rsid w:val="00306A3D"/>
    <w:rsid w:val="00310E55"/>
    <w:rsid w:val="00312D9F"/>
    <w:rsid w:val="00317626"/>
    <w:rsid w:val="0032162F"/>
    <w:rsid w:val="00321FE0"/>
    <w:rsid w:val="0032310A"/>
    <w:rsid w:val="0032625A"/>
    <w:rsid w:val="00326B73"/>
    <w:rsid w:val="0032700D"/>
    <w:rsid w:val="003322CD"/>
    <w:rsid w:val="00333C59"/>
    <w:rsid w:val="003413EA"/>
    <w:rsid w:val="0034709A"/>
    <w:rsid w:val="003474CE"/>
    <w:rsid w:val="00347D7E"/>
    <w:rsid w:val="00352650"/>
    <w:rsid w:val="00352AAC"/>
    <w:rsid w:val="00354B52"/>
    <w:rsid w:val="00354CED"/>
    <w:rsid w:val="00354F80"/>
    <w:rsid w:val="00355A83"/>
    <w:rsid w:val="00361267"/>
    <w:rsid w:val="00362391"/>
    <w:rsid w:val="00363D38"/>
    <w:rsid w:val="00364F25"/>
    <w:rsid w:val="00365307"/>
    <w:rsid w:val="00371347"/>
    <w:rsid w:val="00371C53"/>
    <w:rsid w:val="00375DF3"/>
    <w:rsid w:val="003778DB"/>
    <w:rsid w:val="0038798F"/>
    <w:rsid w:val="00390B4F"/>
    <w:rsid w:val="00391317"/>
    <w:rsid w:val="003941B2"/>
    <w:rsid w:val="00396463"/>
    <w:rsid w:val="003B270F"/>
    <w:rsid w:val="003B3747"/>
    <w:rsid w:val="003B37DC"/>
    <w:rsid w:val="003B6285"/>
    <w:rsid w:val="003B6D10"/>
    <w:rsid w:val="003B76DB"/>
    <w:rsid w:val="003C16B3"/>
    <w:rsid w:val="003C209B"/>
    <w:rsid w:val="003C3121"/>
    <w:rsid w:val="003C3A84"/>
    <w:rsid w:val="003C677B"/>
    <w:rsid w:val="003C7024"/>
    <w:rsid w:val="003C7456"/>
    <w:rsid w:val="003D2981"/>
    <w:rsid w:val="003E29EB"/>
    <w:rsid w:val="003E2EAD"/>
    <w:rsid w:val="003E2FA4"/>
    <w:rsid w:val="003E4D83"/>
    <w:rsid w:val="003E898D"/>
    <w:rsid w:val="003F1D2B"/>
    <w:rsid w:val="003F476C"/>
    <w:rsid w:val="003F4A74"/>
    <w:rsid w:val="003F5016"/>
    <w:rsid w:val="003F71AF"/>
    <w:rsid w:val="004009AC"/>
    <w:rsid w:val="004043AF"/>
    <w:rsid w:val="00404CC5"/>
    <w:rsid w:val="00405218"/>
    <w:rsid w:val="00406E9B"/>
    <w:rsid w:val="004124EE"/>
    <w:rsid w:val="00424185"/>
    <w:rsid w:val="004243DE"/>
    <w:rsid w:val="004257B6"/>
    <w:rsid w:val="0043474A"/>
    <w:rsid w:val="00434A86"/>
    <w:rsid w:val="00436767"/>
    <w:rsid w:val="00440B84"/>
    <w:rsid w:val="00442468"/>
    <w:rsid w:val="00455AE4"/>
    <w:rsid w:val="00455E51"/>
    <w:rsid w:val="00461C6D"/>
    <w:rsid w:val="00461FCF"/>
    <w:rsid w:val="00463375"/>
    <w:rsid w:val="00465CD3"/>
    <w:rsid w:val="00466F38"/>
    <w:rsid w:val="00467234"/>
    <w:rsid w:val="00481D12"/>
    <w:rsid w:val="00482ED2"/>
    <w:rsid w:val="0048383A"/>
    <w:rsid w:val="004867EC"/>
    <w:rsid w:val="00487B61"/>
    <w:rsid w:val="004949AB"/>
    <w:rsid w:val="004968C9"/>
    <w:rsid w:val="00496D81"/>
    <w:rsid w:val="004A0F3E"/>
    <w:rsid w:val="004B1D98"/>
    <w:rsid w:val="004B2D06"/>
    <w:rsid w:val="004B349D"/>
    <w:rsid w:val="004B72F9"/>
    <w:rsid w:val="004C2337"/>
    <w:rsid w:val="004C4174"/>
    <w:rsid w:val="004D03D1"/>
    <w:rsid w:val="004D1C46"/>
    <w:rsid w:val="004D56D0"/>
    <w:rsid w:val="004D7767"/>
    <w:rsid w:val="004DAC86"/>
    <w:rsid w:val="004E2536"/>
    <w:rsid w:val="004E77C8"/>
    <w:rsid w:val="004F0450"/>
    <w:rsid w:val="004F0B6A"/>
    <w:rsid w:val="004F122F"/>
    <w:rsid w:val="004F2762"/>
    <w:rsid w:val="004F6335"/>
    <w:rsid w:val="0050086D"/>
    <w:rsid w:val="0050269F"/>
    <w:rsid w:val="00506F7B"/>
    <w:rsid w:val="00507D44"/>
    <w:rsid w:val="00516572"/>
    <w:rsid w:val="00520568"/>
    <w:rsid w:val="00526E07"/>
    <w:rsid w:val="0053633D"/>
    <w:rsid w:val="00541458"/>
    <w:rsid w:val="0054449E"/>
    <w:rsid w:val="0055146F"/>
    <w:rsid w:val="00552DD1"/>
    <w:rsid w:val="00554567"/>
    <w:rsid w:val="00555E39"/>
    <w:rsid w:val="00556213"/>
    <w:rsid w:val="005574A0"/>
    <w:rsid w:val="00557A0A"/>
    <w:rsid w:val="0056254F"/>
    <w:rsid w:val="005727AC"/>
    <w:rsid w:val="00577773"/>
    <w:rsid w:val="0058131B"/>
    <w:rsid w:val="005813A2"/>
    <w:rsid w:val="005835EB"/>
    <w:rsid w:val="0058446A"/>
    <w:rsid w:val="00586773"/>
    <w:rsid w:val="005903D5"/>
    <w:rsid w:val="005914B4"/>
    <w:rsid w:val="00591EFA"/>
    <w:rsid w:val="00592054"/>
    <w:rsid w:val="00596FD6"/>
    <w:rsid w:val="00597139"/>
    <w:rsid w:val="005A48BC"/>
    <w:rsid w:val="005A58A9"/>
    <w:rsid w:val="005B2D02"/>
    <w:rsid w:val="005B330B"/>
    <w:rsid w:val="005B4201"/>
    <w:rsid w:val="005C1A74"/>
    <w:rsid w:val="005C358C"/>
    <w:rsid w:val="005D0B73"/>
    <w:rsid w:val="005D1AF9"/>
    <w:rsid w:val="005D6732"/>
    <w:rsid w:val="005D70AB"/>
    <w:rsid w:val="005D7B9B"/>
    <w:rsid w:val="005E1132"/>
    <w:rsid w:val="005E4E45"/>
    <w:rsid w:val="005E60D2"/>
    <w:rsid w:val="005F02BE"/>
    <w:rsid w:val="005F19E5"/>
    <w:rsid w:val="005F4EF3"/>
    <w:rsid w:val="005F5027"/>
    <w:rsid w:val="0060062F"/>
    <w:rsid w:val="006026F9"/>
    <w:rsid w:val="00602A92"/>
    <w:rsid w:val="00603C25"/>
    <w:rsid w:val="006048BB"/>
    <w:rsid w:val="006049EC"/>
    <w:rsid w:val="00610A0B"/>
    <w:rsid w:val="0061372F"/>
    <w:rsid w:val="006164D4"/>
    <w:rsid w:val="00617C2E"/>
    <w:rsid w:val="00617FD3"/>
    <w:rsid w:val="00621149"/>
    <w:rsid w:val="0062298A"/>
    <w:rsid w:val="00623A53"/>
    <w:rsid w:val="00624747"/>
    <w:rsid w:val="006270F0"/>
    <w:rsid w:val="0062721A"/>
    <w:rsid w:val="006305E3"/>
    <w:rsid w:val="006327ED"/>
    <w:rsid w:val="00636D6C"/>
    <w:rsid w:val="00637180"/>
    <w:rsid w:val="00644530"/>
    <w:rsid w:val="006466BB"/>
    <w:rsid w:val="00647CD1"/>
    <w:rsid w:val="00652D00"/>
    <w:rsid w:val="00654261"/>
    <w:rsid w:val="0065538C"/>
    <w:rsid w:val="00655683"/>
    <w:rsid w:val="006557C2"/>
    <w:rsid w:val="00663C61"/>
    <w:rsid w:val="00670F4E"/>
    <w:rsid w:val="00674B0F"/>
    <w:rsid w:val="006754F8"/>
    <w:rsid w:val="00677529"/>
    <w:rsid w:val="006802F8"/>
    <w:rsid w:val="00685ABD"/>
    <w:rsid w:val="00692AFD"/>
    <w:rsid w:val="006964A6"/>
    <w:rsid w:val="006A018C"/>
    <w:rsid w:val="006A0B64"/>
    <w:rsid w:val="006A1DBC"/>
    <w:rsid w:val="006A2615"/>
    <w:rsid w:val="006A2662"/>
    <w:rsid w:val="006A5C66"/>
    <w:rsid w:val="006A7426"/>
    <w:rsid w:val="006B107E"/>
    <w:rsid w:val="006B1CDF"/>
    <w:rsid w:val="006B39BB"/>
    <w:rsid w:val="006C0CEB"/>
    <w:rsid w:val="006C17F7"/>
    <w:rsid w:val="006C2A53"/>
    <w:rsid w:val="006C3FF7"/>
    <w:rsid w:val="006C451B"/>
    <w:rsid w:val="006D36C5"/>
    <w:rsid w:val="006D4EF3"/>
    <w:rsid w:val="006D6049"/>
    <w:rsid w:val="006D623E"/>
    <w:rsid w:val="006E23E9"/>
    <w:rsid w:val="006E4397"/>
    <w:rsid w:val="006E5ABA"/>
    <w:rsid w:val="006F0E7D"/>
    <w:rsid w:val="006F2378"/>
    <w:rsid w:val="006F3685"/>
    <w:rsid w:val="006F55D5"/>
    <w:rsid w:val="00700CA1"/>
    <w:rsid w:val="00701023"/>
    <w:rsid w:val="0070402F"/>
    <w:rsid w:val="00704947"/>
    <w:rsid w:val="007149D7"/>
    <w:rsid w:val="00715A48"/>
    <w:rsid w:val="00717B7F"/>
    <w:rsid w:val="007247EA"/>
    <w:rsid w:val="00724CB3"/>
    <w:rsid w:val="00725936"/>
    <w:rsid w:val="0072672B"/>
    <w:rsid w:val="007365BB"/>
    <w:rsid w:val="00740CA6"/>
    <w:rsid w:val="007420D6"/>
    <w:rsid w:val="00742C38"/>
    <w:rsid w:val="0074438E"/>
    <w:rsid w:val="00744E7B"/>
    <w:rsid w:val="007526E3"/>
    <w:rsid w:val="0075280D"/>
    <w:rsid w:val="00760BFE"/>
    <w:rsid w:val="0076218A"/>
    <w:rsid w:val="007674F4"/>
    <w:rsid w:val="0076791E"/>
    <w:rsid w:val="00767F5B"/>
    <w:rsid w:val="0077090C"/>
    <w:rsid w:val="00773AA4"/>
    <w:rsid w:val="00783881"/>
    <w:rsid w:val="0078777A"/>
    <w:rsid w:val="007903B2"/>
    <w:rsid w:val="0079296C"/>
    <w:rsid w:val="007942F3"/>
    <w:rsid w:val="00797422"/>
    <w:rsid w:val="0079782C"/>
    <w:rsid w:val="007A1A65"/>
    <w:rsid w:val="007A32A6"/>
    <w:rsid w:val="007A3843"/>
    <w:rsid w:val="007A47E8"/>
    <w:rsid w:val="007A5D42"/>
    <w:rsid w:val="007A5FFF"/>
    <w:rsid w:val="007A6CFE"/>
    <w:rsid w:val="007B0CDF"/>
    <w:rsid w:val="007B26EE"/>
    <w:rsid w:val="007B35FC"/>
    <w:rsid w:val="007B3DB3"/>
    <w:rsid w:val="007B7FA7"/>
    <w:rsid w:val="007C3104"/>
    <w:rsid w:val="007C34B7"/>
    <w:rsid w:val="007C4065"/>
    <w:rsid w:val="007C6A5A"/>
    <w:rsid w:val="007C78EA"/>
    <w:rsid w:val="007C7EF0"/>
    <w:rsid w:val="007C7F87"/>
    <w:rsid w:val="007D4C1F"/>
    <w:rsid w:val="007E0199"/>
    <w:rsid w:val="007E166F"/>
    <w:rsid w:val="007E391F"/>
    <w:rsid w:val="007E6E35"/>
    <w:rsid w:val="007E7F54"/>
    <w:rsid w:val="007F1EC1"/>
    <w:rsid w:val="007F411E"/>
    <w:rsid w:val="007F6E27"/>
    <w:rsid w:val="00800919"/>
    <w:rsid w:val="008010AE"/>
    <w:rsid w:val="008021A4"/>
    <w:rsid w:val="0080573E"/>
    <w:rsid w:val="00807D17"/>
    <w:rsid w:val="0081030F"/>
    <w:rsid w:val="0081044F"/>
    <w:rsid w:val="00811C7C"/>
    <w:rsid w:val="008170F9"/>
    <w:rsid w:val="0081749B"/>
    <w:rsid w:val="0082669F"/>
    <w:rsid w:val="00830BA3"/>
    <w:rsid w:val="00831EC7"/>
    <w:rsid w:val="00836903"/>
    <w:rsid w:val="00840E62"/>
    <w:rsid w:val="008417B9"/>
    <w:rsid w:val="00841F24"/>
    <w:rsid w:val="00842C15"/>
    <w:rsid w:val="00843E58"/>
    <w:rsid w:val="008445C6"/>
    <w:rsid w:val="0084ABA3"/>
    <w:rsid w:val="00850131"/>
    <w:rsid w:val="008504D2"/>
    <w:rsid w:val="00851B0E"/>
    <w:rsid w:val="00851B80"/>
    <w:rsid w:val="00851CA7"/>
    <w:rsid w:val="00852735"/>
    <w:rsid w:val="0085517C"/>
    <w:rsid w:val="008629AC"/>
    <w:rsid w:val="00863799"/>
    <w:rsid w:val="00865F44"/>
    <w:rsid w:val="008661DD"/>
    <w:rsid w:val="00866222"/>
    <w:rsid w:val="00872868"/>
    <w:rsid w:val="00872B19"/>
    <w:rsid w:val="008800D4"/>
    <w:rsid w:val="00882787"/>
    <w:rsid w:val="0088349A"/>
    <w:rsid w:val="00885E4F"/>
    <w:rsid w:val="008873BE"/>
    <w:rsid w:val="00887781"/>
    <w:rsid w:val="008B04DF"/>
    <w:rsid w:val="008C0F2D"/>
    <w:rsid w:val="008C45B1"/>
    <w:rsid w:val="008C51AC"/>
    <w:rsid w:val="008C6625"/>
    <w:rsid w:val="008D1146"/>
    <w:rsid w:val="008D1269"/>
    <w:rsid w:val="008D41E4"/>
    <w:rsid w:val="008E115A"/>
    <w:rsid w:val="008E335E"/>
    <w:rsid w:val="008E3492"/>
    <w:rsid w:val="008E5F4E"/>
    <w:rsid w:val="008F0181"/>
    <w:rsid w:val="008F07A1"/>
    <w:rsid w:val="008F1788"/>
    <w:rsid w:val="008F3CE0"/>
    <w:rsid w:val="008F492E"/>
    <w:rsid w:val="0090053C"/>
    <w:rsid w:val="00902C83"/>
    <w:rsid w:val="00904473"/>
    <w:rsid w:val="00905901"/>
    <w:rsid w:val="009063E0"/>
    <w:rsid w:val="009066F4"/>
    <w:rsid w:val="00907155"/>
    <w:rsid w:val="00911A7A"/>
    <w:rsid w:val="00913667"/>
    <w:rsid w:val="009164CE"/>
    <w:rsid w:val="009230E4"/>
    <w:rsid w:val="00931BE7"/>
    <w:rsid w:val="009356C6"/>
    <w:rsid w:val="009412C0"/>
    <w:rsid w:val="00941534"/>
    <w:rsid w:val="0094277D"/>
    <w:rsid w:val="0094554B"/>
    <w:rsid w:val="00946D7D"/>
    <w:rsid w:val="009474A0"/>
    <w:rsid w:val="009511D3"/>
    <w:rsid w:val="00951937"/>
    <w:rsid w:val="009741B2"/>
    <w:rsid w:val="0097576D"/>
    <w:rsid w:val="00976980"/>
    <w:rsid w:val="00977C64"/>
    <w:rsid w:val="00983130"/>
    <w:rsid w:val="00983284"/>
    <w:rsid w:val="009852BF"/>
    <w:rsid w:val="00986068"/>
    <w:rsid w:val="009903AC"/>
    <w:rsid w:val="00993A32"/>
    <w:rsid w:val="0099451A"/>
    <w:rsid w:val="00994DA9"/>
    <w:rsid w:val="0099623F"/>
    <w:rsid w:val="009A07DD"/>
    <w:rsid w:val="009A2E67"/>
    <w:rsid w:val="009A4AD4"/>
    <w:rsid w:val="009A7540"/>
    <w:rsid w:val="009B149E"/>
    <w:rsid w:val="009B1BC7"/>
    <w:rsid w:val="009B1E43"/>
    <w:rsid w:val="009B6654"/>
    <w:rsid w:val="009B67F9"/>
    <w:rsid w:val="009B7701"/>
    <w:rsid w:val="009B79AD"/>
    <w:rsid w:val="009C0195"/>
    <w:rsid w:val="009C3739"/>
    <w:rsid w:val="009C52EB"/>
    <w:rsid w:val="009C759D"/>
    <w:rsid w:val="009C7C5F"/>
    <w:rsid w:val="009D39C5"/>
    <w:rsid w:val="009D4A79"/>
    <w:rsid w:val="009D6564"/>
    <w:rsid w:val="009E09E4"/>
    <w:rsid w:val="009E1760"/>
    <w:rsid w:val="009E341F"/>
    <w:rsid w:val="009E3CB6"/>
    <w:rsid w:val="009E4BDC"/>
    <w:rsid w:val="009F08B0"/>
    <w:rsid w:val="009F1A83"/>
    <w:rsid w:val="009F4F55"/>
    <w:rsid w:val="00A07A36"/>
    <w:rsid w:val="00A10DCC"/>
    <w:rsid w:val="00A11A34"/>
    <w:rsid w:val="00A122A7"/>
    <w:rsid w:val="00A1340F"/>
    <w:rsid w:val="00A1358E"/>
    <w:rsid w:val="00A15A5D"/>
    <w:rsid w:val="00A27411"/>
    <w:rsid w:val="00A31DA6"/>
    <w:rsid w:val="00A34808"/>
    <w:rsid w:val="00A448F0"/>
    <w:rsid w:val="00A4628D"/>
    <w:rsid w:val="00A52F44"/>
    <w:rsid w:val="00A545B3"/>
    <w:rsid w:val="00A630DF"/>
    <w:rsid w:val="00A65460"/>
    <w:rsid w:val="00A669EF"/>
    <w:rsid w:val="00A66C83"/>
    <w:rsid w:val="00A673E6"/>
    <w:rsid w:val="00A740F5"/>
    <w:rsid w:val="00A773DA"/>
    <w:rsid w:val="00A81FA9"/>
    <w:rsid w:val="00A84587"/>
    <w:rsid w:val="00A86086"/>
    <w:rsid w:val="00A87727"/>
    <w:rsid w:val="00A93EA1"/>
    <w:rsid w:val="00A95106"/>
    <w:rsid w:val="00A974ED"/>
    <w:rsid w:val="00A97919"/>
    <w:rsid w:val="00AA5241"/>
    <w:rsid w:val="00AA65C5"/>
    <w:rsid w:val="00AB37E5"/>
    <w:rsid w:val="00AB3A5D"/>
    <w:rsid w:val="00AC1AAA"/>
    <w:rsid w:val="00AC51B5"/>
    <w:rsid w:val="00AC72F9"/>
    <w:rsid w:val="00AD0A74"/>
    <w:rsid w:val="00AD1C24"/>
    <w:rsid w:val="00AD4C80"/>
    <w:rsid w:val="00AD505B"/>
    <w:rsid w:val="00AD5F6D"/>
    <w:rsid w:val="00AE0CFE"/>
    <w:rsid w:val="00AE4224"/>
    <w:rsid w:val="00AE7D85"/>
    <w:rsid w:val="00AF23BF"/>
    <w:rsid w:val="00AF5424"/>
    <w:rsid w:val="00AF57B5"/>
    <w:rsid w:val="00AF784B"/>
    <w:rsid w:val="00B02F03"/>
    <w:rsid w:val="00B061AA"/>
    <w:rsid w:val="00B10698"/>
    <w:rsid w:val="00B10D2F"/>
    <w:rsid w:val="00B23768"/>
    <w:rsid w:val="00B27469"/>
    <w:rsid w:val="00B3098A"/>
    <w:rsid w:val="00B30D5B"/>
    <w:rsid w:val="00B30EC7"/>
    <w:rsid w:val="00B31BFC"/>
    <w:rsid w:val="00B31CE2"/>
    <w:rsid w:val="00B324A0"/>
    <w:rsid w:val="00B35858"/>
    <w:rsid w:val="00B36C5A"/>
    <w:rsid w:val="00B371DE"/>
    <w:rsid w:val="00B433C8"/>
    <w:rsid w:val="00B44906"/>
    <w:rsid w:val="00B46070"/>
    <w:rsid w:val="00B50DCC"/>
    <w:rsid w:val="00B510D7"/>
    <w:rsid w:val="00B512C7"/>
    <w:rsid w:val="00B5306A"/>
    <w:rsid w:val="00B53988"/>
    <w:rsid w:val="00B57399"/>
    <w:rsid w:val="00B633FF"/>
    <w:rsid w:val="00B63A0B"/>
    <w:rsid w:val="00B66454"/>
    <w:rsid w:val="00B73945"/>
    <w:rsid w:val="00B748EB"/>
    <w:rsid w:val="00B77227"/>
    <w:rsid w:val="00B77DC8"/>
    <w:rsid w:val="00B77E0F"/>
    <w:rsid w:val="00B80FC5"/>
    <w:rsid w:val="00B84BB3"/>
    <w:rsid w:val="00B85669"/>
    <w:rsid w:val="00B85DD6"/>
    <w:rsid w:val="00B873C1"/>
    <w:rsid w:val="00B90B8E"/>
    <w:rsid w:val="00B929D8"/>
    <w:rsid w:val="00B942C5"/>
    <w:rsid w:val="00B95179"/>
    <w:rsid w:val="00B95AA9"/>
    <w:rsid w:val="00B97A60"/>
    <w:rsid w:val="00BA0069"/>
    <w:rsid w:val="00BA01E6"/>
    <w:rsid w:val="00BA323D"/>
    <w:rsid w:val="00BA5635"/>
    <w:rsid w:val="00BA7260"/>
    <w:rsid w:val="00BB0872"/>
    <w:rsid w:val="00BB3E02"/>
    <w:rsid w:val="00BB65C0"/>
    <w:rsid w:val="00BB6857"/>
    <w:rsid w:val="00BC4447"/>
    <w:rsid w:val="00BD1290"/>
    <w:rsid w:val="00BD57DB"/>
    <w:rsid w:val="00BD6E8C"/>
    <w:rsid w:val="00BE5CF7"/>
    <w:rsid w:val="00BE6200"/>
    <w:rsid w:val="00BE6D4B"/>
    <w:rsid w:val="00BE736F"/>
    <w:rsid w:val="00BF046E"/>
    <w:rsid w:val="00BF3140"/>
    <w:rsid w:val="00BF5A60"/>
    <w:rsid w:val="00C002A3"/>
    <w:rsid w:val="00C00807"/>
    <w:rsid w:val="00C00B44"/>
    <w:rsid w:val="00C05D76"/>
    <w:rsid w:val="00C07177"/>
    <w:rsid w:val="00C10FB0"/>
    <w:rsid w:val="00C13D86"/>
    <w:rsid w:val="00C13DBA"/>
    <w:rsid w:val="00C14CB9"/>
    <w:rsid w:val="00C16657"/>
    <w:rsid w:val="00C1764D"/>
    <w:rsid w:val="00C17869"/>
    <w:rsid w:val="00C26DC3"/>
    <w:rsid w:val="00C30435"/>
    <w:rsid w:val="00C3343B"/>
    <w:rsid w:val="00C43997"/>
    <w:rsid w:val="00C45A33"/>
    <w:rsid w:val="00C46CB4"/>
    <w:rsid w:val="00C47B76"/>
    <w:rsid w:val="00C50074"/>
    <w:rsid w:val="00C51C8D"/>
    <w:rsid w:val="00C53BBF"/>
    <w:rsid w:val="00C55A53"/>
    <w:rsid w:val="00C67B52"/>
    <w:rsid w:val="00C703E5"/>
    <w:rsid w:val="00C70AC3"/>
    <w:rsid w:val="00C724AE"/>
    <w:rsid w:val="00C73F8B"/>
    <w:rsid w:val="00C74AD2"/>
    <w:rsid w:val="00C77CAF"/>
    <w:rsid w:val="00C80A0D"/>
    <w:rsid w:val="00C90EAF"/>
    <w:rsid w:val="00C913AA"/>
    <w:rsid w:val="00C968B5"/>
    <w:rsid w:val="00C96BEB"/>
    <w:rsid w:val="00CA7597"/>
    <w:rsid w:val="00CB0BD2"/>
    <w:rsid w:val="00CB1042"/>
    <w:rsid w:val="00CD0187"/>
    <w:rsid w:val="00CD3E48"/>
    <w:rsid w:val="00CD4C6A"/>
    <w:rsid w:val="00CD6D7B"/>
    <w:rsid w:val="00CF1756"/>
    <w:rsid w:val="00CF1EFF"/>
    <w:rsid w:val="00CF7CEB"/>
    <w:rsid w:val="00D0269C"/>
    <w:rsid w:val="00D1011B"/>
    <w:rsid w:val="00D17DAF"/>
    <w:rsid w:val="00D226C2"/>
    <w:rsid w:val="00D26DD2"/>
    <w:rsid w:val="00D33FE7"/>
    <w:rsid w:val="00D35823"/>
    <w:rsid w:val="00D51858"/>
    <w:rsid w:val="00D54D9C"/>
    <w:rsid w:val="00D61481"/>
    <w:rsid w:val="00D61F48"/>
    <w:rsid w:val="00D62AA7"/>
    <w:rsid w:val="00D62B5E"/>
    <w:rsid w:val="00D643CD"/>
    <w:rsid w:val="00D64AB3"/>
    <w:rsid w:val="00D66E93"/>
    <w:rsid w:val="00D7004A"/>
    <w:rsid w:val="00D739A8"/>
    <w:rsid w:val="00D775B9"/>
    <w:rsid w:val="00D803E2"/>
    <w:rsid w:val="00D84811"/>
    <w:rsid w:val="00D86311"/>
    <w:rsid w:val="00D91E01"/>
    <w:rsid w:val="00D95E5C"/>
    <w:rsid w:val="00D9671E"/>
    <w:rsid w:val="00DA4C84"/>
    <w:rsid w:val="00DA53D8"/>
    <w:rsid w:val="00DA5D65"/>
    <w:rsid w:val="00DB05EA"/>
    <w:rsid w:val="00DB088B"/>
    <w:rsid w:val="00DB35F7"/>
    <w:rsid w:val="00DB40DC"/>
    <w:rsid w:val="00DB56EC"/>
    <w:rsid w:val="00DB7A55"/>
    <w:rsid w:val="00DC5AFF"/>
    <w:rsid w:val="00DC5C21"/>
    <w:rsid w:val="00DC6B67"/>
    <w:rsid w:val="00DD23A0"/>
    <w:rsid w:val="00DD2B38"/>
    <w:rsid w:val="00DD4C61"/>
    <w:rsid w:val="00DD659D"/>
    <w:rsid w:val="00DE2E48"/>
    <w:rsid w:val="00DE5E9B"/>
    <w:rsid w:val="00DE60EE"/>
    <w:rsid w:val="00DF03BC"/>
    <w:rsid w:val="00DF0BC4"/>
    <w:rsid w:val="00DF1841"/>
    <w:rsid w:val="00DF6153"/>
    <w:rsid w:val="00E003D8"/>
    <w:rsid w:val="00E02C50"/>
    <w:rsid w:val="00E03EC6"/>
    <w:rsid w:val="00E06114"/>
    <w:rsid w:val="00E12FC1"/>
    <w:rsid w:val="00E135C4"/>
    <w:rsid w:val="00E15A39"/>
    <w:rsid w:val="00E1737B"/>
    <w:rsid w:val="00E17693"/>
    <w:rsid w:val="00E19310"/>
    <w:rsid w:val="00E20DAA"/>
    <w:rsid w:val="00E218DE"/>
    <w:rsid w:val="00E25D8B"/>
    <w:rsid w:val="00E33E50"/>
    <w:rsid w:val="00E41797"/>
    <w:rsid w:val="00E41A36"/>
    <w:rsid w:val="00E43F89"/>
    <w:rsid w:val="00E4453D"/>
    <w:rsid w:val="00E44FE0"/>
    <w:rsid w:val="00E5381A"/>
    <w:rsid w:val="00E54EAC"/>
    <w:rsid w:val="00E57D36"/>
    <w:rsid w:val="00E671E5"/>
    <w:rsid w:val="00E67BE5"/>
    <w:rsid w:val="00E67F81"/>
    <w:rsid w:val="00E70D4F"/>
    <w:rsid w:val="00E73452"/>
    <w:rsid w:val="00E74CE3"/>
    <w:rsid w:val="00E751E7"/>
    <w:rsid w:val="00E76D78"/>
    <w:rsid w:val="00E76EB1"/>
    <w:rsid w:val="00E81BD2"/>
    <w:rsid w:val="00E8585E"/>
    <w:rsid w:val="00E869BB"/>
    <w:rsid w:val="00E871C7"/>
    <w:rsid w:val="00E875B0"/>
    <w:rsid w:val="00E91804"/>
    <w:rsid w:val="00E940DB"/>
    <w:rsid w:val="00E97A25"/>
    <w:rsid w:val="00EA2F89"/>
    <w:rsid w:val="00EA7CF7"/>
    <w:rsid w:val="00EB1FFD"/>
    <w:rsid w:val="00EB7152"/>
    <w:rsid w:val="00EC115A"/>
    <w:rsid w:val="00EC2BE0"/>
    <w:rsid w:val="00EC6D59"/>
    <w:rsid w:val="00EC6F60"/>
    <w:rsid w:val="00ED378B"/>
    <w:rsid w:val="00ED4E81"/>
    <w:rsid w:val="00ED741A"/>
    <w:rsid w:val="00EDDB0F"/>
    <w:rsid w:val="00EE291B"/>
    <w:rsid w:val="00EE347D"/>
    <w:rsid w:val="00EF7994"/>
    <w:rsid w:val="00F00ED1"/>
    <w:rsid w:val="00F026A4"/>
    <w:rsid w:val="00F06C67"/>
    <w:rsid w:val="00F06DF0"/>
    <w:rsid w:val="00F115B8"/>
    <w:rsid w:val="00F11A2D"/>
    <w:rsid w:val="00F15205"/>
    <w:rsid w:val="00F1744B"/>
    <w:rsid w:val="00F24302"/>
    <w:rsid w:val="00F27D61"/>
    <w:rsid w:val="00F30EB8"/>
    <w:rsid w:val="00F3763A"/>
    <w:rsid w:val="00F402F1"/>
    <w:rsid w:val="00F51303"/>
    <w:rsid w:val="00F51A76"/>
    <w:rsid w:val="00F52083"/>
    <w:rsid w:val="00F56E39"/>
    <w:rsid w:val="00F62391"/>
    <w:rsid w:val="00F63E24"/>
    <w:rsid w:val="00F64EB2"/>
    <w:rsid w:val="00F64FCE"/>
    <w:rsid w:val="00F65F86"/>
    <w:rsid w:val="00F66843"/>
    <w:rsid w:val="00F700C5"/>
    <w:rsid w:val="00F71BE5"/>
    <w:rsid w:val="00F72FE3"/>
    <w:rsid w:val="00F7393E"/>
    <w:rsid w:val="00F77EE0"/>
    <w:rsid w:val="00F802EF"/>
    <w:rsid w:val="00F820D9"/>
    <w:rsid w:val="00F84181"/>
    <w:rsid w:val="00F909AB"/>
    <w:rsid w:val="00F96EBA"/>
    <w:rsid w:val="00F9730B"/>
    <w:rsid w:val="00FA1B36"/>
    <w:rsid w:val="00FA3756"/>
    <w:rsid w:val="00FA3D62"/>
    <w:rsid w:val="00FB5A39"/>
    <w:rsid w:val="00FB6F5B"/>
    <w:rsid w:val="00FB7927"/>
    <w:rsid w:val="00FB7E4C"/>
    <w:rsid w:val="00FC4781"/>
    <w:rsid w:val="00FC6428"/>
    <w:rsid w:val="00FC64EC"/>
    <w:rsid w:val="00FC6D8F"/>
    <w:rsid w:val="00FD0626"/>
    <w:rsid w:val="00FD0667"/>
    <w:rsid w:val="00FD1D93"/>
    <w:rsid w:val="00FD4155"/>
    <w:rsid w:val="00FD48A1"/>
    <w:rsid w:val="00FD4AB0"/>
    <w:rsid w:val="00FD7F50"/>
    <w:rsid w:val="00FE06C7"/>
    <w:rsid w:val="00FE6E0D"/>
    <w:rsid w:val="00FE75F9"/>
    <w:rsid w:val="010F5121"/>
    <w:rsid w:val="011E0DCF"/>
    <w:rsid w:val="01502602"/>
    <w:rsid w:val="0153D220"/>
    <w:rsid w:val="01811C7B"/>
    <w:rsid w:val="01917485"/>
    <w:rsid w:val="0193CC8C"/>
    <w:rsid w:val="019B19E3"/>
    <w:rsid w:val="01A083C4"/>
    <w:rsid w:val="01AF1F0B"/>
    <w:rsid w:val="01B4C619"/>
    <w:rsid w:val="01C4218B"/>
    <w:rsid w:val="01CD531F"/>
    <w:rsid w:val="01DDA4BE"/>
    <w:rsid w:val="01E8506E"/>
    <w:rsid w:val="0213647A"/>
    <w:rsid w:val="025EAAF1"/>
    <w:rsid w:val="02831B34"/>
    <w:rsid w:val="0284AECB"/>
    <w:rsid w:val="02ED61B1"/>
    <w:rsid w:val="02FEE653"/>
    <w:rsid w:val="030BF2AE"/>
    <w:rsid w:val="032BEB07"/>
    <w:rsid w:val="034D6533"/>
    <w:rsid w:val="03A6DABA"/>
    <w:rsid w:val="03B420FB"/>
    <w:rsid w:val="03F4336A"/>
    <w:rsid w:val="03F45FD3"/>
    <w:rsid w:val="04093FB9"/>
    <w:rsid w:val="0413FB71"/>
    <w:rsid w:val="041E4255"/>
    <w:rsid w:val="0489CF71"/>
    <w:rsid w:val="04A00C74"/>
    <w:rsid w:val="04AD5115"/>
    <w:rsid w:val="04C212E3"/>
    <w:rsid w:val="04E0E5B2"/>
    <w:rsid w:val="051BE0DF"/>
    <w:rsid w:val="05290546"/>
    <w:rsid w:val="05301445"/>
    <w:rsid w:val="05552369"/>
    <w:rsid w:val="056E2880"/>
    <w:rsid w:val="05742216"/>
    <w:rsid w:val="05931709"/>
    <w:rsid w:val="05F2709A"/>
    <w:rsid w:val="05FA3FFA"/>
    <w:rsid w:val="0600B408"/>
    <w:rsid w:val="061E8CF8"/>
    <w:rsid w:val="0626F6C9"/>
    <w:rsid w:val="06354EB5"/>
    <w:rsid w:val="0667F3F8"/>
    <w:rsid w:val="066A6356"/>
    <w:rsid w:val="066EFC23"/>
    <w:rsid w:val="068D5E6E"/>
    <w:rsid w:val="068F251C"/>
    <w:rsid w:val="06A7D67E"/>
    <w:rsid w:val="06B26AAB"/>
    <w:rsid w:val="06EF5669"/>
    <w:rsid w:val="070E014B"/>
    <w:rsid w:val="0716776B"/>
    <w:rsid w:val="07275DDB"/>
    <w:rsid w:val="0739A947"/>
    <w:rsid w:val="073B0F4F"/>
    <w:rsid w:val="07476C40"/>
    <w:rsid w:val="075B875D"/>
    <w:rsid w:val="0769283A"/>
    <w:rsid w:val="07895E8F"/>
    <w:rsid w:val="07984B46"/>
    <w:rsid w:val="07B979DC"/>
    <w:rsid w:val="07EABBFC"/>
    <w:rsid w:val="07F42B91"/>
    <w:rsid w:val="07F4F8E0"/>
    <w:rsid w:val="081E57A0"/>
    <w:rsid w:val="08410F33"/>
    <w:rsid w:val="084C373A"/>
    <w:rsid w:val="0863F617"/>
    <w:rsid w:val="086EEC42"/>
    <w:rsid w:val="08882CB5"/>
    <w:rsid w:val="08C94FF8"/>
    <w:rsid w:val="09049BBE"/>
    <w:rsid w:val="0981943A"/>
    <w:rsid w:val="0990B90E"/>
    <w:rsid w:val="09ABCC3B"/>
    <w:rsid w:val="09C4FF30"/>
    <w:rsid w:val="0A42F800"/>
    <w:rsid w:val="0A50F53F"/>
    <w:rsid w:val="0A5EE442"/>
    <w:rsid w:val="0A8E2D19"/>
    <w:rsid w:val="0AA20934"/>
    <w:rsid w:val="0AB81AD7"/>
    <w:rsid w:val="0AE682BE"/>
    <w:rsid w:val="0B01DE7D"/>
    <w:rsid w:val="0B154163"/>
    <w:rsid w:val="0B15ECCE"/>
    <w:rsid w:val="0B17388E"/>
    <w:rsid w:val="0B22DD7A"/>
    <w:rsid w:val="0B35DFE1"/>
    <w:rsid w:val="0B4A6A01"/>
    <w:rsid w:val="0B5A4D4E"/>
    <w:rsid w:val="0BE8E63A"/>
    <w:rsid w:val="0C05BF39"/>
    <w:rsid w:val="0C1AF1E3"/>
    <w:rsid w:val="0C82531F"/>
    <w:rsid w:val="0C989FD7"/>
    <w:rsid w:val="0CE02A3C"/>
    <w:rsid w:val="0D446D09"/>
    <w:rsid w:val="0D7DEDA2"/>
    <w:rsid w:val="0D934BDF"/>
    <w:rsid w:val="0D9FD1D8"/>
    <w:rsid w:val="0DC21DC1"/>
    <w:rsid w:val="0DCB4641"/>
    <w:rsid w:val="0DD80CE1"/>
    <w:rsid w:val="0DEBADD5"/>
    <w:rsid w:val="0E11F1C0"/>
    <w:rsid w:val="0E198AF0"/>
    <w:rsid w:val="0E4A81EF"/>
    <w:rsid w:val="0E5BF732"/>
    <w:rsid w:val="0E643A64"/>
    <w:rsid w:val="0E7F3D5E"/>
    <w:rsid w:val="0E9B67D0"/>
    <w:rsid w:val="0EC61994"/>
    <w:rsid w:val="0ECEDB4A"/>
    <w:rsid w:val="0EDA5415"/>
    <w:rsid w:val="0EEC9611"/>
    <w:rsid w:val="0F000379"/>
    <w:rsid w:val="0F28CDAB"/>
    <w:rsid w:val="0F297F5E"/>
    <w:rsid w:val="0F98DF09"/>
    <w:rsid w:val="0F9B7CB6"/>
    <w:rsid w:val="0FBBA740"/>
    <w:rsid w:val="0FC3FB02"/>
    <w:rsid w:val="0FD614C3"/>
    <w:rsid w:val="0FE05ACB"/>
    <w:rsid w:val="0FF8B159"/>
    <w:rsid w:val="104B0134"/>
    <w:rsid w:val="104EB51F"/>
    <w:rsid w:val="105A0E29"/>
    <w:rsid w:val="1075E47B"/>
    <w:rsid w:val="10863B36"/>
    <w:rsid w:val="1094DE07"/>
    <w:rsid w:val="10B2BFEB"/>
    <w:rsid w:val="10BF7A84"/>
    <w:rsid w:val="1109C851"/>
    <w:rsid w:val="1141D306"/>
    <w:rsid w:val="11490118"/>
    <w:rsid w:val="11598EF0"/>
    <w:rsid w:val="11F13190"/>
    <w:rsid w:val="11F7CE38"/>
    <w:rsid w:val="12121E5B"/>
    <w:rsid w:val="123A4B17"/>
    <w:rsid w:val="126DF1B9"/>
    <w:rsid w:val="12749D62"/>
    <w:rsid w:val="128BE54F"/>
    <w:rsid w:val="12A08344"/>
    <w:rsid w:val="130422DA"/>
    <w:rsid w:val="1314F116"/>
    <w:rsid w:val="1358DDAF"/>
    <w:rsid w:val="13624B29"/>
    <w:rsid w:val="13885F16"/>
    <w:rsid w:val="139C4C68"/>
    <w:rsid w:val="139D6C19"/>
    <w:rsid w:val="13AF4C29"/>
    <w:rsid w:val="13C5D379"/>
    <w:rsid w:val="13D38C1C"/>
    <w:rsid w:val="13DACFC2"/>
    <w:rsid w:val="13E49109"/>
    <w:rsid w:val="13F5BABE"/>
    <w:rsid w:val="13FB002F"/>
    <w:rsid w:val="14179100"/>
    <w:rsid w:val="143B004F"/>
    <w:rsid w:val="144FCA9E"/>
    <w:rsid w:val="146BBFCA"/>
    <w:rsid w:val="1475B9A1"/>
    <w:rsid w:val="1489011B"/>
    <w:rsid w:val="149EAD2D"/>
    <w:rsid w:val="14A384BF"/>
    <w:rsid w:val="14D3E010"/>
    <w:rsid w:val="14FBC257"/>
    <w:rsid w:val="1526F241"/>
    <w:rsid w:val="1527F7C0"/>
    <w:rsid w:val="15597CF5"/>
    <w:rsid w:val="15622751"/>
    <w:rsid w:val="157F1BD4"/>
    <w:rsid w:val="15A36511"/>
    <w:rsid w:val="15B7338E"/>
    <w:rsid w:val="15D82406"/>
    <w:rsid w:val="15EB9AFF"/>
    <w:rsid w:val="15ED5AEC"/>
    <w:rsid w:val="160AAFE3"/>
    <w:rsid w:val="1610ABB0"/>
    <w:rsid w:val="163B39CB"/>
    <w:rsid w:val="16453710"/>
    <w:rsid w:val="164A90B7"/>
    <w:rsid w:val="16771843"/>
    <w:rsid w:val="1695C761"/>
    <w:rsid w:val="16DDED92"/>
    <w:rsid w:val="16FCC81B"/>
    <w:rsid w:val="17268B4F"/>
    <w:rsid w:val="17402AB7"/>
    <w:rsid w:val="1754E2CA"/>
    <w:rsid w:val="175F9B3E"/>
    <w:rsid w:val="1773F467"/>
    <w:rsid w:val="17BE871A"/>
    <w:rsid w:val="17D272A5"/>
    <w:rsid w:val="17D793FD"/>
    <w:rsid w:val="17F6C081"/>
    <w:rsid w:val="18DB05D3"/>
    <w:rsid w:val="18E47F4D"/>
    <w:rsid w:val="18EA7205"/>
    <w:rsid w:val="18EED450"/>
    <w:rsid w:val="18F1410F"/>
    <w:rsid w:val="1907D02E"/>
    <w:rsid w:val="1919E297"/>
    <w:rsid w:val="19248DF2"/>
    <w:rsid w:val="195A1D8A"/>
    <w:rsid w:val="195E3BD9"/>
    <w:rsid w:val="195F41A8"/>
    <w:rsid w:val="196B131D"/>
    <w:rsid w:val="1973645E"/>
    <w:rsid w:val="198C35BD"/>
    <w:rsid w:val="198D9807"/>
    <w:rsid w:val="19DC9255"/>
    <w:rsid w:val="19FBE07A"/>
    <w:rsid w:val="1A13F51F"/>
    <w:rsid w:val="1A16FEB4"/>
    <w:rsid w:val="1A1B7A0B"/>
    <w:rsid w:val="1A251E8A"/>
    <w:rsid w:val="1A524454"/>
    <w:rsid w:val="1A643BF7"/>
    <w:rsid w:val="1A995D73"/>
    <w:rsid w:val="1ABADDF7"/>
    <w:rsid w:val="1ABF7696"/>
    <w:rsid w:val="1AD44DEE"/>
    <w:rsid w:val="1ADDA20D"/>
    <w:rsid w:val="1ADE2699"/>
    <w:rsid w:val="1AE05E62"/>
    <w:rsid w:val="1B0F5B1A"/>
    <w:rsid w:val="1B11212C"/>
    <w:rsid w:val="1B1C4C49"/>
    <w:rsid w:val="1B29950F"/>
    <w:rsid w:val="1B4BB0AE"/>
    <w:rsid w:val="1B588010"/>
    <w:rsid w:val="1B79FA61"/>
    <w:rsid w:val="1BA055B4"/>
    <w:rsid w:val="1BC5A0A3"/>
    <w:rsid w:val="1C139BDA"/>
    <w:rsid w:val="1C2A5D9A"/>
    <w:rsid w:val="1C56AE58"/>
    <w:rsid w:val="1C5FC074"/>
    <w:rsid w:val="1C94D843"/>
    <w:rsid w:val="1CA34277"/>
    <w:rsid w:val="1CB81CAA"/>
    <w:rsid w:val="1CB9C6AC"/>
    <w:rsid w:val="1CED6EA1"/>
    <w:rsid w:val="1CF88C66"/>
    <w:rsid w:val="1CFDCA3F"/>
    <w:rsid w:val="1D0018CB"/>
    <w:rsid w:val="1D1696C1"/>
    <w:rsid w:val="1D66228C"/>
    <w:rsid w:val="1D846E54"/>
    <w:rsid w:val="1D8B14D0"/>
    <w:rsid w:val="1DCE8AEA"/>
    <w:rsid w:val="1DE335EB"/>
    <w:rsid w:val="1DE8275A"/>
    <w:rsid w:val="1DF27EB9"/>
    <w:rsid w:val="1DF6D74A"/>
    <w:rsid w:val="1E23AFF0"/>
    <w:rsid w:val="1E4EC307"/>
    <w:rsid w:val="1E82271D"/>
    <w:rsid w:val="1EA0D933"/>
    <w:rsid w:val="1EB0AE5F"/>
    <w:rsid w:val="1EB68C3B"/>
    <w:rsid w:val="1EB7524D"/>
    <w:rsid w:val="1ED2A19E"/>
    <w:rsid w:val="1ED75EFE"/>
    <w:rsid w:val="1EEA6FD7"/>
    <w:rsid w:val="1EF58853"/>
    <w:rsid w:val="1F047DE2"/>
    <w:rsid w:val="1F3266B6"/>
    <w:rsid w:val="1F3BD29B"/>
    <w:rsid w:val="1F4757CA"/>
    <w:rsid w:val="1F611A0B"/>
    <w:rsid w:val="1F9425E2"/>
    <w:rsid w:val="1FBA23D5"/>
    <w:rsid w:val="1FC4E93A"/>
    <w:rsid w:val="1FCBD371"/>
    <w:rsid w:val="1FDC49DD"/>
    <w:rsid w:val="1FE2A5E2"/>
    <w:rsid w:val="1FEA9368"/>
    <w:rsid w:val="1FF3C379"/>
    <w:rsid w:val="1FFD0632"/>
    <w:rsid w:val="20237C7F"/>
    <w:rsid w:val="204D94DC"/>
    <w:rsid w:val="2070BF54"/>
    <w:rsid w:val="207BE633"/>
    <w:rsid w:val="20DFF9CC"/>
    <w:rsid w:val="20F4C520"/>
    <w:rsid w:val="20FB70DD"/>
    <w:rsid w:val="2114BD98"/>
    <w:rsid w:val="212A1F7B"/>
    <w:rsid w:val="219A0DB7"/>
    <w:rsid w:val="21B1FEF0"/>
    <w:rsid w:val="21B8AFCB"/>
    <w:rsid w:val="21BCA6B3"/>
    <w:rsid w:val="21D4EF70"/>
    <w:rsid w:val="21E48C18"/>
    <w:rsid w:val="21FAEE70"/>
    <w:rsid w:val="22038CB1"/>
    <w:rsid w:val="221572BC"/>
    <w:rsid w:val="226BD672"/>
    <w:rsid w:val="22782BEE"/>
    <w:rsid w:val="228BD444"/>
    <w:rsid w:val="228C9986"/>
    <w:rsid w:val="229F70CD"/>
    <w:rsid w:val="22B80A48"/>
    <w:rsid w:val="22C5EFDC"/>
    <w:rsid w:val="22C813BB"/>
    <w:rsid w:val="22F5A3A7"/>
    <w:rsid w:val="2303BED2"/>
    <w:rsid w:val="23090BCD"/>
    <w:rsid w:val="230A62C4"/>
    <w:rsid w:val="2312A292"/>
    <w:rsid w:val="232F4BB4"/>
    <w:rsid w:val="23480CFD"/>
    <w:rsid w:val="23538EE2"/>
    <w:rsid w:val="2375FB04"/>
    <w:rsid w:val="239FF2FA"/>
    <w:rsid w:val="23ABE3A4"/>
    <w:rsid w:val="23F769C1"/>
    <w:rsid w:val="2415FE61"/>
    <w:rsid w:val="24722D0A"/>
    <w:rsid w:val="2489965E"/>
    <w:rsid w:val="24952BFF"/>
    <w:rsid w:val="24A36998"/>
    <w:rsid w:val="24BB1F96"/>
    <w:rsid w:val="24C05FBF"/>
    <w:rsid w:val="24CB1C15"/>
    <w:rsid w:val="24D07755"/>
    <w:rsid w:val="24DDBFB7"/>
    <w:rsid w:val="24FEE130"/>
    <w:rsid w:val="251C2CDA"/>
    <w:rsid w:val="2578C33A"/>
    <w:rsid w:val="257C37F2"/>
    <w:rsid w:val="2588C758"/>
    <w:rsid w:val="2595CADA"/>
    <w:rsid w:val="25A70F2B"/>
    <w:rsid w:val="25C3A2AC"/>
    <w:rsid w:val="25C66C5F"/>
    <w:rsid w:val="25CAE729"/>
    <w:rsid w:val="25D39EF6"/>
    <w:rsid w:val="25DF6D39"/>
    <w:rsid w:val="25ED3461"/>
    <w:rsid w:val="25F71BE4"/>
    <w:rsid w:val="260581A1"/>
    <w:rsid w:val="2617A02B"/>
    <w:rsid w:val="2627E63D"/>
    <w:rsid w:val="262C32E6"/>
    <w:rsid w:val="263B92EC"/>
    <w:rsid w:val="265B4DE1"/>
    <w:rsid w:val="265B9424"/>
    <w:rsid w:val="268C04F0"/>
    <w:rsid w:val="26AAB880"/>
    <w:rsid w:val="2700F615"/>
    <w:rsid w:val="273A7243"/>
    <w:rsid w:val="273FDD65"/>
    <w:rsid w:val="27451D74"/>
    <w:rsid w:val="274711E0"/>
    <w:rsid w:val="274AAC85"/>
    <w:rsid w:val="274B9D11"/>
    <w:rsid w:val="277AD711"/>
    <w:rsid w:val="2780E566"/>
    <w:rsid w:val="278A4C7B"/>
    <w:rsid w:val="27A8E6DD"/>
    <w:rsid w:val="280914C4"/>
    <w:rsid w:val="283FF022"/>
    <w:rsid w:val="288DD973"/>
    <w:rsid w:val="28E67CE6"/>
    <w:rsid w:val="291DE95F"/>
    <w:rsid w:val="294936D8"/>
    <w:rsid w:val="299E8D38"/>
    <w:rsid w:val="29E4F4C7"/>
    <w:rsid w:val="29F8BB0D"/>
    <w:rsid w:val="2A4BC29C"/>
    <w:rsid w:val="2A682296"/>
    <w:rsid w:val="2A824D47"/>
    <w:rsid w:val="2A949865"/>
    <w:rsid w:val="2B1DDBDC"/>
    <w:rsid w:val="2B2E2D7F"/>
    <w:rsid w:val="2B46176E"/>
    <w:rsid w:val="2B51E6CA"/>
    <w:rsid w:val="2B99C50C"/>
    <w:rsid w:val="2BB58A11"/>
    <w:rsid w:val="2BB7A32A"/>
    <w:rsid w:val="2BC36F2F"/>
    <w:rsid w:val="2BC56F9D"/>
    <w:rsid w:val="2BDBC8DC"/>
    <w:rsid w:val="2BDF003B"/>
    <w:rsid w:val="2BF6F2E7"/>
    <w:rsid w:val="2C11C693"/>
    <w:rsid w:val="2C1F0E34"/>
    <w:rsid w:val="2C51355C"/>
    <w:rsid w:val="2C79D381"/>
    <w:rsid w:val="2C9435A2"/>
    <w:rsid w:val="2CA99348"/>
    <w:rsid w:val="2CB33BB4"/>
    <w:rsid w:val="2CB56907"/>
    <w:rsid w:val="2CDC6319"/>
    <w:rsid w:val="2D05925F"/>
    <w:rsid w:val="2D0D2A5D"/>
    <w:rsid w:val="2D3823EA"/>
    <w:rsid w:val="2D5F72E6"/>
    <w:rsid w:val="2D70AB94"/>
    <w:rsid w:val="2D7906AB"/>
    <w:rsid w:val="2DB7C75D"/>
    <w:rsid w:val="2DB9EE09"/>
    <w:rsid w:val="2DC1D45F"/>
    <w:rsid w:val="2DD41861"/>
    <w:rsid w:val="2E0063E2"/>
    <w:rsid w:val="2E095804"/>
    <w:rsid w:val="2E13EBAF"/>
    <w:rsid w:val="2E15A3E2"/>
    <w:rsid w:val="2E1979E3"/>
    <w:rsid w:val="2E32AB83"/>
    <w:rsid w:val="2E4A929E"/>
    <w:rsid w:val="2E65074F"/>
    <w:rsid w:val="2ED77A60"/>
    <w:rsid w:val="2EEA6670"/>
    <w:rsid w:val="2F2E3E80"/>
    <w:rsid w:val="2F3916D2"/>
    <w:rsid w:val="2F55BBB0"/>
    <w:rsid w:val="2F56AEF6"/>
    <w:rsid w:val="2F822811"/>
    <w:rsid w:val="2F84D222"/>
    <w:rsid w:val="2FBBAEF9"/>
    <w:rsid w:val="2FD66894"/>
    <w:rsid w:val="300440F0"/>
    <w:rsid w:val="301329FC"/>
    <w:rsid w:val="3051744D"/>
    <w:rsid w:val="305E5939"/>
    <w:rsid w:val="308E07E6"/>
    <w:rsid w:val="30CC3911"/>
    <w:rsid w:val="311B15C4"/>
    <w:rsid w:val="31431064"/>
    <w:rsid w:val="31441FC7"/>
    <w:rsid w:val="3166E357"/>
    <w:rsid w:val="31686A51"/>
    <w:rsid w:val="31A314A1"/>
    <w:rsid w:val="31BED6DB"/>
    <w:rsid w:val="31CADDE7"/>
    <w:rsid w:val="31D72B28"/>
    <w:rsid w:val="31D90382"/>
    <w:rsid w:val="3223EFF7"/>
    <w:rsid w:val="3224FB61"/>
    <w:rsid w:val="323DCA9A"/>
    <w:rsid w:val="324F111D"/>
    <w:rsid w:val="326E6373"/>
    <w:rsid w:val="32856A3C"/>
    <w:rsid w:val="3287C651"/>
    <w:rsid w:val="32F97F34"/>
    <w:rsid w:val="3320F641"/>
    <w:rsid w:val="334ACABE"/>
    <w:rsid w:val="33D8E8B5"/>
    <w:rsid w:val="3406E11D"/>
    <w:rsid w:val="34195B58"/>
    <w:rsid w:val="34211696"/>
    <w:rsid w:val="3426F392"/>
    <w:rsid w:val="34617E31"/>
    <w:rsid w:val="34746530"/>
    <w:rsid w:val="34B91C77"/>
    <w:rsid w:val="34C2D2EF"/>
    <w:rsid w:val="34C44475"/>
    <w:rsid w:val="34CD61F5"/>
    <w:rsid w:val="354335CF"/>
    <w:rsid w:val="3547DA23"/>
    <w:rsid w:val="354C3A94"/>
    <w:rsid w:val="3599E57F"/>
    <w:rsid w:val="35A1809B"/>
    <w:rsid w:val="35DA5E12"/>
    <w:rsid w:val="35FD4E92"/>
    <w:rsid w:val="36168187"/>
    <w:rsid w:val="36349228"/>
    <w:rsid w:val="3640FA07"/>
    <w:rsid w:val="368438C5"/>
    <w:rsid w:val="36BE15B8"/>
    <w:rsid w:val="36C1FE40"/>
    <w:rsid w:val="36CE85EA"/>
    <w:rsid w:val="36DFFDD0"/>
    <w:rsid w:val="36E65937"/>
    <w:rsid w:val="37192D4A"/>
    <w:rsid w:val="372A56F0"/>
    <w:rsid w:val="372D99BD"/>
    <w:rsid w:val="372FFEEB"/>
    <w:rsid w:val="3730049D"/>
    <w:rsid w:val="375359FA"/>
    <w:rsid w:val="3770CB19"/>
    <w:rsid w:val="377F82E7"/>
    <w:rsid w:val="3790AD58"/>
    <w:rsid w:val="37BCC589"/>
    <w:rsid w:val="37C836BC"/>
    <w:rsid w:val="37FC08F5"/>
    <w:rsid w:val="37FFB844"/>
    <w:rsid w:val="38343203"/>
    <w:rsid w:val="385427A8"/>
    <w:rsid w:val="3859E619"/>
    <w:rsid w:val="3865EDFD"/>
    <w:rsid w:val="386DDF62"/>
    <w:rsid w:val="388A1F5F"/>
    <w:rsid w:val="38A21398"/>
    <w:rsid w:val="38C66749"/>
    <w:rsid w:val="39099D0C"/>
    <w:rsid w:val="392FD78D"/>
    <w:rsid w:val="39312DB2"/>
    <w:rsid w:val="394E2249"/>
    <w:rsid w:val="394E2CE1"/>
    <w:rsid w:val="39564AA9"/>
    <w:rsid w:val="39588200"/>
    <w:rsid w:val="3A0FB223"/>
    <w:rsid w:val="3A1A084B"/>
    <w:rsid w:val="3A309A34"/>
    <w:rsid w:val="3A370E0D"/>
    <w:rsid w:val="3A493185"/>
    <w:rsid w:val="3A4D8097"/>
    <w:rsid w:val="3A50CE0C"/>
    <w:rsid w:val="3A553818"/>
    <w:rsid w:val="3A91E2F1"/>
    <w:rsid w:val="3A9FA76E"/>
    <w:rsid w:val="3AA58DD4"/>
    <w:rsid w:val="3AA9A23A"/>
    <w:rsid w:val="3AAC0093"/>
    <w:rsid w:val="3AAC1EB1"/>
    <w:rsid w:val="3AB6CF53"/>
    <w:rsid w:val="3B0411CE"/>
    <w:rsid w:val="3B2D4A4C"/>
    <w:rsid w:val="3B358DE0"/>
    <w:rsid w:val="3B406775"/>
    <w:rsid w:val="3B59E34A"/>
    <w:rsid w:val="3B5D93ED"/>
    <w:rsid w:val="3B6121A7"/>
    <w:rsid w:val="3B64BECA"/>
    <w:rsid w:val="3B6775C2"/>
    <w:rsid w:val="3BC9162F"/>
    <w:rsid w:val="3C098AC6"/>
    <w:rsid w:val="3C17A9E6"/>
    <w:rsid w:val="3C1E046F"/>
    <w:rsid w:val="3C1E5C4A"/>
    <w:rsid w:val="3C769722"/>
    <w:rsid w:val="3C863DF9"/>
    <w:rsid w:val="3C8DDE42"/>
    <w:rsid w:val="3CD58830"/>
    <w:rsid w:val="3CE1004C"/>
    <w:rsid w:val="3CE845A1"/>
    <w:rsid w:val="3CF5B3AB"/>
    <w:rsid w:val="3D33A661"/>
    <w:rsid w:val="3D44680C"/>
    <w:rsid w:val="3D483BC6"/>
    <w:rsid w:val="3D4F64AD"/>
    <w:rsid w:val="3D5D9082"/>
    <w:rsid w:val="3D6B9F6F"/>
    <w:rsid w:val="3D6D7D3B"/>
    <w:rsid w:val="3D6EDB6B"/>
    <w:rsid w:val="3D7985FE"/>
    <w:rsid w:val="3DAB314F"/>
    <w:rsid w:val="3DC88FB2"/>
    <w:rsid w:val="3DE36EE0"/>
    <w:rsid w:val="3E076E11"/>
    <w:rsid w:val="3E3793A0"/>
    <w:rsid w:val="3E3A34B3"/>
    <w:rsid w:val="3E91840C"/>
    <w:rsid w:val="3E96C457"/>
    <w:rsid w:val="3E9B6BD9"/>
    <w:rsid w:val="3EA14E1E"/>
    <w:rsid w:val="3EA5087A"/>
    <w:rsid w:val="3EBBD517"/>
    <w:rsid w:val="3EC2A24E"/>
    <w:rsid w:val="3EE93777"/>
    <w:rsid w:val="3EF9762F"/>
    <w:rsid w:val="3EFD005B"/>
    <w:rsid w:val="3F218C12"/>
    <w:rsid w:val="3F2588B9"/>
    <w:rsid w:val="3F7F71B6"/>
    <w:rsid w:val="3F8A4478"/>
    <w:rsid w:val="3FB846B6"/>
    <w:rsid w:val="3FBC624D"/>
    <w:rsid w:val="3FC086C8"/>
    <w:rsid w:val="3FF4E359"/>
    <w:rsid w:val="3FF60E80"/>
    <w:rsid w:val="3FF7DC7B"/>
    <w:rsid w:val="401E084C"/>
    <w:rsid w:val="402C20D6"/>
    <w:rsid w:val="4068DEAB"/>
    <w:rsid w:val="408E3524"/>
    <w:rsid w:val="40B126C0"/>
    <w:rsid w:val="40F2BD9B"/>
    <w:rsid w:val="40FC1614"/>
    <w:rsid w:val="410CAF74"/>
    <w:rsid w:val="41376D34"/>
    <w:rsid w:val="413A388D"/>
    <w:rsid w:val="414D9863"/>
    <w:rsid w:val="4198AB1A"/>
    <w:rsid w:val="42025307"/>
    <w:rsid w:val="420EDD85"/>
    <w:rsid w:val="424E7CC7"/>
    <w:rsid w:val="42549BE4"/>
    <w:rsid w:val="426760E4"/>
    <w:rsid w:val="427F257E"/>
    <w:rsid w:val="42803212"/>
    <w:rsid w:val="429CE2FE"/>
    <w:rsid w:val="42A6CF8D"/>
    <w:rsid w:val="42B0D346"/>
    <w:rsid w:val="42CAC4D8"/>
    <w:rsid w:val="42DA2179"/>
    <w:rsid w:val="42F4173D"/>
    <w:rsid w:val="4333E364"/>
    <w:rsid w:val="4338BE59"/>
    <w:rsid w:val="4364F52F"/>
    <w:rsid w:val="4378428C"/>
    <w:rsid w:val="43825FDD"/>
    <w:rsid w:val="4391AD0E"/>
    <w:rsid w:val="43AD6601"/>
    <w:rsid w:val="43D9D365"/>
    <w:rsid w:val="43DDB9A5"/>
    <w:rsid w:val="440FBC76"/>
    <w:rsid w:val="4411BF96"/>
    <w:rsid w:val="4452B064"/>
    <w:rsid w:val="4465DB5C"/>
    <w:rsid w:val="448AC5E1"/>
    <w:rsid w:val="44BD8308"/>
    <w:rsid w:val="44C79AB1"/>
    <w:rsid w:val="4500C590"/>
    <w:rsid w:val="4519BCFE"/>
    <w:rsid w:val="452244DF"/>
    <w:rsid w:val="453ACA7F"/>
    <w:rsid w:val="4546E0A5"/>
    <w:rsid w:val="45622811"/>
    <w:rsid w:val="457042A8"/>
    <w:rsid w:val="45713AD6"/>
    <w:rsid w:val="45EE80C5"/>
    <w:rsid w:val="4640C265"/>
    <w:rsid w:val="464CCB43"/>
    <w:rsid w:val="468AD511"/>
    <w:rsid w:val="46A04E62"/>
    <w:rsid w:val="46B1A253"/>
    <w:rsid w:val="46DD13CD"/>
    <w:rsid w:val="46E74A9B"/>
    <w:rsid w:val="471788AF"/>
    <w:rsid w:val="47263E2C"/>
    <w:rsid w:val="4738A8D3"/>
    <w:rsid w:val="47422F56"/>
    <w:rsid w:val="47438002"/>
    <w:rsid w:val="4767AF22"/>
    <w:rsid w:val="47AC1D9A"/>
    <w:rsid w:val="47D20167"/>
    <w:rsid w:val="48195C12"/>
    <w:rsid w:val="4822DEFD"/>
    <w:rsid w:val="486A4AAF"/>
    <w:rsid w:val="488ABA44"/>
    <w:rsid w:val="488EFD8E"/>
    <w:rsid w:val="48B142CB"/>
    <w:rsid w:val="48BB3248"/>
    <w:rsid w:val="48DC437D"/>
    <w:rsid w:val="48EE33A6"/>
    <w:rsid w:val="491221C8"/>
    <w:rsid w:val="491F283D"/>
    <w:rsid w:val="492A4F6C"/>
    <w:rsid w:val="49420912"/>
    <w:rsid w:val="4945B381"/>
    <w:rsid w:val="4969E986"/>
    <w:rsid w:val="497BB3F3"/>
    <w:rsid w:val="4994B2E0"/>
    <w:rsid w:val="49B57269"/>
    <w:rsid w:val="49C3F036"/>
    <w:rsid w:val="49CB76C6"/>
    <w:rsid w:val="49D436B3"/>
    <w:rsid w:val="49EAD555"/>
    <w:rsid w:val="49ED5F10"/>
    <w:rsid w:val="49F4E360"/>
    <w:rsid w:val="49FE3304"/>
    <w:rsid w:val="4A2E236E"/>
    <w:rsid w:val="4A72CEDD"/>
    <w:rsid w:val="4A73BDC3"/>
    <w:rsid w:val="4AA8EC36"/>
    <w:rsid w:val="4AB0BCAF"/>
    <w:rsid w:val="4ADD57CA"/>
    <w:rsid w:val="4B0A1F5A"/>
    <w:rsid w:val="4B7167E5"/>
    <w:rsid w:val="4B82A151"/>
    <w:rsid w:val="4B86C49B"/>
    <w:rsid w:val="4B875875"/>
    <w:rsid w:val="4BA458DE"/>
    <w:rsid w:val="4BB26FBE"/>
    <w:rsid w:val="4BC84C36"/>
    <w:rsid w:val="4BCE37EB"/>
    <w:rsid w:val="4C16F125"/>
    <w:rsid w:val="4C1C9883"/>
    <w:rsid w:val="4C281766"/>
    <w:rsid w:val="4C2FF818"/>
    <w:rsid w:val="4C34ED59"/>
    <w:rsid w:val="4C4E5CFD"/>
    <w:rsid w:val="4C582AD9"/>
    <w:rsid w:val="4C5FA1FE"/>
    <w:rsid w:val="4C80A5C1"/>
    <w:rsid w:val="4C862DC3"/>
    <w:rsid w:val="4C9D8FB8"/>
    <w:rsid w:val="4CF2A31D"/>
    <w:rsid w:val="4CF7AD85"/>
    <w:rsid w:val="4D22ADCB"/>
    <w:rsid w:val="4D612E1C"/>
    <w:rsid w:val="4D6848E0"/>
    <w:rsid w:val="4D7C8542"/>
    <w:rsid w:val="4D84B3EE"/>
    <w:rsid w:val="4DB17D6B"/>
    <w:rsid w:val="4DB7C76A"/>
    <w:rsid w:val="4DE9F8A6"/>
    <w:rsid w:val="4DF2E2D8"/>
    <w:rsid w:val="4E2EABED"/>
    <w:rsid w:val="4E39E7E1"/>
    <w:rsid w:val="4E55A4F0"/>
    <w:rsid w:val="4E848D65"/>
    <w:rsid w:val="4E8C6AB1"/>
    <w:rsid w:val="4EB2875B"/>
    <w:rsid w:val="4EB65CD7"/>
    <w:rsid w:val="4ECBC0DD"/>
    <w:rsid w:val="4EEFB401"/>
    <w:rsid w:val="4EFDB326"/>
    <w:rsid w:val="4F53A623"/>
    <w:rsid w:val="4F666E3C"/>
    <w:rsid w:val="4F6ACFF5"/>
    <w:rsid w:val="4F6FC6F4"/>
    <w:rsid w:val="4FA187A4"/>
    <w:rsid w:val="4FDB7FB5"/>
    <w:rsid w:val="4FF031CE"/>
    <w:rsid w:val="4FF0F824"/>
    <w:rsid w:val="4FF3315F"/>
    <w:rsid w:val="500F7A91"/>
    <w:rsid w:val="50263BB8"/>
    <w:rsid w:val="5033D55A"/>
    <w:rsid w:val="5039720C"/>
    <w:rsid w:val="5047EF5E"/>
    <w:rsid w:val="504BF776"/>
    <w:rsid w:val="5065BB3D"/>
    <w:rsid w:val="506F2938"/>
    <w:rsid w:val="507B5911"/>
    <w:rsid w:val="50A45FEB"/>
    <w:rsid w:val="5107995C"/>
    <w:rsid w:val="511512EF"/>
    <w:rsid w:val="51230E84"/>
    <w:rsid w:val="51390C3F"/>
    <w:rsid w:val="5139DFD2"/>
    <w:rsid w:val="515BD30E"/>
    <w:rsid w:val="51A7D471"/>
    <w:rsid w:val="51C2FB47"/>
    <w:rsid w:val="51C347CF"/>
    <w:rsid w:val="51D3E584"/>
    <w:rsid w:val="5208516B"/>
    <w:rsid w:val="5213C8A9"/>
    <w:rsid w:val="5215AC6C"/>
    <w:rsid w:val="521A9552"/>
    <w:rsid w:val="5220AEF6"/>
    <w:rsid w:val="523F7971"/>
    <w:rsid w:val="5251FB54"/>
    <w:rsid w:val="5260AC81"/>
    <w:rsid w:val="528F6BC4"/>
    <w:rsid w:val="52D57B7F"/>
    <w:rsid w:val="532518EE"/>
    <w:rsid w:val="53456408"/>
    <w:rsid w:val="53867FEC"/>
    <w:rsid w:val="5386D1DB"/>
    <w:rsid w:val="538D2EA3"/>
    <w:rsid w:val="539D1F68"/>
    <w:rsid w:val="53D61634"/>
    <w:rsid w:val="54288B51"/>
    <w:rsid w:val="54382914"/>
    <w:rsid w:val="5446E807"/>
    <w:rsid w:val="54599A6E"/>
    <w:rsid w:val="54640DBF"/>
    <w:rsid w:val="5468AB9E"/>
    <w:rsid w:val="549B93CB"/>
    <w:rsid w:val="54BA697E"/>
    <w:rsid w:val="54C37F97"/>
    <w:rsid w:val="54DB102A"/>
    <w:rsid w:val="54F4FE2E"/>
    <w:rsid w:val="55636532"/>
    <w:rsid w:val="5564BE6A"/>
    <w:rsid w:val="556F4D06"/>
    <w:rsid w:val="55C2BD21"/>
    <w:rsid w:val="55D7F3B4"/>
    <w:rsid w:val="560C3B2C"/>
    <w:rsid w:val="56250976"/>
    <w:rsid w:val="563FAEDC"/>
    <w:rsid w:val="56440AB3"/>
    <w:rsid w:val="5652C80C"/>
    <w:rsid w:val="568A3EA3"/>
    <w:rsid w:val="56AD7357"/>
    <w:rsid w:val="56BAA741"/>
    <w:rsid w:val="56CF0735"/>
    <w:rsid w:val="572D2921"/>
    <w:rsid w:val="5748D473"/>
    <w:rsid w:val="574C8C88"/>
    <w:rsid w:val="57537A1B"/>
    <w:rsid w:val="575DB283"/>
    <w:rsid w:val="5766DED3"/>
    <w:rsid w:val="57913B30"/>
    <w:rsid w:val="57BA4BE1"/>
    <w:rsid w:val="581BA2E5"/>
    <w:rsid w:val="5840B652"/>
    <w:rsid w:val="58517576"/>
    <w:rsid w:val="585BCA79"/>
    <w:rsid w:val="5870908B"/>
    <w:rsid w:val="58812BB6"/>
    <w:rsid w:val="5888FC5E"/>
    <w:rsid w:val="58A4A9F0"/>
    <w:rsid w:val="5923AA4A"/>
    <w:rsid w:val="5943FA83"/>
    <w:rsid w:val="595F98B9"/>
    <w:rsid w:val="59F5B809"/>
    <w:rsid w:val="5A16DFE7"/>
    <w:rsid w:val="5A409C8E"/>
    <w:rsid w:val="5A4194AC"/>
    <w:rsid w:val="5A4C7083"/>
    <w:rsid w:val="5A547C17"/>
    <w:rsid w:val="5A6CAE04"/>
    <w:rsid w:val="5A705D7B"/>
    <w:rsid w:val="5A8D0FDB"/>
    <w:rsid w:val="5AA44111"/>
    <w:rsid w:val="5AAA5855"/>
    <w:rsid w:val="5AC45A63"/>
    <w:rsid w:val="5AF107A5"/>
    <w:rsid w:val="5B281AC0"/>
    <w:rsid w:val="5B37969B"/>
    <w:rsid w:val="5B462A5F"/>
    <w:rsid w:val="5B72A38C"/>
    <w:rsid w:val="5B8E1864"/>
    <w:rsid w:val="5B9259DE"/>
    <w:rsid w:val="5BAF2A0C"/>
    <w:rsid w:val="5BB2E2BD"/>
    <w:rsid w:val="5BB48AB9"/>
    <w:rsid w:val="5BC3A33B"/>
    <w:rsid w:val="5BCD5424"/>
    <w:rsid w:val="5BD85786"/>
    <w:rsid w:val="5BF6961F"/>
    <w:rsid w:val="5C42CF56"/>
    <w:rsid w:val="5C64AC53"/>
    <w:rsid w:val="5CC0919E"/>
    <w:rsid w:val="5CF37D14"/>
    <w:rsid w:val="5D1ACB0F"/>
    <w:rsid w:val="5D1AD228"/>
    <w:rsid w:val="5D29E8C5"/>
    <w:rsid w:val="5D3F46E9"/>
    <w:rsid w:val="5D56CB56"/>
    <w:rsid w:val="5D61CE06"/>
    <w:rsid w:val="5DB7B371"/>
    <w:rsid w:val="5DD4E18D"/>
    <w:rsid w:val="5DD7E0ED"/>
    <w:rsid w:val="5DDA5E47"/>
    <w:rsid w:val="5E22C650"/>
    <w:rsid w:val="5E300987"/>
    <w:rsid w:val="5E3CAAC1"/>
    <w:rsid w:val="5E4E6DBC"/>
    <w:rsid w:val="5E4EE9C7"/>
    <w:rsid w:val="5E7D2581"/>
    <w:rsid w:val="5E834B13"/>
    <w:rsid w:val="5E8428C0"/>
    <w:rsid w:val="5E85CBD4"/>
    <w:rsid w:val="5E8C1237"/>
    <w:rsid w:val="5E999CAE"/>
    <w:rsid w:val="5E9E4C8C"/>
    <w:rsid w:val="5ECD9D4A"/>
    <w:rsid w:val="5EDB174A"/>
    <w:rsid w:val="5EE1E90E"/>
    <w:rsid w:val="5EE5E407"/>
    <w:rsid w:val="5F1E8B23"/>
    <w:rsid w:val="5F27B8BB"/>
    <w:rsid w:val="5F95C1BC"/>
    <w:rsid w:val="5F988EC7"/>
    <w:rsid w:val="5FA00044"/>
    <w:rsid w:val="5FB1ADC6"/>
    <w:rsid w:val="5FC4E287"/>
    <w:rsid w:val="5FD51D62"/>
    <w:rsid w:val="5FF81F65"/>
    <w:rsid w:val="60322050"/>
    <w:rsid w:val="605C4E6D"/>
    <w:rsid w:val="6061CD4D"/>
    <w:rsid w:val="606E2BD2"/>
    <w:rsid w:val="60942957"/>
    <w:rsid w:val="60943137"/>
    <w:rsid w:val="60CBC0FA"/>
    <w:rsid w:val="60E58EE3"/>
    <w:rsid w:val="60F42F80"/>
    <w:rsid w:val="61555CAE"/>
    <w:rsid w:val="615CE49C"/>
    <w:rsid w:val="6173C7AE"/>
    <w:rsid w:val="6177519E"/>
    <w:rsid w:val="61BF84B2"/>
    <w:rsid w:val="61C36510"/>
    <w:rsid w:val="629C5E5A"/>
    <w:rsid w:val="62F2060D"/>
    <w:rsid w:val="6302294B"/>
    <w:rsid w:val="63027796"/>
    <w:rsid w:val="631BDD86"/>
    <w:rsid w:val="63680B76"/>
    <w:rsid w:val="6376F109"/>
    <w:rsid w:val="63AFE53F"/>
    <w:rsid w:val="63CD7564"/>
    <w:rsid w:val="63E57016"/>
    <w:rsid w:val="63E6E840"/>
    <w:rsid w:val="63EB9040"/>
    <w:rsid w:val="64289710"/>
    <w:rsid w:val="642C69E9"/>
    <w:rsid w:val="643FD030"/>
    <w:rsid w:val="6440145A"/>
    <w:rsid w:val="64416D48"/>
    <w:rsid w:val="6454DD9A"/>
    <w:rsid w:val="647DCF67"/>
    <w:rsid w:val="64CAD61C"/>
    <w:rsid w:val="64CE6ACC"/>
    <w:rsid w:val="64D4415C"/>
    <w:rsid w:val="64EA7019"/>
    <w:rsid w:val="64F5C835"/>
    <w:rsid w:val="64F971EB"/>
    <w:rsid w:val="64FE41A6"/>
    <w:rsid w:val="65404706"/>
    <w:rsid w:val="656F71A9"/>
    <w:rsid w:val="65718AAE"/>
    <w:rsid w:val="6583A43E"/>
    <w:rsid w:val="65AA16AF"/>
    <w:rsid w:val="65B14673"/>
    <w:rsid w:val="65B250F1"/>
    <w:rsid w:val="65F04903"/>
    <w:rsid w:val="664FFA6F"/>
    <w:rsid w:val="665B1032"/>
    <w:rsid w:val="666101E5"/>
    <w:rsid w:val="66661281"/>
    <w:rsid w:val="666E7B7F"/>
    <w:rsid w:val="66A6E40B"/>
    <w:rsid w:val="66B4ABB7"/>
    <w:rsid w:val="66C2CC92"/>
    <w:rsid w:val="66C3F96D"/>
    <w:rsid w:val="66D0C851"/>
    <w:rsid w:val="66DC646E"/>
    <w:rsid w:val="67047AF5"/>
    <w:rsid w:val="6796ADBA"/>
    <w:rsid w:val="67A8251F"/>
    <w:rsid w:val="67B83FC2"/>
    <w:rsid w:val="67B94A6F"/>
    <w:rsid w:val="67DE0013"/>
    <w:rsid w:val="67F5CAD4"/>
    <w:rsid w:val="6805D34E"/>
    <w:rsid w:val="6813BB64"/>
    <w:rsid w:val="6813D1BD"/>
    <w:rsid w:val="6881F990"/>
    <w:rsid w:val="688B8B21"/>
    <w:rsid w:val="68D0AA5B"/>
    <w:rsid w:val="68F93507"/>
    <w:rsid w:val="69174ABF"/>
    <w:rsid w:val="69211E0F"/>
    <w:rsid w:val="6924AE8C"/>
    <w:rsid w:val="693C418C"/>
    <w:rsid w:val="6951E2B9"/>
    <w:rsid w:val="69552EB4"/>
    <w:rsid w:val="69742D92"/>
    <w:rsid w:val="69ED5864"/>
    <w:rsid w:val="69FA0675"/>
    <w:rsid w:val="69FC00EB"/>
    <w:rsid w:val="6A09CA16"/>
    <w:rsid w:val="6A0AE991"/>
    <w:rsid w:val="6A145CAC"/>
    <w:rsid w:val="6A1B2849"/>
    <w:rsid w:val="6A1DC9F1"/>
    <w:rsid w:val="6A49450B"/>
    <w:rsid w:val="6A52456F"/>
    <w:rsid w:val="6A65A2B4"/>
    <w:rsid w:val="6A67DBF0"/>
    <w:rsid w:val="6A926EE4"/>
    <w:rsid w:val="6A97C67D"/>
    <w:rsid w:val="6A99A684"/>
    <w:rsid w:val="6ABB93E5"/>
    <w:rsid w:val="6AC49512"/>
    <w:rsid w:val="6B04441E"/>
    <w:rsid w:val="6B22AB48"/>
    <w:rsid w:val="6B31BADD"/>
    <w:rsid w:val="6B3A0D0A"/>
    <w:rsid w:val="6B613117"/>
    <w:rsid w:val="6B660880"/>
    <w:rsid w:val="6BA6DD6A"/>
    <w:rsid w:val="6BAEAAD2"/>
    <w:rsid w:val="6BB76451"/>
    <w:rsid w:val="6BD15E4F"/>
    <w:rsid w:val="6BD30AF6"/>
    <w:rsid w:val="6BD5C27A"/>
    <w:rsid w:val="6BF31EBD"/>
    <w:rsid w:val="6C065EA7"/>
    <w:rsid w:val="6C1CAF38"/>
    <w:rsid w:val="6C77C476"/>
    <w:rsid w:val="6C792026"/>
    <w:rsid w:val="6C9E9751"/>
    <w:rsid w:val="6CBE4270"/>
    <w:rsid w:val="6CDD857F"/>
    <w:rsid w:val="6CE5F3BF"/>
    <w:rsid w:val="6D349238"/>
    <w:rsid w:val="6D4575BC"/>
    <w:rsid w:val="6D492AD8"/>
    <w:rsid w:val="6D72BAC0"/>
    <w:rsid w:val="6D8532F6"/>
    <w:rsid w:val="6D8BD248"/>
    <w:rsid w:val="6D97DF95"/>
    <w:rsid w:val="6DD73728"/>
    <w:rsid w:val="6DE2AB36"/>
    <w:rsid w:val="6E2AC015"/>
    <w:rsid w:val="6E3026D3"/>
    <w:rsid w:val="6E3775A8"/>
    <w:rsid w:val="6E3BE7AE"/>
    <w:rsid w:val="6E416A88"/>
    <w:rsid w:val="6E59BBC8"/>
    <w:rsid w:val="6E82572E"/>
    <w:rsid w:val="6EC59FED"/>
    <w:rsid w:val="6ED812B7"/>
    <w:rsid w:val="6EDFC873"/>
    <w:rsid w:val="6EEF2877"/>
    <w:rsid w:val="6F0C8726"/>
    <w:rsid w:val="6F0D4C97"/>
    <w:rsid w:val="6F1A1316"/>
    <w:rsid w:val="6F34A2CF"/>
    <w:rsid w:val="6F5C871A"/>
    <w:rsid w:val="6F6FBA99"/>
    <w:rsid w:val="6F9C3680"/>
    <w:rsid w:val="6F9CF560"/>
    <w:rsid w:val="6FB8CE7E"/>
    <w:rsid w:val="6FBDE8F8"/>
    <w:rsid w:val="6FCAC5F6"/>
    <w:rsid w:val="6FD72984"/>
    <w:rsid w:val="6FE23571"/>
    <w:rsid w:val="70093A40"/>
    <w:rsid w:val="7013FBA3"/>
    <w:rsid w:val="7014B24F"/>
    <w:rsid w:val="7044B924"/>
    <w:rsid w:val="706AA05F"/>
    <w:rsid w:val="707A98AB"/>
    <w:rsid w:val="708FF49B"/>
    <w:rsid w:val="70B6E1C9"/>
    <w:rsid w:val="70DD42DF"/>
    <w:rsid w:val="70FCBF08"/>
    <w:rsid w:val="712C52D7"/>
    <w:rsid w:val="71379D62"/>
    <w:rsid w:val="713BA24D"/>
    <w:rsid w:val="7144BAD1"/>
    <w:rsid w:val="7149A282"/>
    <w:rsid w:val="714AB605"/>
    <w:rsid w:val="71A49BD9"/>
    <w:rsid w:val="71D25612"/>
    <w:rsid w:val="72049D62"/>
    <w:rsid w:val="724CD44E"/>
    <w:rsid w:val="7251A8D3"/>
    <w:rsid w:val="72A0C356"/>
    <w:rsid w:val="72ADE9C0"/>
    <w:rsid w:val="72D0535E"/>
    <w:rsid w:val="73141789"/>
    <w:rsid w:val="731C9EC9"/>
    <w:rsid w:val="732659F6"/>
    <w:rsid w:val="7326C7D2"/>
    <w:rsid w:val="73454C1F"/>
    <w:rsid w:val="736FF658"/>
    <w:rsid w:val="73774FC3"/>
    <w:rsid w:val="73991110"/>
    <w:rsid w:val="73A3D25D"/>
    <w:rsid w:val="73B7CD4A"/>
    <w:rsid w:val="73D2A655"/>
    <w:rsid w:val="73D7C121"/>
    <w:rsid w:val="73DEE8F4"/>
    <w:rsid w:val="73FD124E"/>
    <w:rsid w:val="743FA91F"/>
    <w:rsid w:val="74C04561"/>
    <w:rsid w:val="74C3A96B"/>
    <w:rsid w:val="74E9BB70"/>
    <w:rsid w:val="74EECBF5"/>
    <w:rsid w:val="74FE2BAD"/>
    <w:rsid w:val="75108DF7"/>
    <w:rsid w:val="75642FC7"/>
    <w:rsid w:val="7570C1C2"/>
    <w:rsid w:val="759309C0"/>
    <w:rsid w:val="7598AFDF"/>
    <w:rsid w:val="75AAC690"/>
    <w:rsid w:val="75B7F915"/>
    <w:rsid w:val="75C4BAAD"/>
    <w:rsid w:val="75F65FE5"/>
    <w:rsid w:val="75FB81BC"/>
    <w:rsid w:val="75FD6D13"/>
    <w:rsid w:val="762EF8B2"/>
    <w:rsid w:val="7637106E"/>
    <w:rsid w:val="765B5AFF"/>
    <w:rsid w:val="766B9D00"/>
    <w:rsid w:val="7683EF57"/>
    <w:rsid w:val="76CCA31B"/>
    <w:rsid w:val="76E8C034"/>
    <w:rsid w:val="76F5ACE6"/>
    <w:rsid w:val="770A320B"/>
    <w:rsid w:val="7753C976"/>
    <w:rsid w:val="7777DDC6"/>
    <w:rsid w:val="77A0A298"/>
    <w:rsid w:val="77BE5ADE"/>
    <w:rsid w:val="77E42446"/>
    <w:rsid w:val="77ED0FD3"/>
    <w:rsid w:val="78427C28"/>
    <w:rsid w:val="787999BD"/>
    <w:rsid w:val="7885AA90"/>
    <w:rsid w:val="78A53AD2"/>
    <w:rsid w:val="78C4352E"/>
    <w:rsid w:val="78EF99D7"/>
    <w:rsid w:val="78EFA987"/>
    <w:rsid w:val="78FCD8DF"/>
    <w:rsid w:val="792B1F59"/>
    <w:rsid w:val="793A24F4"/>
    <w:rsid w:val="794AE5A9"/>
    <w:rsid w:val="796368EA"/>
    <w:rsid w:val="79C4ABEE"/>
    <w:rsid w:val="7A09BBD9"/>
    <w:rsid w:val="7A672437"/>
    <w:rsid w:val="7A794A1E"/>
    <w:rsid w:val="7A97D493"/>
    <w:rsid w:val="7AAAD653"/>
    <w:rsid w:val="7ABA0CC0"/>
    <w:rsid w:val="7AD67D75"/>
    <w:rsid w:val="7AE085E2"/>
    <w:rsid w:val="7B19AFE6"/>
    <w:rsid w:val="7B2D3627"/>
    <w:rsid w:val="7B3500D0"/>
    <w:rsid w:val="7B378EDC"/>
    <w:rsid w:val="7B3AD1FB"/>
    <w:rsid w:val="7B3BD404"/>
    <w:rsid w:val="7B54E006"/>
    <w:rsid w:val="7B7402FE"/>
    <w:rsid w:val="7B8A27E4"/>
    <w:rsid w:val="7B93C820"/>
    <w:rsid w:val="7BA0143E"/>
    <w:rsid w:val="7BE09EE4"/>
    <w:rsid w:val="7BE52402"/>
    <w:rsid w:val="7BEEB02F"/>
    <w:rsid w:val="7BFF76CB"/>
    <w:rsid w:val="7C1A725E"/>
    <w:rsid w:val="7C60E7E4"/>
    <w:rsid w:val="7CC4C073"/>
    <w:rsid w:val="7CE4C6D1"/>
    <w:rsid w:val="7D02C77F"/>
    <w:rsid w:val="7D08F7FD"/>
    <w:rsid w:val="7D11F4D4"/>
    <w:rsid w:val="7D15FED2"/>
    <w:rsid w:val="7D19D974"/>
    <w:rsid w:val="7D462F50"/>
    <w:rsid w:val="7D526620"/>
    <w:rsid w:val="7D591BB3"/>
    <w:rsid w:val="7D6463E6"/>
    <w:rsid w:val="7DEC0ED0"/>
    <w:rsid w:val="7DFD618C"/>
    <w:rsid w:val="7E006024"/>
    <w:rsid w:val="7E1B5B03"/>
    <w:rsid w:val="7E1C9D69"/>
    <w:rsid w:val="7E37A571"/>
    <w:rsid w:val="7E5733A9"/>
    <w:rsid w:val="7E9F61A0"/>
    <w:rsid w:val="7EA024FE"/>
    <w:rsid w:val="7EA7962C"/>
    <w:rsid w:val="7EB15CAC"/>
    <w:rsid w:val="7EB1F9B9"/>
    <w:rsid w:val="7EBB2763"/>
    <w:rsid w:val="7EEFA217"/>
    <w:rsid w:val="7EF4EE07"/>
    <w:rsid w:val="7F171D81"/>
    <w:rsid w:val="7F4D0E08"/>
    <w:rsid w:val="7F623FF7"/>
    <w:rsid w:val="7F9584C9"/>
    <w:rsid w:val="7FB67329"/>
    <w:rsid w:val="7FDDB9DF"/>
    <w:rsid w:val="7FF3C4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0CD5635"/>
  <w15:chartTrackingRefBased/>
  <w15:docId w15:val="{5BDE3214-CD9B-49BD-B90F-424E67F2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88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8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881"/>
  </w:style>
  <w:style w:type="paragraph" w:styleId="Footer">
    <w:name w:val="footer"/>
    <w:basedOn w:val="Normal"/>
    <w:link w:val="FooterChar"/>
    <w:uiPriority w:val="99"/>
    <w:unhideWhenUsed/>
    <w:rsid w:val="007838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881"/>
  </w:style>
  <w:style w:type="character" w:styleId="CommentReference">
    <w:name w:val="annotation reference"/>
    <w:basedOn w:val="DefaultParagraphFont"/>
    <w:semiHidden/>
    <w:unhideWhenUsed/>
    <w:rsid w:val="00783881"/>
    <w:rPr>
      <w:sz w:val="16"/>
      <w:szCs w:val="16"/>
    </w:rPr>
  </w:style>
  <w:style w:type="paragraph" w:styleId="CommentText">
    <w:name w:val="annotation text"/>
    <w:basedOn w:val="Normal"/>
    <w:link w:val="CommentTextChar"/>
    <w:unhideWhenUsed/>
    <w:rsid w:val="00783881"/>
    <w:pPr>
      <w:spacing w:line="240" w:lineRule="auto"/>
    </w:pPr>
    <w:rPr>
      <w:sz w:val="20"/>
      <w:szCs w:val="20"/>
    </w:rPr>
  </w:style>
  <w:style w:type="character" w:customStyle="1" w:styleId="CommentTextChar">
    <w:name w:val="Comment Text Char"/>
    <w:basedOn w:val="DefaultParagraphFont"/>
    <w:link w:val="CommentText"/>
    <w:rsid w:val="00783881"/>
    <w:rPr>
      <w:sz w:val="20"/>
      <w:szCs w:val="20"/>
    </w:rPr>
  </w:style>
  <w:style w:type="character" w:styleId="Hyperlink">
    <w:name w:val="Hyperlink"/>
    <w:uiPriority w:val="99"/>
    <w:rsid w:val="00783881"/>
    <w:rPr>
      <w:color w:val="0000FF"/>
      <w:u w:val="single"/>
    </w:rPr>
  </w:style>
  <w:style w:type="paragraph" w:customStyle="1" w:styleId="BodyText1">
    <w:name w:val="Body Text1"/>
    <w:basedOn w:val="Normal"/>
    <w:link w:val="BodytextChar"/>
    <w:qFormat/>
    <w:rsid w:val="00783881"/>
    <w:pPr>
      <w:spacing w:before="120" w:after="120" w:line="240" w:lineRule="auto"/>
      <w:jc w:val="both"/>
    </w:pPr>
    <w:rPr>
      <w:rFonts w:ascii="Arial" w:eastAsia="Times New Roman" w:hAnsi="Arial" w:cs="Times New Roman"/>
      <w:noProof/>
      <w:szCs w:val="20"/>
      <w:lang w:val="en-GB"/>
    </w:rPr>
  </w:style>
  <w:style w:type="character" w:customStyle="1" w:styleId="BodytextChar">
    <w:name w:val="Body text Char"/>
    <w:link w:val="BodyText1"/>
    <w:rsid w:val="00783881"/>
    <w:rPr>
      <w:rFonts w:ascii="Arial" w:eastAsia="Times New Roman" w:hAnsi="Arial" w:cs="Times New Roman"/>
      <w:noProof/>
      <w:szCs w:val="20"/>
      <w:lang w:val="en-GB"/>
    </w:rPr>
  </w:style>
  <w:style w:type="paragraph" w:styleId="FootnoteText">
    <w:name w:val="footnote text"/>
    <w:aliases w:val="DTE-Voetnoottekst,Fußnotentextf,Footnote Text Char Char,RSK-FT,RSK-FT1,RSK-FT2,Fußnote,Fuﬂnotentextf,Footnote Text Blue,Geneva 9,Font: Geneva 9,Boston 10,f,Footnote Text Char Char Char Char Char Char,Tekst przypisu,Carattere Carattere,ft,o"/>
    <w:basedOn w:val="Normal"/>
    <w:link w:val="FootnoteTextChar1"/>
    <w:uiPriority w:val="99"/>
    <w:unhideWhenUsed/>
    <w:qFormat/>
    <w:rsid w:val="00783881"/>
    <w:pPr>
      <w:spacing w:after="0" w:line="240" w:lineRule="auto"/>
    </w:pPr>
    <w:rPr>
      <w:sz w:val="20"/>
      <w:szCs w:val="20"/>
      <w:lang w:val="en-GB"/>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DNV-FT Char,fn Char"/>
    <w:basedOn w:val="DefaultParagraphFont"/>
    <w:link w:val="FunChar1"/>
    <w:uiPriority w:val="99"/>
    <w:qFormat/>
    <w:rsid w:val="00783881"/>
    <w:rPr>
      <w:sz w:val="20"/>
      <w:szCs w:val="20"/>
    </w:rPr>
  </w:style>
  <w:style w:type="character" w:customStyle="1" w:styleId="FootnoteTextChar1">
    <w:name w:val="Footnote Text Char1"/>
    <w:aliases w:val="DTE-Voetnoottekst Char,Fußnotentextf Char,Footnote Text Char Char Char,RSK-FT Char,RSK-FT1 Char,RSK-FT2 Char,Fußnote Char,Fuﬂnotentextf Char,Footnote Text Blue Char,Geneva 9 Char,Font: Geneva 9 Char,Boston 10 Char,f Char,ft Char"/>
    <w:basedOn w:val="DefaultParagraphFont"/>
    <w:link w:val="FootnoteText"/>
    <w:uiPriority w:val="99"/>
    <w:rsid w:val="00783881"/>
    <w:rPr>
      <w:sz w:val="20"/>
      <w:szCs w:val="20"/>
      <w:lang w:val="en-GB"/>
    </w:rPr>
  </w:style>
  <w:style w:type="character" w:styleId="FootnoteReference">
    <w:name w:val="footnote reference"/>
    <w:aliases w:val="number,SUPERS,Footnote Reference Superscript,stylish,Footnote symbol,Footnote Reference Number,Footnote reference number,note TESI,-E Fußnotenzeichen,ftref,EN Footnote Reference,(Diplomarbeit FZ),(Diplomarbeit FZ)1,(Diplomarbeit FZ)2"/>
    <w:basedOn w:val="DefaultParagraphFont"/>
    <w:link w:val="FootnoteReferenceCharCarCharCharCarCharCarCharCarCharCarCharCharCarCarCharCharCharCharCharCarCharCarCharCharCarCharCar"/>
    <w:uiPriority w:val="99"/>
    <w:unhideWhenUsed/>
    <w:qFormat/>
    <w:rsid w:val="00783881"/>
    <w:rPr>
      <w:vertAlign w:val="superscript"/>
    </w:rPr>
  </w:style>
  <w:style w:type="paragraph" w:styleId="Caption">
    <w:name w:val="caption"/>
    <w:basedOn w:val="Normal"/>
    <w:next w:val="Normal"/>
    <w:qFormat/>
    <w:rsid w:val="00783881"/>
    <w:pPr>
      <w:spacing w:before="120" w:after="120" w:line="240" w:lineRule="auto"/>
      <w:jc w:val="center"/>
    </w:pPr>
    <w:rPr>
      <w:rFonts w:ascii="Arial" w:eastAsia="Times New Roman" w:hAnsi="Arial" w:cs="Times New Roman"/>
      <w:i/>
      <w:sz w:val="16"/>
      <w:szCs w:val="20"/>
      <w:lang w:val="fr-FR"/>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rsid w:val="00783881"/>
    <w:pPr>
      <w:spacing w:line="240" w:lineRule="exact"/>
      <w:jc w:val="both"/>
    </w:pPr>
    <w:rPr>
      <w:vertAlign w:val="superscript"/>
    </w:rPr>
  </w:style>
  <w:style w:type="character" w:customStyle="1" w:styleId="NormalTimesNewRomanChar">
    <w:name w:val="Normal Times New Roman Char"/>
    <w:basedOn w:val="DefaultParagraphFont"/>
    <w:link w:val="NormalTimesNewRoman"/>
    <w:locked/>
    <w:rsid w:val="00783881"/>
    <w:rPr>
      <w:rFonts w:ascii="Times New Roman" w:eastAsia="Times New Roman" w:hAnsi="Times New Roman" w:cs="Times New Roman"/>
      <w:sz w:val="24"/>
      <w:szCs w:val="24"/>
    </w:rPr>
  </w:style>
  <w:style w:type="paragraph" w:customStyle="1" w:styleId="NormalTimesNewRoman">
    <w:name w:val="Normal Times New Roman"/>
    <w:basedOn w:val="Normal"/>
    <w:link w:val="NormalTimesNewRomanChar"/>
    <w:qFormat/>
    <w:rsid w:val="00783881"/>
    <w:pPr>
      <w:spacing w:line="256" w:lineRule="auto"/>
      <w:jc w:val="both"/>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0F3DD4"/>
    <w:rPr>
      <w:b/>
      <w:bCs/>
    </w:rPr>
  </w:style>
  <w:style w:type="character" w:customStyle="1" w:styleId="CommentSubjectChar">
    <w:name w:val="Comment Subject Char"/>
    <w:basedOn w:val="CommentTextChar"/>
    <w:link w:val="CommentSubject"/>
    <w:uiPriority w:val="99"/>
    <w:semiHidden/>
    <w:rsid w:val="000F3DD4"/>
    <w:rPr>
      <w:b/>
      <w:bCs/>
      <w:sz w:val="20"/>
      <w:szCs w:val="20"/>
    </w:rPr>
  </w:style>
  <w:style w:type="paragraph" w:styleId="Revision">
    <w:name w:val="Revision"/>
    <w:hidden/>
    <w:uiPriority w:val="99"/>
    <w:semiHidden/>
    <w:rsid w:val="00EA7CF7"/>
    <w:pPr>
      <w:spacing w:after="0" w:line="240" w:lineRule="auto"/>
    </w:pPr>
  </w:style>
  <w:style w:type="character" w:customStyle="1" w:styleId="Mention">
    <w:name w:val="Mention"/>
    <w:basedOn w:val="DefaultParagraphFont"/>
    <w:uiPriority w:val="99"/>
    <w:unhideWhenUsed/>
    <w:rsid w:val="00B23768"/>
    <w:rPr>
      <w:color w:val="2B579A"/>
      <w:shd w:val="clear" w:color="auto" w:fill="E1DFDD"/>
    </w:rPr>
  </w:style>
  <w:style w:type="character" w:customStyle="1" w:styleId="Marker">
    <w:name w:val="Marker"/>
    <w:basedOn w:val="DefaultParagraphFont"/>
    <w:rsid w:val="00461C6D"/>
    <w:rPr>
      <w:color w:val="0000FF"/>
      <w:shd w:val="clear" w:color="auto" w:fill="auto"/>
    </w:rPr>
  </w:style>
  <w:style w:type="paragraph" w:customStyle="1" w:styleId="Pagedecouverture">
    <w:name w:val="Page de couverture"/>
    <w:basedOn w:val="Normal"/>
    <w:next w:val="Normal"/>
    <w:rsid w:val="008E335E"/>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8E335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8E335E"/>
    <w:rPr>
      <w:rFonts w:ascii="Times New Roman" w:hAnsi="Times New Roman" w:cs="Times New Roman"/>
      <w:sz w:val="24"/>
    </w:rPr>
  </w:style>
  <w:style w:type="paragraph" w:customStyle="1" w:styleId="FooterSensitivity">
    <w:name w:val="Footer Sensitivity"/>
    <w:basedOn w:val="Normal"/>
    <w:link w:val="FooterSensitivityChar"/>
    <w:rsid w:val="008E335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8E335E"/>
    <w:rPr>
      <w:rFonts w:ascii="Times New Roman" w:hAnsi="Times New Roman" w:cs="Times New Roman"/>
      <w:b/>
      <w:sz w:val="32"/>
    </w:rPr>
  </w:style>
  <w:style w:type="paragraph" w:customStyle="1" w:styleId="HeaderCoverPage">
    <w:name w:val="Header Cover Page"/>
    <w:basedOn w:val="Normal"/>
    <w:link w:val="HeaderCoverPageChar"/>
    <w:rsid w:val="008E335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8E335E"/>
    <w:rPr>
      <w:rFonts w:ascii="Times New Roman" w:hAnsi="Times New Roman" w:cs="Times New Roman"/>
      <w:sz w:val="24"/>
    </w:rPr>
  </w:style>
  <w:style w:type="paragraph" w:customStyle="1" w:styleId="HeaderSensitivity">
    <w:name w:val="Header Sensitivity"/>
    <w:basedOn w:val="Normal"/>
    <w:link w:val="HeaderSensitivityChar"/>
    <w:rsid w:val="008E335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8E335E"/>
    <w:rPr>
      <w:rFonts w:ascii="Times New Roman" w:hAnsi="Times New Roman" w:cs="Times New Roman"/>
      <w:b/>
      <w:sz w:val="32"/>
    </w:rPr>
  </w:style>
  <w:style w:type="paragraph" w:customStyle="1" w:styleId="HeaderSensitivityRight">
    <w:name w:val="Header Sensitivity Right"/>
    <w:basedOn w:val="Normal"/>
    <w:link w:val="HeaderSensitivityRightChar"/>
    <w:rsid w:val="008E335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8E335E"/>
    <w:rPr>
      <w:rFonts w:ascii="Times New Roman" w:hAnsi="Times New Roman" w:cs="Times New Roman"/>
      <w:sz w:val="28"/>
    </w:rPr>
  </w:style>
  <w:style w:type="character" w:styleId="FollowedHyperlink">
    <w:name w:val="FollowedHyperlink"/>
    <w:basedOn w:val="DefaultParagraphFont"/>
    <w:uiPriority w:val="99"/>
    <w:semiHidden/>
    <w:unhideWhenUsed/>
    <w:rsid w:val="003E2EAD"/>
    <w:rPr>
      <w:color w:val="954F72" w:themeColor="followedHyperlink"/>
      <w:u w:val="single"/>
    </w:rPr>
  </w:style>
  <w:style w:type="character" w:customStyle="1" w:styleId="UnresolvedMention">
    <w:name w:val="Unresolved Mention"/>
    <w:basedOn w:val="DefaultParagraphFont"/>
    <w:uiPriority w:val="99"/>
    <w:semiHidden/>
    <w:unhideWhenUsed/>
    <w:rsid w:val="003E2EAD"/>
    <w:rPr>
      <w:color w:val="605E5C"/>
      <w:shd w:val="clear" w:color="auto" w:fill="E1DFDD"/>
    </w:rPr>
  </w:style>
  <w:style w:type="paragraph" w:customStyle="1" w:styleId="FunChar1">
    <w:name w:val="Fußn Char1"/>
    <w:basedOn w:val="Normal"/>
    <w:next w:val="FootnoteText"/>
    <w:link w:val="FootnoteTextChar"/>
    <w:uiPriority w:val="99"/>
    <w:qFormat/>
    <w:rsid w:val="003E2EAD"/>
    <w:pPr>
      <w:spacing w:after="120" w:line="240" w:lineRule="auto"/>
      <w:jc w:val="both"/>
    </w:pPr>
    <w:rPr>
      <w:sz w:val="20"/>
      <w:szCs w:val="20"/>
    </w:rPr>
  </w:style>
  <w:style w:type="character" w:customStyle="1" w:styleId="DiplomarbeitFZ21">
    <w:name w:val="(Diplomarbeit FZ)21"/>
    <w:uiPriority w:val="99"/>
    <w:rsid w:val="003E2EAD"/>
    <w:rPr>
      <w:rFonts w:ascii="Arial" w:hAnsi="Arial"/>
      <w:sz w:val="16"/>
      <w:vertAlign w:val="superscript"/>
    </w:rPr>
  </w:style>
  <w:style w:type="paragraph" w:customStyle="1" w:styleId="SUPERSChar">
    <w:name w:val="SUPERS Char"/>
    <w:aliases w:val="EN Footnote Reference Char"/>
    <w:basedOn w:val="Normal"/>
    <w:uiPriority w:val="99"/>
    <w:rsid w:val="00481D12"/>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219357">
      <w:bodyDiv w:val="1"/>
      <w:marLeft w:val="0"/>
      <w:marRight w:val="0"/>
      <w:marTop w:val="0"/>
      <w:marBottom w:val="0"/>
      <w:divBdr>
        <w:top w:val="none" w:sz="0" w:space="0" w:color="auto"/>
        <w:left w:val="none" w:sz="0" w:space="0" w:color="auto"/>
        <w:bottom w:val="none" w:sz="0" w:space="0" w:color="auto"/>
        <w:right w:val="none" w:sz="0" w:space="0" w:color="auto"/>
      </w:divBdr>
    </w:div>
    <w:div w:id="1077020815">
      <w:bodyDiv w:val="1"/>
      <w:marLeft w:val="0"/>
      <w:marRight w:val="0"/>
      <w:marTop w:val="0"/>
      <w:marBottom w:val="0"/>
      <w:divBdr>
        <w:top w:val="none" w:sz="0" w:space="0" w:color="auto"/>
        <w:left w:val="none" w:sz="0" w:space="0" w:color="auto"/>
        <w:bottom w:val="none" w:sz="0" w:space="0" w:color="auto"/>
        <w:right w:val="none" w:sz="0" w:space="0" w:color="auto"/>
      </w:divBdr>
    </w:div>
    <w:div w:id="1949466319">
      <w:bodyDiv w:val="1"/>
      <w:marLeft w:val="0"/>
      <w:marRight w:val="0"/>
      <w:marTop w:val="0"/>
      <w:marBottom w:val="0"/>
      <w:divBdr>
        <w:top w:val="none" w:sz="0" w:space="0" w:color="auto"/>
        <w:left w:val="none" w:sz="0" w:space="0" w:color="auto"/>
        <w:bottom w:val="none" w:sz="0" w:space="0" w:color="auto"/>
        <w:right w:val="none" w:sz="0" w:space="0" w:color="auto"/>
      </w:divBdr>
    </w:div>
    <w:div w:id="207430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image" Target="media/image12.png"/><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png"/><Relationship Id="rId33" Type="http://schemas.openxmlformats.org/officeDocument/2006/relationships/image" Target="media/image11.png"/><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footer" Target="footer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png"/><Relationship Id="rId32" Type="http://schemas.openxmlformats.org/officeDocument/2006/relationships/footer" Target="footer6.xml"/><Relationship Id="rId37" Type="http://schemas.openxmlformats.org/officeDocument/2006/relationships/footer" Target="footer7.xml"/><Relationship Id="rId40"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header" Target="header5.xm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header" Target="header7.xml"/><Relationship Id="rId43"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iluc.guidehouse.com/" TargetMode="External"/><Relationship Id="rId2" Type="http://schemas.openxmlformats.org/officeDocument/2006/relationships/hyperlink" Target="https://unfccc.int/NDCREG" TargetMode="External"/><Relationship Id="rId1" Type="http://schemas.openxmlformats.org/officeDocument/2006/relationships/hyperlink" Target="https://ec.europa.eu/atwork/applying-eu-law/infringements-proceedings/infringement_decisions/" TargetMode="External"/><Relationship Id="rId6" Type="http://schemas.openxmlformats.org/officeDocument/2006/relationships/hyperlink" Target="https://wikis.ec.europa.eu/display/UDBBIS/Union+Database+for+Biofuels+-+Public+wiki" TargetMode="External"/><Relationship Id="rId5" Type="http://schemas.openxmlformats.org/officeDocument/2006/relationships/hyperlink" Target="https://energy.ec.europa.eu/topics/renewable-energy/bioenergy/voluntary-schemes_en" TargetMode="External"/><Relationship Id="rId4" Type="http://schemas.openxmlformats.org/officeDocument/2006/relationships/hyperlink" Target="https://guidehouse.com/case-studies/energy/2021/biofuels-with-indirect-land-use-change-ri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1646853-d1f1-460d-a8fd-4e5ec211dd61">
      <UserInfo>
        <DisplayName>TSITROULI Zinovia (ENER)</DisplayName>
        <AccountId>9</AccountId>
        <AccountType/>
      </UserInfo>
      <UserInfo>
        <DisplayName>GENTCHEV Galin (ENER)</DisplayName>
        <AccountId>19</AccountId>
        <AccountType/>
      </UserInfo>
      <UserInfo>
        <DisplayName>KUEPKER Bernd (ENER)</DisplayName>
        <AccountId>20</AccountId>
        <AccountType/>
      </UserInfo>
      <UserInfo>
        <DisplayName>VIERTIO Katja (ENER)</DisplayName>
        <AccountId>21</AccountId>
        <AccountType/>
      </UserInfo>
      <UserInfo>
        <DisplayName>HOFER Edith (ENER)</DisplayName>
        <AccountId>22</AccountId>
        <AccountType/>
      </UserInfo>
      <UserInfo>
        <DisplayName>KULISIC Biljana (ENER)</DisplayName>
        <AccountId>13</AccountId>
        <AccountType/>
      </UserInfo>
    </SharedWithUsers>
    <_activity xmlns="021c730f-05a5-408a-acfc-73c9e4caa4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1552BDE55614A8F1E98AAC4E05C66" ma:contentTypeVersion="7" ma:contentTypeDescription="Create a new document." ma:contentTypeScope="" ma:versionID="18a5ab95817ecaa1d35cc6a8638fb7e9">
  <xsd:schema xmlns:xsd="http://www.w3.org/2001/XMLSchema" xmlns:xs="http://www.w3.org/2001/XMLSchema" xmlns:p="http://schemas.microsoft.com/office/2006/metadata/properties" xmlns:ns3="021c730f-05a5-408a-acfc-73c9e4caa4c7" xmlns:ns4="31646853-d1f1-460d-a8fd-4e5ec211dd61" targetNamespace="http://schemas.microsoft.com/office/2006/metadata/properties" ma:root="true" ma:fieldsID="5c82a4ed5c6b2081b2c93a0879fc4fd7" ns3:_="" ns4:_="">
    <xsd:import namespace="021c730f-05a5-408a-acfc-73c9e4caa4c7"/>
    <xsd:import namespace="31646853-d1f1-460d-a8fd-4e5ec211dd61"/>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c730f-05a5-408a-acfc-73c9e4caa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646853-d1f1-460d-a8fd-4e5ec211dd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06F0C-B74A-4B4F-81A7-2F9261073669}">
  <ds:schemaRefs>
    <ds:schemaRef ds:uri="http://schemas.microsoft.com/office/2006/metadata/properties"/>
    <ds:schemaRef ds:uri="http://schemas.microsoft.com/office/infopath/2007/PartnerControls"/>
    <ds:schemaRef ds:uri="31646853-d1f1-460d-a8fd-4e5ec211dd61"/>
    <ds:schemaRef ds:uri="021c730f-05a5-408a-acfc-73c9e4caa4c7"/>
  </ds:schemaRefs>
</ds:datastoreItem>
</file>

<file path=customXml/itemProps2.xml><?xml version="1.0" encoding="utf-8"?>
<ds:datastoreItem xmlns:ds="http://schemas.openxmlformats.org/officeDocument/2006/customXml" ds:itemID="{E94A38F2-0793-4BFF-8562-F99F31685782}">
  <ds:schemaRefs>
    <ds:schemaRef ds:uri="http://schemas.microsoft.com/sharepoint/v3/contenttype/forms"/>
  </ds:schemaRefs>
</ds:datastoreItem>
</file>

<file path=customXml/itemProps3.xml><?xml version="1.0" encoding="utf-8"?>
<ds:datastoreItem xmlns:ds="http://schemas.openxmlformats.org/officeDocument/2006/customXml" ds:itemID="{DEC40D04-E9CC-4DEC-A0FB-5DD23114C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c730f-05a5-408a-acfc-73c9e4caa4c7"/>
    <ds:schemaRef ds:uri="31646853-d1f1-460d-a8fd-4e5ec211d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58908-C315-4AEE-B3E6-42539135D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5227</Words>
  <Characters>29800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TSITROULI Zinovia (ENER)</dc:creator>
  <cp:keywords/>
  <dc:description/>
  <cp:lastModifiedBy>EC CoDe</cp:lastModifiedBy>
  <cp:revision>18</cp:revision>
  <dcterms:created xsi:type="dcterms:W3CDTF">2023-10-18T20:09:00Z</dcterms:created>
  <dcterms:modified xsi:type="dcterms:W3CDTF">2023-10-24T06:34:00Z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2023-09-07T08:25:59Z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c2fa5555-5a20-444c-bb27-1ddf18bf4edf</vt:lpwstr>
  </property>
  <property fmtid="{D5CDD505-2E9C-101B-9397-08002B2CF9AE}" pid="8" name="MSIP_Label_6bd9ddd1-4d20-43f6-abfa-fc3c07406f94_ContentBits">
    <vt:lpwstr>0</vt:lpwstr>
  </property>
  <property fmtid="{D5CDD505-2E9C-101B-9397-08002B2CF9AE}" pid="9" name="ContentTypeId">
    <vt:lpwstr>0x0101006C11552BDE55614A8F1E98AAC4E05C66</vt:lpwstr>
  </property>
  <property fmtid="{D5CDD505-2E9C-101B-9397-08002B2CF9AE}" pid="10" name="Level of sensitivity">
    <vt:lpwstr>Standard treatment</vt:lpwstr>
  </property>
  <property fmtid="{D5CDD505-2E9C-101B-9397-08002B2CF9AE}" pid="11" name="First annex">
    <vt:lpwstr>1</vt:lpwstr>
  </property>
  <property fmtid="{D5CDD505-2E9C-101B-9397-08002B2CF9AE}" pid="12" name="Last annex">
    <vt:lpwstr>1</vt:lpwstr>
  </property>
  <property fmtid="{D5CDD505-2E9C-101B-9397-08002B2CF9AE}" pid="13" name="Unique annex">
    <vt:lpwstr>0</vt:lpwstr>
  </property>
  <property fmtid="{D5CDD505-2E9C-101B-9397-08002B2CF9AE}" pid="14" name="Part">
    <vt:lpwstr>1</vt:lpwstr>
  </property>
  <property fmtid="{D5CDD505-2E9C-101B-9397-08002B2CF9AE}" pid="15" name="Total parts">
    <vt:lpwstr>1</vt:lpwstr>
  </property>
  <property fmtid="{D5CDD505-2E9C-101B-9397-08002B2CF9AE}" pid="16" name="Last edited using">
    <vt:lpwstr>LW 9.0, Build 20230317</vt:lpwstr>
  </property>
  <property fmtid="{D5CDD505-2E9C-101B-9397-08002B2CF9AE}" pid="17" name="DocStatus">
    <vt:lpwstr>Green</vt:lpwstr>
  </property>
  <property fmtid="{D5CDD505-2E9C-101B-9397-08002B2CF9AE}" pid="18" name="CPTemplateID">
    <vt:lpwstr>CP-039</vt:lpwstr>
  </property>
  <property fmtid="{D5CDD505-2E9C-101B-9397-08002B2CF9AE}" pid="19" name="Created using">
    <vt:lpwstr>LW 9.0, Build 20230317</vt:lpwstr>
  </property>
</Properties>
</file>