
<file path=[Content_Types].xml><?xml version="1.0" encoding="utf-8"?>
<Types xmlns="http://schemas.openxmlformats.org/package/2006/content-types">
  <Default Extension="png" ContentType="image/png"/>
  <Default Extension="svg" ContentType="image/svg+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7E899" w14:textId="0B2FC256" w:rsidR="00843D83" w:rsidRDefault="00B85F9F" w:rsidP="00B85F9F">
      <w:pPr>
        <w:pStyle w:val="Pagedecouverture"/>
        <w:rPr>
          <w:noProof/>
        </w:rPr>
      </w:pPr>
      <w:bookmarkStart w:id="0" w:name="LW_BM_COVERPAGE"/>
      <w:r>
        <w:rPr>
          <w:noProof/>
        </w:rPr>
        <w:pict w14:anchorId="09B97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8503A2B2-F3D7-4F85-A983-274F8D96A07D" style="width:455.25pt;height:310.5pt">
            <v:imagedata r:id="rId11" o:title=""/>
          </v:shape>
        </w:pict>
      </w:r>
    </w:p>
    <w:bookmarkEnd w:id="0"/>
    <w:p w14:paraId="0A863337" w14:textId="77777777" w:rsidR="00843D83" w:rsidRDefault="00843D83" w:rsidP="00843D83">
      <w:pPr>
        <w:rPr>
          <w:noProof/>
        </w:rPr>
        <w:sectPr w:rsidR="00843D83" w:rsidSect="00B85F9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F4D315C" w14:textId="5B18F2D2" w:rsidR="00843D83" w:rsidRPr="000E1DCF" w:rsidRDefault="00843D83" w:rsidP="00843D83">
      <w:pPr>
        <w:pStyle w:val="TitreobjetPagedecouverture"/>
        <w:spacing w:before="0" w:after="160"/>
        <w:ind w:right="-188"/>
        <w:rPr>
          <w:rFonts w:eastAsiaTheme="minorEastAsia"/>
          <w:noProof/>
          <w:lang w:val="en-IE"/>
        </w:rPr>
        <w:sectPr w:rsidR="00843D83" w:rsidRPr="000E1DCF" w:rsidSect="0041115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pPr>
      <w:bookmarkStart w:id="1" w:name="_GoBack"/>
      <w:bookmarkEnd w:id="1"/>
      <w:r w:rsidRPr="4D029C46">
        <w:rPr>
          <w:rFonts w:eastAsiaTheme="minorEastAsia"/>
          <w:noProof/>
        </w:rPr>
        <w:lastRenderedPageBreak/>
        <w:t xml:space="preserve">Commission </w:t>
      </w:r>
      <w:r w:rsidR="00F37CE3">
        <w:rPr>
          <w:rFonts w:eastAsiaTheme="minorEastAsia"/>
          <w:noProof/>
        </w:rPr>
        <w:t>r</w:t>
      </w:r>
      <w:r w:rsidRPr="4D029C46">
        <w:rPr>
          <w:rFonts w:eastAsiaTheme="minorEastAsia"/>
          <w:noProof/>
        </w:rPr>
        <w:t xml:space="preserve">eport on </w:t>
      </w:r>
      <w:r w:rsidR="00F37CE3">
        <w:rPr>
          <w:rFonts w:eastAsiaTheme="minorEastAsia"/>
          <w:noProof/>
        </w:rPr>
        <w:t>e</w:t>
      </w:r>
      <w:r w:rsidRPr="4D029C46">
        <w:rPr>
          <w:rFonts w:eastAsiaTheme="minorEastAsia"/>
          <w:noProof/>
        </w:rPr>
        <w:t>nergy subsidies in the EU</w:t>
      </w:r>
    </w:p>
    <w:p w14:paraId="3F6B5690" w14:textId="77777777" w:rsidR="00843D83" w:rsidRPr="00DA60FE" w:rsidRDefault="00843D83" w:rsidP="00843D83">
      <w:pPr>
        <w:pStyle w:val="Heading1"/>
        <w:numPr>
          <w:ilvl w:val="0"/>
          <w:numId w:val="0"/>
        </w:numPr>
        <w:ind w:left="714"/>
        <w:rPr>
          <w:noProof/>
          <w:lang w:val="en-IE"/>
        </w:rPr>
      </w:pPr>
      <w:r>
        <w:rPr>
          <w:noProof/>
        </w:rPr>
        <w:t>Introduction and main findings</w:t>
      </w:r>
    </w:p>
    <w:p w14:paraId="13E49860" w14:textId="1E398CAE" w:rsidR="00843D83" w:rsidRPr="00DA60FE" w:rsidRDefault="00843D83" w:rsidP="00005909">
      <w:pPr>
        <w:pStyle w:val="BodyText"/>
        <w:jc w:val="both"/>
        <w:rPr>
          <w:noProof/>
        </w:rPr>
      </w:pPr>
      <w:r w:rsidRPr="0BD16CC5">
        <w:rPr>
          <w:noProof/>
        </w:rPr>
        <w:t xml:space="preserve">The European Union </w:t>
      </w:r>
      <w:r w:rsidRPr="4D029C46">
        <w:rPr>
          <w:noProof/>
        </w:rPr>
        <w:t xml:space="preserve">is </w:t>
      </w:r>
      <w:r>
        <w:rPr>
          <w:noProof/>
        </w:rPr>
        <w:t xml:space="preserve">firmly </w:t>
      </w:r>
      <w:r w:rsidRPr="4D029C46">
        <w:rPr>
          <w:noProof/>
        </w:rPr>
        <w:t>committed</w:t>
      </w:r>
      <w:r>
        <w:rPr>
          <w:noProof/>
        </w:rPr>
        <w:t xml:space="preserve"> to </w:t>
      </w:r>
      <w:r w:rsidRPr="0BD16CC5">
        <w:rPr>
          <w:noProof/>
        </w:rPr>
        <w:t>reduc</w:t>
      </w:r>
      <w:r w:rsidR="00F37CE3">
        <w:rPr>
          <w:noProof/>
        </w:rPr>
        <w:t>ing</w:t>
      </w:r>
      <w:r w:rsidRPr="0BD16CC5">
        <w:rPr>
          <w:noProof/>
        </w:rPr>
        <w:t xml:space="preserve"> its</w:t>
      </w:r>
      <w:r w:rsidRPr="0BD16CC5" w:rsidDel="004A0F63">
        <w:rPr>
          <w:noProof/>
        </w:rPr>
        <w:t xml:space="preserve"> </w:t>
      </w:r>
      <w:bookmarkStart w:id="2" w:name="_Int_xs6PnI0i"/>
      <w:r w:rsidR="00F37CE3">
        <w:rPr>
          <w:noProof/>
        </w:rPr>
        <w:t>greenhouse gas (</w:t>
      </w:r>
      <w:r>
        <w:rPr>
          <w:noProof/>
        </w:rPr>
        <w:t>GHG</w:t>
      </w:r>
      <w:bookmarkEnd w:id="2"/>
      <w:r w:rsidR="00F37CE3">
        <w:rPr>
          <w:noProof/>
        </w:rPr>
        <w:t>)</w:t>
      </w:r>
      <w:r w:rsidRPr="0BD16CC5">
        <w:rPr>
          <w:noProof/>
        </w:rPr>
        <w:t xml:space="preserve"> emissions </w:t>
      </w:r>
      <w:r w:rsidRPr="1769D2CF">
        <w:rPr>
          <w:noProof/>
        </w:rPr>
        <w:t xml:space="preserve">by at least 55% (compared to 1990) </w:t>
      </w:r>
      <w:r w:rsidRPr="0BD16CC5">
        <w:rPr>
          <w:noProof/>
        </w:rPr>
        <w:t>by 2030 and to be</w:t>
      </w:r>
      <w:r w:rsidRPr="1769D2CF">
        <w:rPr>
          <w:noProof/>
        </w:rPr>
        <w:t>come</w:t>
      </w:r>
      <w:r w:rsidRPr="0BD16CC5">
        <w:rPr>
          <w:noProof/>
        </w:rPr>
        <w:t xml:space="preserve"> climate neutral by 2050. </w:t>
      </w:r>
      <w:r>
        <w:rPr>
          <w:noProof/>
        </w:rPr>
        <w:t>Subsidies and other economic and legal incentives will play an essential role in</w:t>
      </w:r>
      <w:r w:rsidR="00F37CE3">
        <w:rPr>
          <w:noProof/>
        </w:rPr>
        <w:t>: (i)</w:t>
      </w:r>
      <w:r>
        <w:rPr>
          <w:noProof/>
        </w:rPr>
        <w:t xml:space="preserve"> accelerating the deploy</w:t>
      </w:r>
      <w:r w:rsidRPr="74A6EAD4">
        <w:rPr>
          <w:noProof/>
        </w:rPr>
        <w:t xml:space="preserve">ment </w:t>
      </w:r>
      <w:r>
        <w:rPr>
          <w:noProof/>
        </w:rPr>
        <w:t>of clean</w:t>
      </w:r>
      <w:r w:rsidR="00F37CE3">
        <w:rPr>
          <w:noProof/>
        </w:rPr>
        <w:t>-</w:t>
      </w:r>
      <w:r>
        <w:rPr>
          <w:noProof/>
        </w:rPr>
        <w:t>energy</w:t>
      </w:r>
      <w:r w:rsidRPr="4D029C46">
        <w:rPr>
          <w:noProof/>
        </w:rPr>
        <w:t xml:space="preserve"> and energy</w:t>
      </w:r>
      <w:r w:rsidR="00F37CE3">
        <w:rPr>
          <w:noProof/>
        </w:rPr>
        <w:t>-</w:t>
      </w:r>
      <w:r w:rsidRPr="4D029C46">
        <w:rPr>
          <w:noProof/>
        </w:rPr>
        <w:t>efficient solutions</w:t>
      </w:r>
      <w:r w:rsidR="00F37CE3">
        <w:rPr>
          <w:noProof/>
        </w:rPr>
        <w:t>; and (ii)</w:t>
      </w:r>
      <w:r w:rsidRPr="4D029C46">
        <w:rPr>
          <w:noProof/>
        </w:rPr>
        <w:t xml:space="preserve"> reducing </w:t>
      </w:r>
      <w:r>
        <w:rPr>
          <w:noProof/>
        </w:rPr>
        <w:t>the use of</w:t>
      </w:r>
      <w:r w:rsidRPr="0BD16CC5">
        <w:rPr>
          <w:noProof/>
        </w:rPr>
        <w:t xml:space="preserve"> fossil fuels.</w:t>
      </w:r>
      <w:r w:rsidRPr="74A6EAD4">
        <w:rPr>
          <w:noProof/>
        </w:rPr>
        <w:t xml:space="preserve"> </w:t>
      </w:r>
      <w:r>
        <w:rPr>
          <w:noProof/>
        </w:rPr>
        <w:t xml:space="preserve">Subsidies can have economic, environmental, or social welfare purposes. If </w:t>
      </w:r>
      <w:r w:rsidR="00F37CE3">
        <w:rPr>
          <w:noProof/>
        </w:rPr>
        <w:t xml:space="preserve">they are poorly </w:t>
      </w:r>
      <w:r>
        <w:rPr>
          <w:noProof/>
        </w:rPr>
        <w:t>designed, subsidies can distort competition, act against the energy transition</w:t>
      </w:r>
      <w:r w:rsidR="00F37CE3">
        <w:rPr>
          <w:noProof/>
        </w:rPr>
        <w:t>,</w:t>
      </w:r>
      <w:r>
        <w:rPr>
          <w:noProof/>
        </w:rPr>
        <w:t xml:space="preserve"> and reduce the carbon price signal. </w:t>
      </w:r>
      <w:r w:rsidR="001F3BED">
        <w:rPr>
          <w:noProof/>
        </w:rPr>
        <w:t xml:space="preserve">The EU is actively engaged </w:t>
      </w:r>
      <w:r w:rsidR="005E4004">
        <w:rPr>
          <w:noProof/>
        </w:rPr>
        <w:t xml:space="preserve">to </w:t>
      </w:r>
      <w:r w:rsidR="00AC3BDE">
        <w:rPr>
          <w:noProof/>
        </w:rPr>
        <w:t>phase out fossil fuel subsidies</w:t>
      </w:r>
      <w:r w:rsidR="001F3BED">
        <w:rPr>
          <w:noProof/>
        </w:rPr>
        <w:t xml:space="preserve"> also </w:t>
      </w:r>
      <w:r w:rsidR="005E4004">
        <w:rPr>
          <w:noProof/>
        </w:rPr>
        <w:t xml:space="preserve">as part of </w:t>
      </w:r>
      <w:r w:rsidR="001F3BED">
        <w:rPr>
          <w:noProof/>
        </w:rPr>
        <w:t xml:space="preserve">the </w:t>
      </w:r>
      <w:r w:rsidR="00132562">
        <w:rPr>
          <w:noProof/>
        </w:rPr>
        <w:t xml:space="preserve">EU’s </w:t>
      </w:r>
      <w:r w:rsidR="001F3BED">
        <w:rPr>
          <w:noProof/>
        </w:rPr>
        <w:t xml:space="preserve">international </w:t>
      </w:r>
      <w:r w:rsidR="00132562">
        <w:rPr>
          <w:noProof/>
        </w:rPr>
        <w:t xml:space="preserve">commitments made in the context of </w:t>
      </w:r>
      <w:r w:rsidR="001F3BED">
        <w:rPr>
          <w:noProof/>
        </w:rPr>
        <w:t>the G20 and in the World Trade Organization</w:t>
      </w:r>
      <w:r w:rsidR="001F3BED">
        <w:rPr>
          <w:rStyle w:val="FootnoteReference"/>
          <w:noProof/>
        </w:rPr>
        <w:footnoteReference w:id="2"/>
      </w:r>
      <w:r w:rsidR="001F3BED">
        <w:rPr>
          <w:noProof/>
        </w:rPr>
        <w:t xml:space="preserve">. </w:t>
      </w:r>
      <w:r w:rsidRPr="74A6EAD4">
        <w:rPr>
          <w:noProof/>
        </w:rPr>
        <w:t xml:space="preserve">The current </w:t>
      </w:r>
      <w:r>
        <w:rPr>
          <w:noProof/>
        </w:rPr>
        <w:t>r</w:t>
      </w:r>
      <w:r w:rsidRPr="74A6EAD4">
        <w:rPr>
          <w:noProof/>
        </w:rPr>
        <w:t xml:space="preserve">eport is the fourth </w:t>
      </w:r>
      <w:r w:rsidRPr="1769D2CF">
        <w:rPr>
          <w:noProof/>
        </w:rPr>
        <w:t>annual report monitoring energy subsidies and progress towards phasing out fossil-fuel subsidies, as prescribed by</w:t>
      </w:r>
      <w:r w:rsidRPr="74A6EAD4">
        <w:rPr>
          <w:noProof/>
        </w:rPr>
        <w:t xml:space="preserve"> the Regulation on the Governance of the Energy Union and Climate Action</w:t>
      </w:r>
      <w:r w:rsidRPr="00DA60FE">
        <w:rPr>
          <w:rStyle w:val="FootnoteReference"/>
          <w:noProof/>
        </w:rPr>
        <w:footnoteReference w:id="3"/>
      </w:r>
      <w:r w:rsidRPr="1769D2CF">
        <w:rPr>
          <w:noProof/>
        </w:rPr>
        <w:t>.</w:t>
      </w:r>
    </w:p>
    <w:p w14:paraId="31955AD5" w14:textId="73011487" w:rsidR="00843D83" w:rsidRPr="00DA60FE" w:rsidRDefault="00843D83" w:rsidP="00005909">
      <w:pPr>
        <w:pStyle w:val="BodyText"/>
        <w:jc w:val="both"/>
        <w:rPr>
          <w:noProof/>
        </w:rPr>
      </w:pPr>
      <w:r w:rsidRPr="00454809">
        <w:rPr>
          <w:noProof/>
        </w:rPr>
        <w:t>The energy crisis that started in 2021</w:t>
      </w:r>
      <w:r w:rsidR="00F37CE3">
        <w:rPr>
          <w:noProof/>
        </w:rPr>
        <w:t>,</w:t>
      </w:r>
      <w:r w:rsidRPr="00454809">
        <w:rPr>
          <w:noProof/>
        </w:rPr>
        <w:t xml:space="preserve"> and </w:t>
      </w:r>
      <w:r w:rsidR="00F37CE3">
        <w:rPr>
          <w:noProof/>
        </w:rPr>
        <w:t xml:space="preserve">which </w:t>
      </w:r>
      <w:r w:rsidRPr="00454809">
        <w:rPr>
          <w:noProof/>
        </w:rPr>
        <w:t>was aggravated by the Russian aggression to Ukraine in 2022</w:t>
      </w:r>
      <w:r w:rsidR="00F37CE3">
        <w:rPr>
          <w:noProof/>
        </w:rPr>
        <w:t>,</w:t>
      </w:r>
      <w:r w:rsidRPr="00454809">
        <w:rPr>
          <w:noProof/>
        </w:rPr>
        <w:t xml:space="preserve"> </w:t>
      </w:r>
      <w:r w:rsidRPr="1769D2CF">
        <w:rPr>
          <w:noProof/>
        </w:rPr>
        <w:t xml:space="preserve">had </w:t>
      </w:r>
      <w:r w:rsidR="00F37CE3">
        <w:rPr>
          <w:noProof/>
        </w:rPr>
        <w:t>significant</w:t>
      </w:r>
      <w:r w:rsidR="00F37CE3" w:rsidRPr="1769D2CF">
        <w:rPr>
          <w:noProof/>
        </w:rPr>
        <w:t xml:space="preserve"> </w:t>
      </w:r>
      <w:r w:rsidRPr="1769D2CF">
        <w:rPr>
          <w:noProof/>
        </w:rPr>
        <w:t>consequence</w:t>
      </w:r>
      <w:r>
        <w:rPr>
          <w:noProof/>
        </w:rPr>
        <w:t>s</w:t>
      </w:r>
      <w:r w:rsidRPr="1769D2CF">
        <w:rPr>
          <w:noProof/>
        </w:rPr>
        <w:t xml:space="preserve"> for energy-related subsidies</w:t>
      </w:r>
      <w:r w:rsidR="00F37CE3">
        <w:rPr>
          <w:noProof/>
        </w:rPr>
        <w:t>. These consequences can be seen in: (i) the</w:t>
      </w:r>
      <w:r w:rsidRPr="1769D2CF">
        <w:rPr>
          <w:noProof/>
        </w:rPr>
        <w:t xml:space="preserve"> </w:t>
      </w:r>
      <w:r>
        <w:rPr>
          <w:noProof/>
        </w:rPr>
        <w:t>amount</w:t>
      </w:r>
      <w:r w:rsidR="00F37CE3">
        <w:rPr>
          <w:noProof/>
        </w:rPr>
        <w:t xml:space="preserve"> of these subsidies; (ii) the</w:t>
      </w:r>
      <w:r>
        <w:rPr>
          <w:noProof/>
        </w:rPr>
        <w:t xml:space="preserve"> </w:t>
      </w:r>
      <w:r w:rsidRPr="1769D2CF">
        <w:rPr>
          <w:noProof/>
        </w:rPr>
        <w:t xml:space="preserve">distribution </w:t>
      </w:r>
      <w:r w:rsidR="00F37CE3">
        <w:rPr>
          <w:noProof/>
        </w:rPr>
        <w:t xml:space="preserve">of these subsidies </w:t>
      </w:r>
      <w:r>
        <w:rPr>
          <w:noProof/>
        </w:rPr>
        <w:t xml:space="preserve">across technologies </w:t>
      </w:r>
      <w:r w:rsidRPr="1769D2CF">
        <w:rPr>
          <w:noProof/>
        </w:rPr>
        <w:t xml:space="preserve">and </w:t>
      </w:r>
      <w:r>
        <w:rPr>
          <w:noProof/>
        </w:rPr>
        <w:t>beneficiaries</w:t>
      </w:r>
      <w:r w:rsidR="00F37CE3">
        <w:rPr>
          <w:noProof/>
        </w:rPr>
        <w:t>;</w:t>
      </w:r>
      <w:r>
        <w:rPr>
          <w:noProof/>
        </w:rPr>
        <w:t xml:space="preserve"> </w:t>
      </w:r>
      <w:r w:rsidR="00F37CE3">
        <w:rPr>
          <w:noProof/>
        </w:rPr>
        <w:t>and (iii)</w:t>
      </w:r>
      <w:r>
        <w:rPr>
          <w:noProof/>
        </w:rPr>
        <w:t xml:space="preserve"> the instruments used</w:t>
      </w:r>
      <w:r w:rsidR="00F37CE3">
        <w:rPr>
          <w:noProof/>
        </w:rPr>
        <w:t xml:space="preserve"> </w:t>
      </w:r>
      <w:r w:rsidR="007E5977">
        <w:rPr>
          <w:noProof/>
        </w:rPr>
        <w:t xml:space="preserve">to </w:t>
      </w:r>
      <w:r w:rsidR="00F236F1">
        <w:rPr>
          <w:noProof/>
        </w:rPr>
        <w:t xml:space="preserve">provide </w:t>
      </w:r>
      <w:r w:rsidR="00F37CE3">
        <w:rPr>
          <w:noProof/>
        </w:rPr>
        <w:t>these subsidies</w:t>
      </w:r>
      <w:r w:rsidRPr="1769D2CF">
        <w:rPr>
          <w:noProof/>
        </w:rPr>
        <w:t>. Russia’s weaponisation of energy supplies and the progressive cut</w:t>
      </w:r>
      <w:r w:rsidR="00F37CE3">
        <w:rPr>
          <w:noProof/>
        </w:rPr>
        <w:t>s in</w:t>
      </w:r>
      <w:r w:rsidRPr="1769D2CF">
        <w:rPr>
          <w:noProof/>
        </w:rPr>
        <w:t xml:space="preserve"> Russian gas supplies require</w:t>
      </w:r>
      <w:r>
        <w:rPr>
          <w:noProof/>
        </w:rPr>
        <w:t>d</w:t>
      </w:r>
      <w:r w:rsidRPr="1769D2CF">
        <w:rPr>
          <w:noProof/>
        </w:rPr>
        <w:t xml:space="preserve"> a strong EU policy response, including short-term measures to ensure the affordability of energy for vulnerable consumers and industries all over Europe.</w:t>
      </w:r>
    </w:p>
    <w:p w14:paraId="49CA721F" w14:textId="6867E65D" w:rsidR="00843D83" w:rsidRDefault="00843D83" w:rsidP="00005909">
      <w:pPr>
        <w:pStyle w:val="BodyText"/>
        <w:jc w:val="both"/>
        <w:rPr>
          <w:noProof/>
        </w:rPr>
      </w:pPr>
      <w:r w:rsidRPr="0BD16CC5">
        <w:rPr>
          <w:noProof/>
        </w:rPr>
        <w:t xml:space="preserve">The results of this study confirm that energy subsidies followed a gradually </w:t>
      </w:r>
      <w:r w:rsidR="00CC49AF">
        <w:rPr>
          <w:noProof/>
        </w:rPr>
        <w:t xml:space="preserve">increasing </w:t>
      </w:r>
      <w:r>
        <w:rPr>
          <w:noProof/>
        </w:rPr>
        <w:t xml:space="preserve">trend </w:t>
      </w:r>
      <w:r w:rsidRPr="0BD16CC5">
        <w:rPr>
          <w:noProof/>
        </w:rPr>
        <w:t xml:space="preserve">until </w:t>
      </w:r>
      <w:r>
        <w:rPr>
          <w:noProof/>
        </w:rPr>
        <w:t>2021</w:t>
      </w:r>
      <w:r w:rsidR="00CC49AF">
        <w:rPr>
          <w:noProof/>
        </w:rPr>
        <w:t>,</w:t>
      </w:r>
      <w:r w:rsidRPr="1769D2CF">
        <w:rPr>
          <w:noProof/>
        </w:rPr>
        <w:t xml:space="preserve"> and</w:t>
      </w:r>
      <w:r w:rsidRPr="74A6EAD4">
        <w:rPr>
          <w:noProof/>
        </w:rPr>
        <w:t xml:space="preserve"> </w:t>
      </w:r>
      <w:r w:rsidRPr="1769D2CF">
        <w:rPr>
          <w:noProof/>
        </w:rPr>
        <w:t>increased</w:t>
      </w:r>
      <w:r w:rsidRPr="74A6EAD4">
        <w:rPr>
          <w:noProof/>
        </w:rPr>
        <w:t xml:space="preserve"> dramatically in </w:t>
      </w:r>
      <w:r w:rsidRPr="0BD16CC5">
        <w:rPr>
          <w:noProof/>
        </w:rPr>
        <w:t xml:space="preserve">2022. Total energy subsidies </w:t>
      </w:r>
      <w:r w:rsidR="00CC49AF">
        <w:rPr>
          <w:noProof/>
        </w:rPr>
        <w:t xml:space="preserve">in the EU </w:t>
      </w:r>
      <w:r w:rsidRPr="0BD16CC5">
        <w:rPr>
          <w:noProof/>
        </w:rPr>
        <w:t xml:space="preserve">rose </w:t>
      </w:r>
      <w:r>
        <w:rPr>
          <w:noProof/>
        </w:rPr>
        <w:t xml:space="preserve">from </w:t>
      </w:r>
      <w:r w:rsidR="00CC49AF" w:rsidRPr="0BD16CC5">
        <w:rPr>
          <w:noProof/>
        </w:rPr>
        <w:t>EUR</w:t>
      </w:r>
      <w:r w:rsidR="00CC49AF">
        <w:rPr>
          <w:noProof/>
        </w:rPr>
        <w:t> </w:t>
      </w:r>
      <w:r w:rsidRPr="004476CD">
        <w:rPr>
          <w:noProof/>
        </w:rPr>
        <w:t>177</w:t>
      </w:r>
      <w:r w:rsidR="00CC49AF">
        <w:rPr>
          <w:noProof/>
        </w:rPr>
        <w:t> </w:t>
      </w:r>
      <w:r w:rsidRPr="0BD16CC5">
        <w:rPr>
          <w:noProof/>
        </w:rPr>
        <w:t xml:space="preserve">billion in </w:t>
      </w:r>
      <w:r w:rsidRPr="004476CD">
        <w:rPr>
          <w:noProof/>
        </w:rPr>
        <w:t>2015</w:t>
      </w:r>
      <w:r w:rsidRPr="0BD16CC5">
        <w:rPr>
          <w:noProof/>
        </w:rPr>
        <w:t xml:space="preserve"> to </w:t>
      </w:r>
      <w:r>
        <w:rPr>
          <w:noProof/>
        </w:rPr>
        <w:t xml:space="preserve">EUR 216 billion in </w:t>
      </w:r>
      <w:r w:rsidRPr="0BD16CC5">
        <w:rPr>
          <w:noProof/>
        </w:rPr>
        <w:t xml:space="preserve">2021, </w:t>
      </w:r>
      <w:r w:rsidRPr="550D26A3">
        <w:rPr>
          <w:noProof/>
        </w:rPr>
        <w:t xml:space="preserve">to </w:t>
      </w:r>
      <w:r w:rsidRPr="0BD16CC5">
        <w:rPr>
          <w:noProof/>
        </w:rPr>
        <w:t>reach</w:t>
      </w:r>
      <w:r w:rsidRPr="550D26A3">
        <w:rPr>
          <w:noProof/>
        </w:rPr>
        <w:t xml:space="preserve"> an estimated </w:t>
      </w:r>
      <w:r w:rsidRPr="0BD16CC5">
        <w:rPr>
          <w:noProof/>
        </w:rPr>
        <w:t>EUR 390 billion</w:t>
      </w:r>
      <w:r>
        <w:rPr>
          <w:noProof/>
        </w:rPr>
        <w:t xml:space="preserve"> in 2022</w:t>
      </w:r>
      <w:r w:rsidRPr="0BD16CC5">
        <w:rPr>
          <w:noProof/>
        </w:rPr>
        <w:t xml:space="preserve">. </w:t>
      </w:r>
    </w:p>
    <w:p w14:paraId="58EEF028" w14:textId="53B439DC" w:rsidR="00CD002B" w:rsidRPr="00DA60FE" w:rsidRDefault="00CD002B" w:rsidP="00CD002B">
      <w:pPr>
        <w:pStyle w:val="BodyText"/>
        <w:jc w:val="both"/>
        <w:rPr>
          <w:noProof/>
        </w:rPr>
      </w:pPr>
      <w:r>
        <w:rPr>
          <w:noProof/>
        </w:rPr>
        <w:t>The trend of decline in f</w:t>
      </w:r>
      <w:r w:rsidRPr="6631F2EE">
        <w:rPr>
          <w:noProof/>
        </w:rPr>
        <w:t xml:space="preserve">ossil fuel subsidies continued until 2021, </w:t>
      </w:r>
      <w:r w:rsidRPr="6631F2EE" w:rsidDel="00744D83">
        <w:rPr>
          <w:noProof/>
        </w:rPr>
        <w:t xml:space="preserve">when they were at </w:t>
      </w:r>
      <w:r w:rsidRPr="6631F2EE">
        <w:rPr>
          <w:noProof/>
        </w:rPr>
        <w:t>EUR</w:t>
      </w:r>
      <w:r>
        <w:rPr>
          <w:noProof/>
        </w:rPr>
        <w:t> </w:t>
      </w:r>
      <w:r w:rsidRPr="6631F2EE">
        <w:rPr>
          <w:noProof/>
        </w:rPr>
        <w:t>56</w:t>
      </w:r>
      <w:r>
        <w:rPr>
          <w:noProof/>
        </w:rPr>
        <w:t> </w:t>
      </w:r>
      <w:r w:rsidRPr="6631F2EE">
        <w:rPr>
          <w:noProof/>
        </w:rPr>
        <w:t xml:space="preserve">billion, before </w:t>
      </w:r>
      <w:r>
        <w:rPr>
          <w:noProof/>
        </w:rPr>
        <w:t>increasing rapidly</w:t>
      </w:r>
      <w:r w:rsidRPr="6631F2EE">
        <w:rPr>
          <w:noProof/>
        </w:rPr>
        <w:t xml:space="preserve"> to an estimated EUR 123 billion in 2022</w:t>
      </w:r>
      <w:r>
        <w:rPr>
          <w:noProof/>
        </w:rPr>
        <w:t xml:space="preserve"> in response to the crisis</w:t>
      </w:r>
      <w:r w:rsidRPr="6631F2EE">
        <w:rPr>
          <w:noProof/>
        </w:rPr>
        <w:t xml:space="preserve">. </w:t>
      </w:r>
      <w:r w:rsidRPr="1769D2CF">
        <w:rPr>
          <w:noProof/>
        </w:rPr>
        <w:t>Renewable energy subsidies fell in 2021 to EUR 86 billion</w:t>
      </w:r>
      <w:r>
        <w:rPr>
          <w:noProof/>
        </w:rPr>
        <w:t xml:space="preserve"> - the</w:t>
      </w:r>
      <w:r w:rsidRPr="1769D2CF">
        <w:rPr>
          <w:noProof/>
        </w:rPr>
        <w:t xml:space="preserve"> first time since 2015</w:t>
      </w:r>
      <w:r>
        <w:rPr>
          <w:noProof/>
        </w:rPr>
        <w:t xml:space="preserve"> - and </w:t>
      </w:r>
      <w:r w:rsidRPr="1769D2CF">
        <w:rPr>
          <w:noProof/>
        </w:rPr>
        <w:t>r</w:t>
      </w:r>
      <w:r>
        <w:rPr>
          <w:noProof/>
        </w:rPr>
        <w:t>o</w:t>
      </w:r>
      <w:r w:rsidRPr="1769D2CF">
        <w:rPr>
          <w:noProof/>
        </w:rPr>
        <w:t xml:space="preserve">se only slightly to </w:t>
      </w:r>
      <w:r w:rsidRPr="004E1004">
        <w:rPr>
          <w:noProof/>
        </w:rPr>
        <w:t>EUR 87 billion in 2022</w:t>
      </w:r>
      <w:r>
        <w:rPr>
          <w:noProof/>
        </w:rPr>
        <w:t xml:space="preserve">. This was </w:t>
      </w:r>
      <w:r w:rsidRPr="1769D2CF">
        <w:rPr>
          <w:noProof/>
        </w:rPr>
        <w:t xml:space="preserve">due to high </w:t>
      </w:r>
      <w:r>
        <w:rPr>
          <w:noProof/>
        </w:rPr>
        <w:t xml:space="preserve">prices on the </w:t>
      </w:r>
      <w:r w:rsidRPr="1769D2CF">
        <w:rPr>
          <w:noProof/>
        </w:rPr>
        <w:t xml:space="preserve">wholesale electricity market that </w:t>
      </w:r>
      <w:r>
        <w:rPr>
          <w:noProof/>
        </w:rPr>
        <w:t>reduced</w:t>
      </w:r>
      <w:r w:rsidRPr="1769D2CF">
        <w:rPr>
          <w:noProof/>
        </w:rPr>
        <w:t xml:space="preserve"> the </w:t>
      </w:r>
      <w:r>
        <w:rPr>
          <w:noProof/>
        </w:rPr>
        <w:t>subsidy amounts paid under dynamic</w:t>
      </w:r>
      <w:r w:rsidRPr="1769D2CF">
        <w:rPr>
          <w:noProof/>
        </w:rPr>
        <w:t xml:space="preserve"> support instruments.</w:t>
      </w:r>
      <w:r>
        <w:rPr>
          <w:noProof/>
        </w:rPr>
        <w:t xml:space="preserve"> On the other hand, support to energy-efficiency measures increased from EUR 22 billion in 2021 to EUR 32 billion by 2022</w:t>
      </w:r>
      <w:r w:rsidRPr="1769D2CF">
        <w:rPr>
          <w:noProof/>
        </w:rPr>
        <w:t>.</w:t>
      </w:r>
      <w:r w:rsidR="00B340F5">
        <w:rPr>
          <w:noProof/>
        </w:rPr>
        <w:t xml:space="preserve"> Support to all </w:t>
      </w:r>
      <w:r w:rsidR="000C612D">
        <w:rPr>
          <w:noProof/>
        </w:rPr>
        <w:t xml:space="preserve">other </w:t>
      </w:r>
      <w:r w:rsidR="00B340F5">
        <w:rPr>
          <w:noProof/>
        </w:rPr>
        <w:t xml:space="preserve">forms of energy, </w:t>
      </w:r>
      <w:r w:rsidR="000C612D">
        <w:rPr>
          <w:noProof/>
        </w:rPr>
        <w:t xml:space="preserve">including </w:t>
      </w:r>
      <w:r w:rsidR="00B340F5">
        <w:rPr>
          <w:noProof/>
        </w:rPr>
        <w:t>electricity</w:t>
      </w:r>
      <w:r w:rsidR="000C612D">
        <w:rPr>
          <w:noProof/>
        </w:rPr>
        <w:t xml:space="preserve"> as a carrier and </w:t>
      </w:r>
      <w:r w:rsidR="00B340F5">
        <w:rPr>
          <w:noProof/>
        </w:rPr>
        <w:t>nuclear amounted to EUR 180 billion in 2022.</w:t>
      </w:r>
    </w:p>
    <w:p w14:paraId="7688F9CF" w14:textId="17731EF8" w:rsidR="00843D83" w:rsidRPr="00DA60FE" w:rsidRDefault="00843D83" w:rsidP="00005909">
      <w:pPr>
        <w:pStyle w:val="BodyText"/>
        <w:jc w:val="both"/>
        <w:rPr>
          <w:noProof/>
        </w:rPr>
      </w:pPr>
      <w:r w:rsidRPr="1769D2CF">
        <w:rPr>
          <w:noProof/>
        </w:rPr>
        <w:t xml:space="preserve">In </w:t>
      </w:r>
      <w:r w:rsidR="00B340F5">
        <w:rPr>
          <w:noProof/>
        </w:rPr>
        <w:t>2021-</w:t>
      </w:r>
      <w:r w:rsidRPr="1769D2CF">
        <w:rPr>
          <w:noProof/>
        </w:rPr>
        <w:t xml:space="preserve">2022, energy subsidies linked to </w:t>
      </w:r>
      <w:r w:rsidRPr="00ED5F63">
        <w:rPr>
          <w:i/>
          <w:noProof/>
        </w:rPr>
        <w:t>n</w:t>
      </w:r>
      <w:r w:rsidR="000C612D">
        <w:rPr>
          <w:i/>
          <w:noProof/>
        </w:rPr>
        <w:t>ew n</w:t>
      </w:r>
      <w:r w:rsidRPr="00ED5F63">
        <w:rPr>
          <w:i/>
          <w:noProof/>
        </w:rPr>
        <w:t>ational measures to protect EU consumers</w:t>
      </w:r>
      <w:r w:rsidRPr="1769D2CF">
        <w:rPr>
          <w:noProof/>
        </w:rPr>
        <w:t xml:space="preserve"> from the high prices accounted for an estimated EUR 195 billion. A</w:t>
      </w:r>
      <w:r w:rsidR="00CC49AF">
        <w:rPr>
          <w:noProof/>
        </w:rPr>
        <w:t>cross the EU, a</w:t>
      </w:r>
      <w:r w:rsidRPr="1769D2CF">
        <w:rPr>
          <w:noProof/>
        </w:rPr>
        <w:t xml:space="preserve">t least 230 temporary </w:t>
      </w:r>
      <w:r w:rsidR="00CC49AF">
        <w:rPr>
          <w:noProof/>
        </w:rPr>
        <w:t xml:space="preserve">national </w:t>
      </w:r>
      <w:r w:rsidRPr="1769D2CF">
        <w:rPr>
          <w:noProof/>
        </w:rPr>
        <w:t xml:space="preserve">measures were introduced to </w:t>
      </w:r>
      <w:r>
        <w:rPr>
          <w:noProof/>
        </w:rPr>
        <w:t xml:space="preserve">address </w:t>
      </w:r>
      <w:r w:rsidRPr="1769D2CF">
        <w:rPr>
          <w:noProof/>
        </w:rPr>
        <w:t xml:space="preserve">the energy price crisis. Households were the main direct beneficiaries of these support measures (EUR </w:t>
      </w:r>
      <w:r w:rsidR="000C612D">
        <w:rPr>
          <w:noProof/>
        </w:rPr>
        <w:t>58</w:t>
      </w:r>
      <w:r w:rsidR="000C612D" w:rsidRPr="1769D2CF">
        <w:rPr>
          <w:noProof/>
        </w:rPr>
        <w:t xml:space="preserve"> </w:t>
      </w:r>
      <w:r w:rsidRPr="1769D2CF">
        <w:rPr>
          <w:noProof/>
        </w:rPr>
        <w:t xml:space="preserve">billion), followed by </w:t>
      </w:r>
      <w:r w:rsidR="000C612D">
        <w:rPr>
          <w:noProof/>
        </w:rPr>
        <w:t>business and industrial</w:t>
      </w:r>
      <w:r w:rsidRPr="1769D2CF">
        <w:rPr>
          <w:noProof/>
        </w:rPr>
        <w:t xml:space="preserve"> consumers (EUR </w:t>
      </w:r>
      <w:r w:rsidR="000C612D">
        <w:rPr>
          <w:noProof/>
        </w:rPr>
        <w:t>45</w:t>
      </w:r>
      <w:r w:rsidRPr="1769D2CF">
        <w:rPr>
          <w:noProof/>
        </w:rPr>
        <w:t xml:space="preserve"> billion) and road transport (EUR </w:t>
      </w:r>
      <w:r w:rsidR="000C612D">
        <w:rPr>
          <w:noProof/>
        </w:rPr>
        <w:t>23</w:t>
      </w:r>
      <w:r w:rsidR="000C612D" w:rsidRPr="1769D2CF">
        <w:rPr>
          <w:noProof/>
        </w:rPr>
        <w:t xml:space="preserve"> </w:t>
      </w:r>
      <w:r w:rsidRPr="1769D2CF">
        <w:rPr>
          <w:noProof/>
        </w:rPr>
        <w:t>billion).</w:t>
      </w:r>
      <w:r w:rsidR="000C612D">
        <w:rPr>
          <w:noProof/>
        </w:rPr>
        <w:t xml:space="preserve"> Cross-sectoral support was EUR 69 billion.</w:t>
      </w:r>
    </w:p>
    <w:p w14:paraId="54E0D645" w14:textId="5E3FDC41" w:rsidR="00843D83" w:rsidRDefault="004E1004" w:rsidP="00005909">
      <w:pPr>
        <w:pStyle w:val="BodyText"/>
        <w:jc w:val="both"/>
        <w:rPr>
          <w:noProof/>
        </w:rPr>
      </w:pPr>
      <w:r>
        <w:rPr>
          <w:noProof/>
        </w:rPr>
        <w:t>2022</w:t>
      </w:r>
      <w:r w:rsidRPr="20073020">
        <w:rPr>
          <w:noProof/>
        </w:rPr>
        <w:t xml:space="preserve"> </w:t>
      </w:r>
      <w:r w:rsidR="00843D83" w:rsidRPr="20073020">
        <w:rPr>
          <w:noProof/>
        </w:rPr>
        <w:t xml:space="preserve">was the first year that, as part of their integrated national energy and climate progress reports, </w:t>
      </w:r>
      <w:r w:rsidRPr="20073020">
        <w:rPr>
          <w:noProof/>
        </w:rPr>
        <w:t xml:space="preserve">Member States had to report </w:t>
      </w:r>
      <w:r w:rsidR="00843D83" w:rsidRPr="20073020">
        <w:rPr>
          <w:noProof/>
        </w:rPr>
        <w:t xml:space="preserve">on the progress </w:t>
      </w:r>
      <w:r>
        <w:rPr>
          <w:noProof/>
        </w:rPr>
        <w:t xml:space="preserve">they had made </w:t>
      </w:r>
      <w:r w:rsidR="00843D83" w:rsidRPr="20073020">
        <w:rPr>
          <w:noProof/>
        </w:rPr>
        <w:t xml:space="preserve">towards phasing out energy subsidies, </w:t>
      </w:r>
      <w:bookmarkStart w:id="3" w:name="_Int_8QdqrTaW"/>
      <w:r w:rsidR="00843D83" w:rsidRPr="20073020">
        <w:rPr>
          <w:noProof/>
        </w:rPr>
        <w:t>in particular for</w:t>
      </w:r>
      <w:bookmarkEnd w:id="3"/>
      <w:r w:rsidR="00843D83" w:rsidRPr="20073020">
        <w:rPr>
          <w:noProof/>
        </w:rPr>
        <w:t xml:space="preserve"> fossil fuels. In addition, this report includes a new section assessing the environmental impact of fossil</w:t>
      </w:r>
      <w:r>
        <w:rPr>
          <w:noProof/>
        </w:rPr>
        <w:t>-</w:t>
      </w:r>
      <w:r w:rsidR="00843D83" w:rsidRPr="20073020">
        <w:rPr>
          <w:noProof/>
        </w:rPr>
        <w:t>fuel subsidies.</w:t>
      </w:r>
    </w:p>
    <w:p w14:paraId="5088F80C" w14:textId="0097FC18" w:rsidR="00843D83" w:rsidRPr="00DA60FE" w:rsidDel="008647A2" w:rsidRDefault="00843D83" w:rsidP="00005909">
      <w:pPr>
        <w:pStyle w:val="BodyText"/>
        <w:jc w:val="both"/>
        <w:rPr>
          <w:noProof/>
        </w:rPr>
      </w:pPr>
      <w:r>
        <w:rPr>
          <w:noProof/>
        </w:rPr>
        <w:t xml:space="preserve">This report </w:t>
      </w:r>
      <w:r w:rsidRPr="00DA60FE">
        <w:rPr>
          <w:noProof/>
        </w:rPr>
        <w:t>relies</w:t>
      </w:r>
      <w:r>
        <w:rPr>
          <w:noProof/>
        </w:rPr>
        <w:t xml:space="preserve"> on </w:t>
      </w:r>
      <w:r w:rsidRPr="00DA60FE" w:rsidDel="00AA7AE1">
        <w:rPr>
          <w:noProof/>
        </w:rPr>
        <w:t>dat</w:t>
      </w:r>
      <w:r w:rsidRPr="32CCF798">
        <w:rPr>
          <w:noProof/>
        </w:rPr>
        <w:t xml:space="preserve">a </w:t>
      </w:r>
      <w:r w:rsidRPr="00DA60FE" w:rsidDel="00581F2B">
        <w:rPr>
          <w:noProof/>
        </w:rPr>
        <w:t xml:space="preserve">from an </w:t>
      </w:r>
      <w:r w:rsidRPr="1769D2CF">
        <w:rPr>
          <w:noProof/>
        </w:rPr>
        <w:t>external study</w:t>
      </w:r>
      <w:r w:rsidRPr="00DA60FE">
        <w:rPr>
          <w:rStyle w:val="FootnoteReference"/>
          <w:noProof/>
        </w:rPr>
        <w:footnoteReference w:id="4"/>
      </w:r>
      <w:r w:rsidRPr="035B3674">
        <w:rPr>
          <w:rStyle w:val="FootnoteReference"/>
          <w:noProof/>
        </w:rPr>
        <w:t xml:space="preserve"> </w:t>
      </w:r>
      <w:r>
        <w:rPr>
          <w:noProof/>
        </w:rPr>
        <w:t xml:space="preserve">conducted for </w:t>
      </w:r>
      <w:r w:rsidRPr="1769D2CF">
        <w:rPr>
          <w:noProof/>
        </w:rPr>
        <w:t>the Commission</w:t>
      </w:r>
      <w:r>
        <w:rPr>
          <w:noProof/>
        </w:rPr>
        <w:t xml:space="preserve"> using </w:t>
      </w:r>
      <w:r w:rsidRPr="1769D2CF">
        <w:rPr>
          <w:noProof/>
        </w:rPr>
        <w:t xml:space="preserve">an </w:t>
      </w:r>
      <w:r w:rsidRPr="74A6EAD4">
        <w:rPr>
          <w:noProof/>
        </w:rPr>
        <w:t xml:space="preserve">internationally accepted </w:t>
      </w:r>
      <w:r w:rsidRPr="1769D2CF" w:rsidDel="00200960">
        <w:rPr>
          <w:noProof/>
        </w:rPr>
        <w:t>methodology</w:t>
      </w:r>
      <w:r w:rsidRPr="49BD78D8">
        <w:rPr>
          <w:noProof/>
        </w:rPr>
        <w:t xml:space="preserve">. Some 2022 data </w:t>
      </w:r>
      <w:r w:rsidR="004E1004">
        <w:rPr>
          <w:noProof/>
        </w:rPr>
        <w:t>were</w:t>
      </w:r>
      <w:r w:rsidR="004E1004" w:rsidRPr="49BD78D8">
        <w:rPr>
          <w:noProof/>
        </w:rPr>
        <w:t xml:space="preserve"> </w:t>
      </w:r>
      <w:r w:rsidRPr="49BD78D8">
        <w:rPr>
          <w:noProof/>
        </w:rPr>
        <w:t>not fully available or</w:t>
      </w:r>
      <w:r w:rsidRPr="274B9C8E">
        <w:rPr>
          <w:noProof/>
        </w:rPr>
        <w:t xml:space="preserve"> </w:t>
      </w:r>
      <w:r w:rsidRPr="49BD78D8">
        <w:rPr>
          <w:noProof/>
        </w:rPr>
        <w:t>validated</w:t>
      </w:r>
      <w:r>
        <w:rPr>
          <w:noProof/>
        </w:rPr>
        <w:t xml:space="preserve"> at the time </w:t>
      </w:r>
      <w:r w:rsidRPr="00DA60FE" w:rsidDel="00A456B6">
        <w:rPr>
          <w:noProof/>
        </w:rPr>
        <w:t xml:space="preserve">the study </w:t>
      </w:r>
      <w:r w:rsidRPr="00DA60FE">
        <w:rPr>
          <w:noProof/>
        </w:rPr>
        <w:t>was completed</w:t>
      </w:r>
      <w:r w:rsidRPr="274B9C8E">
        <w:rPr>
          <w:noProof/>
        </w:rPr>
        <w:t xml:space="preserve"> </w:t>
      </w:r>
      <w:r>
        <w:rPr>
          <w:noProof/>
        </w:rPr>
        <w:t xml:space="preserve">(August </w:t>
      </w:r>
      <w:r w:rsidRPr="274B9C8E">
        <w:rPr>
          <w:noProof/>
        </w:rPr>
        <w:t>202</w:t>
      </w:r>
      <w:r w:rsidRPr="74A6EAD4">
        <w:rPr>
          <w:noProof/>
        </w:rPr>
        <w:t>3)</w:t>
      </w:r>
      <w:r>
        <w:rPr>
          <w:noProof/>
        </w:rPr>
        <w:t xml:space="preserve">, </w:t>
      </w:r>
      <w:r w:rsidR="004E1004">
        <w:rPr>
          <w:noProof/>
        </w:rPr>
        <w:t>so</w:t>
      </w:r>
      <w:r w:rsidR="004E1004" w:rsidRPr="21CBE485">
        <w:rPr>
          <w:noProof/>
        </w:rPr>
        <w:t xml:space="preserve"> </w:t>
      </w:r>
      <w:r w:rsidRPr="21CBE485">
        <w:rPr>
          <w:noProof/>
        </w:rPr>
        <w:t>202</w:t>
      </w:r>
      <w:r w:rsidRPr="4B2432D6" w:rsidDel="6B6FFF7E">
        <w:rPr>
          <w:noProof/>
        </w:rPr>
        <w:t>2</w:t>
      </w:r>
      <w:r>
        <w:rPr>
          <w:noProof/>
        </w:rPr>
        <w:t xml:space="preserve"> figures </w:t>
      </w:r>
      <w:r w:rsidR="004E1004">
        <w:rPr>
          <w:noProof/>
        </w:rPr>
        <w:t xml:space="preserve">may </w:t>
      </w:r>
      <w:r w:rsidRPr="4B2432D6">
        <w:rPr>
          <w:noProof/>
        </w:rPr>
        <w:t>rely on data gap mitigation</w:t>
      </w:r>
      <w:r w:rsidRPr="49BD78D8">
        <w:rPr>
          <w:noProof/>
        </w:rPr>
        <w:t xml:space="preserve"> techniques</w:t>
      </w:r>
      <w:r w:rsidRPr="4B2432D6">
        <w:rPr>
          <w:rStyle w:val="FootnoteReference"/>
          <w:noProof/>
        </w:rPr>
        <w:footnoteReference w:id="5"/>
      </w:r>
      <w:r w:rsidRPr="49BD78D8">
        <w:rPr>
          <w:noProof/>
        </w:rPr>
        <w:t>. As in previous</w:t>
      </w:r>
      <w:r w:rsidRPr="274B9C8E">
        <w:rPr>
          <w:noProof/>
        </w:rPr>
        <w:t xml:space="preserve"> editions</w:t>
      </w:r>
      <w:r w:rsidRPr="49BD78D8">
        <w:rPr>
          <w:noProof/>
        </w:rPr>
        <w:t xml:space="preserve">, Member States were given the opportunity to </w:t>
      </w:r>
      <w:r w:rsidRPr="4B2432D6" w:rsidDel="40301FDD">
        <w:rPr>
          <w:noProof/>
        </w:rPr>
        <w:t>provide</w:t>
      </w:r>
      <w:r w:rsidRPr="49BD78D8">
        <w:rPr>
          <w:noProof/>
        </w:rPr>
        <w:t xml:space="preserve"> fee</w:t>
      </w:r>
      <w:r w:rsidRPr="4B2432D6">
        <w:rPr>
          <w:noProof/>
        </w:rPr>
        <w:t>d</w:t>
      </w:r>
      <w:r w:rsidRPr="1769D2CF">
        <w:rPr>
          <w:noProof/>
        </w:rPr>
        <w:t xml:space="preserve">back on the data </w:t>
      </w:r>
      <w:r>
        <w:rPr>
          <w:noProof/>
        </w:rPr>
        <w:t>used for the study.</w:t>
      </w:r>
    </w:p>
    <w:p w14:paraId="3F155EDF" w14:textId="77777777" w:rsidR="00843D83" w:rsidRPr="00DA60FE" w:rsidRDefault="00843D83" w:rsidP="00843D83">
      <w:pPr>
        <w:pStyle w:val="Heading1"/>
        <w:pageBreakBefore/>
        <w:rPr>
          <w:noProof/>
          <w:lang w:val="en-IE"/>
        </w:rPr>
      </w:pPr>
      <w:r>
        <w:rPr>
          <w:noProof/>
        </w:rPr>
        <w:t>Energy subsidy trends in the EU</w:t>
      </w:r>
    </w:p>
    <w:p w14:paraId="31E55546" w14:textId="35FF1641" w:rsidR="00843D83" w:rsidRPr="00DA60FE" w:rsidRDefault="00843D83" w:rsidP="00005909">
      <w:pPr>
        <w:pStyle w:val="BodyText"/>
        <w:jc w:val="both"/>
        <w:rPr>
          <w:noProof/>
        </w:rPr>
      </w:pPr>
      <w:r w:rsidRPr="00DA60FE">
        <w:rPr>
          <w:noProof/>
        </w:rPr>
        <w:t>Subsidies in this report are defined following the methodology set forth by the World Trade Organization (WTO)</w:t>
      </w:r>
      <w:r w:rsidRPr="00DA60FE">
        <w:rPr>
          <w:rStyle w:val="FootnoteReference"/>
          <w:noProof/>
        </w:rPr>
        <w:footnoteReference w:id="6"/>
      </w:r>
      <w:r w:rsidRPr="00DA60FE">
        <w:rPr>
          <w:noProof/>
        </w:rPr>
        <w:t>, which was used in the supporting Commission study</w:t>
      </w:r>
      <w:r w:rsidRPr="00DA60FE">
        <w:rPr>
          <w:rStyle w:val="FootnoteReference"/>
          <w:noProof/>
        </w:rPr>
        <w:footnoteReference w:id="7"/>
      </w:r>
      <w:r w:rsidRPr="00DA60FE">
        <w:rPr>
          <w:noProof/>
        </w:rPr>
        <w:t xml:space="preserve"> and the previous editions of this report. This methodology defines subsidies as government measures falling into one of the following four categories: (i) direct transfer</w:t>
      </w:r>
      <w:r w:rsidR="000F17E1">
        <w:rPr>
          <w:noProof/>
        </w:rPr>
        <w:t>s</w:t>
      </w:r>
      <w:r w:rsidRPr="00DA60FE">
        <w:rPr>
          <w:noProof/>
        </w:rPr>
        <w:t xml:space="preserve"> of funds; (ii) government (tax) revenue that is otherwise foregone (not collected); (iii) governments providing goods and services or purchasing goods; and (iv) price and income support.</w:t>
      </w:r>
    </w:p>
    <w:p w14:paraId="1EF66777" w14:textId="77777777" w:rsidR="00843D83" w:rsidRPr="00DA60FE" w:rsidRDefault="00843D83" w:rsidP="00005909">
      <w:pPr>
        <w:pStyle w:val="BodyText"/>
        <w:jc w:val="both"/>
        <w:rPr>
          <w:noProof/>
        </w:rPr>
      </w:pPr>
      <w:r w:rsidRPr="00DA60FE">
        <w:rPr>
          <w:noProof/>
        </w:rPr>
        <w:t>The report also examines various</w:t>
      </w:r>
      <w:r w:rsidRPr="1769D2CF">
        <w:rPr>
          <w:noProof/>
        </w:rPr>
        <w:t xml:space="preserve"> </w:t>
      </w:r>
      <w:r w:rsidRPr="00DA60FE">
        <w:rPr>
          <w:noProof/>
        </w:rPr>
        <w:t xml:space="preserve">characteristics of subsidies: (i) the goal they seek to promote (production, consumption/demand, infrastructure or energy efficiency); (ii) the fuel type they promote (fossil fuels, renewables, nuclear); (iii) economic sectors </w:t>
      </w:r>
      <w:r>
        <w:rPr>
          <w:noProof/>
        </w:rPr>
        <w:t>receiving the subsidy</w:t>
      </w:r>
      <w:r w:rsidRPr="00DA60FE">
        <w:rPr>
          <w:noProof/>
        </w:rPr>
        <w:t xml:space="preserve"> (the energy sector, transport, industry, agriculture</w:t>
      </w:r>
      <w:r w:rsidRPr="00DA60FE">
        <w:rPr>
          <w:rStyle w:val="FootnoteReference"/>
          <w:noProof/>
        </w:rPr>
        <w:footnoteReference w:id="8"/>
      </w:r>
      <w:r w:rsidRPr="00DA60FE">
        <w:rPr>
          <w:noProof/>
        </w:rPr>
        <w:t xml:space="preserve">, residential, services, etc.); or (iv) whether they are </w:t>
      </w:r>
      <w:r>
        <w:rPr>
          <w:noProof/>
        </w:rPr>
        <w:t>environmentally harmful or beneficial</w:t>
      </w:r>
      <w:r w:rsidRPr="00DA60FE">
        <w:rPr>
          <w:noProof/>
        </w:rPr>
        <w:t>.</w:t>
      </w:r>
    </w:p>
    <w:p w14:paraId="1058B3C6" w14:textId="77777777" w:rsidR="00843D83" w:rsidRPr="00DA60FE" w:rsidRDefault="00843D83" w:rsidP="003367AA">
      <w:pPr>
        <w:pStyle w:val="Heading2"/>
        <w:keepNext/>
        <w:spacing w:before="240"/>
        <w:ind w:left="714" w:hanging="357"/>
        <w:rPr>
          <w:noProof/>
        </w:rPr>
      </w:pPr>
      <w:r>
        <w:rPr>
          <w:noProof/>
        </w:rPr>
        <w:t>Total energy subsidies in the EU</w:t>
      </w:r>
    </w:p>
    <w:p w14:paraId="35F56B34" w14:textId="17FA19F3" w:rsidR="00843D83" w:rsidRDefault="00843D83" w:rsidP="00005909">
      <w:pPr>
        <w:pStyle w:val="BodyText"/>
        <w:jc w:val="both"/>
        <w:rPr>
          <w:noProof/>
        </w:rPr>
      </w:pPr>
      <w:r w:rsidRPr="00DA60FE">
        <w:rPr>
          <w:noProof/>
        </w:rPr>
        <w:t xml:space="preserve">The total amount of energy subsidies in the </w:t>
      </w:r>
      <w:r w:rsidR="00D34DE1">
        <w:rPr>
          <w:noProof/>
        </w:rPr>
        <w:t>EU-27</w:t>
      </w:r>
      <w:r w:rsidRPr="00DA60FE">
        <w:rPr>
          <w:noProof/>
        </w:rPr>
        <w:t xml:space="preserve"> </w:t>
      </w:r>
      <w:r w:rsidR="006C4D3D" w:rsidRPr="00DA60FE">
        <w:rPr>
          <w:noProof/>
        </w:rPr>
        <w:t>(</w:t>
      </w:r>
      <w:r w:rsidR="006C4D3D" w:rsidRPr="00DA60FE">
        <w:rPr>
          <w:noProof/>
          <w:color w:val="2B579A"/>
          <w:shd w:val="clear" w:color="auto" w:fill="E6E6E6"/>
        </w:rPr>
        <w:fldChar w:fldCharType="begin"/>
      </w:r>
      <w:r w:rsidR="006C4D3D" w:rsidRPr="00DA60FE">
        <w:rPr>
          <w:noProof/>
        </w:rPr>
        <w:instrText xml:space="preserve"> REF _Ref107226605 \h  \* MERGEFORMAT </w:instrText>
      </w:r>
      <w:r w:rsidR="006C4D3D" w:rsidRPr="00DA60FE">
        <w:rPr>
          <w:noProof/>
          <w:color w:val="2B579A"/>
          <w:shd w:val="clear" w:color="auto" w:fill="E6E6E6"/>
        </w:rPr>
      </w:r>
      <w:r w:rsidR="006C4D3D" w:rsidRPr="00DA60FE">
        <w:rPr>
          <w:noProof/>
          <w:color w:val="2B579A"/>
          <w:shd w:val="clear" w:color="auto" w:fill="E6E6E6"/>
        </w:rPr>
        <w:fldChar w:fldCharType="separate"/>
      </w:r>
      <w:r w:rsidR="006C4D3D" w:rsidRPr="00DA60FE">
        <w:rPr>
          <w:noProof/>
        </w:rPr>
        <w:t>Figure 1</w:t>
      </w:r>
      <w:r w:rsidR="006C4D3D" w:rsidRPr="00DA60FE">
        <w:rPr>
          <w:noProof/>
          <w:color w:val="2B579A"/>
          <w:shd w:val="clear" w:color="auto" w:fill="E6E6E6"/>
        </w:rPr>
        <w:fldChar w:fldCharType="end"/>
      </w:r>
      <w:r w:rsidR="006C4D3D" w:rsidRPr="00DA60FE">
        <w:rPr>
          <w:noProof/>
        </w:rPr>
        <w:t>)</w:t>
      </w:r>
      <w:r w:rsidR="006C4D3D">
        <w:rPr>
          <w:noProof/>
        </w:rPr>
        <w:t xml:space="preserve"> </w:t>
      </w:r>
      <w:r w:rsidRPr="00DA60FE" w:rsidDel="00B01AAC">
        <w:rPr>
          <w:noProof/>
        </w:rPr>
        <w:t xml:space="preserve">is estimated </w:t>
      </w:r>
      <w:r w:rsidRPr="6B094DE8">
        <w:rPr>
          <w:noProof/>
        </w:rPr>
        <w:t>at</w:t>
      </w:r>
      <w:r w:rsidRPr="00DA60FE">
        <w:rPr>
          <w:noProof/>
        </w:rPr>
        <w:t xml:space="preserve"> EUR</w:t>
      </w:r>
      <w:r w:rsidR="006C4D3D">
        <w:rPr>
          <w:noProof/>
        </w:rPr>
        <w:t> </w:t>
      </w:r>
      <w:r w:rsidRPr="00DA60FE">
        <w:rPr>
          <w:noProof/>
        </w:rPr>
        <w:t>390</w:t>
      </w:r>
      <w:r w:rsidR="006C4D3D">
        <w:rPr>
          <w:noProof/>
        </w:rPr>
        <w:t> </w:t>
      </w:r>
      <w:r w:rsidRPr="00DA60FE">
        <w:rPr>
          <w:noProof/>
        </w:rPr>
        <w:t>billion in 2022</w:t>
      </w:r>
      <w:r w:rsidRPr="1769D2CF">
        <w:rPr>
          <w:noProof/>
        </w:rPr>
        <w:t xml:space="preserve"> (+80% </w:t>
      </w:r>
      <w:r>
        <w:rPr>
          <w:noProof/>
        </w:rPr>
        <w:t xml:space="preserve">compared to </w:t>
      </w:r>
      <w:r w:rsidR="000F17E1">
        <w:rPr>
          <w:noProof/>
        </w:rPr>
        <w:t xml:space="preserve">the </w:t>
      </w:r>
      <w:r>
        <w:rPr>
          <w:noProof/>
        </w:rPr>
        <w:t>EUR 216 billion</w:t>
      </w:r>
      <w:r>
        <w:rPr>
          <w:rStyle w:val="FootnoteReference"/>
          <w:noProof/>
        </w:rPr>
        <w:footnoteReference w:id="9"/>
      </w:r>
      <w:r>
        <w:rPr>
          <w:noProof/>
        </w:rPr>
        <w:t xml:space="preserve"> in 2021</w:t>
      </w:r>
      <w:r w:rsidRPr="1769D2CF">
        <w:rPr>
          <w:noProof/>
        </w:rPr>
        <w:t>)</w:t>
      </w:r>
      <w:r w:rsidR="006C4D3D">
        <w:rPr>
          <w:noProof/>
        </w:rPr>
        <w:t>.</w:t>
      </w:r>
    </w:p>
    <w:p w14:paraId="36C5889C" w14:textId="1A91E720" w:rsidR="00843D83" w:rsidRDefault="00843D83" w:rsidP="00005909">
      <w:pPr>
        <w:pStyle w:val="BodyText"/>
        <w:jc w:val="both"/>
        <w:rPr>
          <w:noProof/>
        </w:rPr>
      </w:pPr>
      <w:r w:rsidRPr="1769D2CF">
        <w:rPr>
          <w:noProof/>
        </w:rPr>
        <w:t xml:space="preserve">The economic recovery in 2021 put upward pressure on energy prices and consequently on subsidies. </w:t>
      </w:r>
      <w:r w:rsidRPr="7E7229C3">
        <w:rPr>
          <w:noProof/>
        </w:rPr>
        <w:t>Energy</w:t>
      </w:r>
      <w:r w:rsidRPr="1769D2CF">
        <w:rPr>
          <w:noProof/>
        </w:rPr>
        <w:t xml:space="preserve"> subsidies already rose from EUR 200 billion</w:t>
      </w:r>
      <w:r w:rsidR="00411152">
        <w:rPr>
          <w:noProof/>
        </w:rPr>
        <w:t xml:space="preserve"> in 2020</w:t>
      </w:r>
      <w:r w:rsidRPr="1769D2CF">
        <w:rPr>
          <w:noProof/>
        </w:rPr>
        <w:t xml:space="preserve"> to EUR 216 billion in 2021. </w:t>
      </w:r>
      <w:r>
        <w:rPr>
          <w:noProof/>
        </w:rPr>
        <w:t>The e</w:t>
      </w:r>
      <w:r w:rsidRPr="1769D2CF">
        <w:rPr>
          <w:noProof/>
        </w:rPr>
        <w:t>stimated 2022 data shows that due to the impact of measures taken by Member States</w:t>
      </w:r>
      <w:r>
        <w:rPr>
          <w:noProof/>
        </w:rPr>
        <w:t>,</w:t>
      </w:r>
      <w:r w:rsidRPr="1769D2CF">
        <w:rPr>
          <w:noProof/>
        </w:rPr>
        <w:t xml:space="preserve"> subsidies increased dramatically to reach EUR 390 billion</w:t>
      </w:r>
      <w:r w:rsidR="000F17E1">
        <w:rPr>
          <w:noProof/>
        </w:rPr>
        <w:t xml:space="preserve"> in 2022</w:t>
      </w:r>
      <w:r w:rsidRPr="1769D2CF">
        <w:rPr>
          <w:noProof/>
        </w:rPr>
        <w:t>.</w:t>
      </w:r>
      <w:r w:rsidR="006C4D3D" w:rsidRPr="006C4D3D">
        <w:rPr>
          <w:noProof/>
        </w:rPr>
        <w:t xml:space="preserve"> </w:t>
      </w:r>
      <w:r w:rsidR="006C4D3D">
        <w:rPr>
          <w:noProof/>
        </w:rPr>
        <w:t>In</w:t>
      </w:r>
      <w:r w:rsidR="006C4D3D" w:rsidRPr="1769D2CF" w:rsidDel="00D476B8">
        <w:rPr>
          <w:noProof/>
        </w:rPr>
        <w:t xml:space="preserve"> </w:t>
      </w:r>
      <w:r w:rsidR="006C4D3D" w:rsidRPr="1769D2CF">
        <w:rPr>
          <w:noProof/>
        </w:rPr>
        <w:t xml:space="preserve">response to the energy price crisis, at least 230 temporary subsidy measures were created or expanded </w:t>
      </w:r>
      <w:r w:rsidR="006C4D3D">
        <w:rPr>
          <w:noProof/>
        </w:rPr>
        <w:t>in Member States across the EU</w:t>
      </w:r>
      <w:r w:rsidR="006C4D3D" w:rsidRPr="1769D2CF">
        <w:rPr>
          <w:noProof/>
        </w:rPr>
        <w:t xml:space="preserve"> to alleviate the impact of high and volatile prices.</w:t>
      </w:r>
    </w:p>
    <w:p w14:paraId="53169938" w14:textId="1BA9E936" w:rsidR="00843D83" w:rsidRPr="00DA60FE" w:rsidRDefault="00843D83" w:rsidP="00843D83">
      <w:pPr>
        <w:pStyle w:val="Caption"/>
        <w:spacing w:after="0"/>
        <w:contextualSpacing/>
        <w:jc w:val="center"/>
        <w:rPr>
          <w:noProof/>
        </w:rPr>
      </w:pPr>
      <w:bookmarkStart w:id="4" w:name="_Ref107226605"/>
      <w:bookmarkStart w:id="5" w:name="_Ref139457622"/>
      <w:bookmarkStart w:id="6" w:name="_Toc145348064"/>
      <w:r>
        <w:rPr>
          <w:noProof/>
          <w:color w:val="2B579A"/>
          <w:shd w:val="clear" w:color="auto" w:fill="E6E6E6"/>
          <w:lang w:val="en-GB" w:eastAsia="en-GB"/>
        </w:rPr>
        <w:drawing>
          <wp:anchor distT="0" distB="0" distL="114300" distR="114300" simplePos="0" relativeHeight="251636224" behindDoc="0" locked="0" layoutInCell="1" allowOverlap="1" wp14:anchorId="77787403" wp14:editId="1D216E5B">
            <wp:simplePos x="0" y="0"/>
            <wp:positionH relativeFrom="margin">
              <wp:align>center</wp:align>
            </wp:positionH>
            <wp:positionV relativeFrom="paragraph">
              <wp:posOffset>216535</wp:posOffset>
            </wp:positionV>
            <wp:extent cx="4438800" cy="174240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38800" cy="1742400"/>
                    </a:xfrm>
                    <a:prstGeom prst="rect">
                      <a:avLst/>
                    </a:prstGeom>
                    <a:noFill/>
                  </pic:spPr>
                </pic:pic>
              </a:graphicData>
            </a:graphic>
            <wp14:sizeRelH relativeFrom="page">
              <wp14:pctWidth>0</wp14:pctWidth>
            </wp14:sizeRelH>
            <wp14:sizeRelV relativeFrom="page">
              <wp14:pctHeight>0</wp14:pctHeight>
            </wp14:sizeRelV>
          </wp:anchor>
        </w:drawing>
      </w:r>
      <w:r w:rsidRPr="00DA60FE">
        <w:rPr>
          <w:noProof/>
        </w:rPr>
        <w:t xml:space="preserve">Figure </w:t>
      </w:r>
      <w:r w:rsidRPr="00DA60FE">
        <w:rPr>
          <w:noProof/>
          <w:color w:val="2B579A"/>
          <w:shd w:val="clear" w:color="auto" w:fill="E6E6E6"/>
        </w:rPr>
        <w:fldChar w:fldCharType="begin"/>
      </w:r>
      <w:r w:rsidRPr="00DA60FE">
        <w:rPr>
          <w:noProof/>
        </w:rPr>
        <w:instrText xml:space="preserve"> SEQ Figure \* ARABIC </w:instrText>
      </w:r>
      <w:r w:rsidRPr="00DA60FE">
        <w:rPr>
          <w:noProof/>
          <w:color w:val="2B579A"/>
          <w:shd w:val="clear" w:color="auto" w:fill="E6E6E6"/>
        </w:rPr>
        <w:fldChar w:fldCharType="separate"/>
      </w:r>
      <w:r w:rsidR="00194607">
        <w:rPr>
          <w:noProof/>
        </w:rPr>
        <w:t>1</w:t>
      </w:r>
      <w:r w:rsidRPr="00DA60FE">
        <w:rPr>
          <w:noProof/>
          <w:color w:val="2B579A"/>
          <w:shd w:val="clear" w:color="auto" w:fill="E6E6E6"/>
        </w:rPr>
        <w:fldChar w:fldCharType="end"/>
      </w:r>
      <w:bookmarkEnd w:id="4"/>
      <w:bookmarkEnd w:id="5"/>
      <w:r w:rsidRPr="00DA60FE">
        <w:rPr>
          <w:noProof/>
        </w:rPr>
        <w:t xml:space="preserve">: </w:t>
      </w:r>
      <w:r>
        <w:rPr>
          <w:noProof/>
        </w:rPr>
        <w:t>Total</w:t>
      </w:r>
      <w:r w:rsidRPr="00DA60FE">
        <w:rPr>
          <w:noProof/>
        </w:rPr>
        <w:t xml:space="preserve"> energy subsidies in the </w:t>
      </w:r>
      <w:r w:rsidR="00D34DE1">
        <w:rPr>
          <w:noProof/>
        </w:rPr>
        <w:t>EU-27</w:t>
      </w:r>
      <w:r w:rsidRPr="00DA60FE">
        <w:rPr>
          <w:noProof/>
        </w:rPr>
        <w:t xml:space="preserve"> (2015-2022; EUR2022bn)</w:t>
      </w:r>
      <w:r w:rsidR="000A394D" w:rsidRPr="000A394D">
        <w:rPr>
          <w:rStyle w:val="FootnoteReference"/>
          <w:noProof/>
        </w:rPr>
        <w:t xml:space="preserve"> </w:t>
      </w:r>
      <w:r w:rsidR="000A394D" w:rsidRPr="00DA60FE">
        <w:rPr>
          <w:rStyle w:val="FootnoteReference"/>
          <w:noProof/>
        </w:rPr>
        <w:footnoteReference w:id="10"/>
      </w:r>
      <w:r w:rsidRPr="00DA60FE">
        <w:rPr>
          <w:noProof/>
          <w:vertAlign w:val="superscript"/>
        </w:rPr>
        <w:footnoteReference w:id="11"/>
      </w:r>
      <w:bookmarkEnd w:id="6"/>
    </w:p>
    <w:p w14:paraId="2D36924A" w14:textId="77777777" w:rsidR="00843D83" w:rsidRPr="00DA60FE" w:rsidRDefault="00843D83" w:rsidP="00D34DE1">
      <w:pPr>
        <w:spacing w:after="120"/>
        <w:jc w:val="center"/>
        <w:rPr>
          <w:rStyle w:val="SourceCar"/>
          <w:rFonts w:eastAsiaTheme="minorEastAsia"/>
          <w:i w:val="0"/>
          <w:iCs w:val="0"/>
          <w:noProof/>
        </w:rPr>
      </w:pPr>
      <w:r w:rsidRPr="0BD16CC5">
        <w:rPr>
          <w:rStyle w:val="SourceCar"/>
          <w:rFonts w:eastAsiaTheme="minorEastAsia"/>
          <w:noProof/>
        </w:rPr>
        <w:t>Source: Enerdata, Trinomics, 2023</w:t>
      </w:r>
      <w:r w:rsidR="00005909">
        <w:rPr>
          <w:rStyle w:val="SourceCar"/>
          <w:rFonts w:eastAsiaTheme="minorEastAsia"/>
          <w:i w:val="0"/>
          <w:iCs w:val="0"/>
          <w:noProof/>
        </w:rPr>
        <w:t xml:space="preserve">. </w:t>
      </w:r>
      <w:r w:rsidRPr="0BD16CC5">
        <w:rPr>
          <w:rStyle w:val="SourceCar"/>
          <w:rFonts w:eastAsiaTheme="minorEastAsia"/>
          <w:noProof/>
        </w:rPr>
        <w:t xml:space="preserve">NB: 2022 </w:t>
      </w:r>
      <w:r w:rsidR="00005909">
        <w:rPr>
          <w:rStyle w:val="SourceCar"/>
          <w:rFonts w:eastAsiaTheme="minorEastAsia"/>
          <w:noProof/>
        </w:rPr>
        <w:t xml:space="preserve">estimates </w:t>
      </w:r>
      <w:r w:rsidRPr="0BD16CC5">
        <w:rPr>
          <w:rStyle w:val="SourceCar"/>
          <w:rFonts w:eastAsiaTheme="minorEastAsia"/>
          <w:noProof/>
        </w:rPr>
        <w:t>are represented with hatching</w:t>
      </w:r>
    </w:p>
    <w:p w14:paraId="35295EE4" w14:textId="57A4C8C4" w:rsidR="00843D83" w:rsidRDefault="00843D83" w:rsidP="00005909">
      <w:pPr>
        <w:pStyle w:val="BodyText"/>
        <w:jc w:val="both"/>
        <w:rPr>
          <w:noProof/>
        </w:rPr>
      </w:pPr>
      <w:r w:rsidRPr="20073020">
        <w:rPr>
          <w:noProof/>
        </w:rPr>
        <w:t>The subsid</w:t>
      </w:r>
      <w:r w:rsidR="000F17E1">
        <w:rPr>
          <w:noProof/>
        </w:rPr>
        <w:t>y</w:t>
      </w:r>
      <w:r w:rsidRPr="20073020">
        <w:rPr>
          <w:noProof/>
        </w:rPr>
        <w:t xml:space="preserve"> support </w:t>
      </w:r>
      <w:r w:rsidR="00923E7C">
        <w:rPr>
          <w:noProof/>
        </w:rPr>
        <w:t xml:space="preserve">evolved </w:t>
      </w:r>
      <w:r w:rsidRPr="20073020">
        <w:rPr>
          <w:noProof/>
        </w:rPr>
        <w:t xml:space="preserve">differently across technologies in 2022. </w:t>
      </w:r>
      <w:r w:rsidRPr="20073020">
        <w:rPr>
          <w:i/>
          <w:iCs/>
          <w:noProof/>
        </w:rPr>
        <w:t>Electricity subsidies</w:t>
      </w:r>
      <w:r w:rsidR="006C4D3D">
        <w:rPr>
          <w:rStyle w:val="FootnoteReference"/>
          <w:noProof/>
        </w:rPr>
        <w:footnoteReference w:id="12"/>
      </w:r>
      <w:r w:rsidRPr="20073020">
        <w:rPr>
          <w:noProof/>
        </w:rPr>
        <w:t xml:space="preserve"> increased threefold, while overall </w:t>
      </w:r>
      <w:r w:rsidRPr="20073020">
        <w:rPr>
          <w:i/>
          <w:iCs/>
          <w:noProof/>
        </w:rPr>
        <w:t>fossil fuel subsidies</w:t>
      </w:r>
      <w:r w:rsidRPr="20073020">
        <w:rPr>
          <w:noProof/>
        </w:rPr>
        <w:t xml:space="preserve"> doubled </w:t>
      </w:r>
      <w:r w:rsidR="008A0977">
        <w:rPr>
          <w:noProof/>
        </w:rPr>
        <w:t>in 2022 compared with 2021</w:t>
      </w:r>
      <w:r w:rsidRPr="20073020">
        <w:rPr>
          <w:noProof/>
        </w:rPr>
        <w:t xml:space="preserve">. </w:t>
      </w:r>
      <w:r w:rsidRPr="20073020">
        <w:rPr>
          <w:i/>
          <w:iCs/>
          <w:noProof/>
        </w:rPr>
        <w:t>Subsidies supporting all energies</w:t>
      </w:r>
      <w:r w:rsidR="00396457">
        <w:rPr>
          <w:rStyle w:val="FootnoteReference"/>
          <w:i/>
          <w:iCs/>
          <w:noProof/>
        </w:rPr>
        <w:footnoteReference w:id="13"/>
      </w:r>
      <w:r w:rsidRPr="20073020">
        <w:rPr>
          <w:noProof/>
        </w:rPr>
        <w:t xml:space="preserve"> (</w:t>
      </w:r>
      <w:bookmarkStart w:id="7" w:name="_Int_vefnRchq"/>
      <w:r w:rsidRPr="20073020">
        <w:rPr>
          <w:noProof/>
        </w:rPr>
        <w:t>e.g.</w:t>
      </w:r>
      <w:bookmarkEnd w:id="7"/>
      <w:r w:rsidRPr="20073020">
        <w:rPr>
          <w:noProof/>
        </w:rPr>
        <w:t xml:space="preserve"> through income support</w:t>
      </w:r>
      <w:r w:rsidR="008A0977">
        <w:rPr>
          <w:rStyle w:val="FootnoteReference"/>
          <w:noProof/>
        </w:rPr>
        <w:footnoteReference w:id="14"/>
      </w:r>
      <w:r w:rsidRPr="20073020">
        <w:rPr>
          <w:noProof/>
        </w:rPr>
        <w:t xml:space="preserve">) </w:t>
      </w:r>
      <w:r w:rsidR="000F17E1">
        <w:rPr>
          <w:noProof/>
        </w:rPr>
        <w:t>were</w:t>
      </w:r>
      <w:r w:rsidR="000F17E1" w:rsidRPr="20073020">
        <w:rPr>
          <w:noProof/>
        </w:rPr>
        <w:t xml:space="preserve"> </w:t>
      </w:r>
      <w:r w:rsidRPr="20073020">
        <w:rPr>
          <w:noProof/>
        </w:rPr>
        <w:t xml:space="preserve">2.4 times higher in 2022 </w:t>
      </w:r>
      <w:r w:rsidR="000F17E1">
        <w:rPr>
          <w:noProof/>
        </w:rPr>
        <w:t>than in</w:t>
      </w:r>
      <w:r w:rsidRPr="20073020">
        <w:rPr>
          <w:noProof/>
        </w:rPr>
        <w:t xml:space="preserve"> 2021. While </w:t>
      </w:r>
      <w:r w:rsidRPr="20073020">
        <w:rPr>
          <w:i/>
          <w:iCs/>
          <w:noProof/>
        </w:rPr>
        <w:t>renewable energy</w:t>
      </w:r>
      <w:r w:rsidRPr="20073020">
        <w:rPr>
          <w:noProof/>
        </w:rPr>
        <w:t xml:space="preserve"> support remained </w:t>
      </w:r>
      <w:r w:rsidR="000F17E1">
        <w:rPr>
          <w:noProof/>
        </w:rPr>
        <w:t>broadly</w:t>
      </w:r>
      <w:r w:rsidR="000F17E1" w:rsidRPr="20073020">
        <w:rPr>
          <w:noProof/>
        </w:rPr>
        <w:t xml:space="preserve"> </w:t>
      </w:r>
      <w:r w:rsidRPr="20073020">
        <w:rPr>
          <w:noProof/>
        </w:rPr>
        <w:t xml:space="preserve">the same </w:t>
      </w:r>
      <w:r w:rsidR="000F17E1">
        <w:rPr>
          <w:noProof/>
        </w:rPr>
        <w:t xml:space="preserve">in 2022 </w:t>
      </w:r>
      <w:r w:rsidRPr="20073020">
        <w:rPr>
          <w:noProof/>
        </w:rPr>
        <w:t xml:space="preserve">as in 2020-2021, support to </w:t>
      </w:r>
      <w:r w:rsidRPr="20073020">
        <w:rPr>
          <w:i/>
          <w:iCs/>
          <w:noProof/>
        </w:rPr>
        <w:t>energy efficiency measures</w:t>
      </w:r>
      <w:r w:rsidRPr="20073020">
        <w:rPr>
          <w:noProof/>
        </w:rPr>
        <w:t xml:space="preserve"> increased by 40%</w:t>
      </w:r>
      <w:r w:rsidR="000F17E1">
        <w:rPr>
          <w:noProof/>
        </w:rPr>
        <w:t xml:space="preserve"> in this period</w:t>
      </w:r>
      <w:r w:rsidRPr="20073020">
        <w:rPr>
          <w:noProof/>
        </w:rPr>
        <w:t xml:space="preserve">, </w:t>
      </w:r>
      <w:bookmarkStart w:id="8" w:name="_Int_em2AI0u1"/>
      <w:r w:rsidRPr="20073020">
        <w:rPr>
          <w:noProof/>
        </w:rPr>
        <w:t>mainly due</w:t>
      </w:r>
      <w:bookmarkEnd w:id="8"/>
      <w:r w:rsidRPr="20073020">
        <w:rPr>
          <w:noProof/>
        </w:rPr>
        <w:t xml:space="preserve"> to the support </w:t>
      </w:r>
      <w:r w:rsidR="000F17E1">
        <w:rPr>
          <w:noProof/>
        </w:rPr>
        <w:t>for</w:t>
      </w:r>
      <w:r w:rsidR="000F17E1" w:rsidRPr="20073020">
        <w:rPr>
          <w:noProof/>
        </w:rPr>
        <w:t xml:space="preserve"> </w:t>
      </w:r>
      <w:r w:rsidRPr="20073020">
        <w:rPr>
          <w:noProof/>
        </w:rPr>
        <w:t>energy renovations provided as part of the Recovery and Resilience Facility (RRF).</w:t>
      </w:r>
    </w:p>
    <w:p w14:paraId="0F2A33E3" w14:textId="0FD6F1C0" w:rsidR="00843D83" w:rsidRPr="00DA60FE" w:rsidRDefault="00843D83" w:rsidP="00843D83">
      <w:pPr>
        <w:pStyle w:val="Caption"/>
        <w:spacing w:after="0"/>
        <w:contextualSpacing/>
        <w:jc w:val="center"/>
        <w:rPr>
          <w:noProof/>
        </w:rPr>
      </w:pPr>
      <w:bookmarkStart w:id="9" w:name="_Ref140835769"/>
      <w:bookmarkStart w:id="10" w:name="_Toc145348065"/>
      <w:r w:rsidRPr="00DA60FE">
        <w:rPr>
          <w:rStyle w:val="SourceCar"/>
          <w:rFonts w:eastAsiaTheme="minorHAnsi"/>
          <w:noProof/>
          <w:lang w:val="en-GB" w:eastAsia="en-GB"/>
        </w:rPr>
        <w:drawing>
          <wp:anchor distT="0" distB="0" distL="114300" distR="114300" simplePos="0" relativeHeight="251632128" behindDoc="0" locked="0" layoutInCell="1" allowOverlap="1" wp14:anchorId="35AB6557" wp14:editId="26935D2C">
            <wp:simplePos x="0" y="0"/>
            <wp:positionH relativeFrom="margin">
              <wp:align>center</wp:align>
            </wp:positionH>
            <wp:positionV relativeFrom="paragraph">
              <wp:posOffset>184150</wp:posOffset>
            </wp:positionV>
            <wp:extent cx="5562000" cy="3157200"/>
            <wp:effectExtent l="0" t="0" r="635" b="571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62000" cy="3157200"/>
                    </a:xfrm>
                    <a:prstGeom prst="rect">
                      <a:avLst/>
                    </a:prstGeom>
                    <a:noFill/>
                  </pic:spPr>
                </pic:pic>
              </a:graphicData>
            </a:graphic>
            <wp14:sizeRelH relativeFrom="margin">
              <wp14:pctWidth>0</wp14:pctWidth>
            </wp14:sizeRelH>
            <wp14:sizeRelV relativeFrom="margin">
              <wp14:pctHeight>0</wp14:pctHeight>
            </wp14:sizeRelV>
          </wp:anchor>
        </w:drawing>
      </w:r>
      <w:r w:rsidRPr="00DA60FE">
        <w:rPr>
          <w:noProof/>
        </w:rPr>
        <w:t xml:space="preserve">Figure </w:t>
      </w:r>
      <w:r w:rsidRPr="00DA60FE">
        <w:rPr>
          <w:noProof/>
          <w:color w:val="2B579A"/>
          <w:shd w:val="clear" w:color="auto" w:fill="E6E6E6"/>
        </w:rPr>
        <w:fldChar w:fldCharType="begin"/>
      </w:r>
      <w:r w:rsidRPr="00DA60FE">
        <w:rPr>
          <w:noProof/>
        </w:rPr>
        <w:instrText xml:space="preserve"> SEQ Figure \* ARABIC </w:instrText>
      </w:r>
      <w:r w:rsidRPr="00DA60FE">
        <w:rPr>
          <w:noProof/>
          <w:color w:val="2B579A"/>
          <w:shd w:val="clear" w:color="auto" w:fill="E6E6E6"/>
        </w:rPr>
        <w:fldChar w:fldCharType="separate"/>
      </w:r>
      <w:r w:rsidR="00194607">
        <w:rPr>
          <w:noProof/>
        </w:rPr>
        <w:t>2</w:t>
      </w:r>
      <w:r w:rsidRPr="00DA60FE">
        <w:rPr>
          <w:noProof/>
          <w:color w:val="2B579A"/>
          <w:shd w:val="clear" w:color="auto" w:fill="E6E6E6"/>
        </w:rPr>
        <w:fldChar w:fldCharType="end"/>
      </w:r>
      <w:bookmarkEnd w:id="9"/>
      <w:r w:rsidRPr="00DA60FE">
        <w:rPr>
          <w:noProof/>
        </w:rPr>
        <w:t xml:space="preserve">: Subsidies by main energy source </w:t>
      </w:r>
      <w:r>
        <w:rPr>
          <w:noProof/>
        </w:rPr>
        <w:t xml:space="preserve">/ energy carrier </w:t>
      </w:r>
      <w:r w:rsidRPr="00DA60FE">
        <w:rPr>
          <w:noProof/>
        </w:rPr>
        <w:t xml:space="preserve">in the </w:t>
      </w:r>
      <w:r w:rsidR="00D34DE1">
        <w:rPr>
          <w:noProof/>
        </w:rPr>
        <w:t>EU-27</w:t>
      </w:r>
      <w:r w:rsidRPr="00DA60FE">
        <w:rPr>
          <w:noProof/>
        </w:rPr>
        <w:t xml:space="preserve"> (EUR2022bn)</w:t>
      </w:r>
      <w:bookmarkEnd w:id="10"/>
    </w:p>
    <w:p w14:paraId="07DA2CB1" w14:textId="77777777" w:rsidR="00843D83" w:rsidRPr="00DA60FE" w:rsidRDefault="00843D83" w:rsidP="00D34DE1">
      <w:pPr>
        <w:spacing w:after="120"/>
        <w:jc w:val="center"/>
        <w:rPr>
          <w:rStyle w:val="SourceCar"/>
          <w:rFonts w:eastAsiaTheme="minorEastAsia"/>
          <w:noProof/>
        </w:rPr>
      </w:pPr>
      <w:r w:rsidRPr="0BD16CC5">
        <w:rPr>
          <w:rStyle w:val="SourceCar"/>
          <w:rFonts w:eastAsiaTheme="minorEastAsia"/>
          <w:noProof/>
        </w:rPr>
        <w:t>Source: Enerdata, Trinomics, 2023</w:t>
      </w:r>
      <w:r w:rsidR="00005909">
        <w:rPr>
          <w:rStyle w:val="SourceCar"/>
          <w:rFonts w:eastAsiaTheme="minorEastAsia"/>
          <w:noProof/>
        </w:rPr>
        <w:t xml:space="preserve">. </w:t>
      </w:r>
      <w:r w:rsidRPr="0BD16CC5">
        <w:rPr>
          <w:rStyle w:val="SourceCar"/>
          <w:rFonts w:eastAsiaTheme="minorEastAsia"/>
          <w:noProof/>
        </w:rPr>
        <w:t xml:space="preserve">NB: </w:t>
      </w:r>
      <w:r w:rsidR="00005909" w:rsidRPr="0BD16CC5">
        <w:rPr>
          <w:rStyle w:val="SourceCar"/>
          <w:rFonts w:eastAsiaTheme="minorEastAsia"/>
          <w:noProof/>
        </w:rPr>
        <w:t xml:space="preserve">2022 </w:t>
      </w:r>
      <w:r w:rsidR="00005909">
        <w:rPr>
          <w:rStyle w:val="SourceCar"/>
          <w:rFonts w:eastAsiaTheme="minorEastAsia"/>
          <w:noProof/>
        </w:rPr>
        <w:t xml:space="preserve">estimates </w:t>
      </w:r>
      <w:r w:rsidR="00005909" w:rsidRPr="0BD16CC5">
        <w:rPr>
          <w:rStyle w:val="SourceCar"/>
          <w:rFonts w:eastAsiaTheme="minorEastAsia"/>
          <w:noProof/>
        </w:rPr>
        <w:t>are represented with hatching</w:t>
      </w:r>
    </w:p>
    <w:p w14:paraId="57F131E1" w14:textId="20247B9F" w:rsidR="00843D83" w:rsidRPr="00DA60FE" w:rsidRDefault="00843D83" w:rsidP="00005909">
      <w:pPr>
        <w:pStyle w:val="BodyText"/>
        <w:jc w:val="both"/>
        <w:rPr>
          <w:noProof/>
        </w:rPr>
      </w:pPr>
      <w:r>
        <w:rPr>
          <w:noProof/>
        </w:rPr>
        <w:t xml:space="preserve">Energy subsidies </w:t>
      </w:r>
      <w:r w:rsidR="00F87952">
        <w:rPr>
          <w:noProof/>
        </w:rPr>
        <w:t xml:space="preserve">in 2022 </w:t>
      </w:r>
      <w:r>
        <w:rPr>
          <w:noProof/>
        </w:rPr>
        <w:t>were</w:t>
      </w:r>
      <w:r w:rsidRPr="006C6E3B">
        <w:rPr>
          <w:noProof/>
        </w:rPr>
        <w:t xml:space="preserve"> </w:t>
      </w:r>
      <w:r w:rsidRPr="00E36216">
        <w:rPr>
          <w:noProof/>
        </w:rPr>
        <w:t>distributed (</w:t>
      </w:r>
      <w:r w:rsidRPr="00E36216">
        <w:rPr>
          <w:noProof/>
          <w:color w:val="2B579A"/>
          <w:shd w:val="clear" w:color="auto" w:fill="E6E6E6"/>
        </w:rPr>
        <w:fldChar w:fldCharType="begin"/>
      </w:r>
      <w:r w:rsidRPr="007E6B62">
        <w:rPr>
          <w:noProof/>
        </w:rPr>
        <w:instrText xml:space="preserve"> REF _Ref145583430 \h  \* MERGEFORMAT </w:instrText>
      </w:r>
      <w:r w:rsidRPr="00E36216">
        <w:rPr>
          <w:noProof/>
          <w:color w:val="2B579A"/>
          <w:shd w:val="clear" w:color="auto" w:fill="E6E6E6"/>
        </w:rPr>
      </w:r>
      <w:r w:rsidRPr="00E36216">
        <w:rPr>
          <w:noProof/>
          <w:color w:val="2B579A"/>
          <w:shd w:val="clear" w:color="auto" w:fill="E6E6E6"/>
        </w:rPr>
        <w:fldChar w:fldCharType="separate"/>
      </w:r>
      <w:r w:rsidRPr="007E6B62">
        <w:rPr>
          <w:noProof/>
        </w:rPr>
        <w:t>Figure 3</w:t>
      </w:r>
      <w:r w:rsidRPr="00E36216">
        <w:rPr>
          <w:noProof/>
          <w:color w:val="2B579A"/>
          <w:shd w:val="clear" w:color="auto" w:fill="E6E6E6"/>
        </w:rPr>
        <w:fldChar w:fldCharType="end"/>
      </w:r>
      <w:r w:rsidRPr="00E36216">
        <w:rPr>
          <w:noProof/>
        </w:rPr>
        <w:t xml:space="preserve">) primarily through </w:t>
      </w:r>
      <w:r w:rsidRPr="00D62EBD">
        <w:rPr>
          <w:i/>
          <w:noProof/>
        </w:rPr>
        <w:t>income/price support</w:t>
      </w:r>
      <w:r w:rsidRPr="00E36216">
        <w:rPr>
          <w:noProof/>
        </w:rPr>
        <w:t xml:space="preserve"> measures (38%), </w:t>
      </w:r>
      <w:r w:rsidRPr="00D62EBD">
        <w:rPr>
          <w:i/>
          <w:noProof/>
        </w:rPr>
        <w:t xml:space="preserve">tax </w:t>
      </w:r>
      <w:r w:rsidR="00747407">
        <w:rPr>
          <w:i/>
          <w:noProof/>
        </w:rPr>
        <w:t xml:space="preserve">reduction </w:t>
      </w:r>
      <w:r w:rsidR="00D34DE1">
        <w:rPr>
          <w:i/>
          <w:noProof/>
        </w:rPr>
        <w:t>meas</w:t>
      </w:r>
      <w:r w:rsidRPr="00D62EBD">
        <w:rPr>
          <w:i/>
          <w:noProof/>
        </w:rPr>
        <w:t>ures</w:t>
      </w:r>
      <w:r w:rsidRPr="00E36216">
        <w:rPr>
          <w:noProof/>
        </w:rPr>
        <w:t xml:space="preserve"> (35%) and </w:t>
      </w:r>
      <w:r w:rsidRPr="00D62EBD">
        <w:rPr>
          <w:i/>
          <w:noProof/>
        </w:rPr>
        <w:t>direct transfers</w:t>
      </w:r>
      <w:r w:rsidRPr="006C6E3B">
        <w:rPr>
          <w:noProof/>
        </w:rPr>
        <w:t xml:space="preserve"> (25%). </w:t>
      </w:r>
      <w:r>
        <w:rPr>
          <w:noProof/>
        </w:rPr>
        <w:t>In 2022 f</w:t>
      </w:r>
      <w:r w:rsidRPr="006C6E3B">
        <w:rPr>
          <w:noProof/>
        </w:rPr>
        <w:t xml:space="preserve">ossil fuels </w:t>
      </w:r>
      <w:r>
        <w:rPr>
          <w:noProof/>
        </w:rPr>
        <w:t xml:space="preserve">accounted for the largest share of the total subsidies </w:t>
      </w:r>
      <w:r w:rsidRPr="006C6E3B">
        <w:rPr>
          <w:noProof/>
        </w:rPr>
        <w:t>(31%)</w:t>
      </w:r>
      <w:r>
        <w:rPr>
          <w:noProof/>
        </w:rPr>
        <w:t xml:space="preserve">, </w:t>
      </w:r>
      <w:r w:rsidR="00F87952">
        <w:rPr>
          <w:noProof/>
        </w:rPr>
        <w:t xml:space="preserve">while </w:t>
      </w:r>
      <w:r>
        <w:rPr>
          <w:noProof/>
        </w:rPr>
        <w:t>renewable energy sources received only</w:t>
      </w:r>
      <w:r w:rsidRPr="006C6E3B">
        <w:rPr>
          <w:noProof/>
        </w:rPr>
        <w:t xml:space="preserve"> 22% of energy subsidies in 2022, </w:t>
      </w:r>
      <w:r>
        <w:rPr>
          <w:noProof/>
        </w:rPr>
        <w:t>down from</w:t>
      </w:r>
      <w:r w:rsidRPr="006C6E3B">
        <w:rPr>
          <w:noProof/>
        </w:rPr>
        <w:t xml:space="preserve"> 40% in 2021.</w:t>
      </w:r>
    </w:p>
    <w:p w14:paraId="13172ECF" w14:textId="5A7BB138" w:rsidR="00843D83" w:rsidRPr="006C4D3D" w:rsidRDefault="006C4D3D" w:rsidP="006C4D3D">
      <w:pPr>
        <w:pStyle w:val="Caption"/>
        <w:spacing w:after="0"/>
        <w:jc w:val="center"/>
        <w:rPr>
          <w:rStyle w:val="SourceCar"/>
          <w:rFonts w:asciiTheme="minorHAnsi" w:eastAsiaTheme="minorHAnsi" w:hAnsiTheme="minorHAnsi" w:cstheme="minorBidi"/>
          <w:i/>
          <w:iCs/>
          <w:noProof/>
          <w:color w:val="1F497D" w:themeColor="text2"/>
          <w:lang w:eastAsia="en-US"/>
        </w:rPr>
      </w:pPr>
      <w:bookmarkStart w:id="11" w:name="_Ref145583430"/>
      <w:r w:rsidRPr="00EB5041">
        <w:rPr>
          <w:rStyle w:val="SourceCar"/>
          <w:rFonts w:eastAsiaTheme="minorEastAsia"/>
          <w:i/>
          <w:iCs/>
          <w:noProof/>
          <w:lang w:val="en-GB" w:eastAsia="en-GB"/>
        </w:rPr>
        <w:drawing>
          <wp:anchor distT="0" distB="0" distL="114300" distR="114300" simplePos="0" relativeHeight="251642368" behindDoc="0" locked="0" layoutInCell="1" allowOverlap="1" wp14:anchorId="4619B71F" wp14:editId="7E6A18BA">
            <wp:simplePos x="0" y="0"/>
            <wp:positionH relativeFrom="column">
              <wp:posOffset>81887</wp:posOffset>
            </wp:positionH>
            <wp:positionV relativeFrom="paragraph">
              <wp:posOffset>187866</wp:posOffset>
            </wp:positionV>
            <wp:extent cx="5731510" cy="1262380"/>
            <wp:effectExtent l="0" t="0" r="254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1262380"/>
                    </a:xfrm>
                    <a:prstGeom prst="rect">
                      <a:avLst/>
                    </a:prstGeom>
                    <a:noFill/>
                    <a:ln>
                      <a:noFill/>
                    </a:ln>
                  </pic:spPr>
                </pic:pic>
              </a:graphicData>
            </a:graphic>
            <wp14:sizeRelH relativeFrom="page">
              <wp14:pctWidth>0</wp14:pctWidth>
            </wp14:sizeRelH>
            <wp14:sizeRelV relativeFrom="page">
              <wp14:pctHeight>0</wp14:pctHeight>
            </wp14:sizeRelV>
          </wp:anchor>
        </w:drawing>
      </w:r>
      <w:r w:rsidR="00843D83">
        <w:rPr>
          <w:noProof/>
        </w:rPr>
        <w:t xml:space="preserve">Figure </w:t>
      </w:r>
      <w:r w:rsidR="00843D83">
        <w:rPr>
          <w:noProof/>
          <w:color w:val="2B579A"/>
          <w:shd w:val="clear" w:color="auto" w:fill="E6E6E6"/>
        </w:rPr>
        <w:fldChar w:fldCharType="begin"/>
      </w:r>
      <w:r w:rsidR="00843D83">
        <w:rPr>
          <w:noProof/>
        </w:rPr>
        <w:instrText xml:space="preserve"> SEQ Figure \* ARABIC </w:instrText>
      </w:r>
      <w:r w:rsidR="00843D83">
        <w:rPr>
          <w:noProof/>
          <w:color w:val="2B579A"/>
          <w:shd w:val="clear" w:color="auto" w:fill="E6E6E6"/>
        </w:rPr>
        <w:fldChar w:fldCharType="separate"/>
      </w:r>
      <w:r w:rsidR="00194607">
        <w:rPr>
          <w:noProof/>
        </w:rPr>
        <w:t>3</w:t>
      </w:r>
      <w:r w:rsidR="00843D83">
        <w:rPr>
          <w:noProof/>
          <w:color w:val="2B579A"/>
          <w:shd w:val="clear" w:color="auto" w:fill="E6E6E6"/>
        </w:rPr>
        <w:fldChar w:fldCharType="end"/>
      </w:r>
      <w:bookmarkEnd w:id="11"/>
      <w:r w:rsidR="00843D83">
        <w:rPr>
          <w:noProof/>
        </w:rPr>
        <w:t>: Subsidy distribution by instrument (2022, %)</w:t>
      </w:r>
    </w:p>
    <w:p w14:paraId="7B6B75F1" w14:textId="77777777" w:rsidR="00843D83" w:rsidRPr="001725B1" w:rsidRDefault="00843D83" w:rsidP="00D34DE1">
      <w:pPr>
        <w:spacing w:after="120"/>
        <w:jc w:val="center"/>
        <w:rPr>
          <w:rStyle w:val="SourceCar"/>
          <w:rFonts w:eastAsiaTheme="minorEastAsia"/>
          <w:noProof/>
        </w:rPr>
      </w:pPr>
      <w:r w:rsidRPr="001725B1">
        <w:rPr>
          <w:rStyle w:val="SourceCar"/>
          <w:rFonts w:eastAsiaTheme="minorEastAsia"/>
          <w:noProof/>
        </w:rPr>
        <w:t>Source: Enerdata, Trinomics, 2023</w:t>
      </w:r>
    </w:p>
    <w:p w14:paraId="649887F9" w14:textId="4528096A" w:rsidR="00843D83" w:rsidRPr="00DA60FE" w:rsidRDefault="00843D83" w:rsidP="003B76D4">
      <w:pPr>
        <w:pStyle w:val="Heading2"/>
        <w:keepNext/>
        <w:spacing w:before="240"/>
        <w:ind w:left="714" w:hanging="357"/>
        <w:rPr>
          <w:noProof/>
        </w:rPr>
      </w:pPr>
      <w:r>
        <w:rPr>
          <w:noProof/>
        </w:rPr>
        <w:t xml:space="preserve">Subsidies by energy </w:t>
      </w:r>
      <w:r w:rsidR="00457C45">
        <w:rPr>
          <w:noProof/>
        </w:rPr>
        <w:t>source</w:t>
      </w:r>
    </w:p>
    <w:p w14:paraId="71E9499E" w14:textId="6EA2DF0C" w:rsidR="00843D83" w:rsidRPr="00DA60FE" w:rsidRDefault="00843D83" w:rsidP="00005909">
      <w:pPr>
        <w:pStyle w:val="BodyText"/>
        <w:jc w:val="both"/>
        <w:rPr>
          <w:noProof/>
        </w:rPr>
      </w:pPr>
      <w:r>
        <w:rPr>
          <w:noProof/>
        </w:rPr>
        <w:t xml:space="preserve">In </w:t>
      </w:r>
      <w:r w:rsidRPr="00DA60FE">
        <w:rPr>
          <w:noProof/>
        </w:rPr>
        <w:t>2021</w:t>
      </w:r>
      <w:r w:rsidR="00D34DE1">
        <w:rPr>
          <w:noProof/>
        </w:rPr>
        <w:t>,</w:t>
      </w:r>
      <w:r w:rsidRPr="00DA60FE">
        <w:rPr>
          <w:noProof/>
        </w:rPr>
        <w:t xml:space="preserve"> </w:t>
      </w:r>
      <w:r w:rsidRPr="4507831A">
        <w:rPr>
          <w:b/>
          <w:bCs/>
          <w:noProof/>
        </w:rPr>
        <w:t>fossil fuel subsidies</w:t>
      </w:r>
      <w:r w:rsidRPr="00DA60FE">
        <w:rPr>
          <w:noProof/>
        </w:rPr>
        <w:t xml:space="preserve"> </w:t>
      </w:r>
      <w:r w:rsidRPr="26B36806">
        <w:rPr>
          <w:noProof/>
        </w:rPr>
        <w:t xml:space="preserve">fell to EUR 56 billion, </w:t>
      </w:r>
      <w:r w:rsidRPr="00DA60FE">
        <w:rPr>
          <w:noProof/>
        </w:rPr>
        <w:t>continu</w:t>
      </w:r>
      <w:r w:rsidRPr="26B36806">
        <w:rPr>
          <w:noProof/>
        </w:rPr>
        <w:t xml:space="preserve">ing </w:t>
      </w:r>
      <w:r w:rsidRPr="00DA60FE">
        <w:rPr>
          <w:noProof/>
        </w:rPr>
        <w:t xml:space="preserve">the </w:t>
      </w:r>
      <w:r w:rsidR="006C4D3D">
        <w:rPr>
          <w:noProof/>
        </w:rPr>
        <w:t xml:space="preserve">steady </w:t>
      </w:r>
      <w:r w:rsidRPr="00DA60FE">
        <w:rPr>
          <w:noProof/>
        </w:rPr>
        <w:t>downward trend observed since 2018</w:t>
      </w:r>
      <w:r w:rsidRPr="00DA60FE">
        <w:rPr>
          <w:rStyle w:val="FootnoteReference"/>
          <w:noProof/>
        </w:rPr>
        <w:footnoteReference w:id="15"/>
      </w:r>
      <w:r w:rsidRPr="00DA60FE">
        <w:rPr>
          <w:noProof/>
        </w:rPr>
        <w:t xml:space="preserve"> (</w:t>
      </w:r>
      <w:r w:rsidRPr="00DA60FE">
        <w:rPr>
          <w:noProof/>
          <w:color w:val="2B579A"/>
          <w:shd w:val="clear" w:color="auto" w:fill="E6E6E6"/>
        </w:rPr>
        <w:fldChar w:fldCharType="begin"/>
      </w:r>
      <w:r w:rsidRPr="00DA60FE">
        <w:rPr>
          <w:noProof/>
        </w:rPr>
        <w:instrText xml:space="preserve"> REF _Ref107090333 \h  \* MERGEFORMAT </w:instrText>
      </w:r>
      <w:r w:rsidRPr="00DA60FE">
        <w:rPr>
          <w:noProof/>
          <w:color w:val="2B579A"/>
          <w:shd w:val="clear" w:color="auto" w:fill="E6E6E6"/>
        </w:rPr>
      </w:r>
      <w:r w:rsidRPr="00DA60FE">
        <w:rPr>
          <w:noProof/>
          <w:color w:val="2B579A"/>
          <w:shd w:val="clear" w:color="auto" w:fill="E6E6E6"/>
        </w:rPr>
        <w:fldChar w:fldCharType="separate"/>
      </w:r>
      <w:r w:rsidRPr="00DA60FE">
        <w:rPr>
          <w:noProof/>
        </w:rPr>
        <w:t xml:space="preserve">Figure </w:t>
      </w:r>
      <w:r w:rsidRPr="00F24474">
        <w:rPr>
          <w:noProof/>
        </w:rPr>
        <w:t>4</w:t>
      </w:r>
      <w:r w:rsidRPr="00DA60FE">
        <w:rPr>
          <w:noProof/>
          <w:color w:val="2B579A"/>
          <w:shd w:val="clear" w:color="auto" w:fill="E6E6E6"/>
        </w:rPr>
        <w:fldChar w:fldCharType="end"/>
      </w:r>
      <w:r w:rsidRPr="00DA60FE">
        <w:rPr>
          <w:noProof/>
        </w:rPr>
        <w:t>)</w:t>
      </w:r>
      <w:r w:rsidRPr="26B36806">
        <w:rPr>
          <w:noProof/>
        </w:rPr>
        <w:t>. The fall</w:t>
      </w:r>
      <w:r w:rsidRPr="00DA60FE">
        <w:rPr>
          <w:noProof/>
        </w:rPr>
        <w:t xml:space="preserve"> </w:t>
      </w:r>
      <w:r w:rsidRPr="26B36806">
        <w:rPr>
          <w:noProof/>
        </w:rPr>
        <w:t xml:space="preserve">was </w:t>
      </w:r>
      <w:bookmarkStart w:id="12" w:name="_Int_jcZyRSKB"/>
      <w:r w:rsidRPr="00DA60FE">
        <w:rPr>
          <w:noProof/>
        </w:rPr>
        <w:t>mainly due</w:t>
      </w:r>
      <w:bookmarkEnd w:id="12"/>
      <w:r w:rsidRPr="00DA60FE">
        <w:rPr>
          <w:noProof/>
        </w:rPr>
        <w:t xml:space="preserve"> to a large decrease (EUR</w:t>
      </w:r>
      <w:r w:rsidR="00D34DE1">
        <w:rPr>
          <w:noProof/>
        </w:rPr>
        <w:t> </w:t>
      </w:r>
      <w:r w:rsidRPr="00DA60FE">
        <w:rPr>
          <w:noProof/>
        </w:rPr>
        <w:t>2 billion) in subsidies to the energy industry</w:t>
      </w:r>
      <w:r w:rsidR="00CD002B">
        <w:rPr>
          <w:rStyle w:val="FootnoteReference"/>
          <w:i/>
          <w:iCs/>
          <w:noProof/>
        </w:rPr>
        <w:footnoteReference w:id="16"/>
      </w:r>
      <w:r w:rsidRPr="00DA60FE" w:rsidDel="0009295D">
        <w:rPr>
          <w:noProof/>
        </w:rPr>
        <w:t>.</w:t>
      </w:r>
      <w:r w:rsidR="006C4D3D">
        <w:rPr>
          <w:noProof/>
        </w:rPr>
        <w:t xml:space="preserve"> </w:t>
      </w:r>
      <w:r w:rsidRPr="26B36806">
        <w:rPr>
          <w:noProof/>
        </w:rPr>
        <w:t xml:space="preserve">This downward trend </w:t>
      </w:r>
      <w:r w:rsidR="00411152">
        <w:rPr>
          <w:noProof/>
        </w:rPr>
        <w:t>has been disrupted</w:t>
      </w:r>
      <w:r w:rsidR="00411152" w:rsidRPr="26B36806">
        <w:rPr>
          <w:noProof/>
        </w:rPr>
        <w:t xml:space="preserve"> </w:t>
      </w:r>
      <w:r w:rsidRPr="26B36806">
        <w:rPr>
          <w:noProof/>
        </w:rPr>
        <w:t>in 2022 as a direct consequence of the European response to the energy crisis. Subsidy measures were one of the primary tools to counteract the effects of high energy prices on the cost</w:t>
      </w:r>
      <w:r w:rsidR="00D34DE1">
        <w:rPr>
          <w:noProof/>
        </w:rPr>
        <w:t xml:space="preserve"> </w:t>
      </w:r>
      <w:r w:rsidRPr="26B36806">
        <w:rPr>
          <w:noProof/>
        </w:rPr>
        <w:t>of</w:t>
      </w:r>
      <w:r w:rsidR="00D34DE1">
        <w:rPr>
          <w:noProof/>
        </w:rPr>
        <w:t xml:space="preserve"> </w:t>
      </w:r>
      <w:r w:rsidRPr="26B36806">
        <w:rPr>
          <w:noProof/>
        </w:rPr>
        <w:t xml:space="preserve">living and </w:t>
      </w:r>
      <w:r w:rsidR="00D34DE1">
        <w:rPr>
          <w:noProof/>
        </w:rPr>
        <w:t xml:space="preserve">on the </w:t>
      </w:r>
      <w:r w:rsidRPr="26B36806">
        <w:rPr>
          <w:noProof/>
        </w:rPr>
        <w:t xml:space="preserve">production costs of European industries. </w:t>
      </w:r>
    </w:p>
    <w:p w14:paraId="1DBA214B" w14:textId="4F94FFD6" w:rsidR="00843D83" w:rsidRPr="00DA60FE" w:rsidRDefault="00843D83" w:rsidP="00005909">
      <w:pPr>
        <w:pStyle w:val="BodyText"/>
        <w:jc w:val="both"/>
        <w:rPr>
          <w:noProof/>
        </w:rPr>
      </w:pPr>
      <w:r w:rsidRPr="20073020">
        <w:rPr>
          <w:noProof/>
        </w:rPr>
        <w:t>As a result, fossil subsidies are estimated to have more than doubled between 2021 and 2022 (</w:t>
      </w:r>
      <w:r w:rsidR="00D34DE1">
        <w:rPr>
          <w:noProof/>
        </w:rPr>
        <w:t xml:space="preserve">from </w:t>
      </w:r>
      <w:r w:rsidRPr="20073020">
        <w:rPr>
          <w:noProof/>
        </w:rPr>
        <w:t>EUR 56 billion to EUR 123 billion). This increase reflects</w:t>
      </w:r>
      <w:r w:rsidR="00D34DE1">
        <w:rPr>
          <w:noProof/>
        </w:rPr>
        <w:t>: (i)</w:t>
      </w:r>
      <w:r w:rsidRPr="20073020">
        <w:rPr>
          <w:noProof/>
        </w:rPr>
        <w:t xml:space="preserve"> </w:t>
      </w:r>
      <w:r w:rsidR="00D34DE1">
        <w:rPr>
          <w:noProof/>
        </w:rPr>
        <w:t>the</w:t>
      </w:r>
      <w:r w:rsidRPr="20073020">
        <w:rPr>
          <w:noProof/>
        </w:rPr>
        <w:t xml:space="preserve"> much larger support households</w:t>
      </w:r>
      <w:r w:rsidR="00D34DE1">
        <w:rPr>
          <w:noProof/>
        </w:rPr>
        <w:t xml:space="preserve"> no</w:t>
      </w:r>
      <w:r w:rsidR="00BD33F0">
        <w:rPr>
          <w:noProof/>
        </w:rPr>
        <w:t>w</w:t>
      </w:r>
      <w:r w:rsidR="00D34DE1">
        <w:rPr>
          <w:noProof/>
        </w:rPr>
        <w:t xml:space="preserve"> receive</w:t>
      </w:r>
      <w:r w:rsidR="00457C45">
        <w:rPr>
          <w:noProof/>
        </w:rPr>
        <w:t xml:space="preserve"> (</w:t>
      </w:r>
      <w:r w:rsidR="006B0DDD">
        <w:rPr>
          <w:noProof/>
        </w:rPr>
        <w:t>+500%</w:t>
      </w:r>
      <w:r w:rsidR="00457C45">
        <w:rPr>
          <w:noProof/>
        </w:rPr>
        <w:t>)</w:t>
      </w:r>
      <w:r w:rsidR="00D34DE1">
        <w:rPr>
          <w:noProof/>
        </w:rPr>
        <w:t>; (ii) increased subsidies for</w:t>
      </w:r>
      <w:r w:rsidRPr="20073020">
        <w:rPr>
          <w:noProof/>
        </w:rPr>
        <w:t xml:space="preserve"> the transport sector and the energy industry</w:t>
      </w:r>
      <w:r w:rsidR="006B0DDD">
        <w:rPr>
          <w:noProof/>
        </w:rPr>
        <w:t xml:space="preserve"> (+150% and +280% respectively)</w:t>
      </w:r>
      <w:r w:rsidR="00D34DE1">
        <w:rPr>
          <w:noProof/>
        </w:rPr>
        <w:t>;</w:t>
      </w:r>
      <w:r w:rsidRPr="20073020">
        <w:rPr>
          <w:noProof/>
        </w:rPr>
        <w:t xml:space="preserve"> </w:t>
      </w:r>
      <w:bookmarkStart w:id="13" w:name="_Int_ubcmclJ6"/>
      <w:r w:rsidRPr="20073020">
        <w:rPr>
          <w:noProof/>
        </w:rPr>
        <w:t xml:space="preserve">and </w:t>
      </w:r>
      <w:r w:rsidR="00D34DE1">
        <w:rPr>
          <w:noProof/>
        </w:rPr>
        <w:t xml:space="preserve">(iii) </w:t>
      </w:r>
      <w:bookmarkEnd w:id="13"/>
      <w:r w:rsidR="00D34DE1">
        <w:rPr>
          <w:noProof/>
        </w:rPr>
        <w:t>other</w:t>
      </w:r>
      <w:r w:rsidRPr="20073020">
        <w:rPr>
          <w:noProof/>
        </w:rPr>
        <w:t xml:space="preserve"> cross-sectoral measures (</w:t>
      </w:r>
      <w:bookmarkStart w:id="14" w:name="_Int_3wlAygkf"/>
      <w:r w:rsidR="006B0DDD">
        <w:rPr>
          <w:noProof/>
        </w:rPr>
        <w:t xml:space="preserve">+770% through, for example, </w:t>
      </w:r>
      <w:bookmarkEnd w:id="14"/>
      <w:r w:rsidRPr="20073020">
        <w:rPr>
          <w:noProof/>
        </w:rPr>
        <w:t xml:space="preserve">lower </w:t>
      </w:r>
      <w:bookmarkStart w:id="15" w:name="_Int_FW2YNdes"/>
      <w:r w:rsidRPr="20073020">
        <w:rPr>
          <w:noProof/>
        </w:rPr>
        <w:t>VAT</w:t>
      </w:r>
      <w:bookmarkEnd w:id="15"/>
      <w:r w:rsidRPr="20073020">
        <w:rPr>
          <w:noProof/>
        </w:rPr>
        <w:t xml:space="preserve"> rates). Direct support to industry and agriculture remained stable or rose only very slightly</w:t>
      </w:r>
      <w:r w:rsidR="00D34DE1">
        <w:rPr>
          <w:noProof/>
        </w:rPr>
        <w:t xml:space="preserve"> between 2021 and 2022</w:t>
      </w:r>
      <w:r w:rsidRPr="20073020">
        <w:rPr>
          <w:noProof/>
        </w:rPr>
        <w:t>.</w:t>
      </w:r>
    </w:p>
    <w:p w14:paraId="089C0D7F" w14:textId="443B33B4" w:rsidR="00843D83" w:rsidRPr="00DA60FE" w:rsidRDefault="00C10D3A" w:rsidP="00843D83">
      <w:pPr>
        <w:pStyle w:val="Caption"/>
        <w:spacing w:after="0"/>
        <w:jc w:val="center"/>
        <w:rPr>
          <w:noProof/>
        </w:rPr>
      </w:pPr>
      <w:bookmarkStart w:id="16" w:name="_Ref107090333"/>
      <w:bookmarkStart w:id="17" w:name="_Toc145348068"/>
      <w:r w:rsidRPr="00843D83">
        <w:rPr>
          <w:noProof/>
          <w:color w:val="2B579A"/>
          <w:shd w:val="clear" w:color="auto" w:fill="E6E6E6"/>
          <w:lang w:val="en-GB" w:eastAsia="en-GB"/>
        </w:rPr>
        <w:drawing>
          <wp:anchor distT="0" distB="0" distL="114300" distR="114300" simplePos="0" relativeHeight="251661824" behindDoc="0" locked="0" layoutInCell="1" allowOverlap="1" wp14:anchorId="337A5971" wp14:editId="47439D2B">
            <wp:simplePos x="0" y="0"/>
            <wp:positionH relativeFrom="margin">
              <wp:align>center</wp:align>
            </wp:positionH>
            <wp:positionV relativeFrom="paragraph">
              <wp:posOffset>217170</wp:posOffset>
            </wp:positionV>
            <wp:extent cx="5724000" cy="2797200"/>
            <wp:effectExtent l="0" t="0" r="0" b="3175"/>
            <wp:wrapTopAndBottom/>
            <wp:docPr id="1868273079" name="Picture 1868273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5724000" cy="2797200"/>
                    </a:xfrm>
                    <a:prstGeom prst="rect">
                      <a:avLst/>
                    </a:prstGeom>
                    <a:noFill/>
                  </pic:spPr>
                </pic:pic>
              </a:graphicData>
            </a:graphic>
            <wp14:sizeRelH relativeFrom="page">
              <wp14:pctWidth>0</wp14:pctWidth>
            </wp14:sizeRelH>
            <wp14:sizeRelV relativeFrom="page">
              <wp14:pctHeight>0</wp14:pctHeight>
            </wp14:sizeRelV>
          </wp:anchor>
        </w:drawing>
      </w:r>
      <w:r w:rsidR="00843D83" w:rsidRPr="00DA60FE">
        <w:rPr>
          <w:noProof/>
        </w:rPr>
        <w:t xml:space="preserve">Figure </w:t>
      </w:r>
      <w:r w:rsidR="00843D83" w:rsidRPr="00DA60FE">
        <w:rPr>
          <w:noProof/>
          <w:color w:val="2B579A"/>
          <w:shd w:val="clear" w:color="auto" w:fill="E6E6E6"/>
        </w:rPr>
        <w:fldChar w:fldCharType="begin"/>
      </w:r>
      <w:r w:rsidR="00843D83" w:rsidRPr="00DA60FE">
        <w:rPr>
          <w:noProof/>
        </w:rPr>
        <w:instrText xml:space="preserve"> SEQ Figure \* ARABIC </w:instrText>
      </w:r>
      <w:r w:rsidR="00843D83" w:rsidRPr="00DA60FE">
        <w:rPr>
          <w:noProof/>
          <w:color w:val="2B579A"/>
          <w:shd w:val="clear" w:color="auto" w:fill="E6E6E6"/>
        </w:rPr>
        <w:fldChar w:fldCharType="separate"/>
      </w:r>
      <w:r w:rsidR="00194607">
        <w:rPr>
          <w:noProof/>
        </w:rPr>
        <w:t>4</w:t>
      </w:r>
      <w:r w:rsidR="00843D83" w:rsidRPr="00DA60FE">
        <w:rPr>
          <w:noProof/>
          <w:color w:val="2B579A"/>
          <w:shd w:val="clear" w:color="auto" w:fill="E6E6E6"/>
        </w:rPr>
        <w:fldChar w:fldCharType="end"/>
      </w:r>
      <w:bookmarkEnd w:id="16"/>
      <w:r w:rsidR="00843D83" w:rsidRPr="00DA60FE">
        <w:rPr>
          <w:noProof/>
        </w:rPr>
        <w:t xml:space="preserve">: Fossil fuel subsidies in the </w:t>
      </w:r>
      <w:r w:rsidR="00D34DE1">
        <w:rPr>
          <w:noProof/>
        </w:rPr>
        <w:t>EU-27</w:t>
      </w:r>
      <w:r w:rsidR="009A1F87">
        <w:rPr>
          <w:noProof/>
        </w:rPr>
        <w:t xml:space="preserve"> by economic sector (</w:t>
      </w:r>
      <w:r w:rsidR="00843D83" w:rsidRPr="00DA60FE">
        <w:rPr>
          <w:noProof/>
        </w:rPr>
        <w:t>EUR2022bn)</w:t>
      </w:r>
      <w:bookmarkEnd w:id="17"/>
    </w:p>
    <w:p w14:paraId="65BE6D0B" w14:textId="77777777" w:rsidR="00843D83" w:rsidRPr="00D34DE1" w:rsidRDefault="00843D83" w:rsidP="00D34DE1">
      <w:pPr>
        <w:pStyle w:val="Source"/>
        <w:spacing w:after="120" w:line="276" w:lineRule="auto"/>
        <w:rPr>
          <w:rFonts w:eastAsiaTheme="minorEastAsia"/>
          <w:noProof/>
        </w:rPr>
      </w:pPr>
      <w:r w:rsidRPr="00D34DE1">
        <w:rPr>
          <w:rStyle w:val="SourceCar"/>
          <w:rFonts w:eastAsiaTheme="minorEastAsia"/>
          <w:noProof/>
        </w:rPr>
        <w:t>Source: Enerdata, Trinomics, 2023</w:t>
      </w:r>
      <w:r w:rsidR="00005909" w:rsidRPr="00D34DE1">
        <w:rPr>
          <w:rStyle w:val="SourceCar"/>
          <w:rFonts w:eastAsiaTheme="minorEastAsia"/>
          <w:noProof/>
        </w:rPr>
        <w:t xml:space="preserve">. </w:t>
      </w:r>
      <w:r w:rsidRPr="00D34DE1">
        <w:rPr>
          <w:rStyle w:val="SourceCar"/>
          <w:rFonts w:eastAsiaTheme="minorEastAsia"/>
          <w:noProof/>
        </w:rPr>
        <w:t xml:space="preserve">NB: </w:t>
      </w:r>
      <w:r w:rsidR="00005909" w:rsidRPr="00D34DE1">
        <w:rPr>
          <w:rStyle w:val="SourceCar"/>
          <w:rFonts w:eastAsiaTheme="minorEastAsia"/>
          <w:noProof/>
        </w:rPr>
        <w:t>2022 estimates are represented with hatching</w:t>
      </w:r>
    </w:p>
    <w:p w14:paraId="64D13E2F" w14:textId="625BDF95" w:rsidR="00843D83" w:rsidRDefault="00843D83" w:rsidP="00005909">
      <w:pPr>
        <w:pStyle w:val="BodyText"/>
        <w:jc w:val="both"/>
        <w:rPr>
          <w:noProof/>
        </w:rPr>
      </w:pPr>
      <w:r w:rsidRPr="20073020">
        <w:rPr>
          <w:noProof/>
        </w:rPr>
        <w:t xml:space="preserve">Most of the fossil fuel subsidies allocated in the </w:t>
      </w:r>
      <w:r w:rsidR="00D34DE1">
        <w:rPr>
          <w:noProof/>
        </w:rPr>
        <w:t>EU-27</w:t>
      </w:r>
      <w:r w:rsidRPr="20073020">
        <w:rPr>
          <w:noProof/>
        </w:rPr>
        <w:t xml:space="preserve"> since 2015 </w:t>
      </w:r>
      <w:r w:rsidR="002A79E5">
        <w:rPr>
          <w:noProof/>
        </w:rPr>
        <w:t>have been</w:t>
      </w:r>
      <w:r w:rsidR="002A79E5" w:rsidRPr="20073020">
        <w:rPr>
          <w:noProof/>
        </w:rPr>
        <w:t xml:space="preserve"> </w:t>
      </w:r>
      <w:r w:rsidRPr="20073020">
        <w:rPr>
          <w:noProof/>
        </w:rPr>
        <w:t xml:space="preserve">intended to support </w:t>
      </w:r>
      <w:r w:rsidR="00CD002B">
        <w:rPr>
          <w:noProof/>
        </w:rPr>
        <w:t>consumers</w:t>
      </w:r>
      <w:r w:rsidR="00C9222A">
        <w:rPr>
          <w:noProof/>
        </w:rPr>
        <w:t>’</w:t>
      </w:r>
      <w:r w:rsidR="00CD002B">
        <w:rPr>
          <w:noProof/>
        </w:rPr>
        <w:t xml:space="preserve"> </w:t>
      </w:r>
      <w:r w:rsidRPr="20073020">
        <w:rPr>
          <w:i/>
          <w:iCs/>
          <w:noProof/>
        </w:rPr>
        <w:t>energy demand</w:t>
      </w:r>
      <w:r w:rsidRPr="20073020">
        <w:rPr>
          <w:noProof/>
        </w:rPr>
        <w:t xml:space="preserve">, for example by limiting the costs of energy consumption through lower tax rates on energy products. The share </w:t>
      </w:r>
      <w:r w:rsidR="00542CF0">
        <w:rPr>
          <w:noProof/>
        </w:rPr>
        <w:t xml:space="preserve">of these energy demand measures </w:t>
      </w:r>
      <w:r w:rsidRPr="20073020">
        <w:rPr>
          <w:noProof/>
        </w:rPr>
        <w:t xml:space="preserve">grew from 67% in 2015 to 74% by 2021 and estimates </w:t>
      </w:r>
      <w:r w:rsidR="00542CF0">
        <w:rPr>
          <w:noProof/>
        </w:rPr>
        <w:t>suggest that they will have grown</w:t>
      </w:r>
      <w:r w:rsidR="00542CF0" w:rsidRPr="20073020">
        <w:rPr>
          <w:noProof/>
        </w:rPr>
        <w:t xml:space="preserve"> </w:t>
      </w:r>
      <w:r w:rsidRPr="20073020">
        <w:rPr>
          <w:noProof/>
        </w:rPr>
        <w:t xml:space="preserve">to 83% </w:t>
      </w:r>
      <w:r w:rsidR="00612A45">
        <w:rPr>
          <w:noProof/>
        </w:rPr>
        <w:t xml:space="preserve">of fossil fuel subsidies </w:t>
      </w:r>
      <w:r w:rsidRPr="20073020">
        <w:rPr>
          <w:noProof/>
        </w:rPr>
        <w:t xml:space="preserve">in 2022. </w:t>
      </w:r>
      <w:r w:rsidR="00612A45">
        <w:rPr>
          <w:noProof/>
        </w:rPr>
        <w:t>F</w:t>
      </w:r>
      <w:r w:rsidRPr="20073020">
        <w:rPr>
          <w:noProof/>
        </w:rPr>
        <w:t xml:space="preserve">ossil fuel subsidies </w:t>
      </w:r>
      <w:r w:rsidR="0073288E">
        <w:rPr>
          <w:noProof/>
        </w:rPr>
        <w:t xml:space="preserve">have </w:t>
      </w:r>
      <w:r w:rsidRPr="20073020">
        <w:rPr>
          <w:noProof/>
        </w:rPr>
        <w:t xml:space="preserve">aimed at supporting </w:t>
      </w:r>
      <w:r w:rsidRPr="20073020">
        <w:rPr>
          <w:i/>
          <w:iCs/>
          <w:noProof/>
        </w:rPr>
        <w:t xml:space="preserve">electricity production </w:t>
      </w:r>
      <w:r w:rsidRPr="20073020">
        <w:rPr>
          <w:noProof/>
        </w:rPr>
        <w:t xml:space="preserve">ranged between 20% and </w:t>
      </w:r>
      <w:bookmarkStart w:id="18" w:name="_Int_lQFh9DYp"/>
      <w:r w:rsidRPr="20073020">
        <w:rPr>
          <w:noProof/>
        </w:rPr>
        <w:t>30%</w:t>
      </w:r>
      <w:r w:rsidR="006B0DDD">
        <w:rPr>
          <w:noProof/>
        </w:rPr>
        <w:t xml:space="preserve"> </w:t>
      </w:r>
      <w:r w:rsidR="006B0DDD" w:rsidRPr="20073020">
        <w:rPr>
          <w:noProof/>
        </w:rPr>
        <w:t>since 2015</w:t>
      </w:r>
      <w:r w:rsidRPr="20073020">
        <w:rPr>
          <w:noProof/>
        </w:rPr>
        <w:t>, and</w:t>
      </w:r>
      <w:bookmarkEnd w:id="18"/>
      <w:r w:rsidRPr="20073020">
        <w:rPr>
          <w:noProof/>
        </w:rPr>
        <w:t xml:space="preserve"> are estimated to have dropped to 10%</w:t>
      </w:r>
      <w:r w:rsidR="00612A45">
        <w:rPr>
          <w:noProof/>
        </w:rPr>
        <w:t xml:space="preserve"> of all fossil fuel subsidies</w:t>
      </w:r>
      <w:r w:rsidRPr="20073020">
        <w:rPr>
          <w:noProof/>
        </w:rPr>
        <w:t xml:space="preserve"> in 2022. Subsidies specifically directed to </w:t>
      </w:r>
      <w:r w:rsidR="00612A45">
        <w:rPr>
          <w:noProof/>
        </w:rPr>
        <w:t xml:space="preserve">fossil </w:t>
      </w:r>
      <w:r w:rsidR="00612A45" w:rsidRPr="00612A45">
        <w:rPr>
          <w:i/>
          <w:noProof/>
        </w:rPr>
        <w:t>fuel extraction and supporting infrastructure</w:t>
      </w:r>
      <w:r w:rsidR="00612A45" w:rsidRPr="798EAA72">
        <w:rPr>
          <w:noProof/>
        </w:rPr>
        <w:t xml:space="preserve"> received EUR 13 </w:t>
      </w:r>
      <w:r w:rsidR="00612A45">
        <w:rPr>
          <w:noProof/>
        </w:rPr>
        <w:t xml:space="preserve">billion </w:t>
      </w:r>
      <w:r w:rsidR="00612A45" w:rsidRPr="798EAA72">
        <w:rPr>
          <w:noProof/>
        </w:rPr>
        <w:t xml:space="preserve">and </w:t>
      </w:r>
      <w:r w:rsidR="00612A45">
        <w:rPr>
          <w:noProof/>
        </w:rPr>
        <w:t xml:space="preserve">EUR </w:t>
      </w:r>
      <w:r w:rsidR="00612A45" w:rsidRPr="798EAA72">
        <w:rPr>
          <w:noProof/>
        </w:rPr>
        <w:t>6 billion, respectively</w:t>
      </w:r>
      <w:r w:rsidR="00612A45">
        <w:rPr>
          <w:noProof/>
        </w:rPr>
        <w:t>; while</w:t>
      </w:r>
      <w:r w:rsidR="00612A45" w:rsidRPr="20073020">
        <w:rPr>
          <w:i/>
          <w:iCs/>
          <w:noProof/>
        </w:rPr>
        <w:t xml:space="preserve"> </w:t>
      </w:r>
      <w:r w:rsidRPr="20073020">
        <w:rPr>
          <w:i/>
          <w:iCs/>
          <w:noProof/>
        </w:rPr>
        <w:t>energy industry restructuring</w:t>
      </w:r>
      <w:r w:rsidRPr="20073020">
        <w:rPr>
          <w:noProof/>
        </w:rPr>
        <w:t xml:space="preserve"> (such as support </w:t>
      </w:r>
      <w:r w:rsidR="00612A45">
        <w:rPr>
          <w:noProof/>
        </w:rPr>
        <w:t>for</w:t>
      </w:r>
      <w:r w:rsidR="00612A45" w:rsidRPr="20073020">
        <w:rPr>
          <w:noProof/>
        </w:rPr>
        <w:t xml:space="preserve"> </w:t>
      </w:r>
      <w:r w:rsidRPr="20073020">
        <w:rPr>
          <w:noProof/>
        </w:rPr>
        <w:t>clos</w:t>
      </w:r>
      <w:r w:rsidR="00612A45">
        <w:rPr>
          <w:noProof/>
        </w:rPr>
        <w:t>ing</w:t>
      </w:r>
      <w:r w:rsidRPr="20073020">
        <w:rPr>
          <w:noProof/>
        </w:rPr>
        <w:t xml:space="preserve"> coal/lignite power plants or mines) represent</w:t>
      </w:r>
      <w:r w:rsidR="00612A45">
        <w:rPr>
          <w:noProof/>
        </w:rPr>
        <w:t>ed</w:t>
      </w:r>
      <w:r w:rsidRPr="20073020">
        <w:rPr>
          <w:noProof/>
        </w:rPr>
        <w:t xml:space="preserve"> a small and decreasing share of the total fossil </w:t>
      </w:r>
      <w:r w:rsidR="00612A45">
        <w:rPr>
          <w:noProof/>
        </w:rPr>
        <w:t xml:space="preserve">fuel </w:t>
      </w:r>
      <w:r w:rsidRPr="20073020">
        <w:rPr>
          <w:noProof/>
        </w:rPr>
        <w:t>subsidies (3.4% or EUR 1.7 billion) in 2021.</w:t>
      </w:r>
    </w:p>
    <w:p w14:paraId="59A3418D" w14:textId="330107BD" w:rsidR="00F14F45" w:rsidRPr="00F14F45" w:rsidRDefault="00F14F45" w:rsidP="00005909">
      <w:pPr>
        <w:pStyle w:val="BodyText"/>
        <w:jc w:val="both"/>
        <w:rPr>
          <w:noProof/>
        </w:rPr>
      </w:pPr>
      <w:r>
        <w:rPr>
          <w:noProof/>
        </w:rPr>
        <w:t>While most of the fossil fuel support went to oil and refined oil products (EUR 56 billion) in 2022 (</w:t>
      </w:r>
      <w:r>
        <w:rPr>
          <w:noProof/>
        </w:rPr>
        <w:fldChar w:fldCharType="begin"/>
      </w:r>
      <w:r>
        <w:rPr>
          <w:noProof/>
        </w:rPr>
        <w:instrText xml:space="preserve"> REF _Ref148519541 \h </w:instrText>
      </w:r>
      <w:r>
        <w:rPr>
          <w:noProof/>
        </w:rPr>
      </w:r>
      <w:r>
        <w:rPr>
          <w:noProof/>
        </w:rPr>
        <w:fldChar w:fldCharType="separate"/>
      </w:r>
      <w:r>
        <w:rPr>
          <w:noProof/>
        </w:rPr>
        <w:t>Figure 5</w:t>
      </w:r>
      <w:r>
        <w:rPr>
          <w:noProof/>
        </w:rPr>
        <w:fldChar w:fldCharType="end"/>
      </w:r>
      <w:r>
        <w:rPr>
          <w:noProof/>
        </w:rPr>
        <w:t xml:space="preserve">), subsidies aimed at </w:t>
      </w:r>
      <w:r>
        <w:rPr>
          <w:i/>
          <w:noProof/>
        </w:rPr>
        <w:t>natural gas</w:t>
      </w:r>
      <w:r>
        <w:rPr>
          <w:noProof/>
        </w:rPr>
        <w:t xml:space="preserve"> tripled from 2021 to 2022 and reached EUR 46 billion. Support to coal and lignite remained the same at EUR 8 billion, while all other types of fossil, including peat, received EUR 13 billion.</w:t>
      </w:r>
    </w:p>
    <w:p w14:paraId="2BF0FA72" w14:textId="4992BD0B" w:rsidR="00194607" w:rsidRPr="00F03E51" w:rsidRDefault="00F14F45" w:rsidP="00194607">
      <w:pPr>
        <w:pStyle w:val="Caption"/>
        <w:spacing w:after="0"/>
        <w:jc w:val="center"/>
        <w:rPr>
          <w:noProof/>
        </w:rPr>
      </w:pPr>
      <w:bookmarkStart w:id="19" w:name="_Ref148519541"/>
      <w:r>
        <w:rPr>
          <w:noProof/>
          <w:lang w:val="en-GB" w:eastAsia="en-GB"/>
        </w:rPr>
        <w:drawing>
          <wp:anchor distT="0" distB="0" distL="114300" distR="114300" simplePos="0" relativeHeight="251675136" behindDoc="0" locked="0" layoutInCell="1" allowOverlap="1" wp14:anchorId="3A01574F" wp14:editId="03C5C42D">
            <wp:simplePos x="0" y="0"/>
            <wp:positionH relativeFrom="margin">
              <wp:align>center</wp:align>
            </wp:positionH>
            <wp:positionV relativeFrom="paragraph">
              <wp:posOffset>176225</wp:posOffset>
            </wp:positionV>
            <wp:extent cx="3261600" cy="1940400"/>
            <wp:effectExtent l="0" t="0" r="0" b="317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61600" cy="1940400"/>
                    </a:xfrm>
                    <a:prstGeom prst="rect">
                      <a:avLst/>
                    </a:prstGeom>
                    <a:noFill/>
                  </pic:spPr>
                </pic:pic>
              </a:graphicData>
            </a:graphic>
            <wp14:sizeRelH relativeFrom="page">
              <wp14:pctWidth>0</wp14:pctWidth>
            </wp14:sizeRelH>
            <wp14:sizeRelV relativeFrom="page">
              <wp14:pctHeight>0</wp14:pctHeight>
            </wp14:sizeRelV>
          </wp:anchor>
        </w:drawing>
      </w:r>
      <w:r w:rsidR="00194607">
        <w:rPr>
          <w:noProof/>
        </w:rPr>
        <w:t xml:space="preserve">Figure </w:t>
      </w:r>
      <w:r w:rsidR="00194607">
        <w:rPr>
          <w:noProof/>
        </w:rPr>
        <w:fldChar w:fldCharType="begin"/>
      </w:r>
      <w:r w:rsidR="00194607">
        <w:rPr>
          <w:noProof/>
        </w:rPr>
        <w:instrText xml:space="preserve"> SEQ Figure \* ARABIC </w:instrText>
      </w:r>
      <w:r w:rsidR="00194607">
        <w:rPr>
          <w:noProof/>
        </w:rPr>
        <w:fldChar w:fldCharType="separate"/>
      </w:r>
      <w:r w:rsidR="00194607">
        <w:rPr>
          <w:noProof/>
        </w:rPr>
        <w:t>5</w:t>
      </w:r>
      <w:r w:rsidR="00194607">
        <w:rPr>
          <w:noProof/>
        </w:rPr>
        <w:fldChar w:fldCharType="end"/>
      </w:r>
      <w:bookmarkEnd w:id="19"/>
      <w:r w:rsidR="00194607">
        <w:rPr>
          <w:noProof/>
        </w:rPr>
        <w:t>: Fossil subsidies by type of fuel</w:t>
      </w:r>
    </w:p>
    <w:p w14:paraId="04ACBA6F" w14:textId="595026C9" w:rsidR="00194607" w:rsidRDefault="00194607" w:rsidP="00194607">
      <w:pPr>
        <w:pStyle w:val="BodyText"/>
        <w:jc w:val="center"/>
        <w:rPr>
          <w:noProof/>
        </w:rPr>
      </w:pPr>
      <w:r w:rsidRPr="00194607">
        <w:rPr>
          <w:rFonts w:ascii="EC Square Sans Pro" w:hAnsi="EC Square Sans Pro"/>
          <w:i/>
          <w:iCs/>
          <w:noProof/>
          <w:color w:val="989393"/>
          <w:sz w:val="18"/>
          <w:szCs w:val="18"/>
          <w:lang w:eastAsia="de-DE"/>
        </w:rPr>
        <w:t>Source: Enerdata, Trinomics, 2023.</w:t>
      </w:r>
    </w:p>
    <w:p w14:paraId="4E67B59B" w14:textId="0B4CE957" w:rsidR="00843D83" w:rsidRPr="00DA60FE" w:rsidRDefault="00843D83" w:rsidP="00005909">
      <w:pPr>
        <w:pStyle w:val="BodyText"/>
        <w:jc w:val="both"/>
        <w:rPr>
          <w:noProof/>
        </w:rPr>
      </w:pPr>
      <w:r>
        <w:rPr>
          <w:noProof/>
        </w:rPr>
        <w:t xml:space="preserve">In 2021, </w:t>
      </w:r>
      <w:r w:rsidRPr="0BD16CC5">
        <w:rPr>
          <w:b/>
          <w:bCs/>
          <w:noProof/>
        </w:rPr>
        <w:t>subsidies for renewable energy sources</w:t>
      </w:r>
      <w:r w:rsidRPr="0BD16CC5">
        <w:rPr>
          <w:noProof/>
        </w:rPr>
        <w:t xml:space="preserve"> </w:t>
      </w:r>
      <w:r w:rsidRPr="003367AA">
        <w:rPr>
          <w:bCs/>
          <w:noProof/>
        </w:rPr>
        <w:t>decreased</w:t>
      </w:r>
      <w:r w:rsidRPr="0BD16CC5">
        <w:rPr>
          <w:noProof/>
        </w:rPr>
        <w:t xml:space="preserve"> for the first time</w:t>
      </w:r>
      <w:r w:rsidRPr="26B36806">
        <w:rPr>
          <w:noProof/>
        </w:rPr>
        <w:t xml:space="preserve"> in several years</w:t>
      </w:r>
      <w:r w:rsidRPr="0BD16CC5">
        <w:rPr>
          <w:noProof/>
        </w:rPr>
        <w:t xml:space="preserve"> </w:t>
      </w:r>
      <w:r w:rsidR="00F14F45">
        <w:rPr>
          <w:noProof/>
        </w:rPr>
        <w:t>(</w:t>
      </w:r>
      <w:r w:rsidR="00F14F45">
        <w:rPr>
          <w:noProof/>
        </w:rPr>
        <w:fldChar w:fldCharType="begin"/>
      </w:r>
      <w:r w:rsidR="00F14F45">
        <w:rPr>
          <w:noProof/>
        </w:rPr>
        <w:instrText xml:space="preserve"> REF _Ref141343568 \h </w:instrText>
      </w:r>
      <w:r w:rsidR="00F14F45">
        <w:rPr>
          <w:noProof/>
        </w:rPr>
      </w:r>
      <w:r w:rsidR="00F14F45">
        <w:rPr>
          <w:noProof/>
        </w:rPr>
        <w:fldChar w:fldCharType="separate"/>
      </w:r>
      <w:r w:rsidR="00F14F45" w:rsidRPr="00DA60FE">
        <w:rPr>
          <w:noProof/>
        </w:rPr>
        <w:t xml:space="preserve">Figure </w:t>
      </w:r>
      <w:r w:rsidR="00F14F45">
        <w:rPr>
          <w:noProof/>
        </w:rPr>
        <w:t>6</w:t>
      </w:r>
      <w:r w:rsidR="00F14F45">
        <w:rPr>
          <w:noProof/>
        </w:rPr>
        <w:fldChar w:fldCharType="end"/>
      </w:r>
      <w:r w:rsidRPr="00DA60FE">
        <w:rPr>
          <w:noProof/>
        </w:rPr>
        <w:t>)</w:t>
      </w:r>
      <w:r w:rsidRPr="26B36806">
        <w:rPr>
          <w:noProof/>
        </w:rPr>
        <w:t xml:space="preserve"> to EUR </w:t>
      </w:r>
      <w:r w:rsidRPr="00F31C2F">
        <w:rPr>
          <w:noProof/>
        </w:rPr>
        <w:t>86 billion</w:t>
      </w:r>
      <w:r w:rsidRPr="26B36806">
        <w:rPr>
          <w:noProof/>
        </w:rPr>
        <w:t xml:space="preserve"> (-</w:t>
      </w:r>
      <w:r w:rsidRPr="0BD16CC5" w:rsidDel="00E470D0">
        <w:rPr>
          <w:noProof/>
        </w:rPr>
        <w:t>EUR</w:t>
      </w:r>
      <w:r w:rsidRPr="0BD16CC5">
        <w:rPr>
          <w:noProof/>
        </w:rPr>
        <w:t xml:space="preserve"> 1.3 billion</w:t>
      </w:r>
      <w:r w:rsidRPr="26B36806">
        <w:rPr>
          <w:noProof/>
        </w:rPr>
        <w:t xml:space="preserve"> or </w:t>
      </w:r>
      <w:r w:rsidRPr="0BD16CC5">
        <w:rPr>
          <w:noProof/>
        </w:rPr>
        <w:t>-1.5%</w:t>
      </w:r>
      <w:r w:rsidR="00612A45">
        <w:rPr>
          <w:noProof/>
        </w:rPr>
        <w:t xml:space="preserve"> compared with 2020</w:t>
      </w:r>
      <w:r w:rsidRPr="0BD16CC5">
        <w:rPr>
          <w:noProof/>
        </w:rPr>
        <w:t>)</w:t>
      </w:r>
      <w:r w:rsidR="00612A45">
        <w:rPr>
          <w:noProof/>
        </w:rPr>
        <w:t>. This decline was</w:t>
      </w:r>
      <w:r w:rsidRPr="0BD16CC5">
        <w:rPr>
          <w:noProof/>
        </w:rPr>
        <w:t xml:space="preserve"> mainly due to the increase in wholesale electricity market</w:t>
      </w:r>
      <w:r w:rsidR="00612A45">
        <w:rPr>
          <w:noProof/>
        </w:rPr>
        <w:t xml:space="preserve"> prices</w:t>
      </w:r>
      <w:r w:rsidRPr="0BD16CC5">
        <w:rPr>
          <w:noProof/>
        </w:rPr>
        <w:t xml:space="preserve">, which </w:t>
      </w:r>
      <w:r w:rsidR="002A79E5">
        <w:rPr>
          <w:noProof/>
        </w:rPr>
        <w:t xml:space="preserve">has </w:t>
      </w:r>
      <w:r w:rsidRPr="0BD16CC5">
        <w:rPr>
          <w:noProof/>
        </w:rPr>
        <w:t xml:space="preserve">led to a decrease </w:t>
      </w:r>
      <w:r w:rsidR="00612A45">
        <w:rPr>
          <w:noProof/>
        </w:rPr>
        <w:t>in</w:t>
      </w:r>
      <w:r w:rsidRPr="0BD16CC5">
        <w:rPr>
          <w:noProof/>
        </w:rPr>
        <w:t xml:space="preserve"> payments </w:t>
      </w:r>
      <w:r>
        <w:rPr>
          <w:noProof/>
        </w:rPr>
        <w:t xml:space="preserve">of </w:t>
      </w:r>
      <w:r w:rsidRPr="0BD16CC5">
        <w:rPr>
          <w:noProof/>
        </w:rPr>
        <w:t xml:space="preserve">support instruments </w:t>
      </w:r>
      <w:r w:rsidR="000C06F2">
        <w:rPr>
          <w:noProof/>
        </w:rPr>
        <w:t>that provide a top</w:t>
      </w:r>
      <w:r w:rsidR="00EB5041">
        <w:rPr>
          <w:noProof/>
        </w:rPr>
        <w:t>-</w:t>
      </w:r>
      <w:r w:rsidR="000C06F2">
        <w:rPr>
          <w:noProof/>
        </w:rPr>
        <w:t>up to market prices</w:t>
      </w:r>
      <w:r w:rsidR="00612A45">
        <w:rPr>
          <w:noProof/>
        </w:rPr>
        <w:t xml:space="preserve">. The decline in subsidies for renewable energy came also in spite of </w:t>
      </w:r>
      <w:r>
        <w:rPr>
          <w:noProof/>
        </w:rPr>
        <w:t xml:space="preserve">the increase in installed and supported </w:t>
      </w:r>
      <w:bookmarkStart w:id="20" w:name="_Int_zBsLNZGc"/>
      <w:r>
        <w:rPr>
          <w:noProof/>
        </w:rPr>
        <w:t>RES</w:t>
      </w:r>
      <w:bookmarkEnd w:id="20"/>
      <w:r>
        <w:rPr>
          <w:noProof/>
        </w:rPr>
        <w:t xml:space="preserve"> generation</w:t>
      </w:r>
      <w:r w:rsidR="000C06F2">
        <w:rPr>
          <w:noProof/>
        </w:rPr>
        <w:t xml:space="preserve"> capacity</w:t>
      </w:r>
      <w:r w:rsidRPr="0BD16CC5">
        <w:rPr>
          <w:noProof/>
        </w:rPr>
        <w:t xml:space="preserve">. In </w:t>
      </w:r>
      <w:r w:rsidRPr="26B36806">
        <w:rPr>
          <w:noProof/>
        </w:rPr>
        <w:t xml:space="preserve">2022, </w:t>
      </w:r>
      <w:r w:rsidRPr="00522916">
        <w:rPr>
          <w:noProof/>
        </w:rPr>
        <w:t>RES subsidies rose only slightly to EUR 87 billion,</w:t>
      </w:r>
      <w:r w:rsidRPr="0BD16CC5">
        <w:rPr>
          <w:noProof/>
        </w:rPr>
        <w:t xml:space="preserve"> </w:t>
      </w:r>
      <w:r>
        <w:rPr>
          <w:noProof/>
        </w:rPr>
        <w:t xml:space="preserve">and </w:t>
      </w:r>
      <w:r w:rsidR="00612A45">
        <w:rPr>
          <w:noProof/>
        </w:rPr>
        <w:t xml:space="preserve">were </w:t>
      </w:r>
      <w:r w:rsidRPr="00522916">
        <w:rPr>
          <w:noProof/>
        </w:rPr>
        <w:t>below the level of fossil fuel subsidies for the first time since 2015</w:t>
      </w:r>
      <w:r>
        <w:rPr>
          <w:rStyle w:val="FootnoteReference"/>
          <w:noProof/>
        </w:rPr>
        <w:footnoteReference w:id="17"/>
      </w:r>
      <w:r w:rsidRPr="0BD16CC5">
        <w:rPr>
          <w:noProof/>
        </w:rPr>
        <w:t>.</w:t>
      </w:r>
    </w:p>
    <w:p w14:paraId="7C8D2BF9" w14:textId="37CFF9E4" w:rsidR="00843D83" w:rsidRDefault="00843D83" w:rsidP="00005909">
      <w:pPr>
        <w:pStyle w:val="BodyText"/>
        <w:jc w:val="both"/>
        <w:rPr>
          <w:noProof/>
        </w:rPr>
      </w:pPr>
      <w:r w:rsidRPr="20073020">
        <w:rPr>
          <w:noProof/>
        </w:rPr>
        <w:t xml:space="preserve">In 2022, the typical instrument </w:t>
      </w:r>
      <w:r w:rsidR="00612A45">
        <w:rPr>
          <w:noProof/>
        </w:rPr>
        <w:t>for</w:t>
      </w:r>
      <w:r w:rsidR="00612A45" w:rsidRPr="20073020">
        <w:rPr>
          <w:noProof/>
        </w:rPr>
        <w:t xml:space="preserve"> </w:t>
      </w:r>
      <w:r w:rsidRPr="20073020">
        <w:rPr>
          <w:noProof/>
        </w:rPr>
        <w:t>provid</w:t>
      </w:r>
      <w:r w:rsidR="00612A45">
        <w:rPr>
          <w:noProof/>
        </w:rPr>
        <w:t>ing</w:t>
      </w:r>
      <w:r w:rsidRPr="20073020">
        <w:rPr>
          <w:noProof/>
        </w:rPr>
        <w:t xml:space="preserve"> subsidies to RES continued to be </w:t>
      </w:r>
      <w:r w:rsidRPr="20073020">
        <w:rPr>
          <w:i/>
          <w:iCs/>
          <w:noProof/>
        </w:rPr>
        <w:t>income/price support</w:t>
      </w:r>
      <w:r w:rsidRPr="20073020">
        <w:rPr>
          <w:noProof/>
        </w:rPr>
        <w:t xml:space="preserve"> (EUR 57 billion, 65%</w:t>
      </w:r>
      <w:r w:rsidR="00612A45">
        <w:rPr>
          <w:noProof/>
        </w:rPr>
        <w:t xml:space="preserve"> of all RES subsidies</w:t>
      </w:r>
      <w:r w:rsidRPr="20073020">
        <w:rPr>
          <w:noProof/>
        </w:rPr>
        <w:t xml:space="preserve">) through, for example, measures such as </w:t>
      </w:r>
      <w:r w:rsidRPr="20073020">
        <w:rPr>
          <w:i/>
          <w:iCs/>
          <w:noProof/>
        </w:rPr>
        <w:t>feed-in tariffs and feed-in premiums (FiT/FiP)</w:t>
      </w:r>
      <w:r w:rsidRPr="20073020">
        <w:rPr>
          <w:noProof/>
        </w:rPr>
        <w:t xml:space="preserve"> or </w:t>
      </w:r>
      <w:r w:rsidRPr="20073020">
        <w:rPr>
          <w:i/>
          <w:iCs/>
          <w:noProof/>
        </w:rPr>
        <w:t>RES quotas with tradable certificates</w:t>
      </w:r>
      <w:r w:rsidRPr="20073020">
        <w:rPr>
          <w:noProof/>
        </w:rPr>
        <w:t xml:space="preserve">. </w:t>
      </w:r>
      <w:r w:rsidRPr="20073020">
        <w:rPr>
          <w:i/>
          <w:iCs/>
          <w:noProof/>
        </w:rPr>
        <w:t>Direct transfers</w:t>
      </w:r>
      <w:r w:rsidRPr="20073020">
        <w:rPr>
          <w:noProof/>
        </w:rPr>
        <w:t xml:space="preserve"> (</w:t>
      </w:r>
      <w:bookmarkStart w:id="21" w:name="_Int_kVuK36Rh"/>
      <w:r w:rsidRPr="20073020">
        <w:rPr>
          <w:noProof/>
        </w:rPr>
        <w:t>mainly grants</w:t>
      </w:r>
      <w:bookmarkEnd w:id="21"/>
      <w:r w:rsidRPr="20073020">
        <w:rPr>
          <w:noProof/>
        </w:rPr>
        <w:t>) increased</w:t>
      </w:r>
      <w:r w:rsidR="00612A45">
        <w:rPr>
          <w:noProof/>
        </w:rPr>
        <w:t xml:space="preserve"> significantly</w:t>
      </w:r>
      <w:r w:rsidRPr="20073020">
        <w:rPr>
          <w:noProof/>
        </w:rPr>
        <w:t xml:space="preserve"> to reach EUR 8 billion in 2021 (EUR</w:t>
      </w:r>
      <w:r w:rsidR="00612A45">
        <w:rPr>
          <w:noProof/>
        </w:rPr>
        <w:t> </w:t>
      </w:r>
      <w:r w:rsidRPr="20073020">
        <w:rPr>
          <w:noProof/>
        </w:rPr>
        <w:t>5</w:t>
      </w:r>
      <w:r w:rsidR="00612A45">
        <w:rPr>
          <w:noProof/>
        </w:rPr>
        <w:t> </w:t>
      </w:r>
      <w:r w:rsidRPr="20073020">
        <w:rPr>
          <w:noProof/>
        </w:rPr>
        <w:t>billion more than in 2020) and EUR 9 billion in 2022</w:t>
      </w:r>
      <w:r w:rsidR="00612A45">
        <w:rPr>
          <w:noProof/>
        </w:rPr>
        <w:t>. This increase was</w:t>
      </w:r>
      <w:r w:rsidRPr="20073020">
        <w:rPr>
          <w:noProof/>
        </w:rPr>
        <w:t xml:space="preserve"> </w:t>
      </w:r>
      <w:bookmarkStart w:id="22" w:name="_Int_cal4dzSd"/>
      <w:r w:rsidRPr="20073020">
        <w:rPr>
          <w:noProof/>
        </w:rPr>
        <w:t>largely due</w:t>
      </w:r>
      <w:bookmarkEnd w:id="22"/>
      <w:r w:rsidRPr="20073020">
        <w:rPr>
          <w:noProof/>
        </w:rPr>
        <w:t xml:space="preserve"> to support </w:t>
      </w:r>
      <w:r w:rsidR="00612A45">
        <w:rPr>
          <w:noProof/>
        </w:rPr>
        <w:t>for</w:t>
      </w:r>
      <w:r w:rsidR="00612A45" w:rsidRPr="20073020">
        <w:rPr>
          <w:noProof/>
        </w:rPr>
        <w:t xml:space="preserve"> </w:t>
      </w:r>
      <w:r w:rsidRPr="20073020">
        <w:rPr>
          <w:noProof/>
        </w:rPr>
        <w:t xml:space="preserve">RES production and electricity infrastructure included in Member States’ </w:t>
      </w:r>
      <w:r w:rsidR="00612A45">
        <w:rPr>
          <w:noProof/>
        </w:rPr>
        <w:t>r</w:t>
      </w:r>
      <w:r w:rsidRPr="20073020">
        <w:rPr>
          <w:noProof/>
        </w:rPr>
        <w:t xml:space="preserve">ecovery and </w:t>
      </w:r>
      <w:r w:rsidR="00612A45">
        <w:rPr>
          <w:noProof/>
        </w:rPr>
        <w:t>r</w:t>
      </w:r>
      <w:r w:rsidRPr="20073020">
        <w:rPr>
          <w:noProof/>
        </w:rPr>
        <w:t xml:space="preserve">esilience </w:t>
      </w:r>
      <w:r w:rsidR="00612A45">
        <w:rPr>
          <w:noProof/>
        </w:rPr>
        <w:t>p</w:t>
      </w:r>
      <w:r w:rsidRPr="20073020">
        <w:rPr>
          <w:noProof/>
        </w:rPr>
        <w:t xml:space="preserve">lans, as well as increased support for boosting renewable energy and energy efficiency in heating and cooling. </w:t>
      </w:r>
    </w:p>
    <w:p w14:paraId="0E24E9A9" w14:textId="2990E65D" w:rsidR="00843D83" w:rsidRPr="00DA60FE" w:rsidRDefault="00D9456C" w:rsidP="00843D83">
      <w:pPr>
        <w:pStyle w:val="Caption"/>
        <w:spacing w:after="0"/>
        <w:jc w:val="center"/>
        <w:rPr>
          <w:noProof/>
        </w:rPr>
      </w:pPr>
      <w:bookmarkStart w:id="23" w:name="_Ref141343568"/>
      <w:bookmarkStart w:id="24" w:name="_Ref77327975"/>
      <w:bookmarkStart w:id="25" w:name="_Ref80805197"/>
      <w:bookmarkStart w:id="26" w:name="_Toc80799168"/>
      <w:bookmarkStart w:id="27" w:name="_Toc145348073"/>
      <w:r>
        <w:rPr>
          <w:noProof/>
          <w:lang w:val="en-GB" w:eastAsia="en-GB"/>
        </w:rPr>
        <w:drawing>
          <wp:anchor distT="0" distB="0" distL="114300" distR="114300" simplePos="0" relativeHeight="251647488" behindDoc="0" locked="0" layoutInCell="1" allowOverlap="1" wp14:anchorId="70969AEA" wp14:editId="07F14F5E">
            <wp:simplePos x="0" y="0"/>
            <wp:positionH relativeFrom="margin">
              <wp:align>center</wp:align>
            </wp:positionH>
            <wp:positionV relativeFrom="paragraph">
              <wp:posOffset>183980</wp:posOffset>
            </wp:positionV>
            <wp:extent cx="5569200" cy="3103200"/>
            <wp:effectExtent l="0" t="0" r="0" b="254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569200" cy="3103200"/>
                    </a:xfrm>
                    <a:prstGeom prst="rect">
                      <a:avLst/>
                    </a:prstGeom>
                    <a:noFill/>
                  </pic:spPr>
                </pic:pic>
              </a:graphicData>
            </a:graphic>
            <wp14:sizeRelH relativeFrom="margin">
              <wp14:pctWidth>0</wp14:pctWidth>
            </wp14:sizeRelH>
            <wp14:sizeRelV relativeFrom="margin">
              <wp14:pctHeight>0</wp14:pctHeight>
            </wp14:sizeRelV>
          </wp:anchor>
        </w:drawing>
      </w:r>
      <w:r w:rsidR="00843D83" w:rsidRPr="00DA60FE">
        <w:rPr>
          <w:noProof/>
        </w:rPr>
        <w:t xml:space="preserve">Figure </w:t>
      </w:r>
      <w:r w:rsidR="00843D83" w:rsidRPr="00DA60FE">
        <w:rPr>
          <w:noProof/>
          <w:color w:val="2B579A"/>
          <w:shd w:val="clear" w:color="auto" w:fill="E6E6E6"/>
        </w:rPr>
        <w:fldChar w:fldCharType="begin"/>
      </w:r>
      <w:r w:rsidR="00843D83" w:rsidRPr="00DA60FE">
        <w:rPr>
          <w:noProof/>
        </w:rPr>
        <w:instrText xml:space="preserve"> SEQ Figure \* ARABIC </w:instrText>
      </w:r>
      <w:r w:rsidR="00843D83" w:rsidRPr="00DA60FE">
        <w:rPr>
          <w:noProof/>
          <w:color w:val="2B579A"/>
          <w:shd w:val="clear" w:color="auto" w:fill="E6E6E6"/>
        </w:rPr>
        <w:fldChar w:fldCharType="separate"/>
      </w:r>
      <w:r w:rsidR="00F14F45">
        <w:rPr>
          <w:noProof/>
        </w:rPr>
        <w:t>6</w:t>
      </w:r>
      <w:r w:rsidR="00843D83" w:rsidRPr="00DA60FE">
        <w:rPr>
          <w:noProof/>
          <w:color w:val="2B579A"/>
          <w:shd w:val="clear" w:color="auto" w:fill="E6E6E6"/>
        </w:rPr>
        <w:fldChar w:fldCharType="end"/>
      </w:r>
      <w:bookmarkEnd w:id="23"/>
      <w:bookmarkEnd w:id="24"/>
      <w:bookmarkEnd w:id="25"/>
      <w:r w:rsidR="00843D83" w:rsidRPr="00DA60FE">
        <w:rPr>
          <w:noProof/>
        </w:rPr>
        <w:t xml:space="preserve">: </w:t>
      </w:r>
      <w:bookmarkStart w:id="28" w:name="_Ref108018998"/>
      <w:r w:rsidR="00843D83" w:rsidRPr="00DA60FE">
        <w:rPr>
          <w:noProof/>
        </w:rPr>
        <w:t>Renewable energy subsidies by instrument (2015-2022; EUR2022bn)</w:t>
      </w:r>
      <w:bookmarkEnd w:id="26"/>
      <w:bookmarkEnd w:id="27"/>
      <w:bookmarkEnd w:id="28"/>
    </w:p>
    <w:p w14:paraId="3924B131" w14:textId="77777777" w:rsidR="00843D83" w:rsidRPr="00005909" w:rsidRDefault="00843D83" w:rsidP="00D34DE1">
      <w:pPr>
        <w:spacing w:after="120"/>
        <w:jc w:val="center"/>
        <w:rPr>
          <w:rFonts w:ascii="EC Square Sans Pro" w:eastAsiaTheme="minorEastAsia" w:hAnsi="EC Square Sans Pro" w:cs="Times New Roman"/>
          <w:i/>
          <w:iCs/>
          <w:noProof/>
          <w:color w:val="989393"/>
          <w:sz w:val="18"/>
          <w:szCs w:val="18"/>
          <w:lang w:val="en-IE" w:eastAsia="de-DE"/>
        </w:rPr>
      </w:pPr>
      <w:r w:rsidRPr="0BD16CC5">
        <w:rPr>
          <w:rStyle w:val="SourceCar"/>
          <w:rFonts w:eastAsiaTheme="minorEastAsia"/>
          <w:noProof/>
        </w:rPr>
        <w:t>Source: Enerdata, Trinomics, 2023</w:t>
      </w:r>
      <w:r w:rsidR="00005909">
        <w:rPr>
          <w:rStyle w:val="SourceCar"/>
          <w:rFonts w:eastAsiaTheme="minorEastAsia"/>
          <w:noProof/>
        </w:rPr>
        <w:t xml:space="preserve">. </w:t>
      </w:r>
      <w:r w:rsidRPr="0BD16CC5">
        <w:rPr>
          <w:rStyle w:val="SourceCar"/>
          <w:rFonts w:eastAsiaTheme="minorEastAsia"/>
          <w:noProof/>
        </w:rPr>
        <w:t xml:space="preserve">NB: </w:t>
      </w:r>
      <w:r w:rsidR="00005909" w:rsidRPr="0BD16CC5">
        <w:rPr>
          <w:rStyle w:val="SourceCar"/>
          <w:rFonts w:eastAsiaTheme="minorEastAsia"/>
          <w:noProof/>
        </w:rPr>
        <w:t xml:space="preserve">2022 </w:t>
      </w:r>
      <w:r w:rsidR="00005909">
        <w:rPr>
          <w:rStyle w:val="SourceCar"/>
          <w:rFonts w:eastAsiaTheme="minorEastAsia"/>
          <w:noProof/>
        </w:rPr>
        <w:t xml:space="preserve">estimates </w:t>
      </w:r>
      <w:r w:rsidR="00005909" w:rsidRPr="0BD16CC5">
        <w:rPr>
          <w:rStyle w:val="SourceCar"/>
          <w:rFonts w:eastAsiaTheme="minorEastAsia"/>
          <w:noProof/>
        </w:rPr>
        <w:t>are represented with hatching</w:t>
      </w:r>
    </w:p>
    <w:p w14:paraId="377844AF" w14:textId="6A888858" w:rsidR="00843D83" w:rsidRPr="00DA60FE" w:rsidRDefault="00091B45" w:rsidP="00005909">
      <w:pPr>
        <w:pStyle w:val="BodyText"/>
        <w:jc w:val="both"/>
        <w:rPr>
          <w:noProof/>
        </w:rPr>
      </w:pPr>
      <w:r>
        <w:rPr>
          <w:noProof/>
        </w:rPr>
        <w:t>S</w:t>
      </w:r>
      <w:r w:rsidRPr="00DA60FE">
        <w:rPr>
          <w:noProof/>
        </w:rPr>
        <w:t xml:space="preserve">upport </w:t>
      </w:r>
      <w:r>
        <w:rPr>
          <w:noProof/>
        </w:rPr>
        <w:t xml:space="preserve">for </w:t>
      </w:r>
      <w:r w:rsidRPr="00DA60FE">
        <w:rPr>
          <w:noProof/>
        </w:rPr>
        <w:t xml:space="preserve">renewable technologies </w:t>
      </w:r>
      <w:r>
        <w:rPr>
          <w:noProof/>
        </w:rPr>
        <w:t xml:space="preserve">varies significantly </w:t>
      </w:r>
      <w:r w:rsidRPr="00DA60FE">
        <w:rPr>
          <w:noProof/>
        </w:rPr>
        <w:t>across the EU</w:t>
      </w:r>
      <w:r w:rsidR="003367AA">
        <w:rPr>
          <w:noProof/>
        </w:rPr>
        <w:t xml:space="preserve"> </w:t>
      </w:r>
      <w:r w:rsidR="003367AA" w:rsidRPr="00DA60FE">
        <w:rPr>
          <w:noProof/>
        </w:rPr>
        <w:t>(</w:t>
      </w:r>
      <w:r w:rsidR="003367AA" w:rsidRPr="00DA60FE">
        <w:rPr>
          <w:noProof/>
          <w:color w:val="2B579A"/>
          <w:shd w:val="clear" w:color="auto" w:fill="E6E6E6"/>
        </w:rPr>
        <w:fldChar w:fldCharType="begin"/>
      </w:r>
      <w:r w:rsidR="003367AA" w:rsidRPr="00DA60FE">
        <w:rPr>
          <w:noProof/>
        </w:rPr>
        <w:instrText xml:space="preserve"> REF _Ref139457743 \h  \* MERGEFORMAT </w:instrText>
      </w:r>
      <w:r w:rsidR="003367AA" w:rsidRPr="00DA60FE">
        <w:rPr>
          <w:noProof/>
          <w:color w:val="2B579A"/>
          <w:shd w:val="clear" w:color="auto" w:fill="E6E6E6"/>
        </w:rPr>
      </w:r>
      <w:r w:rsidR="003367AA" w:rsidRPr="00DA60FE">
        <w:rPr>
          <w:noProof/>
          <w:color w:val="2B579A"/>
          <w:shd w:val="clear" w:color="auto" w:fill="E6E6E6"/>
        </w:rPr>
        <w:fldChar w:fldCharType="separate"/>
      </w:r>
      <w:r w:rsidR="00F14F45" w:rsidRPr="001C2C61">
        <w:rPr>
          <w:noProof/>
        </w:rPr>
        <w:t xml:space="preserve">Figure </w:t>
      </w:r>
      <w:r w:rsidR="00F14F45">
        <w:rPr>
          <w:noProof/>
        </w:rPr>
        <w:t>7</w:t>
      </w:r>
      <w:r w:rsidR="003367AA" w:rsidRPr="00DA60FE">
        <w:rPr>
          <w:noProof/>
          <w:color w:val="2B579A"/>
          <w:shd w:val="clear" w:color="auto" w:fill="E6E6E6"/>
        </w:rPr>
        <w:fldChar w:fldCharType="end"/>
      </w:r>
      <w:r w:rsidR="003367AA" w:rsidRPr="00DA60FE">
        <w:rPr>
          <w:noProof/>
        </w:rPr>
        <w:t>)</w:t>
      </w:r>
      <w:r>
        <w:rPr>
          <w:noProof/>
        </w:rPr>
        <w:t>, reflecting national priorities and RES potentials</w:t>
      </w:r>
      <w:r w:rsidRPr="00DA60FE">
        <w:rPr>
          <w:noProof/>
        </w:rPr>
        <w:t>.</w:t>
      </w:r>
      <w:r w:rsidRPr="00DA60FE" w:rsidDel="00F40994">
        <w:rPr>
          <w:noProof/>
        </w:rPr>
        <w:t xml:space="preserve"> </w:t>
      </w:r>
      <w:r w:rsidR="003367AA">
        <w:rPr>
          <w:noProof/>
        </w:rPr>
        <w:t xml:space="preserve">Across all Member States, </w:t>
      </w:r>
      <w:r w:rsidR="003367AA">
        <w:rPr>
          <w:i/>
          <w:iCs/>
          <w:noProof/>
        </w:rPr>
        <w:t>s</w:t>
      </w:r>
      <w:r w:rsidR="00843D83" w:rsidRPr="20073020">
        <w:rPr>
          <w:i/>
          <w:iCs/>
          <w:noProof/>
        </w:rPr>
        <w:t>olar</w:t>
      </w:r>
      <w:r w:rsidR="00843D83" w:rsidRPr="20073020">
        <w:rPr>
          <w:noProof/>
        </w:rPr>
        <w:t xml:space="preserve"> energy (both </w:t>
      </w:r>
      <w:r w:rsidR="00843D83" w:rsidRPr="20073020">
        <w:rPr>
          <w:i/>
          <w:iCs/>
          <w:noProof/>
        </w:rPr>
        <w:t xml:space="preserve">solar </w:t>
      </w:r>
      <w:bookmarkStart w:id="29" w:name="_Int_oGa80ppY"/>
      <w:r w:rsidR="00843D83" w:rsidRPr="20073020">
        <w:rPr>
          <w:i/>
          <w:iCs/>
          <w:noProof/>
        </w:rPr>
        <w:t>PV</w:t>
      </w:r>
      <w:bookmarkEnd w:id="29"/>
      <w:r w:rsidR="00843D83" w:rsidRPr="20073020">
        <w:rPr>
          <w:noProof/>
        </w:rPr>
        <w:t xml:space="preserve"> and </w:t>
      </w:r>
      <w:r w:rsidR="00843D83" w:rsidRPr="20073020">
        <w:rPr>
          <w:i/>
          <w:iCs/>
          <w:noProof/>
        </w:rPr>
        <w:t>concentrated solar</w:t>
      </w:r>
      <w:r w:rsidR="00843D83" w:rsidRPr="20073020">
        <w:rPr>
          <w:noProof/>
        </w:rPr>
        <w:t xml:space="preserve">) received the </w:t>
      </w:r>
      <w:r w:rsidR="00192195">
        <w:rPr>
          <w:noProof/>
        </w:rPr>
        <w:t>most</w:t>
      </w:r>
      <w:r w:rsidR="00843D83" w:rsidRPr="20073020">
        <w:rPr>
          <w:noProof/>
        </w:rPr>
        <w:t xml:space="preserve"> subsidies in 2022 (EUR 25 billion), followed by </w:t>
      </w:r>
      <w:r w:rsidR="00843D83" w:rsidRPr="20073020">
        <w:rPr>
          <w:i/>
          <w:iCs/>
          <w:noProof/>
        </w:rPr>
        <w:t>wind</w:t>
      </w:r>
      <w:r w:rsidR="00843D83" w:rsidRPr="20073020">
        <w:rPr>
          <w:noProof/>
        </w:rPr>
        <w:t xml:space="preserve"> and </w:t>
      </w:r>
      <w:r w:rsidR="00843D83" w:rsidRPr="20073020">
        <w:rPr>
          <w:i/>
          <w:iCs/>
          <w:noProof/>
        </w:rPr>
        <w:t>biomass</w:t>
      </w:r>
      <w:r w:rsidR="00843D83" w:rsidRPr="20073020">
        <w:rPr>
          <w:noProof/>
        </w:rPr>
        <w:t xml:space="preserve"> (EUR 15 billion each). </w:t>
      </w:r>
      <w:r w:rsidR="00843D83" w:rsidRPr="20073020">
        <w:rPr>
          <w:i/>
          <w:iCs/>
          <w:noProof/>
        </w:rPr>
        <w:t>Hydro</w:t>
      </w:r>
      <w:r w:rsidR="00192195">
        <w:rPr>
          <w:i/>
          <w:iCs/>
          <w:noProof/>
        </w:rPr>
        <w:t>power</w:t>
      </w:r>
      <w:r w:rsidR="00843D83" w:rsidRPr="20073020">
        <w:rPr>
          <w:noProof/>
        </w:rPr>
        <w:t xml:space="preserve"> received the </w:t>
      </w:r>
      <w:r w:rsidR="00192195">
        <w:rPr>
          <w:noProof/>
        </w:rPr>
        <w:t xml:space="preserve">least </w:t>
      </w:r>
      <w:r w:rsidR="00843D83" w:rsidRPr="20073020">
        <w:rPr>
          <w:noProof/>
        </w:rPr>
        <w:t xml:space="preserve">financial support (EUR 1.5 billion in 2022). Subsidies </w:t>
      </w:r>
      <w:r w:rsidR="00192195">
        <w:rPr>
          <w:noProof/>
        </w:rPr>
        <w:t>not targeted at any particular renewable technology</w:t>
      </w:r>
      <w:r w:rsidR="00192195" w:rsidRPr="20073020">
        <w:rPr>
          <w:noProof/>
        </w:rPr>
        <w:t xml:space="preserve"> </w:t>
      </w:r>
      <w:r w:rsidR="00843D83" w:rsidRPr="20073020">
        <w:rPr>
          <w:noProof/>
        </w:rPr>
        <w:t xml:space="preserve">were </w:t>
      </w:r>
      <w:r w:rsidR="00192195">
        <w:rPr>
          <w:noProof/>
        </w:rPr>
        <w:t xml:space="preserve">also </w:t>
      </w:r>
      <w:r w:rsidR="00843D83" w:rsidRPr="20073020">
        <w:rPr>
          <w:noProof/>
        </w:rPr>
        <w:t>widely used (EUR 24 billion).</w:t>
      </w:r>
    </w:p>
    <w:p w14:paraId="1BEFB5E2" w14:textId="460C1FD3" w:rsidR="00843D83" w:rsidRPr="00843D83" w:rsidRDefault="00843D83" w:rsidP="00843D83">
      <w:pPr>
        <w:pStyle w:val="Caption"/>
        <w:spacing w:after="0"/>
        <w:jc w:val="center"/>
        <w:rPr>
          <w:noProof/>
        </w:rPr>
      </w:pPr>
      <w:bookmarkStart w:id="30" w:name="_Ref77336392"/>
      <w:bookmarkStart w:id="31" w:name="_Ref109228329"/>
      <w:bookmarkStart w:id="32" w:name="_Ref139457743"/>
      <w:bookmarkStart w:id="33" w:name="_Toc80799171"/>
      <w:bookmarkStart w:id="34" w:name="_Toc81236957"/>
      <w:bookmarkStart w:id="35" w:name="_Toc145348076"/>
      <w:r w:rsidRPr="00843D83">
        <w:rPr>
          <w:noProof/>
          <w:color w:val="2B579A"/>
          <w:shd w:val="clear" w:color="auto" w:fill="E6E6E6"/>
          <w:lang w:val="en-GB" w:eastAsia="en-GB"/>
        </w:rPr>
        <w:drawing>
          <wp:anchor distT="0" distB="0" distL="114300" distR="114300" simplePos="0" relativeHeight="251654656" behindDoc="0" locked="0" layoutInCell="1" allowOverlap="1" wp14:anchorId="59694315" wp14:editId="5FCF1FAB">
            <wp:simplePos x="0" y="0"/>
            <wp:positionH relativeFrom="margin">
              <wp:align>center</wp:align>
            </wp:positionH>
            <wp:positionV relativeFrom="paragraph">
              <wp:posOffset>177800</wp:posOffset>
            </wp:positionV>
            <wp:extent cx="4752000" cy="2300400"/>
            <wp:effectExtent l="0" t="0" r="0" b="508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752000" cy="2300400"/>
                    </a:xfrm>
                    <a:prstGeom prst="rect">
                      <a:avLst/>
                    </a:prstGeom>
                    <a:noFill/>
                  </pic:spPr>
                </pic:pic>
              </a:graphicData>
            </a:graphic>
            <wp14:sizeRelH relativeFrom="page">
              <wp14:pctWidth>0</wp14:pctWidth>
            </wp14:sizeRelH>
            <wp14:sizeRelV relativeFrom="page">
              <wp14:pctHeight>0</wp14:pctHeight>
            </wp14:sizeRelV>
          </wp:anchor>
        </w:drawing>
      </w:r>
      <w:r w:rsidRPr="001C2C61">
        <w:rPr>
          <w:noProof/>
        </w:rPr>
        <w:t xml:space="preserve">Figure </w:t>
      </w:r>
      <w:r w:rsidRPr="00843D83">
        <w:rPr>
          <w:noProof/>
          <w:color w:val="2B579A"/>
          <w:shd w:val="clear" w:color="auto" w:fill="E6E6E6"/>
        </w:rPr>
        <w:fldChar w:fldCharType="begin"/>
      </w:r>
      <w:r>
        <w:rPr>
          <w:noProof/>
        </w:rPr>
        <w:instrText xml:space="preserve"> SEQ Figure \* ARABIC </w:instrText>
      </w:r>
      <w:r w:rsidRPr="00843D83">
        <w:rPr>
          <w:noProof/>
          <w:color w:val="2B579A"/>
          <w:shd w:val="clear" w:color="auto" w:fill="E6E6E6"/>
        </w:rPr>
        <w:fldChar w:fldCharType="separate"/>
      </w:r>
      <w:r w:rsidR="00F14F45">
        <w:rPr>
          <w:noProof/>
        </w:rPr>
        <w:t>7</w:t>
      </w:r>
      <w:r w:rsidRPr="00843D83">
        <w:rPr>
          <w:noProof/>
          <w:color w:val="2B579A"/>
          <w:shd w:val="clear" w:color="auto" w:fill="E6E6E6"/>
        </w:rPr>
        <w:fldChar w:fldCharType="end"/>
      </w:r>
      <w:bookmarkEnd w:id="30"/>
      <w:bookmarkEnd w:id="31"/>
      <w:bookmarkEnd w:id="32"/>
      <w:r w:rsidRPr="001C2C61">
        <w:rPr>
          <w:noProof/>
        </w:rPr>
        <w:t>: Share of RES subsidies by technology for selected Member State (2021; EUR2022bn)</w:t>
      </w:r>
      <w:bookmarkEnd w:id="33"/>
      <w:bookmarkEnd w:id="34"/>
      <w:bookmarkEnd w:id="35"/>
    </w:p>
    <w:p w14:paraId="56215D71" w14:textId="77777777" w:rsidR="00843D83" w:rsidRPr="00DA60FE" w:rsidRDefault="00843D83" w:rsidP="00D34DE1">
      <w:pPr>
        <w:spacing w:after="120"/>
        <w:jc w:val="center"/>
        <w:rPr>
          <w:noProof/>
        </w:rPr>
      </w:pPr>
      <w:r w:rsidRPr="0BD16CC5">
        <w:rPr>
          <w:rStyle w:val="SourceCar"/>
          <w:rFonts w:eastAsiaTheme="minorEastAsia"/>
          <w:noProof/>
        </w:rPr>
        <w:t>Source: Enerdata, Trinomics, 2023</w:t>
      </w:r>
    </w:p>
    <w:p w14:paraId="590A96AF" w14:textId="1846CFCD" w:rsidR="00843D83" w:rsidRDefault="00843D83" w:rsidP="00005909">
      <w:pPr>
        <w:pStyle w:val="BodyText"/>
        <w:jc w:val="both"/>
        <w:rPr>
          <w:noProof/>
        </w:rPr>
      </w:pPr>
      <w:r>
        <w:rPr>
          <w:b/>
          <w:noProof/>
        </w:rPr>
        <w:t xml:space="preserve">Energy-efficiency </w:t>
      </w:r>
      <w:r w:rsidRPr="00AC3BDE">
        <w:rPr>
          <w:b/>
          <w:noProof/>
        </w:rPr>
        <w:t>subsidies</w:t>
      </w:r>
      <w:r w:rsidRPr="00AC3BDE">
        <w:rPr>
          <w:noProof/>
        </w:rPr>
        <w:t xml:space="preserve"> (</w:t>
      </w:r>
      <w:r w:rsidRPr="00AC3BDE">
        <w:rPr>
          <w:noProof/>
          <w:shd w:val="clear" w:color="auto" w:fill="E6E6E6"/>
        </w:rPr>
        <w:fldChar w:fldCharType="begin"/>
      </w:r>
      <w:r w:rsidRPr="00AC3BDE">
        <w:rPr>
          <w:noProof/>
        </w:rPr>
        <w:instrText xml:space="preserve"> REF _Ref145622826 \h  \* MERGEFORMAT </w:instrText>
      </w:r>
      <w:r w:rsidRPr="00AC3BDE">
        <w:rPr>
          <w:noProof/>
          <w:shd w:val="clear" w:color="auto" w:fill="E6E6E6"/>
        </w:rPr>
      </w:r>
      <w:r w:rsidRPr="00AC3BDE">
        <w:rPr>
          <w:noProof/>
          <w:shd w:val="clear" w:color="auto" w:fill="E6E6E6"/>
        </w:rPr>
        <w:fldChar w:fldCharType="end"/>
      </w:r>
      <w:r w:rsidRPr="00AC3BDE">
        <w:rPr>
          <w:noProof/>
          <w:shd w:val="clear" w:color="auto" w:fill="E6E6E6"/>
        </w:rPr>
        <w:fldChar w:fldCharType="begin"/>
      </w:r>
      <w:r w:rsidRPr="00AC3BDE">
        <w:rPr>
          <w:noProof/>
        </w:rPr>
        <w:instrText xml:space="preserve"> REF _Ref145622831 \h  \* MERGEFORMAT </w:instrText>
      </w:r>
      <w:r w:rsidRPr="00AC3BDE">
        <w:rPr>
          <w:noProof/>
          <w:shd w:val="clear" w:color="auto" w:fill="E6E6E6"/>
        </w:rPr>
      </w:r>
      <w:r w:rsidRPr="00AC3BDE">
        <w:rPr>
          <w:noProof/>
          <w:shd w:val="clear" w:color="auto" w:fill="E6E6E6"/>
        </w:rPr>
        <w:fldChar w:fldCharType="separate"/>
      </w:r>
      <w:r w:rsidR="00F14F45" w:rsidRPr="00F14F45">
        <w:rPr>
          <w:iCs/>
          <w:noProof/>
        </w:rPr>
        <w:t>Figure 8</w:t>
      </w:r>
      <w:r w:rsidRPr="00AC3BDE">
        <w:rPr>
          <w:noProof/>
          <w:shd w:val="clear" w:color="auto" w:fill="E6E6E6"/>
        </w:rPr>
        <w:fldChar w:fldCharType="end"/>
      </w:r>
      <w:r w:rsidRPr="00AC3BDE">
        <w:rPr>
          <w:noProof/>
        </w:rPr>
        <w:t xml:space="preserve">) </w:t>
      </w:r>
      <w:r w:rsidR="009C58E4" w:rsidRPr="00AC3BDE">
        <w:rPr>
          <w:noProof/>
        </w:rPr>
        <w:t xml:space="preserve">have </w:t>
      </w:r>
      <w:r>
        <w:rPr>
          <w:noProof/>
        </w:rPr>
        <w:t xml:space="preserve">increased since 2015 and by 2022 </w:t>
      </w:r>
      <w:r w:rsidR="009C58E4">
        <w:rPr>
          <w:noProof/>
        </w:rPr>
        <w:t xml:space="preserve">had </w:t>
      </w:r>
      <w:r>
        <w:rPr>
          <w:noProof/>
        </w:rPr>
        <w:t>reached EUR 30 billion (</w:t>
      </w:r>
      <w:r w:rsidR="009C58E4">
        <w:rPr>
          <w:noProof/>
        </w:rPr>
        <w:t xml:space="preserve">EUR </w:t>
      </w:r>
      <w:r>
        <w:rPr>
          <w:noProof/>
        </w:rPr>
        <w:t xml:space="preserve">8 billion </w:t>
      </w:r>
      <w:r w:rsidR="009C58E4">
        <w:rPr>
          <w:noProof/>
        </w:rPr>
        <w:t>more than in</w:t>
      </w:r>
      <w:r>
        <w:rPr>
          <w:noProof/>
        </w:rPr>
        <w:t xml:space="preserve"> 2021). Grants were particularly significant</w:t>
      </w:r>
      <w:r w:rsidR="00005909">
        <w:rPr>
          <w:noProof/>
        </w:rPr>
        <w:t xml:space="preserve"> as </w:t>
      </w:r>
      <w:r w:rsidR="009C58E4">
        <w:rPr>
          <w:noProof/>
        </w:rPr>
        <w:t xml:space="preserve">a </w:t>
      </w:r>
      <w:r w:rsidR="00005909">
        <w:rPr>
          <w:noProof/>
        </w:rPr>
        <w:t>support instrument</w:t>
      </w:r>
      <w:r>
        <w:rPr>
          <w:noProof/>
        </w:rPr>
        <w:t>, accounting for over 50% of all energy efficiency subsidies</w:t>
      </w:r>
      <w:r w:rsidR="009C58E4">
        <w:rPr>
          <w:noProof/>
        </w:rPr>
        <w:t xml:space="preserve"> in 2022</w:t>
      </w:r>
      <w:r w:rsidR="00413722">
        <w:rPr>
          <w:noProof/>
        </w:rPr>
        <w:t>. I</w:t>
      </w:r>
      <w:r>
        <w:rPr>
          <w:noProof/>
        </w:rPr>
        <w:t>n 2021-2022</w:t>
      </w:r>
      <w:r w:rsidR="00413722">
        <w:rPr>
          <w:noProof/>
        </w:rPr>
        <w:t>,</w:t>
      </w:r>
      <w:r>
        <w:rPr>
          <w:noProof/>
        </w:rPr>
        <w:t xml:space="preserve"> </w:t>
      </w:r>
      <w:r w:rsidR="00413722">
        <w:rPr>
          <w:noProof/>
        </w:rPr>
        <w:t xml:space="preserve">energy efficiency grants expanded </w:t>
      </w:r>
      <w:r>
        <w:rPr>
          <w:noProof/>
        </w:rPr>
        <w:t xml:space="preserve">in parallel to the implementation of the investments in the </w:t>
      </w:r>
      <w:r w:rsidR="00413722">
        <w:rPr>
          <w:noProof/>
        </w:rPr>
        <w:t>Recovery and Resilience Facility</w:t>
      </w:r>
      <w:r>
        <w:rPr>
          <w:noProof/>
        </w:rPr>
        <w:t>, followed by tax expenditures</w:t>
      </w:r>
      <w:r w:rsidR="00413722">
        <w:rPr>
          <w:noProof/>
        </w:rPr>
        <w:t>, soft loans</w:t>
      </w:r>
      <w:r>
        <w:rPr>
          <w:noProof/>
        </w:rPr>
        <w:t xml:space="preserve"> </w:t>
      </w:r>
      <w:r w:rsidR="00413722">
        <w:rPr>
          <w:noProof/>
        </w:rPr>
        <w:t xml:space="preserve">and energy efficiency obligations </w:t>
      </w:r>
      <w:r>
        <w:rPr>
          <w:noProof/>
        </w:rPr>
        <w:t>(23%</w:t>
      </w:r>
      <w:r w:rsidR="00413722">
        <w:rPr>
          <w:noProof/>
        </w:rPr>
        <w:t xml:space="preserve">, </w:t>
      </w:r>
      <w:r>
        <w:rPr>
          <w:noProof/>
        </w:rPr>
        <w:t>20%</w:t>
      </w:r>
      <w:r w:rsidR="00413722">
        <w:rPr>
          <w:noProof/>
        </w:rPr>
        <w:t xml:space="preserve"> and </w:t>
      </w:r>
      <w:r>
        <w:rPr>
          <w:noProof/>
        </w:rPr>
        <w:t>6%</w:t>
      </w:r>
      <w:r w:rsidR="00413722">
        <w:rPr>
          <w:noProof/>
        </w:rPr>
        <w:t xml:space="preserve"> of energy efficiency subsidies, respectively</w:t>
      </w:r>
      <w:r>
        <w:rPr>
          <w:noProof/>
        </w:rPr>
        <w:t>).</w:t>
      </w:r>
    </w:p>
    <w:p w14:paraId="0643A13A" w14:textId="4467F0CF" w:rsidR="00843D83" w:rsidRPr="00843D83" w:rsidRDefault="00843D83" w:rsidP="00843D83">
      <w:pPr>
        <w:pStyle w:val="Caption"/>
        <w:spacing w:after="0"/>
        <w:jc w:val="center"/>
        <w:rPr>
          <w:noProof/>
        </w:rPr>
      </w:pPr>
      <w:bookmarkStart w:id="36" w:name="_Ref145622831"/>
      <w:bookmarkStart w:id="37" w:name="_Ref145622826"/>
      <w:r w:rsidRPr="00843D83">
        <w:rPr>
          <w:noProof/>
          <w:color w:val="2B579A"/>
          <w:shd w:val="clear" w:color="auto" w:fill="E6E6E6"/>
          <w:lang w:val="en-GB" w:eastAsia="en-GB"/>
        </w:rPr>
        <w:drawing>
          <wp:anchor distT="0" distB="0" distL="114300" distR="114300" simplePos="0" relativeHeight="251657728" behindDoc="0" locked="0" layoutInCell="1" allowOverlap="1" wp14:anchorId="3799C71B" wp14:editId="4500DAF5">
            <wp:simplePos x="0" y="0"/>
            <wp:positionH relativeFrom="margin">
              <wp:align>center</wp:align>
            </wp:positionH>
            <wp:positionV relativeFrom="paragraph">
              <wp:posOffset>158750</wp:posOffset>
            </wp:positionV>
            <wp:extent cx="4975200" cy="232560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75200" cy="2325600"/>
                    </a:xfrm>
                    <a:prstGeom prst="rect">
                      <a:avLst/>
                    </a:prstGeom>
                    <a:noFill/>
                  </pic:spPr>
                </pic:pic>
              </a:graphicData>
            </a:graphic>
            <wp14:sizeRelH relativeFrom="page">
              <wp14:pctWidth>0</wp14:pctWidth>
            </wp14:sizeRelH>
            <wp14:sizeRelV relativeFrom="page">
              <wp14:pctHeight>0</wp14:pctHeight>
            </wp14:sizeRelV>
          </wp:anchor>
        </w:drawing>
      </w:r>
      <w:r w:rsidRPr="001C2C61">
        <w:rPr>
          <w:noProof/>
        </w:rPr>
        <w:t xml:space="preserve">Figure </w:t>
      </w:r>
      <w:r w:rsidRPr="00843D83">
        <w:rPr>
          <w:noProof/>
          <w:color w:val="2B579A"/>
          <w:shd w:val="clear" w:color="auto" w:fill="E6E6E6"/>
        </w:rPr>
        <w:fldChar w:fldCharType="begin"/>
      </w:r>
      <w:r>
        <w:rPr>
          <w:noProof/>
        </w:rPr>
        <w:instrText xml:space="preserve"> SEQ Figure \* ARABIC </w:instrText>
      </w:r>
      <w:r w:rsidRPr="00843D83">
        <w:rPr>
          <w:noProof/>
          <w:color w:val="2B579A"/>
          <w:shd w:val="clear" w:color="auto" w:fill="E6E6E6"/>
        </w:rPr>
        <w:fldChar w:fldCharType="separate"/>
      </w:r>
      <w:r w:rsidR="00F14F45">
        <w:rPr>
          <w:noProof/>
        </w:rPr>
        <w:t>8</w:t>
      </w:r>
      <w:r w:rsidRPr="00843D83">
        <w:rPr>
          <w:noProof/>
          <w:color w:val="2B579A"/>
          <w:shd w:val="clear" w:color="auto" w:fill="E6E6E6"/>
        </w:rPr>
        <w:fldChar w:fldCharType="end"/>
      </w:r>
      <w:bookmarkEnd w:id="36"/>
      <w:r w:rsidRPr="001C2C61">
        <w:rPr>
          <w:noProof/>
        </w:rPr>
        <w:t xml:space="preserve">: </w:t>
      </w:r>
      <w:r>
        <w:rPr>
          <w:noProof/>
        </w:rPr>
        <w:t xml:space="preserve">Support </w:t>
      </w:r>
      <w:r w:rsidR="00413722">
        <w:rPr>
          <w:noProof/>
        </w:rPr>
        <w:t xml:space="preserve">for </w:t>
      </w:r>
      <w:r>
        <w:rPr>
          <w:noProof/>
        </w:rPr>
        <w:t>energy efficiency instruments</w:t>
      </w:r>
      <w:r w:rsidRPr="001C2C61">
        <w:rPr>
          <w:noProof/>
        </w:rPr>
        <w:t xml:space="preserve"> (202</w:t>
      </w:r>
      <w:r>
        <w:rPr>
          <w:noProof/>
        </w:rPr>
        <w:t>2</w:t>
      </w:r>
      <w:r w:rsidRPr="001C2C61">
        <w:rPr>
          <w:noProof/>
        </w:rPr>
        <w:t>; EUR2022bn)</w:t>
      </w:r>
      <w:bookmarkEnd w:id="37"/>
    </w:p>
    <w:p w14:paraId="6B8CE5E4" w14:textId="77777777" w:rsidR="00843D83" w:rsidRPr="001A0CBC" w:rsidRDefault="00843D83" w:rsidP="00843D83">
      <w:pPr>
        <w:pStyle w:val="Source"/>
        <w:spacing w:before="120" w:after="120" w:line="259" w:lineRule="auto"/>
        <w:rPr>
          <w:rFonts w:ascii="Times New Roman" w:eastAsiaTheme="minorEastAsia" w:hAnsi="Times New Roman"/>
          <w:noProof/>
          <w:sz w:val="24"/>
          <w:szCs w:val="24"/>
        </w:rPr>
      </w:pPr>
      <w:r w:rsidRPr="001A0CBC">
        <w:rPr>
          <w:rStyle w:val="SourceCar"/>
          <w:rFonts w:eastAsiaTheme="minorEastAsia"/>
          <w:noProof/>
        </w:rPr>
        <w:t>Source: Enerdata, Trinomics, 2023</w:t>
      </w:r>
    </w:p>
    <w:p w14:paraId="495DFD74" w14:textId="319C9A10" w:rsidR="00843D83" w:rsidRPr="001C2C61" w:rsidRDefault="00843D83" w:rsidP="00005909">
      <w:pPr>
        <w:pStyle w:val="BodyText"/>
        <w:jc w:val="both"/>
        <w:rPr>
          <w:noProof/>
        </w:rPr>
      </w:pPr>
      <w:r w:rsidRPr="0BD16CC5">
        <w:rPr>
          <w:noProof/>
        </w:rPr>
        <w:t xml:space="preserve">Subsidies </w:t>
      </w:r>
      <w:r w:rsidR="002D7AA8">
        <w:rPr>
          <w:noProof/>
        </w:rPr>
        <w:t>for</w:t>
      </w:r>
      <w:r w:rsidR="002D7AA8" w:rsidRPr="0BD16CC5">
        <w:rPr>
          <w:noProof/>
        </w:rPr>
        <w:t xml:space="preserve"> </w:t>
      </w:r>
      <w:r w:rsidRPr="0BD16CC5">
        <w:rPr>
          <w:b/>
          <w:bCs/>
          <w:noProof/>
        </w:rPr>
        <w:t>nuclear energy</w:t>
      </w:r>
      <w:r w:rsidRPr="0BD16CC5">
        <w:rPr>
          <w:noProof/>
        </w:rPr>
        <w:t xml:space="preserve"> increased from EUR 4.3 billion in 2015 to EUR 7.6 billion in 2021 and then dropped to EUR 4.2 billion in 2022. This sudden decrease </w:t>
      </w:r>
      <w:r w:rsidR="002D7AA8">
        <w:rPr>
          <w:noProof/>
        </w:rPr>
        <w:t>wa</w:t>
      </w:r>
      <w:r w:rsidRPr="0BD16CC5">
        <w:rPr>
          <w:noProof/>
        </w:rPr>
        <w:t>s due to</w:t>
      </w:r>
      <w:r w:rsidR="002D7AA8">
        <w:rPr>
          <w:noProof/>
        </w:rPr>
        <w:t>: (i)</w:t>
      </w:r>
      <w:r w:rsidRPr="0BD16CC5" w:rsidDel="00E46730">
        <w:rPr>
          <w:noProof/>
        </w:rPr>
        <w:t xml:space="preserve"> </w:t>
      </w:r>
      <w:r w:rsidRPr="0BD16CC5">
        <w:rPr>
          <w:noProof/>
        </w:rPr>
        <w:t xml:space="preserve">the drop in </w:t>
      </w:r>
      <w:r>
        <w:rPr>
          <w:noProof/>
        </w:rPr>
        <w:t xml:space="preserve">the volume of </w:t>
      </w:r>
      <w:r w:rsidRPr="0BD16CC5">
        <w:rPr>
          <w:noProof/>
        </w:rPr>
        <w:t>capacity market mechanisms</w:t>
      </w:r>
      <w:r w:rsidR="006C0E0C">
        <w:rPr>
          <w:noProof/>
        </w:rPr>
        <w:t xml:space="preserve"> (in </w:t>
      </w:r>
      <w:r w:rsidR="005045F6">
        <w:rPr>
          <w:noProof/>
        </w:rPr>
        <w:t>France, Germany and Italy</w:t>
      </w:r>
      <w:r w:rsidR="006C0E0C">
        <w:rPr>
          <w:noProof/>
        </w:rPr>
        <w:t>)</w:t>
      </w:r>
      <w:r w:rsidR="002D7AA8">
        <w:rPr>
          <w:noProof/>
        </w:rPr>
        <w:t>; (ii)</w:t>
      </w:r>
      <w:r w:rsidRPr="0BD16CC5">
        <w:rPr>
          <w:noProof/>
        </w:rPr>
        <w:t xml:space="preserve"> the low availability of the nuclear fleet in France</w:t>
      </w:r>
      <w:r w:rsidR="002D7AA8">
        <w:rPr>
          <w:noProof/>
        </w:rPr>
        <w:t>;</w:t>
      </w:r>
      <w:r w:rsidRPr="0BD16CC5">
        <w:rPr>
          <w:noProof/>
        </w:rPr>
        <w:t xml:space="preserve"> as well as </w:t>
      </w:r>
      <w:r w:rsidR="002D7AA8">
        <w:rPr>
          <w:noProof/>
        </w:rPr>
        <w:t xml:space="preserve">(iii) </w:t>
      </w:r>
      <w:r w:rsidRPr="0BD16CC5">
        <w:rPr>
          <w:noProof/>
        </w:rPr>
        <w:t xml:space="preserve">the </w:t>
      </w:r>
      <w:r>
        <w:rPr>
          <w:noProof/>
        </w:rPr>
        <w:t xml:space="preserve">payments associated with the </w:t>
      </w:r>
      <w:r w:rsidRPr="0BD16CC5">
        <w:rPr>
          <w:noProof/>
        </w:rPr>
        <w:t xml:space="preserve">German decision to close </w:t>
      </w:r>
      <w:r w:rsidR="002D7AA8">
        <w:rPr>
          <w:noProof/>
        </w:rPr>
        <w:t>three</w:t>
      </w:r>
      <w:r w:rsidRPr="0BD16CC5">
        <w:rPr>
          <w:noProof/>
        </w:rPr>
        <w:t xml:space="preserve"> nuclear plants at the end of 2021. </w:t>
      </w:r>
      <w:r>
        <w:rPr>
          <w:noProof/>
        </w:rPr>
        <w:t xml:space="preserve">In 2022, </w:t>
      </w:r>
      <w:r w:rsidRPr="0BD16CC5">
        <w:rPr>
          <w:noProof/>
        </w:rPr>
        <w:t>France (EUR 2.3 billion)</w:t>
      </w:r>
      <w:r>
        <w:rPr>
          <w:noProof/>
        </w:rPr>
        <w:t xml:space="preserve"> and</w:t>
      </w:r>
      <w:r w:rsidRPr="0BD16CC5">
        <w:rPr>
          <w:noProof/>
        </w:rPr>
        <w:t xml:space="preserve"> Germany (EUR 1.1 billion) </w:t>
      </w:r>
      <w:r>
        <w:rPr>
          <w:noProof/>
        </w:rPr>
        <w:t xml:space="preserve">accounted for most of </w:t>
      </w:r>
      <w:r w:rsidRPr="0BD16CC5">
        <w:rPr>
          <w:noProof/>
        </w:rPr>
        <w:t>the nuclear subsidies in the EU</w:t>
      </w:r>
      <w:r w:rsidR="004B7510">
        <w:rPr>
          <w:noProof/>
        </w:rPr>
        <w:t>.</w:t>
      </w:r>
    </w:p>
    <w:p w14:paraId="35089166" w14:textId="77777777" w:rsidR="00843D83" w:rsidRPr="00DA60FE" w:rsidRDefault="00843D83" w:rsidP="003367AA">
      <w:pPr>
        <w:pStyle w:val="Heading2"/>
        <w:keepNext/>
        <w:spacing w:before="240"/>
        <w:ind w:left="714" w:hanging="357"/>
        <w:rPr>
          <w:noProof/>
        </w:rPr>
      </w:pPr>
      <w:r>
        <w:rPr>
          <w:noProof/>
        </w:rPr>
        <w:t>Subsidies by economic purpose</w:t>
      </w:r>
    </w:p>
    <w:p w14:paraId="24BEBC31" w14:textId="202B8883" w:rsidR="00843D83" w:rsidRPr="00DA60FE" w:rsidRDefault="00864BC6" w:rsidP="00843D83">
      <w:pPr>
        <w:pStyle w:val="BodyText"/>
        <w:jc w:val="both"/>
        <w:rPr>
          <w:noProof/>
        </w:rPr>
      </w:pPr>
      <w:r>
        <w:rPr>
          <w:noProof/>
        </w:rPr>
        <w:t xml:space="preserve">Although </w:t>
      </w:r>
      <w:r w:rsidR="00843D83">
        <w:rPr>
          <w:noProof/>
        </w:rPr>
        <w:t xml:space="preserve">the total amount of energy subsidies for the year 2022 has almost doubled compared </w:t>
      </w:r>
      <w:r>
        <w:rPr>
          <w:noProof/>
        </w:rPr>
        <w:t xml:space="preserve">with </w:t>
      </w:r>
      <w:r w:rsidR="00843D83">
        <w:rPr>
          <w:noProof/>
        </w:rPr>
        <w:t xml:space="preserve">2021, there </w:t>
      </w:r>
      <w:r>
        <w:rPr>
          <w:noProof/>
        </w:rPr>
        <w:t>wa</w:t>
      </w:r>
      <w:r w:rsidR="00843D83">
        <w:rPr>
          <w:noProof/>
        </w:rPr>
        <w:t xml:space="preserve">s a significant difference in </w:t>
      </w:r>
      <w:r>
        <w:rPr>
          <w:noProof/>
        </w:rPr>
        <w:t xml:space="preserve">the categories that accounted for this </w:t>
      </w:r>
      <w:r w:rsidR="00843D83">
        <w:rPr>
          <w:noProof/>
        </w:rPr>
        <w:t>growth according to the economic purpose of the subsidy</w:t>
      </w:r>
      <w:r w:rsidR="00DC43D1">
        <w:rPr>
          <w:noProof/>
        </w:rPr>
        <w:t xml:space="preserve"> (</w:t>
      </w:r>
      <w:r w:rsidR="00DC43D1">
        <w:rPr>
          <w:noProof/>
          <w:color w:val="2B579A"/>
          <w:shd w:val="clear" w:color="auto" w:fill="E6E6E6"/>
        </w:rPr>
        <w:fldChar w:fldCharType="begin"/>
      </w:r>
      <w:r w:rsidR="00DC43D1">
        <w:rPr>
          <w:noProof/>
        </w:rPr>
        <w:instrText xml:space="preserve"> REF _Ref139365854 \h  \* MERGEFORMAT </w:instrText>
      </w:r>
      <w:r w:rsidR="00DC43D1">
        <w:rPr>
          <w:noProof/>
          <w:color w:val="2B579A"/>
          <w:shd w:val="clear" w:color="auto" w:fill="E6E6E6"/>
        </w:rPr>
      </w:r>
      <w:r w:rsidR="00DC43D1">
        <w:rPr>
          <w:noProof/>
          <w:color w:val="2B579A"/>
          <w:shd w:val="clear" w:color="auto" w:fill="E6E6E6"/>
        </w:rPr>
        <w:fldChar w:fldCharType="separate"/>
      </w:r>
      <w:r w:rsidR="00F14F45" w:rsidRPr="00DA60FE">
        <w:rPr>
          <w:noProof/>
        </w:rPr>
        <w:t xml:space="preserve">Figure </w:t>
      </w:r>
      <w:r w:rsidR="00F14F45">
        <w:rPr>
          <w:noProof/>
        </w:rPr>
        <w:t>9</w:t>
      </w:r>
      <w:r w:rsidR="00DC43D1">
        <w:rPr>
          <w:noProof/>
          <w:color w:val="2B579A"/>
          <w:shd w:val="clear" w:color="auto" w:fill="E6E6E6"/>
        </w:rPr>
        <w:fldChar w:fldCharType="end"/>
      </w:r>
      <w:r w:rsidR="00DC43D1">
        <w:rPr>
          <w:noProof/>
        </w:rPr>
        <w:t>)</w:t>
      </w:r>
      <w:r w:rsidR="00843D83">
        <w:rPr>
          <w:noProof/>
        </w:rPr>
        <w:t>.</w:t>
      </w:r>
    </w:p>
    <w:p w14:paraId="444657E0" w14:textId="5912D550" w:rsidR="00843D83" w:rsidRPr="00DA60FE" w:rsidRDefault="00843D83" w:rsidP="00843D83">
      <w:pPr>
        <w:pStyle w:val="Caption"/>
        <w:spacing w:after="0"/>
        <w:jc w:val="center"/>
        <w:rPr>
          <w:noProof/>
        </w:rPr>
      </w:pPr>
      <w:bookmarkStart w:id="38" w:name="_Ref107099227"/>
      <w:bookmarkStart w:id="39" w:name="_Ref107253300"/>
      <w:bookmarkStart w:id="40" w:name="_Ref106288803"/>
      <w:bookmarkStart w:id="41" w:name="_Ref139365854"/>
      <w:bookmarkStart w:id="42" w:name="_Toc80799174"/>
      <w:bookmarkStart w:id="43" w:name="_Ref106892037"/>
      <w:bookmarkStart w:id="44" w:name="_Toc145348080"/>
      <w:r w:rsidRPr="00843D83">
        <w:rPr>
          <w:noProof/>
          <w:color w:val="2B579A"/>
          <w:shd w:val="clear" w:color="auto" w:fill="E6E6E6"/>
          <w:lang w:val="en-GB" w:eastAsia="en-GB"/>
        </w:rPr>
        <w:drawing>
          <wp:anchor distT="0" distB="0" distL="114300" distR="114300" simplePos="0" relativeHeight="251640320" behindDoc="0" locked="0" layoutInCell="1" allowOverlap="1" wp14:anchorId="1BE376FD" wp14:editId="4CDCC41E">
            <wp:simplePos x="0" y="0"/>
            <wp:positionH relativeFrom="margin">
              <wp:align>center</wp:align>
            </wp:positionH>
            <wp:positionV relativeFrom="paragraph">
              <wp:posOffset>228078</wp:posOffset>
            </wp:positionV>
            <wp:extent cx="4773600" cy="2790000"/>
            <wp:effectExtent l="0" t="0" r="8255" b="0"/>
            <wp:wrapTopAndBottom/>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773600" cy="2790000"/>
                    </a:xfrm>
                    <a:prstGeom prst="rect">
                      <a:avLst/>
                    </a:prstGeom>
                    <a:noFill/>
                  </pic:spPr>
                </pic:pic>
              </a:graphicData>
            </a:graphic>
            <wp14:sizeRelH relativeFrom="margin">
              <wp14:pctWidth>0</wp14:pctWidth>
            </wp14:sizeRelH>
            <wp14:sizeRelV relativeFrom="margin">
              <wp14:pctHeight>0</wp14:pctHeight>
            </wp14:sizeRelV>
          </wp:anchor>
        </w:drawing>
      </w:r>
      <w:r w:rsidRPr="00DA60FE">
        <w:rPr>
          <w:noProof/>
        </w:rPr>
        <w:t>Figure</w:t>
      </w:r>
      <w:bookmarkEnd w:id="38"/>
      <w:r w:rsidRPr="00DA60FE">
        <w:rPr>
          <w:noProof/>
        </w:rPr>
        <w:t xml:space="preserve"> </w:t>
      </w:r>
      <w:r w:rsidRPr="00DA60FE">
        <w:rPr>
          <w:noProof/>
          <w:color w:val="2B579A"/>
          <w:shd w:val="clear" w:color="auto" w:fill="E6E6E6"/>
        </w:rPr>
        <w:fldChar w:fldCharType="begin"/>
      </w:r>
      <w:r w:rsidRPr="00DA60FE">
        <w:rPr>
          <w:noProof/>
        </w:rPr>
        <w:instrText xml:space="preserve"> SEQ Figure \* ARABIC </w:instrText>
      </w:r>
      <w:r w:rsidRPr="00DA60FE">
        <w:rPr>
          <w:noProof/>
          <w:color w:val="2B579A"/>
          <w:shd w:val="clear" w:color="auto" w:fill="E6E6E6"/>
        </w:rPr>
        <w:fldChar w:fldCharType="separate"/>
      </w:r>
      <w:r w:rsidR="00F14F45">
        <w:rPr>
          <w:noProof/>
        </w:rPr>
        <w:t>9</w:t>
      </w:r>
      <w:r w:rsidRPr="00DA60FE">
        <w:rPr>
          <w:noProof/>
          <w:color w:val="2B579A"/>
          <w:shd w:val="clear" w:color="auto" w:fill="E6E6E6"/>
        </w:rPr>
        <w:fldChar w:fldCharType="end"/>
      </w:r>
      <w:r w:rsidRPr="00DA60FE">
        <w:rPr>
          <w:noProof/>
          <w:color w:val="2B579A"/>
          <w:shd w:val="clear" w:color="auto" w:fill="E6E6E6"/>
        </w:rPr>
        <w:fldChar w:fldCharType="begin"/>
      </w:r>
      <w:bookmarkEnd w:id="39"/>
      <w:bookmarkEnd w:id="40"/>
      <w:bookmarkEnd w:id="41"/>
      <w:r w:rsidRPr="00DA60FE">
        <w:rPr>
          <w:noProof/>
          <w:color w:val="2B579A"/>
          <w:shd w:val="clear" w:color="auto" w:fill="E6E6E6"/>
        </w:rPr>
        <w:fldChar w:fldCharType="separate"/>
      </w:r>
      <w:r w:rsidRPr="00DA60FE">
        <w:rPr>
          <w:noProof/>
        </w:rPr>
        <w:t>16</w:t>
      </w:r>
      <w:r w:rsidRPr="00DA60FE">
        <w:rPr>
          <w:noProof/>
          <w:color w:val="2B579A"/>
          <w:shd w:val="clear" w:color="auto" w:fill="E6E6E6"/>
        </w:rPr>
        <w:fldChar w:fldCharType="end"/>
      </w:r>
      <w:r w:rsidRPr="00DA60FE">
        <w:rPr>
          <w:noProof/>
        </w:rPr>
        <w:t xml:space="preserve">: Energy subsidies by </w:t>
      </w:r>
      <w:r>
        <w:rPr>
          <w:noProof/>
        </w:rPr>
        <w:t xml:space="preserve">economic </w:t>
      </w:r>
      <w:r w:rsidRPr="00DA60FE">
        <w:rPr>
          <w:noProof/>
        </w:rPr>
        <w:t>purpose (2015-2022; EUR2022bn)</w:t>
      </w:r>
      <w:bookmarkEnd w:id="42"/>
      <w:bookmarkEnd w:id="43"/>
      <w:bookmarkEnd w:id="44"/>
    </w:p>
    <w:p w14:paraId="59A60F6E" w14:textId="77777777" w:rsidR="00843D83" w:rsidRPr="00DA60FE" w:rsidRDefault="00843D83" w:rsidP="00D34DE1">
      <w:pPr>
        <w:spacing w:after="120"/>
        <w:jc w:val="center"/>
        <w:rPr>
          <w:rStyle w:val="SourceCar"/>
          <w:rFonts w:eastAsiaTheme="minorEastAsia"/>
          <w:noProof/>
        </w:rPr>
      </w:pPr>
      <w:r w:rsidRPr="0BD16CC5">
        <w:rPr>
          <w:rStyle w:val="SourceCar"/>
          <w:rFonts w:eastAsiaTheme="minorEastAsia"/>
          <w:noProof/>
        </w:rPr>
        <w:t>Source: Enerdata, Trinomics, 2023</w:t>
      </w:r>
      <w:r w:rsidR="00005909">
        <w:rPr>
          <w:rStyle w:val="SourceCar"/>
          <w:rFonts w:eastAsiaTheme="minorEastAsia"/>
          <w:noProof/>
        </w:rPr>
        <w:t xml:space="preserve">. </w:t>
      </w:r>
      <w:r w:rsidRPr="0BD16CC5">
        <w:rPr>
          <w:rStyle w:val="SourceCar"/>
          <w:rFonts w:eastAsiaTheme="minorEastAsia"/>
          <w:noProof/>
        </w:rPr>
        <w:t xml:space="preserve">NB: </w:t>
      </w:r>
      <w:r w:rsidR="00005909" w:rsidRPr="0BD16CC5">
        <w:rPr>
          <w:rStyle w:val="SourceCar"/>
          <w:rFonts w:eastAsiaTheme="minorEastAsia"/>
          <w:noProof/>
        </w:rPr>
        <w:t xml:space="preserve">2022 </w:t>
      </w:r>
      <w:r w:rsidR="00005909">
        <w:rPr>
          <w:rStyle w:val="SourceCar"/>
          <w:rFonts w:eastAsiaTheme="minorEastAsia"/>
          <w:noProof/>
        </w:rPr>
        <w:t xml:space="preserve">estimates </w:t>
      </w:r>
      <w:r w:rsidR="00005909" w:rsidRPr="0BD16CC5">
        <w:rPr>
          <w:rStyle w:val="SourceCar"/>
          <w:rFonts w:eastAsiaTheme="minorEastAsia"/>
          <w:noProof/>
        </w:rPr>
        <w:t>are represented with hatching</w:t>
      </w:r>
    </w:p>
    <w:p w14:paraId="6AA41086" w14:textId="234C8E15" w:rsidR="00DC43D1" w:rsidRDefault="00DC43D1" w:rsidP="00C10D3A">
      <w:pPr>
        <w:pStyle w:val="BodyText"/>
        <w:jc w:val="both"/>
        <w:rPr>
          <w:noProof/>
        </w:rPr>
      </w:pPr>
      <w:r>
        <w:rPr>
          <w:noProof/>
        </w:rPr>
        <w:t xml:space="preserve">Financial support directed to </w:t>
      </w:r>
      <w:r w:rsidRPr="000F475A">
        <w:rPr>
          <w:i/>
          <w:noProof/>
        </w:rPr>
        <w:t>energy demand</w:t>
      </w:r>
      <w:r w:rsidR="006F33FD">
        <w:rPr>
          <w:rStyle w:val="FootnoteReference"/>
          <w:i/>
          <w:noProof/>
        </w:rPr>
        <w:footnoteReference w:id="18"/>
      </w:r>
      <w:r>
        <w:rPr>
          <w:noProof/>
        </w:rPr>
        <w:t xml:space="preserve"> has tripled in 2022 compared with 2021, reaching EUR 247 billion. In the same period, support for </w:t>
      </w:r>
      <w:r w:rsidRPr="000F475A">
        <w:rPr>
          <w:i/>
          <w:noProof/>
        </w:rPr>
        <w:t>energy efficiency</w:t>
      </w:r>
      <w:r>
        <w:rPr>
          <w:noProof/>
        </w:rPr>
        <w:t xml:space="preserve"> measures increased by 50% (from EUR 21.8 to EUR 32 billion), subsidies for </w:t>
      </w:r>
      <w:r w:rsidRPr="000F475A">
        <w:rPr>
          <w:i/>
          <w:noProof/>
        </w:rPr>
        <w:t>infrastructure development</w:t>
      </w:r>
      <w:r>
        <w:rPr>
          <w:noProof/>
        </w:rPr>
        <w:t xml:space="preserve"> increased by 250% (from EUR 4.9 billion to EUR 12 billion), while support for </w:t>
      </w:r>
      <w:r w:rsidRPr="000F475A">
        <w:rPr>
          <w:i/>
          <w:noProof/>
        </w:rPr>
        <w:t>energy industry restructuring</w:t>
      </w:r>
      <w:r>
        <w:rPr>
          <w:noProof/>
        </w:rPr>
        <w:t xml:space="preserve"> and </w:t>
      </w:r>
      <w:r w:rsidRPr="000F475A">
        <w:rPr>
          <w:i/>
          <w:noProof/>
        </w:rPr>
        <w:t>energy production</w:t>
      </w:r>
      <w:r>
        <w:rPr>
          <w:noProof/>
        </w:rPr>
        <w:t xml:space="preserve"> have decreased by 33% and by 7%, respectively.</w:t>
      </w:r>
    </w:p>
    <w:p w14:paraId="52AACDBF" w14:textId="22A337E5" w:rsidR="00843D83" w:rsidRPr="00DA60FE" w:rsidRDefault="00843D83" w:rsidP="00C10D3A">
      <w:pPr>
        <w:pStyle w:val="BodyText"/>
        <w:jc w:val="both"/>
        <w:rPr>
          <w:noProof/>
        </w:rPr>
      </w:pPr>
      <w:r w:rsidRPr="26B36806">
        <w:rPr>
          <w:b/>
          <w:bCs/>
          <w:noProof/>
        </w:rPr>
        <w:t>Subsidies for energy demand</w:t>
      </w:r>
      <w:r>
        <w:rPr>
          <w:noProof/>
        </w:rPr>
        <w:t xml:space="preserve"> include targeted or generic support measures aimed at limiting the costs of energy consumption in various economic sectors. Th</w:t>
      </w:r>
      <w:r w:rsidR="00C96DD0">
        <w:rPr>
          <w:noProof/>
        </w:rPr>
        <w:t xml:space="preserve">ese measures </w:t>
      </w:r>
      <w:r>
        <w:rPr>
          <w:noProof/>
        </w:rPr>
        <w:t xml:space="preserve">can be </w:t>
      </w:r>
      <w:r w:rsidR="00C96DD0">
        <w:rPr>
          <w:noProof/>
        </w:rPr>
        <w:t xml:space="preserve">implemented </w:t>
      </w:r>
      <w:r>
        <w:rPr>
          <w:noProof/>
        </w:rPr>
        <w:t xml:space="preserve">through mechanisms like tax reductions or refunds, and </w:t>
      </w:r>
      <w:r w:rsidR="00C96DD0">
        <w:rPr>
          <w:noProof/>
        </w:rPr>
        <w:t xml:space="preserve">they </w:t>
      </w:r>
      <w:r>
        <w:rPr>
          <w:noProof/>
        </w:rPr>
        <w:t>address a wide range of economic sectors, from energy</w:t>
      </w:r>
      <w:r w:rsidR="00C96DD0">
        <w:rPr>
          <w:noProof/>
        </w:rPr>
        <w:noBreakHyphen/>
      </w:r>
      <w:r>
        <w:rPr>
          <w:noProof/>
        </w:rPr>
        <w:t>intensive industries to households. These kinds of subsidies target all types of energy including renewables, fossil fuels, electricity, and heat, regardless of their origin.</w:t>
      </w:r>
    </w:p>
    <w:p w14:paraId="7DA3E99B" w14:textId="6733E71B" w:rsidR="00843D83" w:rsidRPr="00DA60FE" w:rsidRDefault="00843D83" w:rsidP="00C10D3A">
      <w:pPr>
        <w:pStyle w:val="BodyText"/>
        <w:jc w:val="both"/>
        <w:rPr>
          <w:noProof/>
        </w:rPr>
      </w:pPr>
      <w:r w:rsidRPr="00DA60FE">
        <w:rPr>
          <w:noProof/>
        </w:rPr>
        <w:t xml:space="preserve">By 2020, overall </w:t>
      </w:r>
      <w:r w:rsidR="00C96DD0">
        <w:rPr>
          <w:noProof/>
        </w:rPr>
        <w:t xml:space="preserve">subsidy </w:t>
      </w:r>
      <w:r w:rsidRPr="00DA60FE">
        <w:rPr>
          <w:noProof/>
        </w:rPr>
        <w:t>support to energy demand grew to EUR 70 billion</w:t>
      </w:r>
      <w:r w:rsidR="00005909">
        <w:rPr>
          <w:noProof/>
        </w:rPr>
        <w:t xml:space="preserve"> </w:t>
      </w:r>
      <w:r w:rsidR="00005909" w:rsidRPr="0BD16CC5">
        <w:rPr>
          <w:noProof/>
        </w:rPr>
        <w:t>(</w:t>
      </w:r>
      <w:r w:rsidR="00005909" w:rsidRPr="0BD16CC5">
        <w:rPr>
          <w:noProof/>
          <w:color w:val="2B579A"/>
          <w:shd w:val="clear" w:color="auto" w:fill="E6E6E6"/>
        </w:rPr>
        <w:fldChar w:fldCharType="begin"/>
      </w:r>
      <w:r w:rsidR="00005909" w:rsidRPr="0BD16CC5">
        <w:rPr>
          <w:noProof/>
        </w:rPr>
        <w:instrText xml:space="preserve"> REF _Ref109228410 \h  \* MERGEFORMAT </w:instrText>
      </w:r>
      <w:r w:rsidR="00005909" w:rsidRPr="0BD16CC5">
        <w:rPr>
          <w:noProof/>
          <w:color w:val="2B579A"/>
          <w:shd w:val="clear" w:color="auto" w:fill="E6E6E6"/>
        </w:rPr>
      </w:r>
      <w:r w:rsidR="00005909" w:rsidRPr="0BD16CC5">
        <w:rPr>
          <w:noProof/>
          <w:color w:val="2B579A"/>
          <w:shd w:val="clear" w:color="auto" w:fill="E6E6E6"/>
        </w:rPr>
        <w:fldChar w:fldCharType="separate"/>
      </w:r>
      <w:r w:rsidR="00F14F45" w:rsidRPr="00DA60FE">
        <w:rPr>
          <w:noProof/>
        </w:rPr>
        <w:t xml:space="preserve">Figure </w:t>
      </w:r>
      <w:r w:rsidR="00F14F45">
        <w:rPr>
          <w:noProof/>
        </w:rPr>
        <w:t>10</w:t>
      </w:r>
      <w:r w:rsidR="00005909" w:rsidRPr="0BD16CC5">
        <w:rPr>
          <w:noProof/>
          <w:color w:val="2B579A"/>
          <w:shd w:val="clear" w:color="auto" w:fill="E6E6E6"/>
        </w:rPr>
        <w:fldChar w:fldCharType="end"/>
      </w:r>
      <w:r w:rsidR="00005909" w:rsidRPr="0BD16CC5">
        <w:rPr>
          <w:noProof/>
        </w:rPr>
        <w:t>)</w:t>
      </w:r>
      <w:r>
        <w:rPr>
          <w:noProof/>
        </w:rPr>
        <w:t xml:space="preserve">, increasing </w:t>
      </w:r>
      <w:r w:rsidRPr="00DA60FE">
        <w:rPr>
          <w:noProof/>
        </w:rPr>
        <w:t>by 17% in 2021</w:t>
      </w:r>
      <w:r w:rsidR="00C96DD0">
        <w:rPr>
          <w:noProof/>
        </w:rPr>
        <w:t xml:space="preserve">. This support was </w:t>
      </w:r>
      <w:r w:rsidRPr="00DA60FE">
        <w:rPr>
          <w:noProof/>
        </w:rPr>
        <w:t xml:space="preserve">then estimated to </w:t>
      </w:r>
      <w:r>
        <w:rPr>
          <w:noProof/>
        </w:rPr>
        <w:t xml:space="preserve">have </w:t>
      </w:r>
      <w:r w:rsidRPr="00DA60FE">
        <w:rPr>
          <w:noProof/>
        </w:rPr>
        <w:t xml:space="preserve">tripled </w:t>
      </w:r>
      <w:r w:rsidR="00C96DD0">
        <w:rPr>
          <w:noProof/>
        </w:rPr>
        <w:t>between 2021 and</w:t>
      </w:r>
      <w:r w:rsidR="00C96DD0" w:rsidRPr="00DA60FE">
        <w:rPr>
          <w:noProof/>
        </w:rPr>
        <w:t xml:space="preserve"> </w:t>
      </w:r>
      <w:r w:rsidRPr="00DA60FE">
        <w:rPr>
          <w:noProof/>
        </w:rPr>
        <w:t xml:space="preserve">2022 </w:t>
      </w:r>
      <w:r w:rsidR="00C96DD0">
        <w:rPr>
          <w:noProof/>
        </w:rPr>
        <w:t xml:space="preserve">to </w:t>
      </w:r>
      <w:r w:rsidRPr="00DA60FE">
        <w:rPr>
          <w:noProof/>
        </w:rPr>
        <w:t>reach EUR 247 billion</w:t>
      </w:r>
      <w:r w:rsidRPr="00DA60FE">
        <w:rPr>
          <w:rStyle w:val="FootnoteReference"/>
          <w:noProof/>
        </w:rPr>
        <w:footnoteReference w:id="19"/>
      </w:r>
      <w:r w:rsidRPr="00DA60FE">
        <w:rPr>
          <w:noProof/>
        </w:rPr>
        <w:t xml:space="preserve">. This was the direct consequence of the cost-of-living crisis and the Russian weaponisation of </w:t>
      </w:r>
      <w:r w:rsidR="006C0E0C">
        <w:rPr>
          <w:noProof/>
        </w:rPr>
        <w:t>gas</w:t>
      </w:r>
      <w:r w:rsidR="006C0E0C" w:rsidRPr="00DA60FE">
        <w:rPr>
          <w:noProof/>
        </w:rPr>
        <w:t xml:space="preserve"> </w:t>
      </w:r>
      <w:r w:rsidRPr="00DA60FE">
        <w:rPr>
          <w:noProof/>
        </w:rPr>
        <w:t xml:space="preserve">supplies and is mostly related to policy support measures that have been put in place by governments since </w:t>
      </w:r>
      <w:r w:rsidR="00C96DD0">
        <w:rPr>
          <w:noProof/>
        </w:rPr>
        <w:t xml:space="preserve">the </w:t>
      </w:r>
      <w:r w:rsidRPr="00DA60FE">
        <w:rPr>
          <w:noProof/>
        </w:rPr>
        <w:t>end</w:t>
      </w:r>
      <w:r w:rsidR="00C96DD0">
        <w:rPr>
          <w:noProof/>
        </w:rPr>
        <w:t xml:space="preserve"> of </w:t>
      </w:r>
      <w:r w:rsidRPr="00DA60FE">
        <w:rPr>
          <w:noProof/>
        </w:rPr>
        <w:t>2021 and further strengthened in 2022.</w:t>
      </w:r>
    </w:p>
    <w:p w14:paraId="5706FD0F" w14:textId="56F69CAC" w:rsidR="00843D83" w:rsidRPr="00DA60FE" w:rsidRDefault="00647D5D" w:rsidP="00843D83">
      <w:pPr>
        <w:pStyle w:val="Caption"/>
        <w:spacing w:after="0"/>
        <w:jc w:val="center"/>
        <w:rPr>
          <w:noProof/>
        </w:rPr>
      </w:pPr>
      <w:bookmarkStart w:id="45" w:name="_Ref106291386"/>
      <w:bookmarkStart w:id="46" w:name="_Ref109228410"/>
      <w:bookmarkStart w:id="47" w:name="_Toc145348081"/>
      <w:r>
        <w:rPr>
          <w:noProof/>
          <w:color w:val="2B579A"/>
          <w:shd w:val="clear" w:color="auto" w:fill="E6E6E6"/>
          <w:lang w:val="en-GB" w:eastAsia="en-GB"/>
        </w:rPr>
        <w:drawing>
          <wp:anchor distT="0" distB="0" distL="114300" distR="114300" simplePos="0" relativeHeight="251651584" behindDoc="0" locked="0" layoutInCell="1" allowOverlap="1" wp14:anchorId="790C5B1F" wp14:editId="4C5C87F1">
            <wp:simplePos x="0" y="0"/>
            <wp:positionH relativeFrom="margin">
              <wp:align>center</wp:align>
            </wp:positionH>
            <wp:positionV relativeFrom="paragraph">
              <wp:posOffset>177165</wp:posOffset>
            </wp:positionV>
            <wp:extent cx="4942800" cy="250200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42800" cy="2502000"/>
                    </a:xfrm>
                    <a:prstGeom prst="rect">
                      <a:avLst/>
                    </a:prstGeom>
                    <a:noFill/>
                  </pic:spPr>
                </pic:pic>
              </a:graphicData>
            </a:graphic>
            <wp14:sizeRelH relativeFrom="page">
              <wp14:pctWidth>0</wp14:pctWidth>
            </wp14:sizeRelH>
            <wp14:sizeRelV relativeFrom="page">
              <wp14:pctHeight>0</wp14:pctHeight>
            </wp14:sizeRelV>
          </wp:anchor>
        </w:drawing>
      </w:r>
      <w:r w:rsidR="00843D83" w:rsidRPr="00DA60FE">
        <w:rPr>
          <w:noProof/>
        </w:rPr>
        <w:t xml:space="preserve">Figure </w:t>
      </w:r>
      <w:r w:rsidR="00843D83" w:rsidRPr="00DA60FE">
        <w:rPr>
          <w:noProof/>
          <w:color w:val="2B579A"/>
          <w:shd w:val="clear" w:color="auto" w:fill="E6E6E6"/>
        </w:rPr>
        <w:fldChar w:fldCharType="begin"/>
      </w:r>
      <w:r w:rsidR="00843D83" w:rsidRPr="00DA60FE">
        <w:rPr>
          <w:noProof/>
        </w:rPr>
        <w:instrText xml:space="preserve"> SEQ Figure \* ARABIC </w:instrText>
      </w:r>
      <w:r w:rsidR="00843D83" w:rsidRPr="00DA60FE">
        <w:rPr>
          <w:noProof/>
          <w:color w:val="2B579A"/>
          <w:shd w:val="clear" w:color="auto" w:fill="E6E6E6"/>
        </w:rPr>
        <w:fldChar w:fldCharType="separate"/>
      </w:r>
      <w:r w:rsidR="00F14F45">
        <w:rPr>
          <w:noProof/>
        </w:rPr>
        <w:t>10</w:t>
      </w:r>
      <w:r w:rsidR="00843D83" w:rsidRPr="00DA60FE">
        <w:rPr>
          <w:noProof/>
          <w:color w:val="2B579A"/>
          <w:shd w:val="clear" w:color="auto" w:fill="E6E6E6"/>
        </w:rPr>
        <w:fldChar w:fldCharType="end"/>
      </w:r>
      <w:bookmarkEnd w:id="45"/>
      <w:bookmarkEnd w:id="46"/>
      <w:r w:rsidR="00843D83" w:rsidRPr="00DA60FE">
        <w:rPr>
          <w:noProof/>
        </w:rPr>
        <w:t xml:space="preserve"> </w:t>
      </w:r>
      <w:r w:rsidR="00791761">
        <w:rPr>
          <w:noProof/>
        </w:rPr>
        <w:t>S</w:t>
      </w:r>
      <w:r w:rsidR="00843D83" w:rsidRPr="00DA60FE">
        <w:rPr>
          <w:noProof/>
        </w:rPr>
        <w:t>ubsidies supporting energy demand by instrument (2015-2022; EUR2022bn)</w:t>
      </w:r>
      <w:bookmarkEnd w:id="47"/>
    </w:p>
    <w:p w14:paraId="42271F49" w14:textId="77777777" w:rsidR="00843D83" w:rsidRPr="00DA60FE" w:rsidRDefault="00843D83" w:rsidP="00D34DE1">
      <w:pPr>
        <w:spacing w:after="120"/>
        <w:jc w:val="center"/>
        <w:rPr>
          <w:rStyle w:val="SourceCar"/>
          <w:rFonts w:eastAsiaTheme="minorEastAsia"/>
          <w:noProof/>
        </w:rPr>
      </w:pPr>
      <w:r w:rsidRPr="0BD16CC5">
        <w:rPr>
          <w:rStyle w:val="SourceCar"/>
          <w:rFonts w:eastAsiaTheme="minorEastAsia"/>
          <w:noProof/>
        </w:rPr>
        <w:t>Source: Enerdata, Trinomics, 2023</w:t>
      </w:r>
      <w:r w:rsidR="00005909">
        <w:rPr>
          <w:rStyle w:val="SourceCar"/>
          <w:rFonts w:eastAsiaTheme="minorEastAsia"/>
          <w:noProof/>
        </w:rPr>
        <w:t xml:space="preserve">. </w:t>
      </w:r>
      <w:r w:rsidRPr="0BD16CC5">
        <w:rPr>
          <w:rStyle w:val="SourceCar"/>
          <w:rFonts w:eastAsiaTheme="minorEastAsia"/>
          <w:noProof/>
        </w:rPr>
        <w:t xml:space="preserve">NB: </w:t>
      </w:r>
      <w:r w:rsidR="00005909" w:rsidRPr="0BD16CC5">
        <w:rPr>
          <w:rStyle w:val="SourceCar"/>
          <w:rFonts w:eastAsiaTheme="minorEastAsia"/>
          <w:noProof/>
        </w:rPr>
        <w:t xml:space="preserve">2022 </w:t>
      </w:r>
      <w:r w:rsidR="00005909">
        <w:rPr>
          <w:rStyle w:val="SourceCar"/>
          <w:rFonts w:eastAsiaTheme="minorEastAsia"/>
          <w:noProof/>
        </w:rPr>
        <w:t xml:space="preserve">estimates </w:t>
      </w:r>
      <w:r w:rsidR="00005909" w:rsidRPr="0BD16CC5">
        <w:rPr>
          <w:rStyle w:val="SourceCar"/>
          <w:rFonts w:eastAsiaTheme="minorEastAsia"/>
          <w:noProof/>
        </w:rPr>
        <w:t>are represented with hatching</w:t>
      </w:r>
    </w:p>
    <w:p w14:paraId="71E81081" w14:textId="163A4781" w:rsidR="00005909" w:rsidRPr="00DA60FE" w:rsidRDefault="00005909" w:rsidP="00C10D3A">
      <w:pPr>
        <w:pStyle w:val="BodyText"/>
        <w:jc w:val="both"/>
        <w:rPr>
          <w:noProof/>
        </w:rPr>
      </w:pPr>
      <w:r w:rsidRPr="0BD16CC5">
        <w:rPr>
          <w:noProof/>
        </w:rPr>
        <w:t xml:space="preserve">Before 2021, </w:t>
      </w:r>
      <w:r w:rsidR="004057CD">
        <w:rPr>
          <w:noProof/>
        </w:rPr>
        <w:t xml:space="preserve">direct </w:t>
      </w:r>
      <w:r w:rsidRPr="0BD16CC5">
        <w:rPr>
          <w:noProof/>
        </w:rPr>
        <w:t xml:space="preserve">tax </w:t>
      </w:r>
      <w:r w:rsidR="00C96DD0">
        <w:rPr>
          <w:noProof/>
        </w:rPr>
        <w:t>measures</w:t>
      </w:r>
      <w:r w:rsidR="00C96DD0" w:rsidRPr="0BD16CC5">
        <w:rPr>
          <w:noProof/>
        </w:rPr>
        <w:t xml:space="preserve"> </w:t>
      </w:r>
      <w:r w:rsidRPr="0BD16CC5">
        <w:rPr>
          <w:noProof/>
        </w:rPr>
        <w:t>represented more than 90% share of total subsidies for energy demand. However, since 2021, direct transfers and consumer price guarantees (income or price supports) have been brought back as part of the policy measures, changing the balance between these instruments</w:t>
      </w:r>
      <w:r>
        <w:rPr>
          <w:noProof/>
        </w:rPr>
        <w:t xml:space="preserve"> for promoting energy demand</w:t>
      </w:r>
      <w:r w:rsidRPr="0BD16CC5">
        <w:rPr>
          <w:noProof/>
        </w:rPr>
        <w:t xml:space="preserve">. In 2022, tax expenditures represented </w:t>
      </w:r>
      <w:r w:rsidR="004057CD">
        <w:rPr>
          <w:noProof/>
        </w:rPr>
        <w:t>50%</w:t>
      </w:r>
      <w:r w:rsidR="004057CD" w:rsidRPr="0BD16CC5">
        <w:rPr>
          <w:noProof/>
        </w:rPr>
        <w:t xml:space="preserve"> </w:t>
      </w:r>
      <w:r w:rsidRPr="0BD16CC5">
        <w:rPr>
          <w:noProof/>
        </w:rPr>
        <w:t>(EUR 123 billion) of the overall support to energy demand, followed by price supports and price guarantees (30%, EUR 74 billion), and direct transfers (20%, EUR 50 billion).</w:t>
      </w:r>
    </w:p>
    <w:p w14:paraId="6ECE0EA9" w14:textId="77777777" w:rsidR="00843D83" w:rsidRPr="00DA60FE" w:rsidRDefault="00843D83" w:rsidP="003367AA">
      <w:pPr>
        <w:pStyle w:val="Heading2"/>
        <w:keepNext/>
        <w:spacing w:before="240"/>
        <w:ind w:left="714" w:hanging="357"/>
        <w:rPr>
          <w:noProof/>
        </w:rPr>
      </w:pPr>
      <w:r>
        <w:rPr>
          <w:noProof/>
        </w:rPr>
        <w:t>Focus on subsidy measures related to the energy price crisis</w:t>
      </w:r>
    </w:p>
    <w:p w14:paraId="72155583" w14:textId="74DE8BAB" w:rsidR="00843D83" w:rsidRPr="00DA60FE" w:rsidRDefault="00843D83" w:rsidP="00C10D3A">
      <w:pPr>
        <w:pStyle w:val="BodyText"/>
        <w:jc w:val="both"/>
        <w:rPr>
          <w:noProof/>
        </w:rPr>
      </w:pPr>
      <w:r>
        <w:rPr>
          <w:noProof/>
        </w:rPr>
        <w:t>The European Commission has</w:t>
      </w:r>
      <w:r w:rsidR="00C96DD0">
        <w:rPr>
          <w:noProof/>
        </w:rPr>
        <w:t xml:space="preserve"> been</w:t>
      </w:r>
      <w:r>
        <w:rPr>
          <w:noProof/>
        </w:rPr>
        <w:t xml:space="preserve"> work</w:t>
      </w:r>
      <w:r w:rsidR="00C96DD0">
        <w:rPr>
          <w:noProof/>
        </w:rPr>
        <w:t>ing</w:t>
      </w:r>
      <w:r>
        <w:rPr>
          <w:noProof/>
        </w:rPr>
        <w:t xml:space="preserve"> together with Member States to </w:t>
      </w:r>
      <w:r w:rsidR="00C96DD0">
        <w:rPr>
          <w:noProof/>
        </w:rPr>
        <w:t>tackle</w:t>
      </w:r>
      <w:r>
        <w:rPr>
          <w:noProof/>
        </w:rPr>
        <w:t xml:space="preserve"> the energy crisis. This </w:t>
      </w:r>
      <w:r w:rsidR="00C96DD0">
        <w:rPr>
          <w:noProof/>
        </w:rPr>
        <w:t xml:space="preserve">has </w:t>
      </w:r>
      <w:r>
        <w:rPr>
          <w:noProof/>
        </w:rPr>
        <w:t xml:space="preserve">included </w:t>
      </w:r>
      <w:r w:rsidR="00C96DD0">
        <w:rPr>
          <w:noProof/>
        </w:rPr>
        <w:t xml:space="preserve">working to: (i) </w:t>
      </w:r>
      <w:r>
        <w:rPr>
          <w:noProof/>
        </w:rPr>
        <w:t>secur</w:t>
      </w:r>
      <w:r w:rsidR="00C96DD0">
        <w:rPr>
          <w:noProof/>
        </w:rPr>
        <w:t>e</w:t>
      </w:r>
      <w:r w:rsidDel="008A5395">
        <w:rPr>
          <w:noProof/>
        </w:rPr>
        <w:t xml:space="preserve"> </w:t>
      </w:r>
      <w:r>
        <w:rPr>
          <w:noProof/>
        </w:rPr>
        <w:t>alternative energy supplies</w:t>
      </w:r>
      <w:r w:rsidR="00C96DD0">
        <w:rPr>
          <w:noProof/>
        </w:rPr>
        <w:t>; (ii)</w:t>
      </w:r>
      <w:r>
        <w:rPr>
          <w:noProof/>
        </w:rPr>
        <w:t xml:space="preserve"> reduc</w:t>
      </w:r>
      <w:r w:rsidR="00C96DD0">
        <w:rPr>
          <w:noProof/>
        </w:rPr>
        <w:t>e</w:t>
      </w:r>
      <w:r>
        <w:rPr>
          <w:noProof/>
        </w:rPr>
        <w:t xml:space="preserve"> energy demand to compensate </w:t>
      </w:r>
      <w:r w:rsidR="00C96DD0">
        <w:rPr>
          <w:noProof/>
        </w:rPr>
        <w:t xml:space="preserve">for </w:t>
      </w:r>
      <w:r>
        <w:rPr>
          <w:noProof/>
        </w:rPr>
        <w:t>the shortfall of Russian gas deliveries</w:t>
      </w:r>
      <w:r w:rsidR="00C96DD0">
        <w:rPr>
          <w:noProof/>
        </w:rPr>
        <w:t>; (iii)</w:t>
      </w:r>
      <w:r>
        <w:rPr>
          <w:noProof/>
        </w:rPr>
        <w:t xml:space="preserve"> </w:t>
      </w:r>
      <w:r w:rsidR="00C96DD0">
        <w:rPr>
          <w:noProof/>
        </w:rPr>
        <w:t>make greater use</w:t>
      </w:r>
      <w:r>
        <w:rPr>
          <w:noProof/>
        </w:rPr>
        <w:t xml:space="preserve"> renewables</w:t>
      </w:r>
      <w:r w:rsidR="008F4B73">
        <w:rPr>
          <w:noProof/>
        </w:rPr>
        <w:t>;</w:t>
      </w:r>
      <w:r>
        <w:rPr>
          <w:noProof/>
        </w:rPr>
        <w:t xml:space="preserve"> and </w:t>
      </w:r>
      <w:r w:rsidR="008F4B73">
        <w:rPr>
          <w:noProof/>
        </w:rPr>
        <w:t>(iv) increase</w:t>
      </w:r>
      <w:r w:rsidR="005C05ED">
        <w:rPr>
          <w:noProof/>
        </w:rPr>
        <w:t xml:space="preserve"> </w:t>
      </w:r>
      <w:r>
        <w:rPr>
          <w:noProof/>
        </w:rPr>
        <w:t>energy efficiency.</w:t>
      </w:r>
      <w:r w:rsidR="00511050" w:rsidRPr="00511050">
        <w:rPr>
          <w:noProof/>
        </w:rPr>
        <w:t xml:space="preserve"> </w:t>
      </w:r>
      <w:r w:rsidR="00511050" w:rsidRPr="00DA60FE">
        <w:rPr>
          <w:noProof/>
        </w:rPr>
        <w:t xml:space="preserve">In addition to </w:t>
      </w:r>
      <w:r w:rsidR="00511050">
        <w:rPr>
          <w:noProof/>
        </w:rPr>
        <w:t xml:space="preserve">implementing measures introduced at Union level or enabled by </w:t>
      </w:r>
      <w:r w:rsidR="00511050" w:rsidRPr="00DA60FE">
        <w:rPr>
          <w:noProof/>
        </w:rPr>
        <w:t xml:space="preserve">Union-level </w:t>
      </w:r>
      <w:r w:rsidR="00511050">
        <w:rPr>
          <w:noProof/>
        </w:rPr>
        <w:t>frameworks</w:t>
      </w:r>
      <w:r w:rsidR="00511050" w:rsidRPr="00DA60FE">
        <w:rPr>
          <w:noProof/>
        </w:rPr>
        <w:t>, M</w:t>
      </w:r>
      <w:r w:rsidR="00511050">
        <w:rPr>
          <w:noProof/>
        </w:rPr>
        <w:t>ember States also</w:t>
      </w:r>
      <w:r w:rsidR="00511050" w:rsidRPr="00DA60FE">
        <w:rPr>
          <w:noProof/>
        </w:rPr>
        <w:t xml:space="preserve"> adopted </w:t>
      </w:r>
      <w:r w:rsidR="00511050">
        <w:rPr>
          <w:noProof/>
        </w:rPr>
        <w:t xml:space="preserve">their </w:t>
      </w:r>
      <w:r w:rsidR="00511050" w:rsidRPr="006C0E0C">
        <w:rPr>
          <w:noProof/>
        </w:rPr>
        <w:t>national</w:t>
      </w:r>
      <w:r w:rsidR="00511050">
        <w:rPr>
          <w:noProof/>
        </w:rPr>
        <w:t>ly-tailored</w:t>
      </w:r>
      <w:r w:rsidR="00511050" w:rsidRPr="00DA60FE">
        <w:rPr>
          <w:noProof/>
        </w:rPr>
        <w:t xml:space="preserve"> measures to shield their citizens and their economy from damaging energy prices</w:t>
      </w:r>
      <w:r w:rsidR="00511050">
        <w:rPr>
          <w:noProof/>
        </w:rPr>
        <w:t xml:space="preserve"> </w:t>
      </w:r>
      <w:r w:rsidR="00511050" w:rsidRPr="00DA60FE">
        <w:rPr>
          <w:noProof/>
        </w:rPr>
        <w:t>(</w:t>
      </w:r>
      <w:r w:rsidR="00511050" w:rsidRPr="00DA60FE">
        <w:rPr>
          <w:noProof/>
          <w:color w:val="2B579A"/>
          <w:shd w:val="clear" w:color="auto" w:fill="E6E6E6"/>
        </w:rPr>
        <w:fldChar w:fldCharType="begin"/>
      </w:r>
      <w:r w:rsidR="00511050" w:rsidRPr="00DA60FE">
        <w:rPr>
          <w:noProof/>
        </w:rPr>
        <w:instrText xml:space="preserve"> REF _Ref139457779 \h  \* MERGEFORMAT </w:instrText>
      </w:r>
      <w:r w:rsidR="00511050" w:rsidRPr="00DA60FE">
        <w:rPr>
          <w:noProof/>
          <w:color w:val="2B579A"/>
          <w:shd w:val="clear" w:color="auto" w:fill="E6E6E6"/>
        </w:rPr>
      </w:r>
      <w:r w:rsidR="00511050" w:rsidRPr="00DA60FE">
        <w:rPr>
          <w:noProof/>
          <w:color w:val="2B579A"/>
          <w:shd w:val="clear" w:color="auto" w:fill="E6E6E6"/>
        </w:rPr>
        <w:fldChar w:fldCharType="separate"/>
      </w:r>
      <w:r w:rsidR="00F14F45" w:rsidRPr="00DA60FE">
        <w:rPr>
          <w:noProof/>
        </w:rPr>
        <w:t xml:space="preserve">Figure </w:t>
      </w:r>
      <w:r w:rsidR="00F14F45">
        <w:rPr>
          <w:noProof/>
        </w:rPr>
        <w:t>11</w:t>
      </w:r>
      <w:r w:rsidR="00511050" w:rsidRPr="00DA60FE">
        <w:rPr>
          <w:noProof/>
          <w:color w:val="2B579A"/>
          <w:shd w:val="clear" w:color="auto" w:fill="E6E6E6"/>
        </w:rPr>
        <w:fldChar w:fldCharType="end"/>
      </w:r>
      <w:r w:rsidR="00511050" w:rsidRPr="00DA60FE">
        <w:rPr>
          <w:noProof/>
        </w:rPr>
        <w:t>)</w:t>
      </w:r>
      <w:r w:rsidR="00511050">
        <w:rPr>
          <w:noProof/>
        </w:rPr>
        <w:t>.</w:t>
      </w:r>
    </w:p>
    <w:p w14:paraId="0C0D7041" w14:textId="5D71771A" w:rsidR="00843D83" w:rsidRPr="00DA60FE" w:rsidRDefault="00843D83" w:rsidP="004057CD">
      <w:pPr>
        <w:pStyle w:val="Caption"/>
        <w:spacing w:after="0"/>
        <w:jc w:val="center"/>
        <w:rPr>
          <w:noProof/>
        </w:rPr>
      </w:pPr>
      <w:bookmarkStart w:id="48" w:name="_Ref139457779"/>
      <w:bookmarkStart w:id="49" w:name="_Ref138844831"/>
      <w:bookmarkStart w:id="50" w:name="_Toc145348083"/>
      <w:r w:rsidRPr="00843D83">
        <w:rPr>
          <w:noProof/>
          <w:color w:val="2B579A"/>
          <w:shd w:val="clear" w:color="auto" w:fill="E6E6E6"/>
          <w:lang w:val="en-GB" w:eastAsia="en-GB"/>
        </w:rPr>
        <w:drawing>
          <wp:anchor distT="0" distB="0" distL="114300" distR="114300" simplePos="0" relativeHeight="251630080" behindDoc="0" locked="0" layoutInCell="1" allowOverlap="1" wp14:anchorId="5E232C1E" wp14:editId="3ECF1D44">
            <wp:simplePos x="0" y="0"/>
            <wp:positionH relativeFrom="margin">
              <wp:align>center</wp:align>
            </wp:positionH>
            <wp:positionV relativeFrom="paragraph">
              <wp:posOffset>212725</wp:posOffset>
            </wp:positionV>
            <wp:extent cx="3286800" cy="2030400"/>
            <wp:effectExtent l="0" t="0" r="8890" b="8255"/>
            <wp:wrapTopAndBottom/>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86800" cy="2030400"/>
                    </a:xfrm>
                    <a:prstGeom prst="rect">
                      <a:avLst/>
                    </a:prstGeom>
                    <a:noFill/>
                  </pic:spPr>
                </pic:pic>
              </a:graphicData>
            </a:graphic>
            <wp14:sizeRelH relativeFrom="margin">
              <wp14:pctWidth>0</wp14:pctWidth>
            </wp14:sizeRelH>
            <wp14:sizeRelV relativeFrom="margin">
              <wp14:pctHeight>0</wp14:pctHeight>
            </wp14:sizeRelV>
          </wp:anchor>
        </w:drawing>
      </w:r>
      <w:r w:rsidRPr="00DA60FE">
        <w:rPr>
          <w:noProof/>
        </w:rPr>
        <w:t xml:space="preserve">Figure </w:t>
      </w:r>
      <w:r w:rsidRPr="00DA60FE">
        <w:rPr>
          <w:noProof/>
          <w:color w:val="2B579A"/>
          <w:shd w:val="clear" w:color="auto" w:fill="E6E6E6"/>
        </w:rPr>
        <w:fldChar w:fldCharType="begin"/>
      </w:r>
      <w:r w:rsidRPr="00DA60FE">
        <w:rPr>
          <w:noProof/>
        </w:rPr>
        <w:instrText xml:space="preserve"> SEQ Figure \* ARABIC </w:instrText>
      </w:r>
      <w:r w:rsidRPr="00DA60FE">
        <w:rPr>
          <w:noProof/>
          <w:color w:val="2B579A"/>
          <w:shd w:val="clear" w:color="auto" w:fill="E6E6E6"/>
        </w:rPr>
        <w:fldChar w:fldCharType="separate"/>
      </w:r>
      <w:r w:rsidR="00194607">
        <w:rPr>
          <w:noProof/>
        </w:rPr>
        <w:t>11</w:t>
      </w:r>
      <w:r w:rsidRPr="00DA60FE">
        <w:rPr>
          <w:noProof/>
          <w:color w:val="2B579A"/>
          <w:shd w:val="clear" w:color="auto" w:fill="E6E6E6"/>
        </w:rPr>
        <w:fldChar w:fldCharType="end"/>
      </w:r>
      <w:bookmarkEnd w:id="48"/>
      <w:bookmarkEnd w:id="49"/>
      <w:r w:rsidRPr="00DA60FE">
        <w:rPr>
          <w:noProof/>
          <w:color w:val="2B579A"/>
          <w:shd w:val="clear" w:color="auto" w:fill="E6E6E6"/>
        </w:rPr>
        <w:fldChar w:fldCharType="begin"/>
      </w:r>
      <w:r w:rsidRPr="00DA60FE">
        <w:rPr>
          <w:noProof/>
          <w:color w:val="2B579A"/>
          <w:shd w:val="clear" w:color="auto" w:fill="E6E6E6"/>
        </w:rPr>
        <w:fldChar w:fldCharType="end"/>
      </w:r>
      <w:r w:rsidRPr="00DA60FE">
        <w:rPr>
          <w:noProof/>
        </w:rPr>
        <w:t xml:space="preserve">: </w:t>
      </w:r>
      <w:r>
        <w:rPr>
          <w:noProof/>
        </w:rPr>
        <w:t>Relevance of e</w:t>
      </w:r>
      <w:r w:rsidRPr="00DA60FE">
        <w:rPr>
          <w:noProof/>
        </w:rPr>
        <w:t>nergy subsidies to</w:t>
      </w:r>
      <w:r w:rsidR="00FB5D9E">
        <w:rPr>
          <w:noProof/>
        </w:rPr>
        <w:t xml:space="preserve"> the</w:t>
      </w:r>
      <w:r w:rsidRPr="00DA60FE">
        <w:rPr>
          <w:noProof/>
        </w:rPr>
        <w:t xml:space="preserve"> energy price crisis (2021-2023; EUR2022bn)</w:t>
      </w:r>
      <w:bookmarkEnd w:id="50"/>
    </w:p>
    <w:p w14:paraId="7A982701" w14:textId="77777777" w:rsidR="00843D83" w:rsidRPr="00DA60FE" w:rsidRDefault="00843D83" w:rsidP="00D34DE1">
      <w:pPr>
        <w:spacing w:after="120"/>
        <w:jc w:val="center"/>
        <w:rPr>
          <w:noProof/>
        </w:rPr>
      </w:pPr>
      <w:r w:rsidRPr="0BD16CC5">
        <w:rPr>
          <w:rStyle w:val="SourceCar"/>
          <w:rFonts w:eastAsiaTheme="minorHAnsi"/>
          <w:noProof/>
        </w:rPr>
        <w:t>Source: Enerdata, Trinomics, 2023</w:t>
      </w:r>
    </w:p>
    <w:p w14:paraId="7B81CF0C" w14:textId="7B22B95E" w:rsidR="003367AA" w:rsidRPr="00DA60FE" w:rsidRDefault="003367AA" w:rsidP="003367AA">
      <w:pPr>
        <w:pStyle w:val="BodyText"/>
        <w:jc w:val="both"/>
        <w:rPr>
          <w:noProof/>
        </w:rPr>
      </w:pPr>
      <w:r>
        <w:rPr>
          <w:noProof/>
        </w:rPr>
        <w:t>Through these new national measures, Member States</w:t>
      </w:r>
      <w:r w:rsidRPr="00DA60FE">
        <w:rPr>
          <w:noProof/>
        </w:rPr>
        <w:t xml:space="preserve"> provided an estimated EUR 181 billion </w:t>
      </w:r>
      <w:r>
        <w:rPr>
          <w:noProof/>
        </w:rPr>
        <w:t xml:space="preserve">in subsidies </w:t>
      </w:r>
      <w:r w:rsidRPr="00DA60FE">
        <w:rPr>
          <w:noProof/>
        </w:rPr>
        <w:t>in 2022</w:t>
      </w:r>
      <w:r>
        <w:rPr>
          <w:noProof/>
        </w:rPr>
        <w:t xml:space="preserve"> for this purpose</w:t>
      </w:r>
      <w:r w:rsidRPr="00DA60FE">
        <w:rPr>
          <w:noProof/>
        </w:rPr>
        <w:t>, account</w:t>
      </w:r>
      <w:r>
        <w:rPr>
          <w:noProof/>
        </w:rPr>
        <w:t>ing</w:t>
      </w:r>
      <w:r w:rsidRPr="00DA60FE">
        <w:rPr>
          <w:noProof/>
        </w:rPr>
        <w:t xml:space="preserve"> for almost 50% of total energy subsidies in the </w:t>
      </w:r>
      <w:r>
        <w:rPr>
          <w:noProof/>
        </w:rPr>
        <w:t>EU-27</w:t>
      </w:r>
      <w:r w:rsidRPr="00DA60FE">
        <w:rPr>
          <w:noProof/>
        </w:rPr>
        <w:t xml:space="preserve"> </w:t>
      </w:r>
      <w:r>
        <w:rPr>
          <w:noProof/>
        </w:rPr>
        <w:t>in that year</w:t>
      </w:r>
      <w:r w:rsidRPr="00DA60FE">
        <w:rPr>
          <w:noProof/>
        </w:rPr>
        <w:t xml:space="preserve">. </w:t>
      </w:r>
      <w:r>
        <w:rPr>
          <w:noProof/>
        </w:rPr>
        <w:t>Initial</w:t>
      </w:r>
      <w:r w:rsidRPr="26B36806">
        <w:rPr>
          <w:noProof/>
        </w:rPr>
        <w:t xml:space="preserve"> figures for 2023 show a continuation of </w:t>
      </w:r>
      <w:r>
        <w:rPr>
          <w:noProof/>
        </w:rPr>
        <w:t xml:space="preserve">this </w:t>
      </w:r>
      <w:r w:rsidRPr="26B36806">
        <w:rPr>
          <w:noProof/>
        </w:rPr>
        <w:t xml:space="preserve">support but </w:t>
      </w:r>
      <w:r>
        <w:rPr>
          <w:noProof/>
        </w:rPr>
        <w:t xml:space="preserve">only </w:t>
      </w:r>
      <w:r w:rsidRPr="26B36806">
        <w:rPr>
          <w:noProof/>
        </w:rPr>
        <w:t>in the medium term</w:t>
      </w:r>
      <w:r>
        <w:rPr>
          <w:noProof/>
        </w:rPr>
        <w:t>:</w:t>
      </w:r>
      <w:r w:rsidRPr="26B36806">
        <w:rPr>
          <w:noProof/>
        </w:rPr>
        <w:t xml:space="preserve"> almost 80% of the</w:t>
      </w:r>
      <w:r>
        <w:rPr>
          <w:noProof/>
        </w:rPr>
        <w:t xml:space="preserve"> payments under the</w:t>
      </w:r>
      <w:r w:rsidRPr="26B36806">
        <w:rPr>
          <w:noProof/>
        </w:rPr>
        <w:t xml:space="preserve">se measures are planned to end before 2025, while 20% </w:t>
      </w:r>
      <w:r>
        <w:rPr>
          <w:noProof/>
        </w:rPr>
        <w:t xml:space="preserve">of payments </w:t>
      </w:r>
      <w:r w:rsidRPr="26B36806">
        <w:rPr>
          <w:noProof/>
        </w:rPr>
        <w:t xml:space="preserve">have </w:t>
      </w:r>
      <w:r>
        <w:rPr>
          <w:noProof/>
        </w:rPr>
        <w:t xml:space="preserve">a </w:t>
      </w:r>
      <w:r w:rsidRPr="26B36806">
        <w:rPr>
          <w:noProof/>
        </w:rPr>
        <w:t>planned end-date after 20</w:t>
      </w:r>
      <w:r>
        <w:rPr>
          <w:noProof/>
        </w:rPr>
        <w:t>25</w:t>
      </w:r>
      <w:r w:rsidRPr="26B36806">
        <w:rPr>
          <w:noProof/>
        </w:rPr>
        <w:t xml:space="preserve"> or </w:t>
      </w:r>
      <w:r>
        <w:rPr>
          <w:noProof/>
        </w:rPr>
        <w:t>have no end-date at all</w:t>
      </w:r>
      <w:r w:rsidRPr="26B36806">
        <w:rPr>
          <w:noProof/>
        </w:rPr>
        <w:t>.</w:t>
      </w:r>
    </w:p>
    <w:p w14:paraId="1298305F" w14:textId="313A927C" w:rsidR="00843D83" w:rsidRPr="00DA60FE" w:rsidRDefault="00FB5D9E" w:rsidP="00C10D3A">
      <w:pPr>
        <w:pStyle w:val="BodyText"/>
        <w:jc w:val="both"/>
        <w:rPr>
          <w:noProof/>
        </w:rPr>
      </w:pPr>
      <w:r>
        <w:rPr>
          <w:noProof/>
        </w:rPr>
        <w:t>Subsidies to address the</w:t>
      </w:r>
      <w:r w:rsidRPr="00DA60FE">
        <w:rPr>
          <w:noProof/>
        </w:rPr>
        <w:t xml:space="preserve"> </w:t>
      </w:r>
      <w:r w:rsidR="00843D83" w:rsidRPr="00DA60FE">
        <w:rPr>
          <w:noProof/>
        </w:rPr>
        <w:t>energy crisis measures accounted for 1</w:t>
      </w:r>
      <w:r w:rsidR="00843D83">
        <w:rPr>
          <w:noProof/>
        </w:rPr>
        <w:t>.</w:t>
      </w:r>
      <w:r w:rsidR="00A358A5">
        <w:rPr>
          <w:noProof/>
        </w:rPr>
        <w:t>12</w:t>
      </w:r>
      <w:r w:rsidR="00843D83" w:rsidRPr="00DA60FE">
        <w:rPr>
          <w:noProof/>
        </w:rPr>
        <w:t xml:space="preserve">% of </w:t>
      </w:r>
      <w:r w:rsidR="00843D83">
        <w:rPr>
          <w:noProof/>
        </w:rPr>
        <w:t xml:space="preserve">the </w:t>
      </w:r>
      <w:r w:rsidR="00843D83" w:rsidRPr="00DA60FE">
        <w:rPr>
          <w:noProof/>
        </w:rPr>
        <w:t>EU</w:t>
      </w:r>
      <w:r w:rsidR="00843D83">
        <w:rPr>
          <w:noProof/>
        </w:rPr>
        <w:t>’s</w:t>
      </w:r>
      <w:r w:rsidR="00843D83" w:rsidRPr="00DA60FE">
        <w:rPr>
          <w:noProof/>
        </w:rPr>
        <w:t xml:space="preserve"> </w:t>
      </w:r>
      <w:bookmarkStart w:id="51" w:name="_Int_k0PVbylH"/>
      <w:r w:rsidR="00843D83" w:rsidRPr="00DA60FE">
        <w:rPr>
          <w:noProof/>
        </w:rPr>
        <w:t>GDP</w:t>
      </w:r>
      <w:bookmarkEnd w:id="51"/>
      <w:r w:rsidR="00843D83" w:rsidRPr="00DA60FE">
        <w:rPr>
          <w:noProof/>
        </w:rPr>
        <w:t xml:space="preserve"> in 2022. Italy, France, and Germany account</w:t>
      </w:r>
      <w:r>
        <w:rPr>
          <w:noProof/>
        </w:rPr>
        <w:t>ed</w:t>
      </w:r>
      <w:r w:rsidR="00843D83" w:rsidRPr="00DA60FE">
        <w:rPr>
          <w:noProof/>
        </w:rPr>
        <w:t xml:space="preserve"> for almost 70% of th</w:t>
      </w:r>
      <w:r>
        <w:rPr>
          <w:noProof/>
        </w:rPr>
        <w:t>is</w:t>
      </w:r>
      <w:r w:rsidR="00843D83" w:rsidRPr="00DA60FE">
        <w:rPr>
          <w:noProof/>
        </w:rPr>
        <w:t xml:space="preserve"> total spending (</w:t>
      </w:r>
      <w:r w:rsidR="00843D83" w:rsidRPr="00DA60FE">
        <w:rPr>
          <w:noProof/>
          <w:color w:val="2B579A"/>
          <w:shd w:val="clear" w:color="auto" w:fill="E6E6E6"/>
        </w:rPr>
        <w:fldChar w:fldCharType="begin"/>
      </w:r>
      <w:r w:rsidR="00843D83" w:rsidRPr="00DA60FE">
        <w:rPr>
          <w:noProof/>
        </w:rPr>
        <w:instrText xml:space="preserve"> REF _Ref138845060 \h  \* MERGEFORMAT </w:instrText>
      </w:r>
      <w:r w:rsidR="00843D83" w:rsidRPr="00DA60FE">
        <w:rPr>
          <w:noProof/>
          <w:color w:val="2B579A"/>
          <w:shd w:val="clear" w:color="auto" w:fill="E6E6E6"/>
        </w:rPr>
      </w:r>
      <w:r w:rsidR="00843D83" w:rsidRPr="00DA60FE">
        <w:rPr>
          <w:noProof/>
          <w:color w:val="2B579A"/>
          <w:shd w:val="clear" w:color="auto" w:fill="E6E6E6"/>
        </w:rPr>
        <w:fldChar w:fldCharType="separate"/>
      </w:r>
      <w:r w:rsidR="00F14F45" w:rsidRPr="00DA60FE">
        <w:rPr>
          <w:noProof/>
        </w:rPr>
        <w:t xml:space="preserve">Figure </w:t>
      </w:r>
      <w:r w:rsidR="00F14F45">
        <w:rPr>
          <w:noProof/>
        </w:rPr>
        <w:t>12</w:t>
      </w:r>
      <w:r w:rsidR="00843D83" w:rsidRPr="00DA60FE">
        <w:rPr>
          <w:noProof/>
          <w:color w:val="2B579A"/>
          <w:shd w:val="clear" w:color="auto" w:fill="E6E6E6"/>
        </w:rPr>
        <w:fldChar w:fldCharType="end"/>
      </w:r>
      <w:r w:rsidR="00843D83" w:rsidRPr="00DA60FE">
        <w:rPr>
          <w:noProof/>
        </w:rPr>
        <w:t xml:space="preserve">). </w:t>
      </w:r>
      <w:r>
        <w:rPr>
          <w:noProof/>
        </w:rPr>
        <w:t>Relative to its</w:t>
      </w:r>
      <w:r w:rsidR="00843D83" w:rsidRPr="20073020">
        <w:rPr>
          <w:noProof/>
        </w:rPr>
        <w:t xml:space="preserve"> GDP, Greece spent the most </w:t>
      </w:r>
      <w:r>
        <w:rPr>
          <w:noProof/>
        </w:rPr>
        <w:t xml:space="preserve">of any EU Member State in 2022 </w:t>
      </w:r>
      <w:r w:rsidR="00843D83" w:rsidRPr="20073020">
        <w:rPr>
          <w:noProof/>
        </w:rPr>
        <w:t xml:space="preserve">to address energy prices (5.3% of the GDP). </w:t>
      </w:r>
    </w:p>
    <w:p w14:paraId="738478F0" w14:textId="10C18DA5" w:rsidR="00843D83" w:rsidRPr="00DA60FE" w:rsidRDefault="00843D83" w:rsidP="00843D83">
      <w:pPr>
        <w:pStyle w:val="Caption"/>
        <w:spacing w:after="0"/>
        <w:jc w:val="center"/>
        <w:rPr>
          <w:noProof/>
        </w:rPr>
      </w:pPr>
      <w:bookmarkStart w:id="52" w:name="_Ref138845060"/>
      <w:bookmarkStart w:id="53" w:name="_Toc145348084"/>
      <w:r w:rsidRPr="00DA60FE">
        <w:rPr>
          <w:noProof/>
        </w:rPr>
        <w:t xml:space="preserve">Figure </w:t>
      </w:r>
      <w:r w:rsidRPr="00DA60FE">
        <w:rPr>
          <w:noProof/>
          <w:color w:val="2B579A"/>
          <w:shd w:val="clear" w:color="auto" w:fill="E6E6E6"/>
        </w:rPr>
        <w:fldChar w:fldCharType="begin"/>
      </w:r>
      <w:r w:rsidRPr="00DA60FE">
        <w:rPr>
          <w:noProof/>
        </w:rPr>
        <w:instrText xml:space="preserve"> SEQ Figure \* ARABIC </w:instrText>
      </w:r>
      <w:r w:rsidRPr="00DA60FE">
        <w:rPr>
          <w:noProof/>
          <w:color w:val="2B579A"/>
          <w:shd w:val="clear" w:color="auto" w:fill="E6E6E6"/>
        </w:rPr>
        <w:fldChar w:fldCharType="separate"/>
      </w:r>
      <w:r w:rsidR="00194607">
        <w:rPr>
          <w:noProof/>
        </w:rPr>
        <w:t>12</w:t>
      </w:r>
      <w:r w:rsidRPr="00DA60FE">
        <w:rPr>
          <w:noProof/>
          <w:color w:val="2B579A"/>
          <w:shd w:val="clear" w:color="auto" w:fill="E6E6E6"/>
        </w:rPr>
        <w:fldChar w:fldCharType="end"/>
      </w:r>
      <w:r w:rsidRPr="00DA60FE">
        <w:rPr>
          <w:noProof/>
          <w:color w:val="2B579A"/>
          <w:shd w:val="clear" w:color="auto" w:fill="E6E6E6"/>
        </w:rPr>
        <w:fldChar w:fldCharType="begin"/>
      </w:r>
      <w:bookmarkEnd w:id="52"/>
      <w:r w:rsidRPr="00DA60FE">
        <w:rPr>
          <w:noProof/>
          <w:color w:val="2B579A"/>
          <w:shd w:val="clear" w:color="auto" w:fill="E6E6E6"/>
        </w:rPr>
        <w:fldChar w:fldCharType="separate"/>
      </w:r>
      <w:r w:rsidRPr="00DA60FE">
        <w:rPr>
          <w:noProof/>
        </w:rPr>
        <w:t>16</w:t>
      </w:r>
      <w:r w:rsidRPr="00DA60FE">
        <w:rPr>
          <w:noProof/>
          <w:color w:val="2B579A"/>
          <w:shd w:val="clear" w:color="auto" w:fill="E6E6E6"/>
        </w:rPr>
        <w:fldChar w:fldCharType="end"/>
      </w:r>
      <w:r w:rsidRPr="00DA60FE">
        <w:rPr>
          <w:noProof/>
        </w:rPr>
        <w:t>: Su</w:t>
      </w:r>
      <w:r w:rsidR="00FB5D9E">
        <w:rPr>
          <w:noProof/>
        </w:rPr>
        <w:t>bsidies</w:t>
      </w:r>
      <w:r w:rsidRPr="00DA60FE">
        <w:rPr>
          <w:noProof/>
        </w:rPr>
        <w:t xml:space="preserve"> to </w:t>
      </w:r>
      <w:r w:rsidR="00FB5D9E">
        <w:rPr>
          <w:noProof/>
        </w:rPr>
        <w:t xml:space="preserve">address rising </w:t>
      </w:r>
      <w:r w:rsidRPr="00DA60FE">
        <w:rPr>
          <w:noProof/>
        </w:rPr>
        <w:t>energy prices, by country, in 2022 (in EUR2022bn and % of GDP)</w:t>
      </w:r>
      <w:bookmarkEnd w:id="53"/>
      <w:r w:rsidR="006E32E2">
        <w:rPr>
          <w:noProof/>
          <w:lang w:val="en-GB" w:eastAsia="en-GB"/>
        </w:rPr>
        <w:drawing>
          <wp:anchor distT="0" distB="0" distL="114300" distR="114300" simplePos="0" relativeHeight="251670016" behindDoc="0" locked="0" layoutInCell="1" allowOverlap="1" wp14:anchorId="21E189D6" wp14:editId="2AA29651">
            <wp:simplePos x="0" y="0"/>
            <wp:positionH relativeFrom="column">
              <wp:posOffset>647700</wp:posOffset>
            </wp:positionH>
            <wp:positionV relativeFrom="paragraph">
              <wp:posOffset>153670</wp:posOffset>
            </wp:positionV>
            <wp:extent cx="4438650" cy="195072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438650" cy="1950720"/>
                    </a:xfrm>
                    <a:prstGeom prst="rect">
                      <a:avLst/>
                    </a:prstGeom>
                    <a:noFill/>
                  </pic:spPr>
                </pic:pic>
              </a:graphicData>
            </a:graphic>
            <wp14:sizeRelH relativeFrom="page">
              <wp14:pctWidth>0</wp14:pctWidth>
            </wp14:sizeRelH>
            <wp14:sizeRelV relativeFrom="page">
              <wp14:pctHeight>0</wp14:pctHeight>
            </wp14:sizeRelV>
          </wp:anchor>
        </w:drawing>
      </w:r>
    </w:p>
    <w:p w14:paraId="3C207384" w14:textId="77777777" w:rsidR="00843D83" w:rsidRPr="00DA60FE" w:rsidRDefault="00843D83" w:rsidP="00FB5D9E">
      <w:pPr>
        <w:pStyle w:val="Source"/>
        <w:spacing w:after="120"/>
        <w:rPr>
          <w:noProof/>
        </w:rPr>
      </w:pPr>
      <w:r w:rsidRPr="0BD16CC5">
        <w:rPr>
          <w:rStyle w:val="SourceCar"/>
          <w:noProof/>
        </w:rPr>
        <w:t>Source: Enerdata, Trinomics, 2023</w:t>
      </w:r>
    </w:p>
    <w:p w14:paraId="215A2DE5" w14:textId="4142336B" w:rsidR="00A358A5" w:rsidRPr="00DA60FE" w:rsidRDefault="00A358A5" w:rsidP="00A358A5">
      <w:pPr>
        <w:pStyle w:val="BodyText"/>
        <w:jc w:val="both"/>
        <w:rPr>
          <w:noProof/>
        </w:rPr>
      </w:pPr>
      <w:r w:rsidRPr="00DA60FE">
        <w:rPr>
          <w:noProof/>
          <w:color w:val="2B579A"/>
          <w:shd w:val="clear" w:color="auto" w:fill="E6E6E6"/>
        </w:rPr>
        <w:fldChar w:fldCharType="begin"/>
      </w:r>
      <w:r w:rsidRPr="00DA60FE">
        <w:rPr>
          <w:noProof/>
        </w:rPr>
        <w:instrText xml:space="preserve"> REF _Ref139457816 \h  \* MERGEFORMAT </w:instrText>
      </w:r>
      <w:r w:rsidRPr="00DA60FE">
        <w:rPr>
          <w:noProof/>
          <w:color w:val="2B579A"/>
          <w:shd w:val="clear" w:color="auto" w:fill="E6E6E6"/>
        </w:rPr>
      </w:r>
      <w:r w:rsidRPr="00DA60FE">
        <w:rPr>
          <w:noProof/>
          <w:color w:val="2B579A"/>
          <w:shd w:val="clear" w:color="auto" w:fill="E6E6E6"/>
        </w:rPr>
        <w:fldChar w:fldCharType="separate"/>
      </w:r>
      <w:r w:rsidR="00F14F45" w:rsidRPr="00DA60FE">
        <w:rPr>
          <w:noProof/>
        </w:rPr>
        <w:t xml:space="preserve">Figure </w:t>
      </w:r>
      <w:r w:rsidR="00F14F45">
        <w:rPr>
          <w:noProof/>
        </w:rPr>
        <w:t>13</w:t>
      </w:r>
      <w:r w:rsidRPr="00DA60FE">
        <w:rPr>
          <w:noProof/>
          <w:color w:val="2B579A"/>
          <w:shd w:val="clear" w:color="auto" w:fill="E6E6E6"/>
        </w:rPr>
        <w:fldChar w:fldCharType="end"/>
      </w:r>
      <w:r w:rsidR="003367AA">
        <w:rPr>
          <w:noProof/>
          <w:color w:val="2B579A"/>
          <w:shd w:val="clear" w:color="auto" w:fill="E6E6E6"/>
        </w:rPr>
        <w:t>.a</w:t>
      </w:r>
      <w:r w:rsidRPr="00DA60FE">
        <w:rPr>
          <w:noProof/>
        </w:rPr>
        <w:t xml:space="preserve"> shows that, over 2021-2022, </w:t>
      </w:r>
      <w:r>
        <w:rPr>
          <w:noProof/>
        </w:rPr>
        <w:t xml:space="preserve">most of the </w:t>
      </w:r>
      <w:r w:rsidRPr="00DA60FE">
        <w:rPr>
          <w:noProof/>
        </w:rPr>
        <w:t xml:space="preserve">targeted subsidies were aimed towards </w:t>
      </w:r>
      <w:r w:rsidRPr="00D959FC">
        <w:rPr>
          <w:i/>
          <w:noProof/>
        </w:rPr>
        <w:t>households</w:t>
      </w:r>
      <w:r w:rsidRPr="00DA60FE">
        <w:rPr>
          <w:noProof/>
        </w:rPr>
        <w:t xml:space="preserve"> (</w:t>
      </w:r>
      <w:r w:rsidRPr="00DA60FE" w:rsidDel="00E470D0">
        <w:rPr>
          <w:noProof/>
        </w:rPr>
        <w:t>EUR</w:t>
      </w:r>
      <w:r w:rsidRPr="00DA60FE">
        <w:rPr>
          <w:noProof/>
        </w:rPr>
        <w:t xml:space="preserve"> 58 billion, 30%</w:t>
      </w:r>
      <w:r>
        <w:rPr>
          <w:noProof/>
        </w:rPr>
        <w:t xml:space="preserve"> of the total crisis support</w:t>
      </w:r>
      <w:r w:rsidRPr="00DA60FE">
        <w:rPr>
          <w:noProof/>
        </w:rPr>
        <w:t>),</w:t>
      </w:r>
      <w:r>
        <w:rPr>
          <w:noProof/>
        </w:rPr>
        <w:t xml:space="preserve"> followed by</w:t>
      </w:r>
      <w:r w:rsidRPr="00DA60FE">
        <w:rPr>
          <w:noProof/>
        </w:rPr>
        <w:t xml:space="preserve"> </w:t>
      </w:r>
      <w:r w:rsidRPr="00D959FC">
        <w:rPr>
          <w:i/>
          <w:noProof/>
        </w:rPr>
        <w:t>businesses</w:t>
      </w:r>
      <w:r w:rsidRPr="00DA60FE">
        <w:rPr>
          <w:noProof/>
        </w:rPr>
        <w:t xml:space="preserve"> and </w:t>
      </w:r>
      <w:r w:rsidRPr="00D959FC">
        <w:rPr>
          <w:i/>
          <w:noProof/>
        </w:rPr>
        <w:t>industries</w:t>
      </w:r>
      <w:r w:rsidRPr="00DA60FE">
        <w:rPr>
          <w:noProof/>
        </w:rPr>
        <w:t xml:space="preserve"> (</w:t>
      </w:r>
      <w:r w:rsidRPr="00DA60FE" w:rsidDel="00E470D0">
        <w:rPr>
          <w:noProof/>
        </w:rPr>
        <w:t>EUR</w:t>
      </w:r>
      <w:r w:rsidRPr="00DA60FE">
        <w:rPr>
          <w:noProof/>
        </w:rPr>
        <w:t xml:space="preserve"> 34 billion, 18%), and the transport sector (</w:t>
      </w:r>
      <w:r w:rsidRPr="00DA60FE" w:rsidDel="00E470D0">
        <w:rPr>
          <w:noProof/>
        </w:rPr>
        <w:t>EUR</w:t>
      </w:r>
      <w:r w:rsidRPr="00DA60FE">
        <w:rPr>
          <w:noProof/>
        </w:rPr>
        <w:t xml:space="preserve"> 23 billion, 12%). </w:t>
      </w:r>
      <w:r w:rsidRPr="26B36806">
        <w:rPr>
          <w:noProof/>
        </w:rPr>
        <w:t xml:space="preserve">A </w:t>
      </w:r>
      <w:r w:rsidRPr="00DA60FE">
        <w:rPr>
          <w:noProof/>
        </w:rPr>
        <w:t>significant amount (</w:t>
      </w:r>
      <w:r w:rsidRPr="00DA60FE" w:rsidDel="00E470D0">
        <w:rPr>
          <w:noProof/>
        </w:rPr>
        <w:t>EUR</w:t>
      </w:r>
      <w:r w:rsidRPr="00DA60FE">
        <w:rPr>
          <w:noProof/>
        </w:rPr>
        <w:t xml:space="preserve"> 69 billion, 33%</w:t>
      </w:r>
      <w:r>
        <w:rPr>
          <w:noProof/>
        </w:rPr>
        <w:t xml:space="preserve"> of total crisis support</w:t>
      </w:r>
      <w:r w:rsidRPr="00DA60FE">
        <w:rPr>
          <w:noProof/>
        </w:rPr>
        <w:t>) was untargeted and covered multiple sectors.</w:t>
      </w:r>
    </w:p>
    <w:p w14:paraId="75A40703" w14:textId="0C5666B7" w:rsidR="00843D83" w:rsidRPr="00DA60FE" w:rsidRDefault="00843D83" w:rsidP="00451787">
      <w:pPr>
        <w:pStyle w:val="Caption"/>
        <w:jc w:val="center"/>
        <w:rPr>
          <w:noProof/>
        </w:rPr>
      </w:pPr>
      <w:bookmarkStart w:id="54" w:name="_Ref139442825"/>
      <w:bookmarkStart w:id="55" w:name="_Ref139457816"/>
      <w:bookmarkStart w:id="56" w:name="_Toc145348086"/>
      <w:r w:rsidRPr="00843D83">
        <w:rPr>
          <w:noProof/>
          <w:color w:val="2B579A"/>
          <w:shd w:val="clear" w:color="auto" w:fill="E6E6E6"/>
          <w:lang w:val="en-GB" w:eastAsia="en-GB"/>
        </w:rPr>
        <w:drawing>
          <wp:anchor distT="0" distB="0" distL="114300" distR="114300" simplePos="0" relativeHeight="251659776" behindDoc="0" locked="0" layoutInCell="1" allowOverlap="1" wp14:anchorId="503B6131" wp14:editId="3A6D6862">
            <wp:simplePos x="0" y="0"/>
            <wp:positionH relativeFrom="column">
              <wp:posOffset>133985</wp:posOffset>
            </wp:positionH>
            <wp:positionV relativeFrom="paragraph">
              <wp:posOffset>424180</wp:posOffset>
            </wp:positionV>
            <wp:extent cx="2631600" cy="1458000"/>
            <wp:effectExtent l="0" t="0" r="0" b="8890"/>
            <wp:wrapTopAndBottom/>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31600" cy="1458000"/>
                    </a:xfrm>
                    <a:prstGeom prst="rect">
                      <a:avLst/>
                    </a:prstGeom>
                    <a:noFill/>
                  </pic:spPr>
                </pic:pic>
              </a:graphicData>
            </a:graphic>
            <wp14:sizeRelH relativeFrom="margin">
              <wp14:pctWidth>0</wp14:pctWidth>
            </wp14:sizeRelH>
            <wp14:sizeRelV relativeFrom="margin">
              <wp14:pctHeight>0</wp14:pctHeight>
            </wp14:sizeRelV>
          </wp:anchor>
        </w:drawing>
      </w:r>
      <w:r w:rsidRPr="00843D83">
        <w:rPr>
          <w:noProof/>
          <w:color w:val="2B579A"/>
          <w:shd w:val="clear" w:color="auto" w:fill="E6E6E6"/>
          <w:lang w:val="en-GB" w:eastAsia="en-GB"/>
        </w:rPr>
        <w:drawing>
          <wp:anchor distT="0" distB="0" distL="114300" distR="114300" simplePos="0" relativeHeight="251663872" behindDoc="0" locked="0" layoutInCell="1" allowOverlap="1" wp14:anchorId="235F6DE0" wp14:editId="124A51F8">
            <wp:simplePos x="0" y="0"/>
            <wp:positionH relativeFrom="column">
              <wp:posOffset>3117850</wp:posOffset>
            </wp:positionH>
            <wp:positionV relativeFrom="paragraph">
              <wp:posOffset>380365</wp:posOffset>
            </wp:positionV>
            <wp:extent cx="2206800" cy="1472400"/>
            <wp:effectExtent l="0" t="0" r="3175" b="0"/>
            <wp:wrapTopAndBottom/>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06800" cy="1472400"/>
                    </a:xfrm>
                    <a:prstGeom prst="rect">
                      <a:avLst/>
                    </a:prstGeom>
                    <a:noFill/>
                  </pic:spPr>
                </pic:pic>
              </a:graphicData>
            </a:graphic>
            <wp14:sizeRelH relativeFrom="margin">
              <wp14:pctWidth>0</wp14:pctWidth>
            </wp14:sizeRelH>
            <wp14:sizeRelV relativeFrom="margin">
              <wp14:pctHeight>0</wp14:pctHeight>
            </wp14:sizeRelV>
          </wp:anchor>
        </w:drawing>
      </w:r>
      <w:r w:rsidRPr="00DA60FE">
        <w:rPr>
          <w:noProof/>
        </w:rPr>
        <w:t xml:space="preserve">Figure </w:t>
      </w:r>
      <w:r w:rsidRPr="00DA60FE">
        <w:rPr>
          <w:noProof/>
          <w:color w:val="2B579A"/>
          <w:shd w:val="clear" w:color="auto" w:fill="E6E6E6"/>
        </w:rPr>
        <w:fldChar w:fldCharType="begin"/>
      </w:r>
      <w:r w:rsidRPr="00DA60FE">
        <w:rPr>
          <w:noProof/>
        </w:rPr>
        <w:instrText xml:space="preserve"> SEQ Figure \* ARABIC </w:instrText>
      </w:r>
      <w:r w:rsidRPr="00DA60FE">
        <w:rPr>
          <w:noProof/>
          <w:color w:val="2B579A"/>
          <w:shd w:val="clear" w:color="auto" w:fill="E6E6E6"/>
        </w:rPr>
        <w:fldChar w:fldCharType="separate"/>
      </w:r>
      <w:r w:rsidR="00194607">
        <w:rPr>
          <w:noProof/>
        </w:rPr>
        <w:t>13</w:t>
      </w:r>
      <w:r w:rsidRPr="00DA60FE">
        <w:rPr>
          <w:noProof/>
          <w:color w:val="2B579A"/>
          <w:shd w:val="clear" w:color="auto" w:fill="E6E6E6"/>
        </w:rPr>
        <w:fldChar w:fldCharType="end"/>
      </w:r>
      <w:bookmarkEnd w:id="54"/>
      <w:bookmarkEnd w:id="55"/>
      <w:r w:rsidRPr="00DA60FE">
        <w:rPr>
          <w:noProof/>
        </w:rPr>
        <w:t>: Distribution of subsidies addressing energy price increases in 2021-2022 (EUR2022bn)</w:t>
      </w:r>
      <w:bookmarkEnd w:id="56"/>
      <w:r w:rsidRPr="00DA60FE">
        <w:rPr>
          <w:noProof/>
        </w:rPr>
        <w:br/>
      </w:r>
      <w:r w:rsidRPr="00DA60FE">
        <w:rPr>
          <w:noProof/>
          <w:color w:val="2B579A"/>
          <w:shd w:val="clear" w:color="auto" w:fill="E6E6E6"/>
          <w:lang w:val="en-GB" w:eastAsia="en-GB"/>
        </w:rPr>
        <mc:AlternateContent>
          <mc:Choice Requires="wps">
            <w:drawing>
              <wp:anchor distT="0" distB="0" distL="114300" distR="114300" simplePos="0" relativeHeight="251643392" behindDoc="0" locked="0" layoutInCell="1" allowOverlap="1" wp14:anchorId="681A679A" wp14:editId="48374CD1">
                <wp:simplePos x="0" y="0"/>
                <wp:positionH relativeFrom="column">
                  <wp:posOffset>3204675</wp:posOffset>
                </wp:positionH>
                <wp:positionV relativeFrom="paragraph">
                  <wp:posOffset>205662</wp:posOffset>
                </wp:positionV>
                <wp:extent cx="0" cy="1649632"/>
                <wp:effectExtent l="0" t="0" r="38100" b="27305"/>
                <wp:wrapNone/>
                <wp:docPr id="31" name="Straight Connector 31"/>
                <wp:cNvGraphicFramePr/>
                <a:graphic xmlns:a="http://schemas.openxmlformats.org/drawingml/2006/main">
                  <a:graphicData uri="http://schemas.microsoft.com/office/word/2010/wordprocessingShape">
                    <wps:wsp>
                      <wps:cNvCnPr/>
                      <wps:spPr>
                        <a:xfrm>
                          <a:off x="0" y="0"/>
                          <a:ext cx="0" cy="1649632"/>
                        </a:xfrm>
                        <a:prstGeom prst="line">
                          <a:avLst/>
                        </a:prstGeom>
                        <a:ln>
                          <a:solidFill>
                            <a:schemeClr val="tx1">
                              <a:lumMod val="50000"/>
                              <a:lumOff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7E3309" id="Straight Connector 31"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35pt,16.2pt" to="252.35pt,1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" strokecolor="gray [1629]">
                <v:stroke dashstyle="dash"/>
              </v:line>
            </w:pict>
          </mc:Fallback>
        </mc:AlternateContent>
      </w:r>
      <w:r w:rsidR="003367AA">
        <w:rPr>
          <w:noProof/>
        </w:rPr>
        <w:t xml:space="preserve">a) </w:t>
      </w:r>
      <w:r w:rsidR="003B76D4">
        <w:rPr>
          <w:noProof/>
        </w:rPr>
        <w:t>by economic sector</w:t>
      </w:r>
      <w:r w:rsidR="003B76D4">
        <w:rPr>
          <w:noProof/>
        </w:rPr>
        <w:tab/>
      </w:r>
      <w:r w:rsidR="003B76D4">
        <w:rPr>
          <w:noProof/>
        </w:rPr>
        <w:tab/>
      </w:r>
      <w:r w:rsidR="003B76D4">
        <w:rPr>
          <w:noProof/>
        </w:rPr>
        <w:tab/>
      </w:r>
      <w:r w:rsidR="003B76D4">
        <w:rPr>
          <w:noProof/>
        </w:rPr>
        <w:tab/>
      </w:r>
      <w:r w:rsidR="003367AA">
        <w:rPr>
          <w:noProof/>
        </w:rPr>
        <w:t xml:space="preserve">b) </w:t>
      </w:r>
      <w:r w:rsidRPr="00DA60FE">
        <w:rPr>
          <w:noProof/>
        </w:rPr>
        <w:t>by energy carrier</w:t>
      </w:r>
    </w:p>
    <w:p w14:paraId="30ADF647" w14:textId="1EF54E2A" w:rsidR="00843D83" w:rsidRDefault="00843D83" w:rsidP="00D34DE1">
      <w:pPr>
        <w:spacing w:after="120"/>
        <w:jc w:val="center"/>
        <w:rPr>
          <w:rStyle w:val="SourceCar"/>
          <w:rFonts w:eastAsiaTheme="minorHAnsi"/>
          <w:noProof/>
        </w:rPr>
      </w:pPr>
      <w:r w:rsidRPr="0BD16CC5">
        <w:rPr>
          <w:rStyle w:val="SourceCar"/>
          <w:rFonts w:eastAsiaTheme="minorHAnsi"/>
          <w:noProof/>
        </w:rPr>
        <w:t>Source: Enerdata, Trinomics, 2023</w:t>
      </w:r>
    </w:p>
    <w:p w14:paraId="6CC8B6AB" w14:textId="5997A9BC" w:rsidR="003367AA" w:rsidRDefault="003367AA" w:rsidP="003367AA">
      <w:pPr>
        <w:pStyle w:val="BodyText"/>
        <w:jc w:val="both"/>
        <w:rPr>
          <w:noProof/>
        </w:rPr>
      </w:pPr>
      <w:r w:rsidRPr="26B36806">
        <w:rPr>
          <w:noProof/>
        </w:rPr>
        <w:t>Concerning energy carriers</w:t>
      </w:r>
      <w:r>
        <w:rPr>
          <w:noProof/>
        </w:rPr>
        <w:t xml:space="preserve"> (</w:t>
      </w:r>
      <w:r w:rsidRPr="00DA60FE">
        <w:rPr>
          <w:noProof/>
          <w:color w:val="2B579A"/>
          <w:shd w:val="clear" w:color="auto" w:fill="E6E6E6"/>
        </w:rPr>
        <w:fldChar w:fldCharType="begin"/>
      </w:r>
      <w:r w:rsidRPr="00DA60FE">
        <w:rPr>
          <w:noProof/>
        </w:rPr>
        <w:instrText xml:space="preserve"> REF _Ref139457816 \h  \* MERGEFORMAT </w:instrText>
      </w:r>
      <w:r w:rsidRPr="00DA60FE">
        <w:rPr>
          <w:noProof/>
          <w:color w:val="2B579A"/>
          <w:shd w:val="clear" w:color="auto" w:fill="E6E6E6"/>
        </w:rPr>
      </w:r>
      <w:r w:rsidRPr="00DA60FE">
        <w:rPr>
          <w:noProof/>
          <w:color w:val="2B579A"/>
          <w:shd w:val="clear" w:color="auto" w:fill="E6E6E6"/>
        </w:rPr>
        <w:fldChar w:fldCharType="separate"/>
      </w:r>
      <w:r w:rsidR="00F14F45" w:rsidRPr="00DA60FE">
        <w:rPr>
          <w:noProof/>
        </w:rPr>
        <w:t xml:space="preserve">Figure </w:t>
      </w:r>
      <w:r w:rsidR="00F14F45">
        <w:rPr>
          <w:noProof/>
        </w:rPr>
        <w:t>13</w:t>
      </w:r>
      <w:r w:rsidRPr="00DA60FE">
        <w:rPr>
          <w:noProof/>
          <w:color w:val="2B579A"/>
          <w:shd w:val="clear" w:color="auto" w:fill="E6E6E6"/>
        </w:rPr>
        <w:fldChar w:fldCharType="end"/>
      </w:r>
      <w:r>
        <w:rPr>
          <w:noProof/>
          <w:color w:val="2B579A"/>
          <w:shd w:val="clear" w:color="auto" w:fill="E6E6E6"/>
        </w:rPr>
        <w:t>.b</w:t>
      </w:r>
      <w:r>
        <w:rPr>
          <w:noProof/>
        </w:rPr>
        <w:t>)</w:t>
      </w:r>
      <w:r w:rsidRPr="26B36806">
        <w:rPr>
          <w:noProof/>
        </w:rPr>
        <w:t xml:space="preserve">, electricity </w:t>
      </w:r>
      <w:r>
        <w:rPr>
          <w:noProof/>
        </w:rPr>
        <w:t>was</w:t>
      </w:r>
      <w:r w:rsidRPr="26B36806">
        <w:rPr>
          <w:noProof/>
        </w:rPr>
        <w:t xml:space="preserve"> the main beneficiary</w:t>
      </w:r>
      <w:r>
        <w:rPr>
          <w:noProof/>
        </w:rPr>
        <w:t>, receiving</w:t>
      </w:r>
      <w:r w:rsidRPr="26B36806">
        <w:rPr>
          <w:noProof/>
        </w:rPr>
        <w:t xml:space="preserve"> more than a third (EUR</w:t>
      </w:r>
      <w:r>
        <w:rPr>
          <w:noProof/>
        </w:rPr>
        <w:t> </w:t>
      </w:r>
      <w:r w:rsidRPr="26B36806">
        <w:rPr>
          <w:noProof/>
        </w:rPr>
        <w:t>70</w:t>
      </w:r>
      <w:r>
        <w:rPr>
          <w:noProof/>
        </w:rPr>
        <w:t> </w:t>
      </w:r>
      <w:r w:rsidRPr="26B36806">
        <w:rPr>
          <w:noProof/>
        </w:rPr>
        <w:t xml:space="preserve">billion) of the financial support </w:t>
      </w:r>
      <w:r>
        <w:rPr>
          <w:noProof/>
        </w:rPr>
        <w:t xml:space="preserve">in </w:t>
      </w:r>
      <w:r w:rsidRPr="26B36806">
        <w:rPr>
          <w:noProof/>
        </w:rPr>
        <w:t>2021-2022. Subsidies for gas and oil</w:t>
      </w:r>
      <w:r w:rsidRPr="26B36806" w:rsidDel="7CA1413E">
        <w:rPr>
          <w:noProof/>
        </w:rPr>
        <w:t xml:space="preserve"> </w:t>
      </w:r>
      <w:r w:rsidRPr="26B36806">
        <w:rPr>
          <w:noProof/>
        </w:rPr>
        <w:t>account</w:t>
      </w:r>
      <w:r>
        <w:rPr>
          <w:noProof/>
        </w:rPr>
        <w:t>ed</w:t>
      </w:r>
      <w:r w:rsidRPr="26B36806">
        <w:rPr>
          <w:noProof/>
        </w:rPr>
        <w:t xml:space="preserve"> for </w:t>
      </w:r>
      <w:r>
        <w:rPr>
          <w:noProof/>
        </w:rPr>
        <w:t>EUR 60 billion</w:t>
      </w:r>
      <w:r w:rsidRPr="26B36806">
        <w:rPr>
          <w:noProof/>
        </w:rPr>
        <w:t xml:space="preserve">, while EUR 62 billion </w:t>
      </w:r>
      <w:r>
        <w:rPr>
          <w:noProof/>
        </w:rPr>
        <w:t>was allocated for</w:t>
      </w:r>
      <w:r w:rsidRPr="26B36806">
        <w:rPr>
          <w:noProof/>
        </w:rPr>
        <w:t xml:space="preserve"> energy produced from a mix of both fossil fuel and low carbon sources or from unknown sources (indicated as </w:t>
      </w:r>
      <w:r>
        <w:rPr>
          <w:noProof/>
        </w:rPr>
        <w:t>‘</w:t>
      </w:r>
      <w:r w:rsidRPr="26B36806">
        <w:rPr>
          <w:noProof/>
        </w:rPr>
        <w:t>All energies</w:t>
      </w:r>
      <w:r>
        <w:rPr>
          <w:noProof/>
        </w:rPr>
        <w:t>’).</w:t>
      </w:r>
    </w:p>
    <w:p w14:paraId="231270C2" w14:textId="0D88AEC1" w:rsidR="003367AA" w:rsidRPr="003367AA" w:rsidRDefault="003367AA" w:rsidP="003367AA">
      <w:pPr>
        <w:pStyle w:val="BodyText"/>
        <w:jc w:val="both"/>
        <w:rPr>
          <w:noProof/>
          <w:color w:val="000000"/>
        </w:rPr>
      </w:pPr>
      <w:r w:rsidRPr="00586AA6">
        <w:rPr>
          <w:noProof/>
          <w:color w:val="000000"/>
        </w:rPr>
        <w:t xml:space="preserve">European governments have taken special measures </w:t>
      </w:r>
      <w:r>
        <w:rPr>
          <w:noProof/>
          <w:color w:val="000000"/>
        </w:rPr>
        <w:t>in response to the crisis</w:t>
      </w:r>
      <w:r w:rsidR="00511050">
        <w:rPr>
          <w:noProof/>
          <w:color w:val="000000"/>
        </w:rPr>
        <w:t xml:space="preserve"> to provide</w:t>
      </w:r>
      <w:r w:rsidRPr="00586AA6">
        <w:rPr>
          <w:noProof/>
          <w:color w:val="000000"/>
        </w:rPr>
        <w:t xml:space="preserve"> substantial support directly to energy companies. For instance, in Germany, Uniper was supported through capital injection</w:t>
      </w:r>
      <w:r>
        <w:rPr>
          <w:noProof/>
          <w:color w:val="000000"/>
        </w:rPr>
        <w:t xml:space="preserve"> (EUR 34 billion)</w:t>
      </w:r>
      <w:r w:rsidRPr="00586AA6">
        <w:rPr>
          <w:noProof/>
          <w:color w:val="000000"/>
        </w:rPr>
        <w:t>, while in France, EDF was re-nationalised</w:t>
      </w:r>
      <w:r>
        <w:rPr>
          <w:noProof/>
          <w:color w:val="000000"/>
        </w:rPr>
        <w:t xml:space="preserve"> (EUR 9.4 billion)</w:t>
      </w:r>
      <w:r w:rsidRPr="00586AA6">
        <w:rPr>
          <w:noProof/>
          <w:color w:val="000000"/>
        </w:rPr>
        <w:t xml:space="preserve">. </w:t>
      </w:r>
      <w:r>
        <w:rPr>
          <w:noProof/>
          <w:color w:val="000000"/>
        </w:rPr>
        <w:t>Since t</w:t>
      </w:r>
      <w:r w:rsidRPr="00586AA6">
        <w:rPr>
          <w:noProof/>
          <w:color w:val="000000"/>
        </w:rPr>
        <w:t xml:space="preserve">he ultimate aim of these measures was to ensure security of supply </w:t>
      </w:r>
      <w:r>
        <w:rPr>
          <w:noProof/>
          <w:color w:val="000000"/>
        </w:rPr>
        <w:t>as well as</w:t>
      </w:r>
      <w:r w:rsidRPr="00586AA6">
        <w:rPr>
          <w:noProof/>
          <w:color w:val="000000"/>
        </w:rPr>
        <w:t xml:space="preserve"> lower prices to customers or the wholesale market, they </w:t>
      </w:r>
      <w:r>
        <w:rPr>
          <w:noProof/>
          <w:color w:val="000000"/>
        </w:rPr>
        <w:t>we</w:t>
      </w:r>
      <w:r w:rsidRPr="00586AA6">
        <w:rPr>
          <w:noProof/>
          <w:color w:val="000000"/>
        </w:rPr>
        <w:t>re not included in the subsidy database.</w:t>
      </w:r>
    </w:p>
    <w:p w14:paraId="1CCDC2C2" w14:textId="77777777" w:rsidR="00843D83" w:rsidRPr="00DA60FE" w:rsidRDefault="00843D83" w:rsidP="00843D83">
      <w:pPr>
        <w:pStyle w:val="Heading2"/>
        <w:rPr>
          <w:noProof/>
        </w:rPr>
      </w:pPr>
      <w:r>
        <w:rPr>
          <w:noProof/>
        </w:rPr>
        <w:t>Subsidies by beneficiary economic sector</w:t>
      </w:r>
    </w:p>
    <w:p w14:paraId="1CB55276" w14:textId="6E7879B7" w:rsidR="00BD64FF" w:rsidRDefault="00843D83" w:rsidP="00C10D3A">
      <w:pPr>
        <w:pStyle w:val="BodyText"/>
        <w:jc w:val="both"/>
        <w:rPr>
          <w:noProof/>
        </w:rPr>
      </w:pPr>
      <w:r>
        <w:rPr>
          <w:noProof/>
        </w:rPr>
        <w:t xml:space="preserve">The </w:t>
      </w:r>
      <w:r w:rsidRPr="20073020">
        <w:rPr>
          <w:i/>
          <w:iCs/>
          <w:noProof/>
        </w:rPr>
        <w:t>energy industry</w:t>
      </w:r>
      <w:r w:rsidRPr="4507831A">
        <w:rPr>
          <w:noProof/>
        </w:rPr>
        <w:t xml:space="preserve"> </w:t>
      </w:r>
      <w:r>
        <w:rPr>
          <w:noProof/>
        </w:rPr>
        <w:t>was</w:t>
      </w:r>
      <w:r w:rsidRPr="4507831A">
        <w:rPr>
          <w:noProof/>
        </w:rPr>
        <w:t xml:space="preserve"> the most subsidised economic sector</w:t>
      </w:r>
      <w:r>
        <w:rPr>
          <w:noProof/>
        </w:rPr>
        <w:t xml:space="preserve"> in 2021</w:t>
      </w:r>
      <w:r w:rsidRPr="4507831A">
        <w:rPr>
          <w:noProof/>
        </w:rPr>
        <w:t xml:space="preserve">, receiving </w:t>
      </w:r>
      <w:r>
        <w:rPr>
          <w:noProof/>
        </w:rPr>
        <w:t>more than half (</w:t>
      </w:r>
      <w:r w:rsidRPr="4507831A" w:rsidDel="00E470D0">
        <w:rPr>
          <w:noProof/>
        </w:rPr>
        <w:t>EUR</w:t>
      </w:r>
      <w:r w:rsidRPr="4507831A">
        <w:rPr>
          <w:noProof/>
        </w:rPr>
        <w:t> 1</w:t>
      </w:r>
      <w:r>
        <w:rPr>
          <w:noProof/>
        </w:rPr>
        <w:t>11</w:t>
      </w:r>
      <w:r w:rsidRPr="4507831A">
        <w:rPr>
          <w:noProof/>
        </w:rPr>
        <w:t> billion</w:t>
      </w:r>
      <w:r>
        <w:rPr>
          <w:noProof/>
        </w:rPr>
        <w:t>, 51%</w:t>
      </w:r>
      <w:r w:rsidRPr="4507831A">
        <w:rPr>
          <w:noProof/>
        </w:rPr>
        <w:t xml:space="preserve">) of </w:t>
      </w:r>
      <w:r>
        <w:rPr>
          <w:noProof/>
        </w:rPr>
        <w:t>all</w:t>
      </w:r>
      <w:r w:rsidRPr="4507831A">
        <w:rPr>
          <w:noProof/>
        </w:rPr>
        <w:t xml:space="preserve"> </w:t>
      </w:r>
      <w:r w:rsidR="00837031">
        <w:rPr>
          <w:noProof/>
        </w:rPr>
        <w:t xml:space="preserve">energy </w:t>
      </w:r>
      <w:r w:rsidRPr="4507831A">
        <w:rPr>
          <w:noProof/>
        </w:rPr>
        <w:t>subsidies that year</w:t>
      </w:r>
      <w:r>
        <w:rPr>
          <w:noProof/>
        </w:rPr>
        <w:t>, of which</w:t>
      </w:r>
      <w:r w:rsidRPr="4507831A">
        <w:rPr>
          <w:noProof/>
        </w:rPr>
        <w:t xml:space="preserve"> </w:t>
      </w:r>
      <w:r w:rsidRPr="4507831A" w:rsidDel="00E470D0">
        <w:rPr>
          <w:noProof/>
        </w:rPr>
        <w:t>EUR</w:t>
      </w:r>
      <w:r w:rsidRPr="4507831A">
        <w:rPr>
          <w:noProof/>
        </w:rPr>
        <w:t> 6</w:t>
      </w:r>
      <w:r>
        <w:rPr>
          <w:noProof/>
        </w:rPr>
        <w:t>1</w:t>
      </w:r>
      <w:r w:rsidRPr="4507831A">
        <w:rPr>
          <w:noProof/>
        </w:rPr>
        <w:t xml:space="preserve"> billion were </w:t>
      </w:r>
      <w:r w:rsidR="00837031">
        <w:rPr>
          <w:noProof/>
        </w:rPr>
        <w:t>f</w:t>
      </w:r>
      <w:r w:rsidRPr="4507831A">
        <w:rPr>
          <w:noProof/>
        </w:rPr>
        <w:t>eed-in-</w:t>
      </w:r>
      <w:r w:rsidR="00837031">
        <w:rPr>
          <w:noProof/>
        </w:rPr>
        <w:t>t</w:t>
      </w:r>
      <w:r w:rsidRPr="4507831A">
        <w:rPr>
          <w:noProof/>
        </w:rPr>
        <w:t xml:space="preserve">ariffs / </w:t>
      </w:r>
      <w:r w:rsidR="00837031">
        <w:rPr>
          <w:noProof/>
        </w:rPr>
        <w:t>f</w:t>
      </w:r>
      <w:r w:rsidRPr="4507831A">
        <w:rPr>
          <w:noProof/>
        </w:rPr>
        <w:t>eed-in-</w:t>
      </w:r>
      <w:r w:rsidR="00837031">
        <w:rPr>
          <w:noProof/>
        </w:rPr>
        <w:t>p</w:t>
      </w:r>
      <w:r w:rsidRPr="47924E84">
        <w:rPr>
          <w:noProof/>
        </w:rPr>
        <w:t>remiums</w:t>
      </w:r>
      <w:r w:rsidRPr="4507831A">
        <w:rPr>
          <w:noProof/>
          <w:vertAlign w:val="superscript"/>
        </w:rPr>
        <w:footnoteReference w:id="20"/>
      </w:r>
      <w:r w:rsidRPr="4507831A">
        <w:rPr>
          <w:noProof/>
        </w:rPr>
        <w:t xml:space="preserve"> (not differentiated in </w:t>
      </w:r>
      <w:r w:rsidRPr="4507831A">
        <w:rPr>
          <w:noProof/>
          <w:color w:val="2B579A"/>
          <w:shd w:val="clear" w:color="auto" w:fill="E6E6E6"/>
        </w:rPr>
        <w:fldChar w:fldCharType="begin"/>
      </w:r>
      <w:r w:rsidRPr="4507831A">
        <w:rPr>
          <w:noProof/>
        </w:rPr>
        <w:instrText xml:space="preserve"> REF _Ref139457866 \h  \* MERGEFORMAT </w:instrText>
      </w:r>
      <w:r w:rsidRPr="4507831A">
        <w:rPr>
          <w:noProof/>
          <w:color w:val="2B579A"/>
          <w:shd w:val="clear" w:color="auto" w:fill="E6E6E6"/>
        </w:rPr>
      </w:r>
      <w:r w:rsidRPr="4507831A">
        <w:rPr>
          <w:noProof/>
          <w:color w:val="2B579A"/>
          <w:shd w:val="clear" w:color="auto" w:fill="E6E6E6"/>
        </w:rPr>
        <w:fldChar w:fldCharType="separate"/>
      </w:r>
      <w:r w:rsidR="00F14F45" w:rsidRPr="00DA60FE">
        <w:rPr>
          <w:noProof/>
        </w:rPr>
        <w:t xml:space="preserve">Figure </w:t>
      </w:r>
      <w:r w:rsidR="00F14F45">
        <w:rPr>
          <w:noProof/>
        </w:rPr>
        <w:t>14</w:t>
      </w:r>
      <w:r w:rsidRPr="4507831A">
        <w:rPr>
          <w:noProof/>
          <w:color w:val="2B579A"/>
          <w:shd w:val="clear" w:color="auto" w:fill="E6E6E6"/>
        </w:rPr>
        <w:fldChar w:fldCharType="end"/>
      </w:r>
      <w:r w:rsidRPr="4507831A">
        <w:rPr>
          <w:noProof/>
        </w:rPr>
        <w:t xml:space="preserve">). The second and third largest </w:t>
      </w:r>
      <w:r w:rsidR="00837031">
        <w:rPr>
          <w:noProof/>
        </w:rPr>
        <w:t xml:space="preserve">recipients of energy subsidies </w:t>
      </w:r>
      <w:r w:rsidRPr="4507831A">
        <w:rPr>
          <w:noProof/>
        </w:rPr>
        <w:t xml:space="preserve">were </w:t>
      </w:r>
      <w:r w:rsidR="00BD64FF">
        <w:rPr>
          <w:noProof/>
        </w:rPr>
        <w:t xml:space="preserve">other </w:t>
      </w:r>
      <w:r w:rsidRPr="20073020">
        <w:rPr>
          <w:i/>
          <w:iCs/>
          <w:noProof/>
        </w:rPr>
        <w:t>industry</w:t>
      </w:r>
      <w:r w:rsidR="00BD64FF">
        <w:rPr>
          <w:i/>
          <w:iCs/>
          <w:noProof/>
        </w:rPr>
        <w:t xml:space="preserve"> sectors</w:t>
      </w:r>
      <w:r w:rsidRPr="4507831A">
        <w:rPr>
          <w:noProof/>
        </w:rPr>
        <w:t xml:space="preserve"> (</w:t>
      </w:r>
      <w:r w:rsidRPr="4507831A" w:rsidDel="00E470D0">
        <w:rPr>
          <w:noProof/>
        </w:rPr>
        <w:t>EUR</w:t>
      </w:r>
      <w:r w:rsidRPr="4507831A">
        <w:rPr>
          <w:noProof/>
        </w:rPr>
        <w:t xml:space="preserve"> 32 billion, 15</w:t>
      </w:r>
      <w:r>
        <w:rPr>
          <w:noProof/>
        </w:rPr>
        <w:t>%</w:t>
      </w:r>
      <w:r w:rsidRPr="4507831A">
        <w:rPr>
          <w:noProof/>
        </w:rPr>
        <w:t xml:space="preserve">) and </w:t>
      </w:r>
      <w:r w:rsidRPr="20073020">
        <w:rPr>
          <w:i/>
          <w:iCs/>
          <w:noProof/>
        </w:rPr>
        <w:t>households</w:t>
      </w:r>
      <w:r w:rsidRPr="4507831A">
        <w:rPr>
          <w:noProof/>
        </w:rPr>
        <w:t xml:space="preserve"> (</w:t>
      </w:r>
      <w:r w:rsidRPr="4507831A" w:rsidDel="00E470D0">
        <w:rPr>
          <w:noProof/>
        </w:rPr>
        <w:t>EUR</w:t>
      </w:r>
      <w:r w:rsidRPr="4507831A">
        <w:rPr>
          <w:noProof/>
        </w:rPr>
        <w:t xml:space="preserve"> 27 billion, 13%)</w:t>
      </w:r>
      <w:r w:rsidRPr="4507831A">
        <w:rPr>
          <w:noProof/>
          <w:vertAlign w:val="superscript"/>
        </w:rPr>
        <w:footnoteReference w:id="21"/>
      </w:r>
      <w:r w:rsidRPr="4507831A">
        <w:rPr>
          <w:noProof/>
        </w:rPr>
        <w:t xml:space="preserve">. </w:t>
      </w:r>
    </w:p>
    <w:p w14:paraId="527838B6" w14:textId="0F9866D9" w:rsidR="00843D83" w:rsidRPr="00DA60FE" w:rsidRDefault="00CB72FA" w:rsidP="00C10D3A">
      <w:pPr>
        <w:pStyle w:val="BodyText"/>
        <w:jc w:val="both"/>
        <w:rPr>
          <w:noProof/>
        </w:rPr>
      </w:pPr>
      <w:r w:rsidRPr="26B36806">
        <w:rPr>
          <w:noProof/>
        </w:rPr>
        <w:t>Data for 2022 shows a significant change</w:t>
      </w:r>
      <w:r>
        <w:rPr>
          <w:noProof/>
        </w:rPr>
        <w:t xml:space="preserve"> in the composition of subsidies. S</w:t>
      </w:r>
      <w:r w:rsidRPr="26B36806">
        <w:rPr>
          <w:noProof/>
        </w:rPr>
        <w:t xml:space="preserve">upport to </w:t>
      </w:r>
      <w:r>
        <w:rPr>
          <w:i/>
          <w:iCs/>
          <w:noProof/>
        </w:rPr>
        <w:t>h</w:t>
      </w:r>
      <w:r w:rsidRPr="26B36806">
        <w:rPr>
          <w:i/>
          <w:iCs/>
          <w:noProof/>
        </w:rPr>
        <w:t>ouseholds</w:t>
      </w:r>
      <w:r w:rsidRPr="26B36806">
        <w:rPr>
          <w:noProof/>
        </w:rPr>
        <w:t xml:space="preserve"> </w:t>
      </w:r>
      <w:r>
        <w:rPr>
          <w:noProof/>
        </w:rPr>
        <w:t xml:space="preserve">increased </w:t>
      </w:r>
      <w:r w:rsidRPr="26B36806">
        <w:rPr>
          <w:noProof/>
        </w:rPr>
        <w:t>(</w:t>
      </w:r>
      <w:r>
        <w:rPr>
          <w:noProof/>
        </w:rPr>
        <w:t xml:space="preserve">rising by 240% from 2021 to </w:t>
      </w:r>
      <w:r w:rsidRPr="26B36806">
        <w:rPr>
          <w:noProof/>
        </w:rPr>
        <w:t>EUR 94 billion</w:t>
      </w:r>
      <w:r>
        <w:rPr>
          <w:noProof/>
        </w:rPr>
        <w:t xml:space="preserve"> in 2022</w:t>
      </w:r>
      <w:r w:rsidRPr="26B36806">
        <w:rPr>
          <w:noProof/>
        </w:rPr>
        <w:t xml:space="preserve">, </w:t>
      </w:r>
      <w:r>
        <w:rPr>
          <w:noProof/>
        </w:rPr>
        <w:t xml:space="preserve">or </w:t>
      </w:r>
      <w:r w:rsidRPr="26B36806">
        <w:rPr>
          <w:noProof/>
        </w:rPr>
        <w:t>24%</w:t>
      </w:r>
      <w:r>
        <w:rPr>
          <w:noProof/>
        </w:rPr>
        <w:t xml:space="preserve"> of all energy subsidies in that year</w:t>
      </w:r>
      <w:r w:rsidRPr="26B36806">
        <w:rPr>
          <w:noProof/>
        </w:rPr>
        <w:t xml:space="preserve">). </w:t>
      </w:r>
      <w:r w:rsidRPr="26B36806">
        <w:rPr>
          <w:i/>
          <w:iCs/>
          <w:noProof/>
        </w:rPr>
        <w:t>Cross-sector</w:t>
      </w:r>
      <w:r>
        <w:rPr>
          <w:i/>
          <w:iCs/>
          <w:noProof/>
        </w:rPr>
        <w:t>al</w:t>
      </w:r>
      <w:r w:rsidRPr="26B36806">
        <w:rPr>
          <w:noProof/>
        </w:rPr>
        <w:t xml:space="preserve"> subsidies </w:t>
      </w:r>
      <w:r>
        <w:rPr>
          <w:noProof/>
        </w:rPr>
        <w:t>was the next largest category</w:t>
      </w:r>
      <w:r w:rsidRPr="26B36806">
        <w:rPr>
          <w:noProof/>
        </w:rPr>
        <w:t xml:space="preserve"> (EUR</w:t>
      </w:r>
      <w:r>
        <w:rPr>
          <w:noProof/>
        </w:rPr>
        <w:t> </w:t>
      </w:r>
      <w:r w:rsidRPr="26B36806">
        <w:rPr>
          <w:noProof/>
        </w:rPr>
        <w:t>75</w:t>
      </w:r>
      <w:r>
        <w:rPr>
          <w:noProof/>
        </w:rPr>
        <w:t> </w:t>
      </w:r>
      <w:r w:rsidRPr="26B36806">
        <w:rPr>
          <w:noProof/>
        </w:rPr>
        <w:t>billion, 20</w:t>
      </w:r>
      <w:r>
        <w:rPr>
          <w:noProof/>
        </w:rPr>
        <w:t>%</w:t>
      </w:r>
      <w:r w:rsidRPr="26B36806">
        <w:rPr>
          <w:noProof/>
        </w:rPr>
        <w:t xml:space="preserve">), while </w:t>
      </w:r>
      <w:r>
        <w:rPr>
          <w:i/>
          <w:iCs/>
          <w:noProof/>
        </w:rPr>
        <w:t>i</w:t>
      </w:r>
      <w:r w:rsidRPr="26B36806">
        <w:rPr>
          <w:i/>
          <w:iCs/>
          <w:noProof/>
        </w:rPr>
        <w:t>ndustry</w:t>
      </w:r>
      <w:r w:rsidRPr="26B36806">
        <w:rPr>
          <w:noProof/>
        </w:rPr>
        <w:t xml:space="preserve"> </w:t>
      </w:r>
      <w:r>
        <w:rPr>
          <w:noProof/>
        </w:rPr>
        <w:t>only</w:t>
      </w:r>
      <w:r w:rsidRPr="26B36806">
        <w:rPr>
          <w:noProof/>
        </w:rPr>
        <w:t xml:space="preserve"> receive</w:t>
      </w:r>
      <w:r>
        <w:rPr>
          <w:noProof/>
        </w:rPr>
        <w:t>d</w:t>
      </w:r>
      <w:r w:rsidRPr="26B36806">
        <w:rPr>
          <w:noProof/>
        </w:rPr>
        <w:t xml:space="preserve"> </w:t>
      </w:r>
      <w:r>
        <w:rPr>
          <w:noProof/>
        </w:rPr>
        <w:t xml:space="preserve">a </w:t>
      </w:r>
      <w:r w:rsidRPr="26B36806">
        <w:rPr>
          <w:noProof/>
        </w:rPr>
        <w:t>moderate increas</w:t>
      </w:r>
      <w:r>
        <w:rPr>
          <w:noProof/>
        </w:rPr>
        <w:t>e in</w:t>
      </w:r>
      <w:r w:rsidRPr="26B36806">
        <w:rPr>
          <w:noProof/>
        </w:rPr>
        <w:t xml:space="preserve"> support </w:t>
      </w:r>
      <w:r>
        <w:rPr>
          <w:noProof/>
        </w:rPr>
        <w:t xml:space="preserve">between 2021 and 2022 </w:t>
      </w:r>
      <w:r w:rsidRPr="26B36806">
        <w:rPr>
          <w:noProof/>
        </w:rPr>
        <w:t>(EUR 53 billion, 13%). By contrast,</w:t>
      </w:r>
      <w:r>
        <w:rPr>
          <w:noProof/>
        </w:rPr>
        <w:t xml:space="preserve"> the</w:t>
      </w:r>
      <w:r w:rsidRPr="26B36806">
        <w:rPr>
          <w:noProof/>
        </w:rPr>
        <w:t xml:space="preserve"> </w:t>
      </w:r>
      <w:r>
        <w:rPr>
          <w:i/>
          <w:iCs/>
          <w:noProof/>
        </w:rPr>
        <w:t>e</w:t>
      </w:r>
      <w:r w:rsidRPr="26B36806">
        <w:rPr>
          <w:i/>
          <w:iCs/>
          <w:noProof/>
        </w:rPr>
        <w:t>nergy industry</w:t>
      </w:r>
      <w:r w:rsidRPr="26B36806">
        <w:rPr>
          <w:noProof/>
        </w:rPr>
        <w:t xml:space="preserve"> received slightly less in subsidies for 2022 (EUR 109 billion)</w:t>
      </w:r>
      <w:r>
        <w:rPr>
          <w:noProof/>
        </w:rPr>
        <w:t xml:space="preserve"> than it did in 2021</w:t>
      </w:r>
      <w:r w:rsidRPr="26B36806">
        <w:rPr>
          <w:noProof/>
        </w:rPr>
        <w:t xml:space="preserve">, </w:t>
      </w:r>
      <w:r>
        <w:rPr>
          <w:noProof/>
        </w:rPr>
        <w:t>and</w:t>
      </w:r>
      <w:r w:rsidRPr="26B36806">
        <w:rPr>
          <w:noProof/>
        </w:rPr>
        <w:t xml:space="preserve"> its share </w:t>
      </w:r>
      <w:r>
        <w:rPr>
          <w:noProof/>
        </w:rPr>
        <w:t xml:space="preserve">of </w:t>
      </w:r>
      <w:r w:rsidRPr="26B36806">
        <w:rPr>
          <w:noProof/>
        </w:rPr>
        <w:t xml:space="preserve">total </w:t>
      </w:r>
      <w:r>
        <w:rPr>
          <w:noProof/>
        </w:rPr>
        <w:t xml:space="preserve">subsidies </w:t>
      </w:r>
      <w:r w:rsidRPr="26B36806">
        <w:rPr>
          <w:noProof/>
        </w:rPr>
        <w:t xml:space="preserve">dropped </w:t>
      </w:r>
      <w:r>
        <w:rPr>
          <w:noProof/>
        </w:rPr>
        <w:t>from 50% to 28% between 2021 and 2022</w:t>
      </w:r>
      <w:r w:rsidRPr="26B36806">
        <w:rPr>
          <w:noProof/>
        </w:rPr>
        <w:t>.</w:t>
      </w:r>
    </w:p>
    <w:p w14:paraId="3AB87D0B" w14:textId="64AE41CF" w:rsidR="00843D83" w:rsidRPr="00DA60FE" w:rsidRDefault="004B7510" w:rsidP="00843D83">
      <w:pPr>
        <w:pStyle w:val="Caption"/>
        <w:spacing w:after="0"/>
        <w:jc w:val="center"/>
        <w:rPr>
          <w:noProof/>
        </w:rPr>
      </w:pPr>
      <w:bookmarkStart w:id="57" w:name="_Ref106965075"/>
      <w:bookmarkStart w:id="58" w:name="_Ref108708328"/>
      <w:bookmarkStart w:id="59" w:name="_Ref139457866"/>
      <w:bookmarkStart w:id="60" w:name="_Ref138923563"/>
      <w:bookmarkStart w:id="61" w:name="_Ref138923600"/>
      <w:bookmarkStart w:id="62" w:name="_Toc145348087"/>
      <w:bookmarkStart w:id="63" w:name="_Ref77353810"/>
      <w:bookmarkStart w:id="64" w:name="_Ref80878928"/>
      <w:bookmarkStart w:id="65" w:name="_Toc80799176"/>
      <w:r>
        <w:rPr>
          <w:noProof/>
          <w:lang w:val="en-GB" w:eastAsia="en-GB"/>
        </w:rPr>
        <w:drawing>
          <wp:anchor distT="0" distB="0" distL="114300" distR="114300" simplePos="0" relativeHeight="251685376" behindDoc="0" locked="0" layoutInCell="1" allowOverlap="1" wp14:anchorId="0F587953" wp14:editId="0C1F9E22">
            <wp:simplePos x="0" y="0"/>
            <wp:positionH relativeFrom="margin">
              <wp:align>center</wp:align>
            </wp:positionH>
            <wp:positionV relativeFrom="paragraph">
              <wp:posOffset>170180</wp:posOffset>
            </wp:positionV>
            <wp:extent cx="4240800" cy="1954800"/>
            <wp:effectExtent l="0" t="0" r="7620" b="762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240800" cy="1954800"/>
                    </a:xfrm>
                    <a:prstGeom prst="rect">
                      <a:avLst/>
                    </a:prstGeom>
                    <a:noFill/>
                  </pic:spPr>
                </pic:pic>
              </a:graphicData>
            </a:graphic>
            <wp14:sizeRelH relativeFrom="margin">
              <wp14:pctWidth>0</wp14:pctWidth>
            </wp14:sizeRelH>
            <wp14:sizeRelV relativeFrom="margin">
              <wp14:pctHeight>0</wp14:pctHeight>
            </wp14:sizeRelV>
          </wp:anchor>
        </w:drawing>
      </w:r>
      <w:r w:rsidR="00843D83" w:rsidRPr="00DA60FE">
        <w:rPr>
          <w:noProof/>
        </w:rPr>
        <w:t xml:space="preserve">Figure </w:t>
      </w:r>
      <w:r w:rsidR="00843D83" w:rsidRPr="00DA60FE">
        <w:rPr>
          <w:noProof/>
          <w:color w:val="2B579A"/>
          <w:shd w:val="clear" w:color="auto" w:fill="E6E6E6"/>
        </w:rPr>
        <w:fldChar w:fldCharType="begin"/>
      </w:r>
      <w:r w:rsidR="00843D83" w:rsidRPr="00DA60FE">
        <w:rPr>
          <w:noProof/>
        </w:rPr>
        <w:instrText xml:space="preserve"> SEQ Figure \* ARABIC </w:instrText>
      </w:r>
      <w:r w:rsidR="00843D83" w:rsidRPr="00DA60FE">
        <w:rPr>
          <w:noProof/>
          <w:color w:val="2B579A"/>
          <w:shd w:val="clear" w:color="auto" w:fill="E6E6E6"/>
        </w:rPr>
        <w:fldChar w:fldCharType="separate"/>
      </w:r>
      <w:r w:rsidR="00194607">
        <w:rPr>
          <w:noProof/>
        </w:rPr>
        <w:t>14</w:t>
      </w:r>
      <w:r w:rsidR="00843D83" w:rsidRPr="00DA60FE">
        <w:rPr>
          <w:noProof/>
          <w:color w:val="2B579A"/>
          <w:shd w:val="clear" w:color="auto" w:fill="E6E6E6"/>
        </w:rPr>
        <w:fldChar w:fldCharType="end"/>
      </w:r>
      <w:bookmarkEnd w:id="57"/>
      <w:bookmarkEnd w:id="58"/>
      <w:bookmarkEnd w:id="59"/>
      <w:r w:rsidR="00843D83" w:rsidRPr="00DA60FE">
        <w:rPr>
          <w:noProof/>
          <w:color w:val="2B579A"/>
          <w:shd w:val="clear" w:color="auto" w:fill="E6E6E6"/>
        </w:rPr>
        <w:fldChar w:fldCharType="begin"/>
      </w:r>
      <w:r w:rsidR="00843D83" w:rsidRPr="00DA60FE">
        <w:rPr>
          <w:noProof/>
          <w:color w:val="2B579A"/>
          <w:shd w:val="clear" w:color="auto" w:fill="E6E6E6"/>
        </w:rPr>
        <w:fldChar w:fldCharType="end"/>
      </w:r>
      <w:r w:rsidR="00843D83" w:rsidRPr="00DA60FE">
        <w:rPr>
          <w:noProof/>
        </w:rPr>
        <w:t xml:space="preserve">: Energy subsidies by economic sector in the </w:t>
      </w:r>
      <w:r w:rsidR="00D34DE1">
        <w:rPr>
          <w:noProof/>
        </w:rPr>
        <w:t>EU-27</w:t>
      </w:r>
      <w:r w:rsidR="00843D83" w:rsidRPr="00DA60FE">
        <w:rPr>
          <w:noProof/>
        </w:rPr>
        <w:t xml:space="preserve"> (2015-2022; EUR2022bn)</w:t>
      </w:r>
      <w:bookmarkEnd w:id="60"/>
      <w:bookmarkEnd w:id="61"/>
      <w:bookmarkEnd w:id="62"/>
    </w:p>
    <w:bookmarkEnd w:id="63"/>
    <w:bookmarkEnd w:id="64"/>
    <w:bookmarkEnd w:id="65"/>
    <w:p w14:paraId="52A1E7C9" w14:textId="78C2FC70" w:rsidR="00843D83" w:rsidRPr="00DA60FE" w:rsidRDefault="00843D83" w:rsidP="00D34DE1">
      <w:pPr>
        <w:spacing w:after="120"/>
        <w:jc w:val="center"/>
        <w:rPr>
          <w:rStyle w:val="SourceCar"/>
          <w:rFonts w:eastAsiaTheme="minorEastAsia"/>
          <w:noProof/>
        </w:rPr>
      </w:pPr>
      <w:r w:rsidRPr="0BD16CC5">
        <w:rPr>
          <w:rStyle w:val="SourceCar"/>
          <w:rFonts w:eastAsiaTheme="minorEastAsia"/>
          <w:noProof/>
        </w:rPr>
        <w:t>Source: Enerdata, Trinomics, 2023</w:t>
      </w:r>
      <w:r w:rsidR="00C10D3A">
        <w:rPr>
          <w:rStyle w:val="SourceCar"/>
          <w:rFonts w:eastAsiaTheme="minorEastAsia"/>
          <w:noProof/>
        </w:rPr>
        <w:t xml:space="preserve">. </w:t>
      </w:r>
      <w:r w:rsidRPr="0BD16CC5">
        <w:rPr>
          <w:rStyle w:val="SourceCar"/>
          <w:rFonts w:eastAsiaTheme="minorEastAsia"/>
          <w:noProof/>
        </w:rPr>
        <w:t>NB: 2022</w:t>
      </w:r>
      <w:r w:rsidR="00C10D3A">
        <w:rPr>
          <w:rStyle w:val="SourceCar"/>
          <w:rFonts w:eastAsiaTheme="minorEastAsia"/>
          <w:noProof/>
        </w:rPr>
        <w:t xml:space="preserve"> estimate</w:t>
      </w:r>
      <w:r w:rsidR="009A2C1B">
        <w:rPr>
          <w:rStyle w:val="SourceCar"/>
          <w:rFonts w:eastAsiaTheme="minorEastAsia"/>
          <w:noProof/>
        </w:rPr>
        <w:t>s</w:t>
      </w:r>
      <w:r w:rsidRPr="0BD16CC5">
        <w:rPr>
          <w:rStyle w:val="SourceCar"/>
          <w:rFonts w:eastAsiaTheme="minorEastAsia"/>
          <w:noProof/>
        </w:rPr>
        <w:t xml:space="preserve"> are </w:t>
      </w:r>
      <w:r w:rsidR="00C10D3A">
        <w:rPr>
          <w:rStyle w:val="SourceCar"/>
          <w:rFonts w:eastAsiaTheme="minorEastAsia"/>
          <w:noProof/>
        </w:rPr>
        <w:t>represented with hatching</w:t>
      </w:r>
    </w:p>
    <w:p w14:paraId="1DAA906E" w14:textId="105B14A8" w:rsidR="00843D83" w:rsidRPr="00DA60FE" w:rsidRDefault="00843D83" w:rsidP="00C10D3A">
      <w:pPr>
        <w:pStyle w:val="BodyText"/>
        <w:jc w:val="both"/>
        <w:rPr>
          <w:noProof/>
        </w:rPr>
      </w:pPr>
      <w:r w:rsidRPr="00DA60FE">
        <w:rPr>
          <w:noProof/>
        </w:rPr>
        <w:t xml:space="preserve">In 2022, total subsidies to the transport sector </w:t>
      </w:r>
      <w:r>
        <w:rPr>
          <w:noProof/>
        </w:rPr>
        <w:t>(</w:t>
      </w:r>
      <w:r w:rsidRPr="00DA60FE">
        <w:rPr>
          <w:noProof/>
          <w:color w:val="2B579A"/>
          <w:shd w:val="clear" w:color="auto" w:fill="E6E6E6"/>
        </w:rPr>
        <w:fldChar w:fldCharType="begin"/>
      </w:r>
      <w:r w:rsidRPr="00DA60FE">
        <w:rPr>
          <w:noProof/>
        </w:rPr>
        <w:instrText xml:space="preserve"> REF _Ref108708364 \h  \* MERGEFORMAT </w:instrText>
      </w:r>
      <w:r w:rsidRPr="00DA60FE">
        <w:rPr>
          <w:noProof/>
          <w:color w:val="2B579A"/>
          <w:shd w:val="clear" w:color="auto" w:fill="E6E6E6"/>
        </w:rPr>
      </w:r>
      <w:r w:rsidRPr="00DA60FE">
        <w:rPr>
          <w:noProof/>
          <w:color w:val="2B579A"/>
          <w:shd w:val="clear" w:color="auto" w:fill="E6E6E6"/>
        </w:rPr>
        <w:fldChar w:fldCharType="separate"/>
      </w:r>
      <w:r w:rsidRPr="003F456E">
        <w:rPr>
          <w:noProof/>
        </w:rPr>
        <w:t>Figure 14</w:t>
      </w:r>
      <w:r w:rsidRPr="00DA60FE">
        <w:rPr>
          <w:noProof/>
          <w:color w:val="2B579A"/>
          <w:shd w:val="clear" w:color="auto" w:fill="E6E6E6"/>
        </w:rPr>
        <w:fldChar w:fldCharType="end"/>
      </w:r>
      <w:r>
        <w:rPr>
          <w:noProof/>
        </w:rPr>
        <w:t xml:space="preserve">) </w:t>
      </w:r>
      <w:r w:rsidRPr="00DA60FE">
        <w:rPr>
          <w:noProof/>
        </w:rPr>
        <w:t xml:space="preserve">grew to </w:t>
      </w:r>
      <w:r>
        <w:rPr>
          <w:noProof/>
        </w:rPr>
        <w:t>an estimated</w:t>
      </w:r>
      <w:r w:rsidRPr="00DA60FE">
        <w:rPr>
          <w:noProof/>
        </w:rPr>
        <w:t xml:space="preserve"> </w:t>
      </w:r>
      <w:r w:rsidRPr="00DA60FE" w:rsidDel="00E470D0">
        <w:rPr>
          <w:noProof/>
        </w:rPr>
        <w:t>EUR</w:t>
      </w:r>
      <w:r w:rsidRPr="00DA60FE">
        <w:rPr>
          <w:noProof/>
        </w:rPr>
        <w:t> 38 billion (+155% or +</w:t>
      </w:r>
      <w:r w:rsidRPr="00DA60FE" w:rsidDel="00E470D0">
        <w:rPr>
          <w:noProof/>
        </w:rPr>
        <w:t>EUR</w:t>
      </w:r>
      <w:r w:rsidRPr="00DA60FE">
        <w:rPr>
          <w:noProof/>
        </w:rPr>
        <w:t xml:space="preserve"> 24 billion compared to 2021). </w:t>
      </w:r>
      <w:r>
        <w:rPr>
          <w:noProof/>
        </w:rPr>
        <w:t>R</w:t>
      </w:r>
      <w:r w:rsidRPr="00DA60FE">
        <w:rPr>
          <w:noProof/>
        </w:rPr>
        <w:t xml:space="preserve">oad transport remains by far </w:t>
      </w:r>
      <w:r w:rsidR="00936266">
        <w:rPr>
          <w:noProof/>
        </w:rPr>
        <w:t>the largest recipient, accounting for</w:t>
      </w:r>
      <w:r>
        <w:rPr>
          <w:noProof/>
        </w:rPr>
        <w:t xml:space="preserve"> </w:t>
      </w:r>
      <w:r w:rsidRPr="00DA60FE">
        <w:rPr>
          <w:noProof/>
        </w:rPr>
        <w:t xml:space="preserve">83% of </w:t>
      </w:r>
      <w:r>
        <w:rPr>
          <w:noProof/>
        </w:rPr>
        <w:t xml:space="preserve">transport </w:t>
      </w:r>
      <w:r w:rsidRPr="00DA60FE">
        <w:rPr>
          <w:noProof/>
        </w:rPr>
        <w:t>subsidies (</w:t>
      </w:r>
      <w:r w:rsidRPr="00DA60FE" w:rsidDel="00E470D0">
        <w:rPr>
          <w:noProof/>
        </w:rPr>
        <w:t>EUR</w:t>
      </w:r>
      <w:r w:rsidRPr="00DA60FE">
        <w:rPr>
          <w:noProof/>
        </w:rPr>
        <w:t xml:space="preserve"> 31 billion). </w:t>
      </w:r>
      <w:r>
        <w:rPr>
          <w:noProof/>
        </w:rPr>
        <w:t>It</w:t>
      </w:r>
      <w:r w:rsidRPr="00DA60FE">
        <w:rPr>
          <w:noProof/>
        </w:rPr>
        <w:t xml:space="preserve"> is followed by air </w:t>
      </w:r>
      <w:r w:rsidR="008900C0">
        <w:rPr>
          <w:noProof/>
        </w:rPr>
        <w:t xml:space="preserve">transport </w:t>
      </w:r>
      <w:r w:rsidRPr="00DA60FE">
        <w:rPr>
          <w:noProof/>
        </w:rPr>
        <w:t>(</w:t>
      </w:r>
      <w:r w:rsidRPr="00DA60FE" w:rsidDel="00E470D0">
        <w:rPr>
          <w:noProof/>
        </w:rPr>
        <w:t>EUR</w:t>
      </w:r>
      <w:r w:rsidRPr="00DA60FE">
        <w:rPr>
          <w:noProof/>
        </w:rPr>
        <w:t xml:space="preserve"> 3.6 billion), water (</w:t>
      </w:r>
      <w:r w:rsidRPr="00DA60FE" w:rsidDel="00E470D0">
        <w:rPr>
          <w:noProof/>
        </w:rPr>
        <w:t>EUR</w:t>
      </w:r>
      <w:r w:rsidRPr="00DA60FE">
        <w:rPr>
          <w:noProof/>
        </w:rPr>
        <w:t xml:space="preserve"> 1.8 billion) and rail transport (</w:t>
      </w:r>
      <w:r w:rsidRPr="00DA60FE" w:rsidDel="00E470D0">
        <w:rPr>
          <w:noProof/>
        </w:rPr>
        <w:t>EUR</w:t>
      </w:r>
      <w:r w:rsidRPr="00DA60FE">
        <w:rPr>
          <w:noProof/>
        </w:rPr>
        <w:t xml:space="preserve"> 1 billion)</w:t>
      </w:r>
      <w:bookmarkStart w:id="66" w:name="_Ref106892708"/>
      <w:r w:rsidRPr="00DA60FE">
        <w:rPr>
          <w:noProof/>
        </w:rPr>
        <w:t>.</w:t>
      </w:r>
    </w:p>
    <w:p w14:paraId="337394F1" w14:textId="2ECFD686" w:rsidR="00843D83" w:rsidRPr="00843D83" w:rsidRDefault="00843D83" w:rsidP="00843D83">
      <w:pPr>
        <w:pStyle w:val="Caption"/>
        <w:spacing w:after="0"/>
        <w:jc w:val="center"/>
        <w:rPr>
          <w:noProof/>
        </w:rPr>
      </w:pPr>
      <w:bookmarkStart w:id="67" w:name="_Ref108708364"/>
      <w:bookmarkStart w:id="68" w:name="_Ref139457897"/>
      <w:bookmarkStart w:id="69" w:name="_Toc145348088"/>
      <w:r w:rsidRPr="00843D83">
        <w:rPr>
          <w:i w:val="0"/>
          <w:noProof/>
          <w:color w:val="2B579A"/>
          <w:shd w:val="clear" w:color="auto" w:fill="E6E6E6"/>
          <w:lang w:val="en-GB" w:eastAsia="en-GB"/>
        </w:rPr>
        <w:drawing>
          <wp:anchor distT="0" distB="0" distL="114300" distR="114300" simplePos="0" relativeHeight="251634176" behindDoc="0" locked="0" layoutInCell="1" allowOverlap="1" wp14:anchorId="734897EE" wp14:editId="447A4C3A">
            <wp:simplePos x="0" y="0"/>
            <wp:positionH relativeFrom="margin">
              <wp:posOffset>398780</wp:posOffset>
            </wp:positionH>
            <wp:positionV relativeFrom="paragraph">
              <wp:posOffset>188307</wp:posOffset>
            </wp:positionV>
            <wp:extent cx="4924425" cy="2383790"/>
            <wp:effectExtent l="0" t="0" r="9525" b="0"/>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924425" cy="2383790"/>
                    </a:xfrm>
                    <a:prstGeom prst="rect">
                      <a:avLst/>
                    </a:prstGeom>
                    <a:noFill/>
                  </pic:spPr>
                </pic:pic>
              </a:graphicData>
            </a:graphic>
            <wp14:sizeRelH relativeFrom="margin">
              <wp14:pctWidth>0</wp14:pctWidth>
            </wp14:sizeRelH>
            <wp14:sizeRelV relativeFrom="margin">
              <wp14:pctHeight>0</wp14:pctHeight>
            </wp14:sizeRelV>
          </wp:anchor>
        </w:drawing>
      </w:r>
      <w:r w:rsidRPr="00DA60FE">
        <w:rPr>
          <w:noProof/>
        </w:rPr>
        <w:t xml:space="preserve">Figure </w:t>
      </w:r>
      <w:r w:rsidRPr="00DA60FE">
        <w:rPr>
          <w:noProof/>
          <w:color w:val="2B579A"/>
          <w:shd w:val="clear" w:color="auto" w:fill="E6E6E6"/>
        </w:rPr>
        <w:fldChar w:fldCharType="begin"/>
      </w:r>
      <w:r w:rsidRPr="00DA60FE">
        <w:rPr>
          <w:noProof/>
        </w:rPr>
        <w:instrText xml:space="preserve"> SEQ Figure \* ARABIC </w:instrText>
      </w:r>
      <w:r w:rsidRPr="00DA60FE">
        <w:rPr>
          <w:noProof/>
          <w:color w:val="2B579A"/>
          <w:shd w:val="clear" w:color="auto" w:fill="E6E6E6"/>
        </w:rPr>
        <w:fldChar w:fldCharType="separate"/>
      </w:r>
      <w:r w:rsidR="00194607">
        <w:rPr>
          <w:noProof/>
        </w:rPr>
        <w:t>15</w:t>
      </w:r>
      <w:r w:rsidRPr="00DA60FE">
        <w:rPr>
          <w:noProof/>
          <w:color w:val="2B579A"/>
          <w:shd w:val="clear" w:color="auto" w:fill="E6E6E6"/>
        </w:rPr>
        <w:fldChar w:fldCharType="end"/>
      </w:r>
      <w:bookmarkEnd w:id="66"/>
      <w:bookmarkEnd w:id="67"/>
      <w:bookmarkEnd w:id="68"/>
      <w:r w:rsidRPr="00DA60FE">
        <w:rPr>
          <w:noProof/>
        </w:rPr>
        <w:t>: Energy subsidies by transport mode (</w:t>
      </w:r>
      <w:bookmarkStart w:id="70" w:name="_Hlk109050792"/>
      <w:r w:rsidRPr="00DA60FE">
        <w:rPr>
          <w:noProof/>
        </w:rPr>
        <w:t>2015-2021; EUR2021bn</w:t>
      </w:r>
      <w:bookmarkEnd w:id="70"/>
      <w:r w:rsidRPr="00DA60FE">
        <w:rPr>
          <w:noProof/>
        </w:rPr>
        <w:t>)</w:t>
      </w:r>
      <w:bookmarkEnd w:id="69"/>
    </w:p>
    <w:p w14:paraId="7425B83D" w14:textId="77777777" w:rsidR="00843D83" w:rsidRPr="00DA60FE" w:rsidRDefault="00843D83" w:rsidP="00D34DE1">
      <w:pPr>
        <w:spacing w:after="120"/>
        <w:jc w:val="center"/>
        <w:rPr>
          <w:rStyle w:val="SourceCar"/>
          <w:rFonts w:eastAsiaTheme="minorEastAsia"/>
          <w:noProof/>
        </w:rPr>
      </w:pPr>
      <w:r w:rsidRPr="0BD16CC5">
        <w:rPr>
          <w:rStyle w:val="SourceCar"/>
          <w:rFonts w:eastAsiaTheme="minorEastAsia"/>
          <w:noProof/>
        </w:rPr>
        <w:t>Source: Enerdata, Trinomics, 2023</w:t>
      </w:r>
      <w:r w:rsidR="00C10D3A">
        <w:rPr>
          <w:rStyle w:val="SourceCar"/>
          <w:rFonts w:eastAsiaTheme="minorEastAsia"/>
          <w:noProof/>
        </w:rPr>
        <w:t xml:space="preserve">. </w:t>
      </w:r>
      <w:r w:rsidRPr="0BD16CC5">
        <w:rPr>
          <w:rStyle w:val="SourceCar"/>
          <w:rFonts w:eastAsiaTheme="minorEastAsia"/>
          <w:noProof/>
        </w:rPr>
        <w:t xml:space="preserve">NB: </w:t>
      </w:r>
      <w:r w:rsidR="00C10D3A" w:rsidRPr="0BD16CC5">
        <w:rPr>
          <w:rStyle w:val="SourceCar"/>
          <w:rFonts w:eastAsiaTheme="minorEastAsia"/>
          <w:noProof/>
        </w:rPr>
        <w:t>2022</w:t>
      </w:r>
      <w:r w:rsidR="00C10D3A">
        <w:rPr>
          <w:rStyle w:val="SourceCar"/>
          <w:rFonts w:eastAsiaTheme="minorEastAsia"/>
          <w:noProof/>
        </w:rPr>
        <w:t xml:space="preserve"> estimate</w:t>
      </w:r>
      <w:r w:rsidR="00C10D3A" w:rsidRPr="0BD16CC5">
        <w:rPr>
          <w:rStyle w:val="SourceCar"/>
          <w:rFonts w:eastAsiaTheme="minorEastAsia"/>
          <w:noProof/>
        </w:rPr>
        <w:t xml:space="preserve"> are </w:t>
      </w:r>
      <w:r w:rsidR="00C10D3A">
        <w:rPr>
          <w:rStyle w:val="SourceCar"/>
          <w:rFonts w:eastAsiaTheme="minorEastAsia"/>
          <w:noProof/>
        </w:rPr>
        <w:t>represented with hatching</w:t>
      </w:r>
    </w:p>
    <w:p w14:paraId="661A026E" w14:textId="77777777" w:rsidR="00843D83" w:rsidRPr="00DA60FE" w:rsidRDefault="00843D83" w:rsidP="00511050">
      <w:pPr>
        <w:pStyle w:val="Heading2"/>
        <w:spacing w:before="240"/>
        <w:ind w:left="714" w:hanging="357"/>
        <w:rPr>
          <w:noProof/>
        </w:rPr>
      </w:pPr>
      <w:bookmarkStart w:id="71" w:name="_Toc145348051"/>
      <w:r>
        <w:rPr>
          <w:noProof/>
        </w:rPr>
        <w:t>Subsidies by environmental impact</w:t>
      </w:r>
      <w:bookmarkEnd w:id="71"/>
    </w:p>
    <w:p w14:paraId="09A431D8" w14:textId="26DACE54" w:rsidR="00843D83" w:rsidRPr="00511050" w:rsidRDefault="00BC7A48" w:rsidP="00A43122">
      <w:pPr>
        <w:pStyle w:val="BodyText"/>
        <w:jc w:val="both"/>
        <w:rPr>
          <w:rFonts w:eastAsia="Calibri"/>
          <w:noProof/>
        </w:rPr>
      </w:pPr>
      <w:r>
        <w:rPr>
          <w:noProof/>
        </w:rPr>
        <w:t>The European Union, as party to the</w:t>
      </w:r>
      <w:r w:rsidR="00411152" w:rsidRPr="00627ADC">
        <w:rPr>
          <w:noProof/>
        </w:rPr>
        <w:t xml:space="preserve"> Global Biodiversity Framework (GBF)</w:t>
      </w:r>
      <w:r w:rsidR="00411152" w:rsidRPr="00627ADC">
        <w:rPr>
          <w:rStyle w:val="FootnoteReference"/>
          <w:noProof/>
        </w:rPr>
        <w:footnoteReference w:id="22"/>
      </w:r>
      <w:r w:rsidR="00101B5F">
        <w:rPr>
          <w:noProof/>
        </w:rPr>
        <w:t xml:space="preserve">, </w:t>
      </w:r>
      <w:r>
        <w:rPr>
          <w:noProof/>
        </w:rPr>
        <w:t>h</w:t>
      </w:r>
      <w:r w:rsidR="00411152" w:rsidRPr="00627ADC">
        <w:rPr>
          <w:noProof/>
        </w:rPr>
        <w:t>as agreed to “</w:t>
      </w:r>
      <w:r w:rsidR="00101B5F">
        <w:rPr>
          <w:i/>
          <w:iCs/>
          <w:noProof/>
        </w:rPr>
        <w:t>i</w:t>
      </w:r>
      <w:r w:rsidR="00411152" w:rsidRPr="00627ADC">
        <w:rPr>
          <w:i/>
          <w:iCs/>
          <w:noProof/>
        </w:rPr>
        <w:t>dentify by 2025, and eliminate, phase out or reform incentives, including subsidies, harmful for biodiversity</w:t>
      </w:r>
      <w:r w:rsidR="00411152" w:rsidRPr="00627ADC">
        <w:rPr>
          <w:noProof/>
        </w:rPr>
        <w:t>.”</w:t>
      </w:r>
      <w:r w:rsidR="00411152">
        <w:rPr>
          <w:noProof/>
        </w:rPr>
        <w:t xml:space="preserve"> The Commission is preparing a methodology to map </w:t>
      </w:r>
      <w:r>
        <w:rPr>
          <w:noProof/>
        </w:rPr>
        <w:t xml:space="preserve">these subsidies and </w:t>
      </w:r>
      <w:r w:rsidR="00A43122">
        <w:rPr>
          <w:noProof/>
        </w:rPr>
        <w:t>t</w:t>
      </w:r>
      <w:r w:rsidR="00843D83" w:rsidRPr="00A43122">
        <w:rPr>
          <w:noProof/>
        </w:rPr>
        <w:t>his report provides the first attempt to assess energy</w:t>
      </w:r>
      <w:r w:rsidR="00411152" w:rsidRPr="00A43122">
        <w:rPr>
          <w:noProof/>
        </w:rPr>
        <w:t>, and more specifically fossil fuel,</w:t>
      </w:r>
      <w:r w:rsidR="00843D83" w:rsidRPr="00A43122">
        <w:rPr>
          <w:noProof/>
        </w:rPr>
        <w:t xml:space="preserve"> subsidies </w:t>
      </w:r>
      <w:r w:rsidR="00A43122">
        <w:rPr>
          <w:noProof/>
        </w:rPr>
        <w:t>for their environmental impact</w:t>
      </w:r>
      <w:r w:rsidR="00843D83" w:rsidRPr="00A43122">
        <w:rPr>
          <w:noProof/>
        </w:rPr>
        <w:t>.</w:t>
      </w:r>
      <w:r w:rsidR="00511050">
        <w:rPr>
          <w:rFonts w:eastAsia="Calibri"/>
          <w:noProof/>
        </w:rPr>
        <w:t xml:space="preserve"> </w:t>
      </w:r>
      <w:r w:rsidR="00843D83">
        <w:rPr>
          <w:noProof/>
        </w:rPr>
        <w:t xml:space="preserve">In this report, the assessment of energy-related </w:t>
      </w:r>
      <w:r w:rsidR="00A43122">
        <w:rPr>
          <w:noProof/>
        </w:rPr>
        <w:t xml:space="preserve">and </w:t>
      </w:r>
      <w:r w:rsidR="00843D83">
        <w:rPr>
          <w:noProof/>
        </w:rPr>
        <w:t xml:space="preserve">environmentally harmful subsidies (EHS) focuses on fossil fuel subsidies, which are identified </w:t>
      </w:r>
      <w:r w:rsidR="00A43122">
        <w:rPr>
          <w:noProof/>
        </w:rPr>
        <w:t>as being harmful</w:t>
      </w:r>
      <w:r w:rsidR="00843D83" w:rsidRPr="00C10D3A">
        <w:rPr>
          <w:noProof/>
        </w:rPr>
        <w:t xml:space="preserve"> if the price or cost reduction that they cause incentivises maintaining or increasing the availability and/or use of fossil fuels, regardless of whether these are unabated or abated.</w:t>
      </w:r>
    </w:p>
    <w:p w14:paraId="05500E87" w14:textId="6F0F61C1" w:rsidR="00843D83" w:rsidRPr="00DA60FE" w:rsidRDefault="00843D83" w:rsidP="00843D83">
      <w:pPr>
        <w:pStyle w:val="Caption"/>
        <w:spacing w:after="0"/>
        <w:jc w:val="center"/>
        <w:rPr>
          <w:noProof/>
        </w:rPr>
      </w:pPr>
      <w:bookmarkStart w:id="72" w:name="_Ref138344643"/>
      <w:bookmarkStart w:id="73" w:name="_Toc145348094"/>
      <w:r w:rsidRPr="00843D83">
        <w:rPr>
          <w:noProof/>
          <w:color w:val="2B579A"/>
          <w:shd w:val="clear" w:color="auto" w:fill="E6E6E6"/>
          <w:lang w:val="en-GB" w:eastAsia="en-GB"/>
        </w:rPr>
        <w:drawing>
          <wp:anchor distT="0" distB="0" distL="114300" distR="114300" simplePos="0" relativeHeight="251666944" behindDoc="0" locked="0" layoutInCell="1" allowOverlap="1" wp14:anchorId="774AB65E" wp14:editId="22CB2689">
            <wp:simplePos x="0" y="0"/>
            <wp:positionH relativeFrom="column">
              <wp:posOffset>476250</wp:posOffset>
            </wp:positionH>
            <wp:positionV relativeFrom="paragraph">
              <wp:posOffset>203200</wp:posOffset>
            </wp:positionV>
            <wp:extent cx="4780280" cy="2152650"/>
            <wp:effectExtent l="0" t="0" r="1270" b="0"/>
            <wp:wrapTopAndBottom/>
            <wp:docPr id="348" name="Graphic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1"/>
                        </a:ext>
                      </a:extLst>
                    </a:blip>
                    <a:stretch>
                      <a:fillRect/>
                    </a:stretch>
                  </pic:blipFill>
                  <pic:spPr>
                    <a:xfrm>
                      <a:off x="0" y="0"/>
                      <a:ext cx="4780280" cy="215265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Figure </w:t>
      </w:r>
      <w:r w:rsidRPr="0BD16CC5">
        <w:rPr>
          <w:noProof/>
          <w:color w:val="2B579A"/>
          <w:shd w:val="clear" w:color="auto" w:fill="E6E6E6"/>
        </w:rPr>
        <w:fldChar w:fldCharType="begin"/>
      </w:r>
      <w:r w:rsidRPr="0BD16CC5">
        <w:rPr>
          <w:noProof/>
        </w:rPr>
        <w:instrText xml:space="preserve"> SEQ Figure \* ARABIC </w:instrText>
      </w:r>
      <w:r w:rsidRPr="0BD16CC5">
        <w:rPr>
          <w:noProof/>
          <w:color w:val="2B579A"/>
          <w:shd w:val="clear" w:color="auto" w:fill="E6E6E6"/>
        </w:rPr>
        <w:fldChar w:fldCharType="separate"/>
      </w:r>
      <w:r w:rsidR="004B7510">
        <w:rPr>
          <w:noProof/>
        </w:rPr>
        <w:t>16</w:t>
      </w:r>
      <w:r w:rsidRPr="0BD16CC5">
        <w:rPr>
          <w:noProof/>
          <w:color w:val="2B579A"/>
          <w:shd w:val="clear" w:color="auto" w:fill="E6E6E6"/>
        </w:rPr>
        <w:fldChar w:fldCharType="end"/>
      </w:r>
      <w:bookmarkEnd w:id="72"/>
      <w:r>
        <w:rPr>
          <w:noProof/>
        </w:rPr>
        <w:t xml:space="preserve">: Fossil fuel subsidies in the </w:t>
      </w:r>
      <w:r w:rsidR="00D34DE1">
        <w:rPr>
          <w:noProof/>
        </w:rPr>
        <w:t>EU-27</w:t>
      </w:r>
      <w:r>
        <w:rPr>
          <w:noProof/>
        </w:rPr>
        <w:t xml:space="preserve"> by environmental impact (2015-2022; EUR2022bn)</w:t>
      </w:r>
      <w:bookmarkEnd w:id="73"/>
    </w:p>
    <w:p w14:paraId="6B4A09E9" w14:textId="77777777" w:rsidR="00843D83" w:rsidRPr="00C10D3A" w:rsidRDefault="00843D83" w:rsidP="00D34DE1">
      <w:pPr>
        <w:spacing w:after="120"/>
        <w:jc w:val="center"/>
        <w:rPr>
          <w:rFonts w:ascii="EC Square Sans Pro" w:eastAsiaTheme="minorEastAsia" w:hAnsi="EC Square Sans Pro" w:cs="Times New Roman"/>
          <w:i/>
          <w:iCs/>
          <w:noProof/>
          <w:color w:val="989393"/>
          <w:sz w:val="18"/>
          <w:szCs w:val="18"/>
          <w:lang w:val="en-IE" w:eastAsia="de-DE"/>
        </w:rPr>
      </w:pPr>
      <w:r w:rsidRPr="0BD16CC5">
        <w:rPr>
          <w:rStyle w:val="SourceCar"/>
          <w:rFonts w:eastAsiaTheme="minorEastAsia"/>
          <w:noProof/>
        </w:rPr>
        <w:t>Source: Enerdata, Trinomics, 2023</w:t>
      </w:r>
      <w:r w:rsidR="00C10D3A">
        <w:rPr>
          <w:rStyle w:val="SourceCar"/>
          <w:rFonts w:eastAsiaTheme="minorEastAsia"/>
          <w:noProof/>
        </w:rPr>
        <w:t xml:space="preserve">. </w:t>
      </w:r>
      <w:r w:rsidRPr="0BD16CC5">
        <w:rPr>
          <w:rStyle w:val="SourceCar"/>
          <w:rFonts w:eastAsiaTheme="minorHAnsi"/>
          <w:i w:val="0"/>
          <w:iCs w:val="0"/>
          <w:noProof/>
        </w:rPr>
        <w:t xml:space="preserve">NB: </w:t>
      </w:r>
      <w:r w:rsidR="00C10D3A" w:rsidRPr="0BD16CC5">
        <w:rPr>
          <w:rStyle w:val="SourceCar"/>
          <w:rFonts w:eastAsiaTheme="minorEastAsia"/>
          <w:noProof/>
        </w:rPr>
        <w:t>2022</w:t>
      </w:r>
      <w:r w:rsidR="00C10D3A">
        <w:rPr>
          <w:rStyle w:val="SourceCar"/>
          <w:rFonts w:eastAsiaTheme="minorEastAsia"/>
          <w:noProof/>
        </w:rPr>
        <w:t xml:space="preserve"> estimate</w:t>
      </w:r>
      <w:r w:rsidR="00C10D3A" w:rsidRPr="0BD16CC5">
        <w:rPr>
          <w:rStyle w:val="SourceCar"/>
          <w:rFonts w:eastAsiaTheme="minorEastAsia"/>
          <w:noProof/>
        </w:rPr>
        <w:t xml:space="preserve"> are </w:t>
      </w:r>
      <w:r w:rsidR="00C10D3A">
        <w:rPr>
          <w:rStyle w:val="SourceCar"/>
          <w:rFonts w:eastAsiaTheme="minorEastAsia"/>
          <w:noProof/>
        </w:rPr>
        <w:t>represented with hatching</w:t>
      </w:r>
    </w:p>
    <w:p w14:paraId="6E9F001B" w14:textId="1180DE85" w:rsidR="00511050" w:rsidRPr="00DA60FE" w:rsidRDefault="00511050" w:rsidP="00511050">
      <w:pPr>
        <w:pStyle w:val="BodyText"/>
        <w:jc w:val="both"/>
        <w:rPr>
          <w:rFonts w:eastAsia="Calibri"/>
          <w:noProof/>
        </w:rPr>
      </w:pPr>
      <w:r w:rsidRPr="0BD16CC5">
        <w:rPr>
          <w:rFonts w:eastAsia="Calibri"/>
          <w:noProof/>
          <w:color w:val="2B579A"/>
          <w:shd w:val="clear" w:color="auto" w:fill="E6E6E6"/>
        </w:rPr>
        <w:fldChar w:fldCharType="begin"/>
      </w:r>
      <w:r w:rsidRPr="0BD16CC5">
        <w:rPr>
          <w:rFonts w:eastAsia="Calibri"/>
          <w:noProof/>
        </w:rPr>
        <w:instrText xml:space="preserve"> REF _Ref138344643 \h  \* MERGEFORMAT </w:instrText>
      </w:r>
      <w:r w:rsidRPr="0BD16CC5">
        <w:rPr>
          <w:rFonts w:eastAsia="Calibri"/>
          <w:noProof/>
          <w:color w:val="2B579A"/>
          <w:shd w:val="clear" w:color="auto" w:fill="E6E6E6"/>
        </w:rPr>
      </w:r>
      <w:r w:rsidRPr="0BD16CC5">
        <w:rPr>
          <w:rFonts w:eastAsia="Calibri"/>
          <w:noProof/>
          <w:color w:val="2B579A"/>
          <w:shd w:val="clear" w:color="auto" w:fill="E6E6E6"/>
        </w:rPr>
        <w:fldChar w:fldCharType="separate"/>
      </w:r>
      <w:r w:rsidR="004B7510">
        <w:rPr>
          <w:noProof/>
        </w:rPr>
        <w:t>Figure 16</w:t>
      </w:r>
      <w:r w:rsidRPr="0BD16CC5">
        <w:rPr>
          <w:rFonts w:eastAsia="Calibri"/>
          <w:noProof/>
          <w:color w:val="2B579A"/>
          <w:shd w:val="clear" w:color="auto" w:fill="E6E6E6"/>
        </w:rPr>
        <w:fldChar w:fldCharType="end"/>
      </w:r>
      <w:r w:rsidRPr="0BD16CC5">
        <w:rPr>
          <w:rFonts w:eastAsia="Calibri"/>
          <w:noProof/>
        </w:rPr>
        <w:t xml:space="preserve"> shows that </w:t>
      </w:r>
      <w:bookmarkStart w:id="74" w:name="_Int_0ODkUHve"/>
      <w:r w:rsidRPr="20073020">
        <w:rPr>
          <w:rFonts w:eastAsia="Calibri"/>
          <w:i/>
          <w:iCs/>
          <w:noProof/>
        </w:rPr>
        <w:t xml:space="preserve">the overwhelming majority </w:t>
      </w:r>
      <w:r w:rsidRPr="00A43122">
        <w:rPr>
          <w:rFonts w:eastAsia="Calibri"/>
          <w:iCs/>
          <w:noProof/>
        </w:rPr>
        <w:t>of</w:t>
      </w:r>
      <w:bookmarkEnd w:id="74"/>
      <w:r w:rsidRPr="00A43122">
        <w:rPr>
          <w:rFonts w:eastAsia="Calibri"/>
          <w:iCs/>
          <w:noProof/>
        </w:rPr>
        <w:t xml:space="preserve"> fossil fuel subsidies</w:t>
      </w:r>
      <w:r w:rsidRPr="20073020">
        <w:rPr>
          <w:rFonts w:eastAsia="Calibri"/>
          <w:i/>
          <w:iCs/>
          <w:noProof/>
        </w:rPr>
        <w:t xml:space="preserve"> </w:t>
      </w:r>
      <w:r w:rsidRPr="0BD16CC5">
        <w:rPr>
          <w:rFonts w:eastAsia="Calibri"/>
          <w:noProof/>
        </w:rPr>
        <w:t>(98% in 2022</w:t>
      </w:r>
      <w:r w:rsidRPr="0BD16CC5" w:rsidDel="00E470D0">
        <w:rPr>
          <w:rFonts w:eastAsia="Calibri"/>
          <w:noProof/>
        </w:rPr>
        <w:t xml:space="preserve"> </w:t>
      </w:r>
      <w:r w:rsidRPr="0BD16CC5">
        <w:rPr>
          <w:rFonts w:eastAsia="Calibri"/>
          <w:noProof/>
        </w:rPr>
        <w:t xml:space="preserve">or </w:t>
      </w:r>
      <w:r w:rsidRPr="0BD16CC5" w:rsidDel="00E470D0">
        <w:rPr>
          <w:rFonts w:eastAsia="Calibri"/>
          <w:noProof/>
        </w:rPr>
        <w:t>EUR</w:t>
      </w:r>
      <w:r w:rsidRPr="0BD16CC5">
        <w:rPr>
          <w:rFonts w:eastAsia="Calibri"/>
          <w:noProof/>
        </w:rPr>
        <w:t xml:space="preserve"> 120 billion)</w:t>
      </w:r>
      <w:r w:rsidRPr="20073020">
        <w:rPr>
          <w:rFonts w:eastAsia="Calibri"/>
          <w:i/>
          <w:iCs/>
          <w:noProof/>
        </w:rPr>
        <w:t xml:space="preserve"> </w:t>
      </w:r>
      <w:r w:rsidRPr="00A43122">
        <w:rPr>
          <w:rFonts w:eastAsia="Calibri"/>
          <w:iCs/>
          <w:noProof/>
        </w:rPr>
        <w:t>are considered environmentally harmful</w:t>
      </w:r>
      <w:r w:rsidRPr="0BD16CC5">
        <w:rPr>
          <w:rFonts w:eastAsia="Calibri"/>
          <w:noProof/>
        </w:rPr>
        <w:t xml:space="preserve">. The amount of </w:t>
      </w:r>
      <w:r>
        <w:rPr>
          <w:rFonts w:eastAsia="Calibri"/>
          <w:noProof/>
        </w:rPr>
        <w:t>fossil fuel subsidies</w:t>
      </w:r>
      <w:r w:rsidRPr="0BD16CC5">
        <w:rPr>
          <w:rFonts w:eastAsia="Calibri"/>
          <w:noProof/>
        </w:rPr>
        <w:t xml:space="preserve"> considered as not environmentally harmful </w:t>
      </w:r>
      <w:r>
        <w:rPr>
          <w:rFonts w:eastAsia="Calibri"/>
          <w:noProof/>
        </w:rPr>
        <w:t xml:space="preserve">is </w:t>
      </w:r>
      <w:r w:rsidRPr="0BD16CC5">
        <w:rPr>
          <w:rFonts w:eastAsia="Calibri"/>
          <w:noProof/>
        </w:rPr>
        <w:t xml:space="preserve">around EUR </w:t>
      </w:r>
      <w:r>
        <w:rPr>
          <w:rFonts w:eastAsia="Calibri"/>
          <w:noProof/>
        </w:rPr>
        <w:t>3</w:t>
      </w:r>
      <w:r w:rsidRPr="0BD16CC5">
        <w:rPr>
          <w:rFonts w:eastAsia="Calibri"/>
          <w:noProof/>
        </w:rPr>
        <w:t xml:space="preserve"> billion</w:t>
      </w:r>
      <w:r>
        <w:rPr>
          <w:rFonts w:eastAsia="Calibri"/>
          <w:noProof/>
        </w:rPr>
        <w:t>.</w:t>
      </w:r>
      <w:r w:rsidRPr="0BD16CC5">
        <w:rPr>
          <w:rFonts w:eastAsia="Calibri"/>
          <w:noProof/>
        </w:rPr>
        <w:t xml:space="preserve"> </w:t>
      </w:r>
      <w:r>
        <w:rPr>
          <w:rFonts w:eastAsia="Calibri"/>
          <w:noProof/>
        </w:rPr>
        <w:t>M</w:t>
      </w:r>
      <w:r w:rsidRPr="0BD16CC5">
        <w:rPr>
          <w:rFonts w:eastAsia="Calibri"/>
          <w:noProof/>
        </w:rPr>
        <w:t xml:space="preserve">ost </w:t>
      </w:r>
      <w:r>
        <w:rPr>
          <w:rFonts w:eastAsia="Calibri"/>
          <w:noProof/>
        </w:rPr>
        <w:t xml:space="preserve">of these non-harmful subsidies </w:t>
      </w:r>
      <w:r w:rsidRPr="0BD16CC5">
        <w:rPr>
          <w:rFonts w:eastAsia="Calibri"/>
          <w:noProof/>
        </w:rPr>
        <w:t>relate to compensation to companies and workers for curtail</w:t>
      </w:r>
      <w:r>
        <w:rPr>
          <w:rFonts w:eastAsia="Calibri"/>
          <w:noProof/>
        </w:rPr>
        <w:t>ing</w:t>
      </w:r>
      <w:r w:rsidRPr="0BD16CC5">
        <w:rPr>
          <w:rFonts w:eastAsia="Calibri"/>
          <w:noProof/>
        </w:rPr>
        <w:t xml:space="preserve"> or clos</w:t>
      </w:r>
      <w:r>
        <w:rPr>
          <w:rFonts w:eastAsia="Calibri"/>
          <w:noProof/>
        </w:rPr>
        <w:t>ing</w:t>
      </w:r>
      <w:r w:rsidRPr="0BD16CC5">
        <w:rPr>
          <w:rFonts w:eastAsia="Calibri"/>
          <w:noProof/>
        </w:rPr>
        <w:t xml:space="preserve"> coal mines and coal-fired power plants, or funding for rehabilitation of the areas where such closures have taken place. </w:t>
      </w:r>
    </w:p>
    <w:p w14:paraId="126B2AAE" w14:textId="212966B6" w:rsidR="00843D83" w:rsidRPr="00DA60FE" w:rsidRDefault="00843D83" w:rsidP="00C10D3A">
      <w:pPr>
        <w:pStyle w:val="BodyText"/>
        <w:jc w:val="both"/>
        <w:rPr>
          <w:noProof/>
        </w:rPr>
      </w:pPr>
      <w:r w:rsidRPr="0BD16CC5">
        <w:rPr>
          <w:noProof/>
        </w:rPr>
        <w:t xml:space="preserve">Preliminary data show </w:t>
      </w:r>
      <w:r w:rsidR="00511050">
        <w:rPr>
          <w:noProof/>
        </w:rPr>
        <w:t>(</w:t>
      </w:r>
      <w:r w:rsidR="00511050" w:rsidRPr="003F456E">
        <w:rPr>
          <w:noProof/>
          <w:color w:val="2B579A"/>
          <w:shd w:val="clear" w:color="auto" w:fill="E6E6E6"/>
        </w:rPr>
        <w:fldChar w:fldCharType="begin"/>
      </w:r>
      <w:r w:rsidR="00511050" w:rsidRPr="003F456E">
        <w:rPr>
          <w:noProof/>
        </w:rPr>
        <w:instrText xml:space="preserve"> REF _Ref145595247 \h  \* MERGEFORMAT </w:instrText>
      </w:r>
      <w:r w:rsidR="00511050" w:rsidRPr="003F456E">
        <w:rPr>
          <w:noProof/>
          <w:color w:val="2B579A"/>
          <w:shd w:val="clear" w:color="auto" w:fill="E6E6E6"/>
        </w:rPr>
      </w:r>
      <w:r w:rsidR="00511050" w:rsidRPr="003F456E">
        <w:rPr>
          <w:noProof/>
          <w:color w:val="2B579A"/>
          <w:shd w:val="clear" w:color="auto" w:fill="E6E6E6"/>
        </w:rPr>
        <w:fldChar w:fldCharType="separate"/>
      </w:r>
      <w:r w:rsidR="004B7510" w:rsidRPr="00DA60FE">
        <w:rPr>
          <w:noProof/>
        </w:rPr>
        <w:t xml:space="preserve">Figure </w:t>
      </w:r>
      <w:r w:rsidR="004B7510">
        <w:rPr>
          <w:noProof/>
        </w:rPr>
        <w:t>17</w:t>
      </w:r>
      <w:r w:rsidR="00511050" w:rsidRPr="003F456E">
        <w:rPr>
          <w:noProof/>
          <w:color w:val="2B579A"/>
          <w:shd w:val="clear" w:color="auto" w:fill="E6E6E6"/>
        </w:rPr>
        <w:fldChar w:fldCharType="end"/>
      </w:r>
      <w:r w:rsidR="00511050">
        <w:rPr>
          <w:noProof/>
        </w:rPr>
        <w:t xml:space="preserve">) </w:t>
      </w:r>
      <w:r w:rsidRPr="0BD16CC5">
        <w:rPr>
          <w:noProof/>
        </w:rPr>
        <w:t xml:space="preserve">that </w:t>
      </w:r>
      <w:r>
        <w:rPr>
          <w:noProof/>
        </w:rPr>
        <w:t>most of the fossil fuel</w:t>
      </w:r>
      <w:r w:rsidRPr="0BD16CC5">
        <w:rPr>
          <w:noProof/>
        </w:rPr>
        <w:t xml:space="preserve"> subsidies considered not environmentally harmful</w:t>
      </w:r>
      <w:r>
        <w:rPr>
          <w:noProof/>
        </w:rPr>
        <w:t xml:space="preserve"> </w:t>
      </w:r>
      <w:r w:rsidR="00A43122">
        <w:rPr>
          <w:noProof/>
        </w:rPr>
        <w:t xml:space="preserve">in 2022 </w:t>
      </w:r>
      <w:r>
        <w:rPr>
          <w:noProof/>
        </w:rPr>
        <w:t xml:space="preserve">were </w:t>
      </w:r>
      <w:r w:rsidRPr="0BD16CC5">
        <w:rPr>
          <w:noProof/>
        </w:rPr>
        <w:t xml:space="preserve">provided by Germany (EUR 0.6 billion), followed by the </w:t>
      </w:r>
      <w:r>
        <w:rPr>
          <w:noProof/>
        </w:rPr>
        <w:t>Netherlands</w:t>
      </w:r>
      <w:r w:rsidRPr="0BD16CC5">
        <w:rPr>
          <w:noProof/>
        </w:rPr>
        <w:t xml:space="preserve"> (EUR 0.</w:t>
      </w:r>
      <w:r>
        <w:rPr>
          <w:noProof/>
        </w:rPr>
        <w:t>5</w:t>
      </w:r>
      <w:r w:rsidRPr="0BD16CC5">
        <w:rPr>
          <w:noProof/>
        </w:rPr>
        <w:t xml:space="preserve"> billion), </w:t>
      </w:r>
      <w:r>
        <w:rPr>
          <w:noProof/>
        </w:rPr>
        <w:t>France</w:t>
      </w:r>
      <w:r w:rsidRPr="0BD16CC5">
        <w:rPr>
          <w:noProof/>
        </w:rPr>
        <w:t xml:space="preserve"> </w:t>
      </w:r>
      <w:r>
        <w:rPr>
          <w:noProof/>
        </w:rPr>
        <w:t xml:space="preserve">and Spain </w:t>
      </w:r>
      <w:r w:rsidRPr="0BD16CC5">
        <w:rPr>
          <w:noProof/>
        </w:rPr>
        <w:t>(EUR 0.</w:t>
      </w:r>
      <w:r>
        <w:rPr>
          <w:noProof/>
        </w:rPr>
        <w:t>2</w:t>
      </w:r>
      <w:r w:rsidRPr="0BD16CC5">
        <w:rPr>
          <w:noProof/>
        </w:rPr>
        <w:t xml:space="preserve"> billion</w:t>
      </w:r>
      <w:r>
        <w:rPr>
          <w:noProof/>
        </w:rPr>
        <w:t xml:space="preserve"> each</w:t>
      </w:r>
      <w:r w:rsidRPr="0BD16CC5">
        <w:rPr>
          <w:noProof/>
        </w:rPr>
        <w:t xml:space="preserve">). </w:t>
      </w:r>
      <w:r>
        <w:rPr>
          <w:noProof/>
        </w:rPr>
        <w:t>I</w:t>
      </w:r>
      <w:r w:rsidRPr="0BD16CC5">
        <w:rPr>
          <w:noProof/>
        </w:rPr>
        <w:t xml:space="preserve">n </w:t>
      </w:r>
      <w:r w:rsidR="00960BF6">
        <w:rPr>
          <w:noProof/>
        </w:rPr>
        <w:t>eighteen</w:t>
      </w:r>
      <w:r w:rsidRPr="0BD16CC5">
        <w:rPr>
          <w:noProof/>
        </w:rPr>
        <w:t xml:space="preserve"> Member States</w:t>
      </w:r>
      <w:r w:rsidR="00A43122">
        <w:rPr>
          <w:noProof/>
        </w:rPr>
        <w:t>,</w:t>
      </w:r>
      <w:r>
        <w:rPr>
          <w:noProof/>
        </w:rPr>
        <w:t xml:space="preserve"> </w:t>
      </w:r>
      <w:r w:rsidRPr="0BD16CC5">
        <w:rPr>
          <w:noProof/>
        </w:rPr>
        <w:t xml:space="preserve">100% </w:t>
      </w:r>
      <w:r>
        <w:rPr>
          <w:noProof/>
        </w:rPr>
        <w:t>of fossil fuel subsidies</w:t>
      </w:r>
      <w:r w:rsidRPr="0BD16CC5">
        <w:rPr>
          <w:noProof/>
        </w:rPr>
        <w:t xml:space="preserve"> </w:t>
      </w:r>
      <w:r w:rsidR="00A43122">
        <w:rPr>
          <w:noProof/>
        </w:rPr>
        <w:t>we</w:t>
      </w:r>
      <w:r>
        <w:rPr>
          <w:noProof/>
        </w:rPr>
        <w:t xml:space="preserve">re assessed as </w:t>
      </w:r>
      <w:r w:rsidRPr="0BD16CC5">
        <w:rPr>
          <w:noProof/>
        </w:rPr>
        <w:t xml:space="preserve">environmentally harmful. </w:t>
      </w:r>
    </w:p>
    <w:p w14:paraId="34511294" w14:textId="6C40A666" w:rsidR="00843D83" w:rsidRPr="00843D83" w:rsidRDefault="00843D83" w:rsidP="00843D83">
      <w:pPr>
        <w:pStyle w:val="Caption"/>
        <w:spacing w:after="0"/>
        <w:jc w:val="center"/>
        <w:rPr>
          <w:noProof/>
        </w:rPr>
      </w:pPr>
      <w:bookmarkStart w:id="75" w:name="_Ref139398496"/>
      <w:bookmarkStart w:id="76" w:name="_Ref145595247"/>
      <w:bookmarkStart w:id="77" w:name="_Toc145348095"/>
      <w:r w:rsidRPr="00843D83">
        <w:rPr>
          <w:noProof/>
          <w:color w:val="2B579A"/>
          <w:shd w:val="clear" w:color="auto" w:fill="E6E6E6"/>
          <w:lang w:val="en-GB" w:eastAsia="en-GB"/>
        </w:rPr>
        <w:drawing>
          <wp:anchor distT="0" distB="0" distL="114300" distR="114300" simplePos="0" relativeHeight="251645440" behindDoc="0" locked="0" layoutInCell="1" allowOverlap="1" wp14:anchorId="133F6969" wp14:editId="66922AF6">
            <wp:simplePos x="0" y="0"/>
            <wp:positionH relativeFrom="column">
              <wp:posOffset>0</wp:posOffset>
            </wp:positionH>
            <wp:positionV relativeFrom="paragraph">
              <wp:posOffset>177800</wp:posOffset>
            </wp:positionV>
            <wp:extent cx="5731200" cy="2311200"/>
            <wp:effectExtent l="0" t="0" r="3175"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31200" cy="2311200"/>
                    </a:xfrm>
                    <a:prstGeom prst="rect">
                      <a:avLst/>
                    </a:prstGeom>
                    <a:noFill/>
                  </pic:spPr>
                </pic:pic>
              </a:graphicData>
            </a:graphic>
            <wp14:sizeRelH relativeFrom="page">
              <wp14:pctWidth>0</wp14:pctWidth>
            </wp14:sizeRelH>
            <wp14:sizeRelV relativeFrom="page">
              <wp14:pctHeight>0</wp14:pctHeight>
            </wp14:sizeRelV>
          </wp:anchor>
        </w:drawing>
      </w:r>
      <w:r w:rsidRPr="00DA60FE">
        <w:rPr>
          <w:noProof/>
        </w:rPr>
        <w:t xml:space="preserve">Figure </w:t>
      </w:r>
      <w:r>
        <w:rPr>
          <w:noProof/>
          <w:color w:val="2B579A"/>
          <w:shd w:val="clear" w:color="auto" w:fill="E6E6E6"/>
        </w:rPr>
        <w:fldChar w:fldCharType="begin"/>
      </w:r>
      <w:r w:rsidRPr="00DA60FE">
        <w:rPr>
          <w:noProof/>
        </w:rPr>
        <w:instrText xml:space="preserve"> SEQ Figure \* ARABIC </w:instrText>
      </w:r>
      <w:r>
        <w:rPr>
          <w:noProof/>
          <w:color w:val="2B579A"/>
          <w:shd w:val="clear" w:color="auto" w:fill="E6E6E6"/>
        </w:rPr>
        <w:fldChar w:fldCharType="separate"/>
      </w:r>
      <w:r w:rsidR="00194607">
        <w:rPr>
          <w:noProof/>
        </w:rPr>
        <w:t>17</w:t>
      </w:r>
      <w:r>
        <w:rPr>
          <w:noProof/>
          <w:color w:val="2B579A"/>
          <w:shd w:val="clear" w:color="auto" w:fill="E6E6E6"/>
        </w:rPr>
        <w:fldChar w:fldCharType="end"/>
      </w:r>
      <w:bookmarkEnd w:id="75"/>
      <w:bookmarkEnd w:id="76"/>
      <w:r w:rsidRPr="00DA60FE">
        <w:rPr>
          <w:noProof/>
        </w:rPr>
        <w:t>: Fossil fuel subsidies by MS and by environmental impact (EUR2022bn)</w:t>
      </w:r>
      <w:bookmarkEnd w:id="77"/>
    </w:p>
    <w:p w14:paraId="2542888A" w14:textId="77777777" w:rsidR="00843D83" w:rsidRPr="000777A6" w:rsidRDefault="00843D83" w:rsidP="00D34DE1">
      <w:pPr>
        <w:spacing w:after="120"/>
        <w:jc w:val="center"/>
        <w:rPr>
          <w:rStyle w:val="SourceCar"/>
          <w:rFonts w:eastAsiaTheme="minorEastAsia"/>
          <w:noProof/>
        </w:rPr>
      </w:pPr>
      <w:r w:rsidRPr="000777A6">
        <w:rPr>
          <w:rStyle w:val="SourceCar"/>
          <w:rFonts w:eastAsiaTheme="minorEastAsia"/>
          <w:noProof/>
        </w:rPr>
        <w:t>Source: Enerdata, Trinomics, 2023</w:t>
      </w:r>
    </w:p>
    <w:p w14:paraId="047CE8A2" w14:textId="77777777" w:rsidR="00843D83" w:rsidRPr="00DA60FE" w:rsidRDefault="00843D83" w:rsidP="00511050">
      <w:pPr>
        <w:pStyle w:val="Heading2"/>
        <w:keepNext/>
        <w:spacing w:before="240"/>
        <w:ind w:left="714" w:hanging="357"/>
        <w:rPr>
          <w:noProof/>
        </w:rPr>
      </w:pPr>
      <w:r>
        <w:rPr>
          <w:noProof/>
        </w:rPr>
        <w:t>National plans on subsidies</w:t>
      </w:r>
    </w:p>
    <w:p w14:paraId="46F541CD" w14:textId="646A75D8" w:rsidR="00843D83" w:rsidRPr="008F65A1" w:rsidRDefault="00843D83" w:rsidP="00C10D3A">
      <w:pPr>
        <w:pStyle w:val="BodyText"/>
        <w:jc w:val="both"/>
        <w:rPr>
          <w:noProof/>
        </w:rPr>
      </w:pPr>
      <w:r w:rsidRPr="4507831A">
        <w:rPr>
          <w:noProof/>
        </w:rPr>
        <w:t xml:space="preserve">This </w:t>
      </w:r>
      <w:r w:rsidR="00A43122">
        <w:rPr>
          <w:noProof/>
        </w:rPr>
        <w:t>section</w:t>
      </w:r>
      <w:r w:rsidR="00A43122" w:rsidRPr="4507831A">
        <w:rPr>
          <w:noProof/>
        </w:rPr>
        <w:t xml:space="preserve"> </w:t>
      </w:r>
      <w:r w:rsidRPr="4507831A">
        <w:rPr>
          <w:noProof/>
        </w:rPr>
        <w:t xml:space="preserve">focuses on the national plans </w:t>
      </w:r>
      <w:r w:rsidR="00A43122">
        <w:rPr>
          <w:noProof/>
        </w:rPr>
        <w:t>to</w:t>
      </w:r>
      <w:r w:rsidRPr="4507831A">
        <w:rPr>
          <w:noProof/>
        </w:rPr>
        <w:t xml:space="preserve"> phas</w:t>
      </w:r>
      <w:r>
        <w:rPr>
          <w:noProof/>
        </w:rPr>
        <w:t>e-</w:t>
      </w:r>
      <w:r w:rsidRPr="4507831A">
        <w:rPr>
          <w:noProof/>
        </w:rPr>
        <w:t xml:space="preserve">out </w:t>
      </w:r>
      <w:r>
        <w:rPr>
          <w:noProof/>
        </w:rPr>
        <w:t>fossil fuel subsidies</w:t>
      </w:r>
      <w:r w:rsidRPr="4507831A">
        <w:rPr>
          <w:noProof/>
        </w:rPr>
        <w:t xml:space="preserve"> </w:t>
      </w:r>
      <w:r w:rsidR="00A43122">
        <w:rPr>
          <w:noProof/>
        </w:rPr>
        <w:t>in</w:t>
      </w:r>
      <w:r w:rsidRPr="4507831A">
        <w:rPr>
          <w:noProof/>
        </w:rPr>
        <w:t xml:space="preserve"> Member States</w:t>
      </w:r>
      <w:r w:rsidR="00A43122">
        <w:rPr>
          <w:noProof/>
        </w:rPr>
        <w:t xml:space="preserve"> </w:t>
      </w:r>
      <w:r w:rsidRPr="4507831A">
        <w:rPr>
          <w:noProof/>
        </w:rPr>
        <w:t>published as of August 2023</w:t>
      </w:r>
      <w:r w:rsidRPr="4507831A">
        <w:rPr>
          <w:rStyle w:val="FootnoteReference"/>
          <w:noProof/>
        </w:rPr>
        <w:footnoteReference w:id="23"/>
      </w:r>
      <w:r w:rsidRPr="4507831A">
        <w:rPr>
          <w:noProof/>
        </w:rPr>
        <w:t xml:space="preserve">. The </w:t>
      </w:r>
      <w:r w:rsidR="00A43122">
        <w:rPr>
          <w:iCs/>
          <w:noProof/>
        </w:rPr>
        <w:t>g</w:t>
      </w:r>
      <w:r w:rsidRPr="00A43122">
        <w:rPr>
          <w:iCs/>
          <w:noProof/>
        </w:rPr>
        <w:t xml:space="preserve">eneral Union </w:t>
      </w:r>
      <w:r w:rsidR="00A43122">
        <w:rPr>
          <w:iCs/>
          <w:noProof/>
        </w:rPr>
        <w:t>e</w:t>
      </w:r>
      <w:r w:rsidRPr="00A43122">
        <w:rPr>
          <w:iCs/>
          <w:noProof/>
        </w:rPr>
        <w:t xml:space="preserve">nvironment </w:t>
      </w:r>
      <w:r w:rsidR="00A43122">
        <w:rPr>
          <w:iCs/>
          <w:noProof/>
        </w:rPr>
        <w:t>a</w:t>
      </w:r>
      <w:r w:rsidRPr="00A43122">
        <w:rPr>
          <w:iCs/>
          <w:noProof/>
        </w:rPr>
        <w:t xml:space="preserve">ction </w:t>
      </w:r>
      <w:r w:rsidR="00A43122">
        <w:rPr>
          <w:iCs/>
          <w:noProof/>
        </w:rPr>
        <w:t>p</w:t>
      </w:r>
      <w:r w:rsidRPr="00A43122">
        <w:rPr>
          <w:iCs/>
          <w:noProof/>
        </w:rPr>
        <w:t>rogram to 2030</w:t>
      </w:r>
      <w:r w:rsidRPr="00A43122">
        <w:rPr>
          <w:noProof/>
        </w:rPr>
        <w:t>,</w:t>
      </w:r>
      <w:r w:rsidRPr="4507831A">
        <w:rPr>
          <w:noProof/>
        </w:rPr>
        <w:t xml:space="preserve"> also known as the 8</w:t>
      </w:r>
      <w:r w:rsidRPr="4507831A">
        <w:rPr>
          <w:noProof/>
          <w:vertAlign w:val="superscript"/>
        </w:rPr>
        <w:t>th</w:t>
      </w:r>
      <w:r w:rsidRPr="4507831A">
        <w:rPr>
          <w:noProof/>
        </w:rPr>
        <w:t xml:space="preserve"> </w:t>
      </w:r>
      <w:r w:rsidR="00A43122">
        <w:rPr>
          <w:noProof/>
        </w:rPr>
        <w:t>e</w:t>
      </w:r>
      <w:r w:rsidRPr="4507831A">
        <w:rPr>
          <w:noProof/>
        </w:rPr>
        <w:t xml:space="preserve">nvironment </w:t>
      </w:r>
      <w:r w:rsidR="00A43122">
        <w:rPr>
          <w:noProof/>
        </w:rPr>
        <w:t>a</w:t>
      </w:r>
      <w:r w:rsidRPr="4507831A">
        <w:rPr>
          <w:noProof/>
        </w:rPr>
        <w:t xml:space="preserve">ction </w:t>
      </w:r>
      <w:r w:rsidR="00A43122">
        <w:rPr>
          <w:noProof/>
        </w:rPr>
        <w:t>p</w:t>
      </w:r>
      <w:r w:rsidRPr="4507831A">
        <w:rPr>
          <w:noProof/>
        </w:rPr>
        <w:t xml:space="preserve">rogramme, requires the Commission and/or Member States </w:t>
      </w:r>
      <w:r w:rsidRPr="4507831A" w:rsidDel="005E66D1">
        <w:rPr>
          <w:noProof/>
        </w:rPr>
        <w:t xml:space="preserve">to </w:t>
      </w:r>
      <w:r w:rsidRPr="4507831A">
        <w:rPr>
          <w:noProof/>
        </w:rPr>
        <w:t>phas</w:t>
      </w:r>
      <w:r w:rsidRPr="26B36806">
        <w:rPr>
          <w:noProof/>
        </w:rPr>
        <w:t>e</w:t>
      </w:r>
      <w:r w:rsidRPr="4507831A">
        <w:rPr>
          <w:noProof/>
        </w:rPr>
        <w:t xml:space="preserve"> out </w:t>
      </w:r>
      <w:r w:rsidRPr="26B36806" w:rsidDel="4DB8D42F">
        <w:rPr>
          <w:noProof/>
        </w:rPr>
        <w:t xml:space="preserve">environmentally </w:t>
      </w:r>
      <w:r>
        <w:rPr>
          <w:noProof/>
        </w:rPr>
        <w:t>harmful</w:t>
      </w:r>
      <w:r w:rsidR="00A43122">
        <w:rPr>
          <w:noProof/>
        </w:rPr>
        <w:t xml:space="preserve"> subsidies</w:t>
      </w:r>
      <w:r>
        <w:rPr>
          <w:noProof/>
        </w:rPr>
        <w:t>,</w:t>
      </w:r>
      <w:r w:rsidRPr="4507831A">
        <w:rPr>
          <w:noProof/>
        </w:rPr>
        <w:t xml:space="preserve"> and </w:t>
      </w:r>
      <w:bookmarkStart w:id="78" w:name="_Int_1wufwaUI"/>
      <w:r>
        <w:rPr>
          <w:noProof/>
        </w:rPr>
        <w:t>fossil</w:t>
      </w:r>
      <w:bookmarkEnd w:id="78"/>
      <w:r>
        <w:rPr>
          <w:noProof/>
        </w:rPr>
        <w:t xml:space="preserve"> fuel</w:t>
      </w:r>
      <w:r w:rsidR="00A43122">
        <w:rPr>
          <w:noProof/>
        </w:rPr>
        <w:t xml:space="preserve"> subsides in particular</w:t>
      </w:r>
      <w:r>
        <w:rPr>
          <w:noProof/>
        </w:rPr>
        <w:t xml:space="preserve">, </w:t>
      </w:r>
      <w:r w:rsidRPr="4507831A">
        <w:rPr>
          <w:noProof/>
        </w:rPr>
        <w:t>by</w:t>
      </w:r>
      <w:r w:rsidRPr="26B36806" w:rsidDel="4DB8D42F">
        <w:rPr>
          <w:noProof/>
        </w:rPr>
        <w:t xml:space="preserve"> </w:t>
      </w:r>
      <w:r w:rsidR="00A43122">
        <w:rPr>
          <w:iCs/>
          <w:noProof/>
        </w:rPr>
        <w:t>‘</w:t>
      </w:r>
      <w:r w:rsidRPr="00563431">
        <w:rPr>
          <w:iCs/>
          <w:noProof/>
        </w:rPr>
        <w:t>setting a deadline for the phasing out of fossil fuel subsidies consistent with the ambition of limiting global warming to 1.5°C</w:t>
      </w:r>
      <w:r w:rsidRPr="4507831A">
        <w:rPr>
          <w:rStyle w:val="FootnoteReference"/>
          <w:noProof/>
        </w:rPr>
        <w:footnoteReference w:id="24"/>
      </w:r>
      <w:r w:rsidR="008F65A1">
        <w:rPr>
          <w:iCs/>
          <w:noProof/>
        </w:rPr>
        <w:t>.</w:t>
      </w:r>
    </w:p>
    <w:p w14:paraId="58EEF5D2" w14:textId="4C184E81" w:rsidR="00843D83" w:rsidRPr="00DA60FE" w:rsidRDefault="00843D83" w:rsidP="00C10D3A">
      <w:pPr>
        <w:pStyle w:val="BodyText"/>
        <w:jc w:val="both"/>
        <w:rPr>
          <w:noProof/>
        </w:rPr>
      </w:pPr>
      <w:r w:rsidRPr="003B76D4">
        <w:rPr>
          <w:noProof/>
        </w:rPr>
        <w:t xml:space="preserve">According to </w:t>
      </w:r>
      <w:r w:rsidRPr="008F65A1">
        <w:rPr>
          <w:noProof/>
        </w:rPr>
        <w:t>2022</w:t>
      </w:r>
      <w:r w:rsidRPr="003B76D4">
        <w:rPr>
          <w:noProof/>
        </w:rPr>
        <w:t xml:space="preserve"> data</w:t>
      </w:r>
      <w:r w:rsidR="00511050" w:rsidRPr="003B76D4">
        <w:rPr>
          <w:noProof/>
        </w:rPr>
        <w:t xml:space="preserve"> (</w:t>
      </w:r>
      <w:r w:rsidR="00511050" w:rsidRPr="003B76D4">
        <w:rPr>
          <w:noProof/>
          <w:color w:val="2B579A"/>
          <w:shd w:val="clear" w:color="auto" w:fill="E6E6E6"/>
        </w:rPr>
        <w:fldChar w:fldCharType="begin"/>
      </w:r>
      <w:r w:rsidR="00511050" w:rsidRPr="003B76D4">
        <w:rPr>
          <w:noProof/>
        </w:rPr>
        <w:instrText xml:space="preserve"> REF _Ref145576888 \h  \* MERGEFORMAT </w:instrText>
      </w:r>
      <w:r w:rsidR="00511050" w:rsidRPr="003B76D4">
        <w:rPr>
          <w:noProof/>
          <w:color w:val="2B579A"/>
          <w:shd w:val="clear" w:color="auto" w:fill="E6E6E6"/>
        </w:rPr>
      </w:r>
      <w:r w:rsidR="00511050" w:rsidRPr="003B76D4">
        <w:rPr>
          <w:noProof/>
          <w:color w:val="2B579A"/>
          <w:shd w:val="clear" w:color="auto" w:fill="E6E6E6"/>
        </w:rPr>
        <w:fldChar w:fldCharType="separate"/>
      </w:r>
      <w:r w:rsidR="004B7510" w:rsidRPr="00DA60FE">
        <w:rPr>
          <w:noProof/>
        </w:rPr>
        <w:t xml:space="preserve">Figure </w:t>
      </w:r>
      <w:r w:rsidR="004B7510">
        <w:rPr>
          <w:noProof/>
        </w:rPr>
        <w:t>18</w:t>
      </w:r>
      <w:r w:rsidR="00511050" w:rsidRPr="003B76D4">
        <w:rPr>
          <w:noProof/>
          <w:color w:val="2B579A"/>
          <w:shd w:val="clear" w:color="auto" w:fill="E6E6E6"/>
        </w:rPr>
        <w:fldChar w:fldCharType="end"/>
      </w:r>
      <w:r w:rsidR="00511050" w:rsidRPr="003B76D4">
        <w:rPr>
          <w:noProof/>
        </w:rPr>
        <w:t>)</w:t>
      </w:r>
      <w:r w:rsidRPr="003B76D4">
        <w:rPr>
          <w:noProof/>
        </w:rPr>
        <w:t xml:space="preserve">, </w:t>
      </w:r>
      <w:r w:rsidR="00511050" w:rsidRPr="003B76D4">
        <w:rPr>
          <w:noProof/>
          <w:lang w:eastAsia="de-DE"/>
        </w:rPr>
        <w:t xml:space="preserve">47% (EUR 58 billion) of total fossil fuel subsidies (EUR 123 billion) </w:t>
      </w:r>
      <w:r w:rsidRPr="003B76D4">
        <w:rPr>
          <w:noProof/>
        </w:rPr>
        <w:t xml:space="preserve">had a planned end-date before 2025. </w:t>
      </w:r>
      <w:bookmarkStart w:id="79" w:name="_Ref138835695"/>
      <w:r w:rsidR="00511050" w:rsidRPr="003B76D4">
        <w:rPr>
          <w:noProof/>
        </w:rPr>
        <w:t>Only about 1%</w:t>
      </w:r>
      <w:r w:rsidR="00511050" w:rsidRPr="00511050">
        <w:rPr>
          <w:noProof/>
        </w:rPr>
        <w:t xml:space="preserve"> (EUR 1.7 billion) of </w:t>
      </w:r>
      <w:r w:rsidR="00511050">
        <w:rPr>
          <w:noProof/>
        </w:rPr>
        <w:t>fossil fuel subsidies</w:t>
      </w:r>
      <w:r w:rsidR="00511050" w:rsidRPr="00511050">
        <w:rPr>
          <w:noProof/>
        </w:rPr>
        <w:t xml:space="preserve"> have an end-date on the medium term (2025-2030). For the </w:t>
      </w:r>
      <w:r w:rsidR="00511050">
        <w:rPr>
          <w:noProof/>
        </w:rPr>
        <w:t>remaining 52% (EUR 64 billion</w:t>
      </w:r>
      <w:r w:rsidR="00511050" w:rsidRPr="00511050">
        <w:rPr>
          <w:noProof/>
        </w:rPr>
        <w:t>), there is either no end-date yet or the end-date has been set after the year 2030.</w:t>
      </w:r>
    </w:p>
    <w:p w14:paraId="62595DB1" w14:textId="5B88836D" w:rsidR="00843D83" w:rsidRPr="00DA60FE" w:rsidRDefault="003A3347" w:rsidP="00843D83">
      <w:pPr>
        <w:pStyle w:val="Caption"/>
        <w:spacing w:after="0"/>
        <w:jc w:val="center"/>
        <w:rPr>
          <w:noProof/>
        </w:rPr>
      </w:pPr>
      <w:bookmarkStart w:id="80" w:name="_Ref141370935"/>
      <w:bookmarkStart w:id="81" w:name="_Ref145576888"/>
      <w:bookmarkStart w:id="82" w:name="_Toc145348098"/>
      <w:bookmarkStart w:id="83" w:name="_Ref145576883"/>
      <w:r>
        <w:rPr>
          <w:noProof/>
          <w:lang w:val="en-GB" w:eastAsia="en-GB"/>
        </w:rPr>
        <w:drawing>
          <wp:anchor distT="0" distB="0" distL="114300" distR="114300" simplePos="0" relativeHeight="251668992" behindDoc="0" locked="0" layoutInCell="1" allowOverlap="1" wp14:anchorId="0C2FFD49" wp14:editId="008C4D29">
            <wp:simplePos x="0" y="0"/>
            <wp:positionH relativeFrom="margin">
              <wp:posOffset>435615</wp:posOffset>
            </wp:positionH>
            <wp:positionV relativeFrom="paragraph">
              <wp:posOffset>189278</wp:posOffset>
            </wp:positionV>
            <wp:extent cx="4860000" cy="27072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860000" cy="2707200"/>
                    </a:xfrm>
                    <a:prstGeom prst="rect">
                      <a:avLst/>
                    </a:prstGeom>
                    <a:noFill/>
                  </pic:spPr>
                </pic:pic>
              </a:graphicData>
            </a:graphic>
            <wp14:sizeRelH relativeFrom="margin">
              <wp14:pctWidth>0</wp14:pctWidth>
            </wp14:sizeRelH>
            <wp14:sizeRelV relativeFrom="margin">
              <wp14:pctHeight>0</wp14:pctHeight>
            </wp14:sizeRelV>
          </wp:anchor>
        </w:drawing>
      </w:r>
      <w:r w:rsidR="00843D83" w:rsidRPr="00DA60FE">
        <w:rPr>
          <w:noProof/>
        </w:rPr>
        <w:t xml:space="preserve">Figure </w:t>
      </w:r>
      <w:r w:rsidR="00843D83" w:rsidRPr="00DA60FE">
        <w:rPr>
          <w:noProof/>
          <w:color w:val="2B579A"/>
          <w:shd w:val="clear" w:color="auto" w:fill="E6E6E6"/>
        </w:rPr>
        <w:fldChar w:fldCharType="begin"/>
      </w:r>
      <w:r w:rsidR="00843D83" w:rsidRPr="00DA60FE">
        <w:rPr>
          <w:noProof/>
        </w:rPr>
        <w:instrText xml:space="preserve"> SEQ Figure \* ARABIC </w:instrText>
      </w:r>
      <w:r w:rsidR="00843D83" w:rsidRPr="00DA60FE">
        <w:rPr>
          <w:noProof/>
          <w:color w:val="2B579A"/>
          <w:shd w:val="clear" w:color="auto" w:fill="E6E6E6"/>
        </w:rPr>
        <w:fldChar w:fldCharType="separate"/>
      </w:r>
      <w:r w:rsidR="00194607">
        <w:rPr>
          <w:noProof/>
        </w:rPr>
        <w:t>18</w:t>
      </w:r>
      <w:r w:rsidR="00843D83" w:rsidRPr="00DA60FE">
        <w:rPr>
          <w:noProof/>
          <w:color w:val="2B579A"/>
          <w:shd w:val="clear" w:color="auto" w:fill="E6E6E6"/>
        </w:rPr>
        <w:fldChar w:fldCharType="end"/>
      </w:r>
      <w:bookmarkEnd w:id="79"/>
      <w:bookmarkEnd w:id="80"/>
      <w:bookmarkEnd w:id="81"/>
      <w:r w:rsidR="00843D83" w:rsidRPr="00DA60FE">
        <w:rPr>
          <w:noProof/>
        </w:rPr>
        <w:t xml:space="preserve">: </w:t>
      </w:r>
      <w:r w:rsidR="00112DD1">
        <w:rPr>
          <w:noProof/>
        </w:rPr>
        <w:t xml:space="preserve">Fossil fuel subsidies </w:t>
      </w:r>
      <w:r w:rsidR="00843D83" w:rsidRPr="00DA60FE">
        <w:rPr>
          <w:noProof/>
        </w:rPr>
        <w:t>by end-date and as a share of total energy subsid</w:t>
      </w:r>
      <w:r w:rsidR="00112DD1">
        <w:rPr>
          <w:noProof/>
        </w:rPr>
        <w:t>ies</w:t>
      </w:r>
      <w:r w:rsidR="00843D83" w:rsidRPr="00DA60FE">
        <w:rPr>
          <w:noProof/>
        </w:rPr>
        <w:t xml:space="preserve"> (%) in 2021</w:t>
      </w:r>
      <w:bookmarkEnd w:id="82"/>
      <w:bookmarkEnd w:id="83"/>
    </w:p>
    <w:p w14:paraId="196C386E" w14:textId="77777777" w:rsidR="00843D83" w:rsidRPr="00DA60FE" w:rsidRDefault="00843D83" w:rsidP="00D34DE1">
      <w:pPr>
        <w:spacing w:after="120"/>
        <w:jc w:val="center"/>
        <w:rPr>
          <w:rStyle w:val="SourceCar"/>
          <w:rFonts w:eastAsiaTheme="minorEastAsia"/>
          <w:noProof/>
        </w:rPr>
      </w:pPr>
      <w:r w:rsidRPr="0BD16CC5">
        <w:rPr>
          <w:rStyle w:val="SourceCar"/>
          <w:rFonts w:eastAsiaTheme="minorEastAsia"/>
          <w:noProof/>
        </w:rPr>
        <w:t xml:space="preserve">Source: </w:t>
      </w:r>
      <w:r w:rsidR="00C10D3A">
        <w:rPr>
          <w:rStyle w:val="SourceCar"/>
          <w:rFonts w:eastAsiaTheme="minorEastAsia"/>
          <w:noProof/>
        </w:rPr>
        <w:t>Enerdata, Trinomics</w:t>
      </w:r>
      <w:r w:rsidRPr="0BD16CC5">
        <w:rPr>
          <w:rStyle w:val="SourceCar"/>
          <w:rFonts w:eastAsiaTheme="minorEastAsia"/>
          <w:noProof/>
        </w:rPr>
        <w:t>, 2023</w:t>
      </w:r>
    </w:p>
    <w:p w14:paraId="67BD815E" w14:textId="14869E4A" w:rsidR="00843D83" w:rsidRDefault="00843D83" w:rsidP="00C10D3A">
      <w:pPr>
        <w:pStyle w:val="BodyText"/>
        <w:jc w:val="both"/>
        <w:rPr>
          <w:noProof/>
        </w:rPr>
      </w:pPr>
      <w:bookmarkStart w:id="84" w:name="_Int_YJHqIYqt"/>
      <w:r w:rsidRPr="20073020">
        <w:rPr>
          <w:noProof/>
        </w:rPr>
        <w:t>Almost all</w:t>
      </w:r>
      <w:bookmarkEnd w:id="84"/>
      <w:r w:rsidRPr="20073020">
        <w:rPr>
          <w:noProof/>
        </w:rPr>
        <w:t xml:space="preserve"> EU Member States inten</w:t>
      </w:r>
      <w:r w:rsidR="005A06C1">
        <w:rPr>
          <w:noProof/>
        </w:rPr>
        <w:t>d</w:t>
      </w:r>
      <w:r w:rsidRPr="20073020">
        <w:rPr>
          <w:noProof/>
        </w:rPr>
        <w:t xml:space="preserve"> to move away from fossil fuels. However, in most Member States this intention</w:t>
      </w:r>
      <w:r w:rsidR="005A06C1">
        <w:rPr>
          <w:noProof/>
        </w:rPr>
        <w:t xml:space="preserve"> has</w:t>
      </w:r>
      <w:r w:rsidRPr="20073020">
        <w:rPr>
          <w:noProof/>
        </w:rPr>
        <w:t xml:space="preserve"> yet to be translated into concrete plans. The power sector is where Member States have the most concrete plans to reduce their reliance on fossil fuels, especially coal. Eight Member States have also set dates for phasing out fossil fuel-based heating in buildings. For the other economic sectors (industry, transport and agriculture), end-dates for fossil fuel use are </w:t>
      </w:r>
      <w:bookmarkStart w:id="85" w:name="_Int_vaNGpzsl"/>
      <w:r w:rsidRPr="20073020">
        <w:rPr>
          <w:noProof/>
        </w:rPr>
        <w:t>almost completely</w:t>
      </w:r>
      <w:bookmarkEnd w:id="85"/>
      <w:r w:rsidRPr="20073020">
        <w:rPr>
          <w:noProof/>
        </w:rPr>
        <w:t xml:space="preserve"> absent.</w:t>
      </w:r>
    </w:p>
    <w:p w14:paraId="6C18CFD5" w14:textId="3A0DF6FE" w:rsidR="00843D83" w:rsidRDefault="00843D83" w:rsidP="00C10D3A">
      <w:pPr>
        <w:pStyle w:val="BodyText"/>
        <w:jc w:val="both"/>
        <w:rPr>
          <w:noProof/>
        </w:rPr>
      </w:pPr>
      <w:r w:rsidRPr="20073020">
        <w:rPr>
          <w:noProof/>
        </w:rPr>
        <w:t xml:space="preserve">Finally, </w:t>
      </w:r>
      <w:r w:rsidR="00DA5A74">
        <w:rPr>
          <w:noProof/>
        </w:rPr>
        <w:t>although</w:t>
      </w:r>
      <w:r w:rsidR="00DA5A74" w:rsidRPr="20073020">
        <w:rPr>
          <w:noProof/>
        </w:rPr>
        <w:t xml:space="preserve"> </w:t>
      </w:r>
      <w:r w:rsidRPr="20073020">
        <w:rPr>
          <w:noProof/>
        </w:rPr>
        <w:t xml:space="preserve">the amount of fossil fuel subsidies more than doubled in 2022 compared </w:t>
      </w:r>
      <w:r w:rsidR="00DA5A74">
        <w:rPr>
          <w:noProof/>
        </w:rPr>
        <w:t xml:space="preserve">with </w:t>
      </w:r>
      <w:r w:rsidRPr="20073020">
        <w:rPr>
          <w:noProof/>
        </w:rPr>
        <w:t xml:space="preserve">2021 due to the support measures in response to the energy crisis, </w:t>
      </w:r>
      <w:bookmarkStart w:id="86" w:name="_Int_FDkrgkSO"/>
      <w:r w:rsidRPr="20073020">
        <w:rPr>
          <w:noProof/>
        </w:rPr>
        <w:t>the overwhelming majority of</w:t>
      </w:r>
      <w:bookmarkEnd w:id="86"/>
      <w:r w:rsidRPr="20073020">
        <w:rPr>
          <w:noProof/>
        </w:rPr>
        <w:t xml:space="preserve"> these measures are temporary and have an end-date in the </w:t>
      </w:r>
      <w:r w:rsidR="00DA5A74">
        <w:rPr>
          <w:noProof/>
        </w:rPr>
        <w:t>near</w:t>
      </w:r>
      <w:r w:rsidRPr="20073020">
        <w:rPr>
          <w:noProof/>
        </w:rPr>
        <w:t xml:space="preserve">-term. The energy crisis is unlikely to lead to a reversal of the efforts </w:t>
      </w:r>
      <w:r w:rsidR="00DA5A74">
        <w:rPr>
          <w:noProof/>
        </w:rPr>
        <w:t>Member State</w:t>
      </w:r>
      <w:r w:rsidR="00DA5A74" w:rsidRPr="20073020">
        <w:rPr>
          <w:noProof/>
        </w:rPr>
        <w:t xml:space="preserve">s </w:t>
      </w:r>
      <w:r w:rsidRPr="20073020">
        <w:rPr>
          <w:noProof/>
        </w:rPr>
        <w:t xml:space="preserve">have made so far in reducing fossil subsidies. </w:t>
      </w:r>
    </w:p>
    <w:p w14:paraId="0EEA12AC" w14:textId="631B04F6" w:rsidR="00843D83" w:rsidRDefault="00843D83" w:rsidP="00C10D3A">
      <w:pPr>
        <w:pStyle w:val="BodyText"/>
        <w:jc w:val="both"/>
        <w:rPr>
          <w:noProof/>
        </w:rPr>
      </w:pPr>
      <w:r w:rsidRPr="6631F2EE">
        <w:rPr>
          <w:noProof/>
        </w:rPr>
        <w:t>However, it will be important to continue</w:t>
      </w:r>
      <w:r w:rsidR="00DA5A74">
        <w:rPr>
          <w:noProof/>
        </w:rPr>
        <w:t xml:space="preserve"> to</w:t>
      </w:r>
      <w:r w:rsidRPr="6631F2EE">
        <w:rPr>
          <w:noProof/>
        </w:rPr>
        <w:t xml:space="preserve"> monitor temporary </w:t>
      </w:r>
      <w:r w:rsidR="005C05ED">
        <w:rPr>
          <w:noProof/>
        </w:rPr>
        <w:t>fossil fuel subsidies</w:t>
      </w:r>
      <w:r w:rsidR="005C05ED" w:rsidRPr="6631F2EE">
        <w:rPr>
          <w:noProof/>
        </w:rPr>
        <w:t xml:space="preserve"> </w:t>
      </w:r>
      <w:r w:rsidRPr="6631F2EE">
        <w:rPr>
          <w:noProof/>
        </w:rPr>
        <w:t xml:space="preserve">to limit negative impacts </w:t>
      </w:r>
      <w:r w:rsidR="00DA5A74">
        <w:rPr>
          <w:noProof/>
        </w:rPr>
        <w:t>that could</w:t>
      </w:r>
      <w:r w:rsidRPr="6631F2EE">
        <w:rPr>
          <w:noProof/>
        </w:rPr>
        <w:t xml:space="preserve"> reduc</w:t>
      </w:r>
      <w:r w:rsidR="00DA5A74">
        <w:rPr>
          <w:noProof/>
        </w:rPr>
        <w:t>e</w:t>
      </w:r>
      <w:r w:rsidRPr="6631F2EE">
        <w:rPr>
          <w:noProof/>
        </w:rPr>
        <w:t xml:space="preserve"> incentives for investments in energy efficiency and renewable energy. </w:t>
      </w:r>
    </w:p>
    <w:p w14:paraId="44DB005D" w14:textId="50B9B62A" w:rsidR="00843D83" w:rsidRPr="00DA60FE" w:rsidRDefault="00843D83" w:rsidP="00C10D3A">
      <w:pPr>
        <w:pStyle w:val="BodyText"/>
        <w:jc w:val="both"/>
        <w:rPr>
          <w:noProof/>
        </w:rPr>
      </w:pPr>
      <w:r>
        <w:rPr>
          <w:noProof/>
        </w:rPr>
        <w:t>More</w:t>
      </w:r>
      <w:r w:rsidRPr="26B36806">
        <w:rPr>
          <w:noProof/>
        </w:rPr>
        <w:t xml:space="preserve"> transparency </w:t>
      </w:r>
      <w:r w:rsidR="00DA5A74">
        <w:rPr>
          <w:noProof/>
        </w:rPr>
        <w:t>over</w:t>
      </w:r>
      <w:r w:rsidRPr="26B36806">
        <w:rPr>
          <w:noProof/>
        </w:rPr>
        <w:t xml:space="preserve"> end</w:t>
      </w:r>
      <w:r w:rsidR="00DA5A74">
        <w:rPr>
          <w:noProof/>
        </w:rPr>
        <w:noBreakHyphen/>
      </w:r>
      <w:r w:rsidRPr="26B36806">
        <w:rPr>
          <w:noProof/>
        </w:rPr>
        <w:t xml:space="preserve">dates </w:t>
      </w:r>
      <w:r w:rsidR="00DA5A74">
        <w:rPr>
          <w:noProof/>
        </w:rPr>
        <w:t xml:space="preserve">for </w:t>
      </w:r>
      <w:r w:rsidRPr="26B36806">
        <w:rPr>
          <w:noProof/>
        </w:rPr>
        <w:t>fossil fuel su</w:t>
      </w:r>
      <w:r w:rsidR="00DA5A74">
        <w:rPr>
          <w:noProof/>
        </w:rPr>
        <w:t>bsidies</w:t>
      </w:r>
      <w:r>
        <w:rPr>
          <w:noProof/>
        </w:rPr>
        <w:t xml:space="preserve"> from Member States is crucial in this respect</w:t>
      </w:r>
      <w:r w:rsidRPr="26B36806">
        <w:rPr>
          <w:noProof/>
        </w:rPr>
        <w:t xml:space="preserve">. The absence of information on end-dates </w:t>
      </w:r>
      <w:r w:rsidR="00DA5A74">
        <w:rPr>
          <w:noProof/>
        </w:rPr>
        <w:t xml:space="preserve">for these subsidies makes it difficult </w:t>
      </w:r>
      <w:r w:rsidRPr="26B36806">
        <w:rPr>
          <w:noProof/>
        </w:rPr>
        <w:t xml:space="preserve">to assess whether the EU is on track </w:t>
      </w:r>
      <w:r w:rsidR="00DA5A74">
        <w:rPr>
          <w:noProof/>
        </w:rPr>
        <w:t>to</w:t>
      </w:r>
      <w:r w:rsidR="00DA5A74" w:rsidRPr="26B36806">
        <w:rPr>
          <w:noProof/>
        </w:rPr>
        <w:t xml:space="preserve"> </w:t>
      </w:r>
      <w:r w:rsidRPr="26B36806">
        <w:rPr>
          <w:noProof/>
        </w:rPr>
        <w:t>phas</w:t>
      </w:r>
      <w:r w:rsidR="00DA5A74">
        <w:rPr>
          <w:noProof/>
        </w:rPr>
        <w:t>e</w:t>
      </w:r>
      <w:r w:rsidRPr="26B36806">
        <w:rPr>
          <w:noProof/>
        </w:rPr>
        <w:t xml:space="preserve"> out </w:t>
      </w:r>
      <w:r>
        <w:rPr>
          <w:noProof/>
        </w:rPr>
        <w:t>fossil fuel subsidies</w:t>
      </w:r>
      <w:r w:rsidRPr="26B36806">
        <w:rPr>
          <w:noProof/>
        </w:rPr>
        <w:t xml:space="preserve"> consistent with the ambition of limiting global warming to 1.5 °C.</w:t>
      </w:r>
      <w:r>
        <w:rPr>
          <w:noProof/>
        </w:rPr>
        <w:t xml:space="preserve"> </w:t>
      </w:r>
    </w:p>
    <w:p w14:paraId="20A9CC40" w14:textId="77777777" w:rsidR="00843D83" w:rsidRPr="00C406BE" w:rsidRDefault="00843D83" w:rsidP="000B1AFB">
      <w:pPr>
        <w:pStyle w:val="Heading1"/>
        <w:pageBreakBefore/>
        <w:rPr>
          <w:noProof/>
          <w:lang w:val="en-IE"/>
        </w:rPr>
      </w:pPr>
      <w:r w:rsidRPr="00C406BE">
        <w:rPr>
          <w:noProof/>
        </w:rPr>
        <w:t>Conclusions</w:t>
      </w:r>
    </w:p>
    <w:p w14:paraId="2D0D6C46" w14:textId="41262CC8" w:rsidR="00843D83" w:rsidRDefault="00843D83" w:rsidP="00C10D3A">
      <w:pPr>
        <w:pStyle w:val="BodyText"/>
        <w:jc w:val="both"/>
        <w:rPr>
          <w:noProof/>
        </w:rPr>
      </w:pPr>
      <w:r>
        <w:rPr>
          <w:noProof/>
        </w:rPr>
        <w:t xml:space="preserve">The recent extraordinarily high energy prices </w:t>
      </w:r>
      <w:r w:rsidR="001A438E">
        <w:rPr>
          <w:noProof/>
        </w:rPr>
        <w:t>made it necessary to take</w:t>
      </w:r>
      <w:r>
        <w:rPr>
          <w:noProof/>
        </w:rPr>
        <w:t xml:space="preserve"> bold policy initiatives in the European Union to mitigate </w:t>
      </w:r>
      <w:r w:rsidR="001A438E">
        <w:rPr>
          <w:noProof/>
        </w:rPr>
        <w:t xml:space="preserve">the </w:t>
      </w:r>
      <w:r>
        <w:rPr>
          <w:noProof/>
        </w:rPr>
        <w:t>social impact</w:t>
      </w:r>
      <w:r w:rsidR="001A438E">
        <w:rPr>
          <w:noProof/>
        </w:rPr>
        <w:t xml:space="preserve"> of the energy crisis</w:t>
      </w:r>
      <w:r>
        <w:rPr>
          <w:noProof/>
        </w:rPr>
        <w:t xml:space="preserve">. The temporary and exceptional measures </w:t>
      </w:r>
      <w:r w:rsidR="00F91B6F">
        <w:rPr>
          <w:noProof/>
        </w:rPr>
        <w:t xml:space="preserve">to address the energy crisis </w:t>
      </w:r>
      <w:r>
        <w:rPr>
          <w:noProof/>
        </w:rPr>
        <w:t xml:space="preserve">have </w:t>
      </w:r>
      <w:bookmarkStart w:id="87" w:name="_Int_N2NFaOI0"/>
      <w:r>
        <w:rPr>
          <w:noProof/>
        </w:rPr>
        <w:t>greatly impacted</w:t>
      </w:r>
      <w:bookmarkEnd w:id="87"/>
      <w:r>
        <w:rPr>
          <w:noProof/>
        </w:rPr>
        <w:t xml:space="preserve"> the trends</w:t>
      </w:r>
      <w:r w:rsidR="001A438E">
        <w:rPr>
          <w:noProof/>
        </w:rPr>
        <w:t xml:space="preserve"> in energy subsidies. The recent spike in energy prices has also affected</w:t>
      </w:r>
      <w:r>
        <w:rPr>
          <w:noProof/>
        </w:rPr>
        <w:t xml:space="preserve"> the types of measures </w:t>
      </w:r>
      <w:r w:rsidR="00BD3216">
        <w:rPr>
          <w:noProof/>
        </w:rPr>
        <w:t xml:space="preserve">used to provide the subsidies </w:t>
      </w:r>
      <w:r>
        <w:rPr>
          <w:noProof/>
        </w:rPr>
        <w:t>and technologies promoted</w:t>
      </w:r>
      <w:r w:rsidR="001A438E">
        <w:rPr>
          <w:noProof/>
        </w:rPr>
        <w:t xml:space="preserve"> by subsidies</w:t>
      </w:r>
      <w:r>
        <w:rPr>
          <w:noProof/>
        </w:rPr>
        <w:t xml:space="preserve">, </w:t>
      </w:r>
      <w:r w:rsidR="001A438E">
        <w:rPr>
          <w:noProof/>
        </w:rPr>
        <w:t xml:space="preserve">leading to a </w:t>
      </w:r>
      <w:r>
        <w:rPr>
          <w:noProof/>
        </w:rPr>
        <w:t>significantly increas</w:t>
      </w:r>
      <w:r w:rsidR="001A438E">
        <w:rPr>
          <w:noProof/>
        </w:rPr>
        <w:t>e in</w:t>
      </w:r>
      <w:r>
        <w:rPr>
          <w:noProof/>
        </w:rPr>
        <w:t xml:space="preserve"> fossil fuel</w:t>
      </w:r>
      <w:r w:rsidR="001A438E">
        <w:rPr>
          <w:noProof/>
        </w:rPr>
        <w:t xml:space="preserve"> subsidies</w:t>
      </w:r>
      <w:r>
        <w:rPr>
          <w:noProof/>
        </w:rPr>
        <w:t xml:space="preserve"> since 2022 </w:t>
      </w:r>
      <w:r w:rsidR="001A438E">
        <w:rPr>
          <w:noProof/>
        </w:rPr>
        <w:t xml:space="preserve">to </w:t>
      </w:r>
      <w:r w:rsidR="00D96BFD">
        <w:rPr>
          <w:noProof/>
        </w:rPr>
        <w:t xml:space="preserve">mitigate </w:t>
      </w:r>
      <w:r w:rsidR="001A438E">
        <w:rPr>
          <w:noProof/>
        </w:rPr>
        <w:t xml:space="preserve">the high </w:t>
      </w:r>
      <w:r w:rsidR="00D96BFD">
        <w:rPr>
          <w:noProof/>
        </w:rPr>
        <w:t xml:space="preserve">energy bills </w:t>
      </w:r>
      <w:r w:rsidR="001A438E">
        <w:rPr>
          <w:noProof/>
        </w:rPr>
        <w:t>among consumers</w:t>
      </w:r>
      <w:r>
        <w:rPr>
          <w:noProof/>
        </w:rPr>
        <w:t>.</w:t>
      </w:r>
    </w:p>
    <w:p w14:paraId="76FF75AB" w14:textId="1D5D7A88" w:rsidR="00843D83" w:rsidRDefault="001A438E" w:rsidP="00C10D3A">
      <w:pPr>
        <w:pStyle w:val="BodyText"/>
        <w:jc w:val="both"/>
        <w:rPr>
          <w:noProof/>
        </w:rPr>
      </w:pPr>
      <w:r>
        <w:rPr>
          <w:noProof/>
        </w:rPr>
        <w:t>These i</w:t>
      </w:r>
      <w:r w:rsidR="00843D83">
        <w:rPr>
          <w:noProof/>
        </w:rPr>
        <w:t xml:space="preserve">ncreased energy subsidies did not lead to more energy consumption. Overall demand for energy decreased </w:t>
      </w:r>
      <w:r>
        <w:rPr>
          <w:noProof/>
        </w:rPr>
        <w:t xml:space="preserve">in 2022 </w:t>
      </w:r>
      <w:r w:rsidR="00843D83">
        <w:rPr>
          <w:noProof/>
        </w:rPr>
        <w:t>compared with pre-COVID-19 levels. All economic actors reduced their gas demand by 17%</w:t>
      </w:r>
      <w:r w:rsidR="00843D83" w:rsidRPr="2ADC3B3F">
        <w:rPr>
          <w:rStyle w:val="FootnoteReference"/>
          <w:noProof/>
        </w:rPr>
        <w:footnoteReference w:id="25"/>
      </w:r>
      <w:r w:rsidR="00843D83">
        <w:rPr>
          <w:noProof/>
        </w:rPr>
        <w:t xml:space="preserve"> with households and industry in the lead (</w:t>
      </w:r>
      <w:r>
        <w:rPr>
          <w:noProof/>
        </w:rPr>
        <w:t xml:space="preserve">reductions of </w:t>
      </w:r>
      <w:r w:rsidR="00843D83">
        <w:rPr>
          <w:noProof/>
        </w:rPr>
        <w:t xml:space="preserve">50% and 43%, respectively), reacting to both higher prices and policy measures encouraging demand reduction. The EU continued its support </w:t>
      </w:r>
      <w:r>
        <w:rPr>
          <w:noProof/>
        </w:rPr>
        <w:t xml:space="preserve">for </w:t>
      </w:r>
      <w:r w:rsidR="00843D83">
        <w:rPr>
          <w:noProof/>
        </w:rPr>
        <w:t xml:space="preserve">energy efficiency investments and </w:t>
      </w:r>
      <w:r>
        <w:rPr>
          <w:noProof/>
        </w:rPr>
        <w:t xml:space="preserve">took significant </w:t>
      </w:r>
      <w:r w:rsidR="00843D83">
        <w:rPr>
          <w:noProof/>
        </w:rPr>
        <w:t>additional steps in the area with the recast of the Energy Efficiency Directive.</w:t>
      </w:r>
    </w:p>
    <w:p w14:paraId="070EBC51" w14:textId="45D4A4EE" w:rsidR="00843D83" w:rsidRPr="00FA0621" w:rsidRDefault="001A438E" w:rsidP="00C10D3A">
      <w:pPr>
        <w:pStyle w:val="BodyText"/>
        <w:jc w:val="both"/>
        <w:rPr>
          <w:noProof/>
        </w:rPr>
      </w:pPr>
      <w:r>
        <w:rPr>
          <w:noProof/>
        </w:rPr>
        <w:t>The end of the long</w:t>
      </w:r>
      <w:r w:rsidR="00843D83" w:rsidRPr="0CC629D8">
        <w:rPr>
          <w:noProof/>
        </w:rPr>
        <w:t xml:space="preserve"> downward trend </w:t>
      </w:r>
      <w:r>
        <w:rPr>
          <w:noProof/>
        </w:rPr>
        <w:t>in</w:t>
      </w:r>
      <w:r w:rsidR="00843D83" w:rsidRPr="0CC629D8">
        <w:rPr>
          <w:noProof/>
        </w:rPr>
        <w:t xml:space="preserve"> energy subsidies </w:t>
      </w:r>
      <w:r>
        <w:rPr>
          <w:noProof/>
        </w:rPr>
        <w:t>wa</w:t>
      </w:r>
      <w:r w:rsidR="00843D83" w:rsidRPr="0CC629D8">
        <w:rPr>
          <w:noProof/>
        </w:rPr>
        <w:t xml:space="preserve">s justified by the priority </w:t>
      </w:r>
      <w:r>
        <w:rPr>
          <w:noProof/>
        </w:rPr>
        <w:t>of</w:t>
      </w:r>
      <w:r w:rsidR="00843D83" w:rsidRPr="0CC629D8">
        <w:rPr>
          <w:noProof/>
        </w:rPr>
        <w:t xml:space="preserve"> shield</w:t>
      </w:r>
      <w:r>
        <w:rPr>
          <w:noProof/>
        </w:rPr>
        <w:t>ing</w:t>
      </w:r>
      <w:r w:rsidR="00843D83" w:rsidRPr="0CC629D8">
        <w:rPr>
          <w:noProof/>
        </w:rPr>
        <w:t xml:space="preserve"> EU consumers from </w:t>
      </w:r>
      <w:r w:rsidR="00F91B6F">
        <w:rPr>
          <w:noProof/>
        </w:rPr>
        <w:t xml:space="preserve">the </w:t>
      </w:r>
      <w:r w:rsidR="004B47E4">
        <w:rPr>
          <w:noProof/>
        </w:rPr>
        <w:t xml:space="preserve">energy bills </w:t>
      </w:r>
      <w:r w:rsidR="00F91B6F">
        <w:rPr>
          <w:noProof/>
        </w:rPr>
        <w:t>shock</w:t>
      </w:r>
      <w:r>
        <w:rPr>
          <w:noProof/>
        </w:rPr>
        <w:t>. But</w:t>
      </w:r>
      <w:r w:rsidR="00843D83" w:rsidRPr="0CC629D8">
        <w:rPr>
          <w:noProof/>
        </w:rPr>
        <w:t xml:space="preserve"> if temporary measures are extended in the medium</w:t>
      </w:r>
      <w:r>
        <w:rPr>
          <w:noProof/>
        </w:rPr>
        <w:t xml:space="preserve"> </w:t>
      </w:r>
      <w:r w:rsidR="00843D83" w:rsidRPr="0CC629D8">
        <w:rPr>
          <w:noProof/>
        </w:rPr>
        <w:t>term, this</w:t>
      </w:r>
      <w:r>
        <w:rPr>
          <w:noProof/>
        </w:rPr>
        <w:t xml:space="preserve"> could</w:t>
      </w:r>
      <w:r w:rsidR="00843D83" w:rsidRPr="0CC629D8">
        <w:rPr>
          <w:noProof/>
        </w:rPr>
        <w:t xml:space="preserve"> have a long-lasting negative impact by reducing market incentives for energy efficiency and renewable energy investments including clean heating solutions such as heat pumps.</w:t>
      </w:r>
    </w:p>
    <w:p w14:paraId="5B5B23B9" w14:textId="21D0A720" w:rsidR="00843D83" w:rsidRDefault="00843D83" w:rsidP="00C10D3A">
      <w:pPr>
        <w:pStyle w:val="BodyText"/>
        <w:jc w:val="both"/>
        <w:rPr>
          <w:noProof/>
        </w:rPr>
      </w:pPr>
      <w:r>
        <w:rPr>
          <w:noProof/>
        </w:rPr>
        <w:t xml:space="preserve">The EU has decisively embarked </w:t>
      </w:r>
      <w:r w:rsidR="00F91B6F">
        <w:rPr>
          <w:noProof/>
        </w:rPr>
        <w:t>o</w:t>
      </w:r>
      <w:r>
        <w:rPr>
          <w:noProof/>
        </w:rPr>
        <w:t xml:space="preserve">n an energy transition to </w:t>
      </w:r>
      <w:r w:rsidR="001A438E">
        <w:rPr>
          <w:noProof/>
        </w:rPr>
        <w:t xml:space="preserve">achieve </w:t>
      </w:r>
      <w:r>
        <w:rPr>
          <w:noProof/>
        </w:rPr>
        <w:t xml:space="preserve">climate neutrality by 2050. </w:t>
      </w:r>
      <w:r w:rsidR="00411152">
        <w:rPr>
          <w:noProof/>
        </w:rPr>
        <w:t>Energy savings</w:t>
      </w:r>
      <w:r>
        <w:rPr>
          <w:noProof/>
        </w:rPr>
        <w:t xml:space="preserve"> and </w:t>
      </w:r>
      <w:r w:rsidR="001A438E">
        <w:rPr>
          <w:noProof/>
        </w:rPr>
        <w:t xml:space="preserve">reduced </w:t>
      </w:r>
      <w:r>
        <w:rPr>
          <w:noProof/>
        </w:rPr>
        <w:t xml:space="preserve">reliance on fossil fuels in the residential, power, transport and industrial sectors should help the EU </w:t>
      </w:r>
      <w:r w:rsidR="001A438E">
        <w:rPr>
          <w:noProof/>
        </w:rPr>
        <w:t xml:space="preserve">in a variety of ways: (i) </w:t>
      </w:r>
      <w:r w:rsidDel="00DC6271">
        <w:rPr>
          <w:noProof/>
        </w:rPr>
        <w:t>r</w:t>
      </w:r>
      <w:r>
        <w:rPr>
          <w:noProof/>
        </w:rPr>
        <w:t>educing imports of fossil fuels</w:t>
      </w:r>
      <w:r w:rsidR="001A438E">
        <w:rPr>
          <w:noProof/>
        </w:rPr>
        <w:t>;</w:t>
      </w:r>
      <w:r>
        <w:rPr>
          <w:noProof/>
        </w:rPr>
        <w:t xml:space="preserve"> </w:t>
      </w:r>
      <w:r w:rsidR="001A438E">
        <w:rPr>
          <w:noProof/>
        </w:rPr>
        <w:t xml:space="preserve">(ii) </w:t>
      </w:r>
      <w:r>
        <w:rPr>
          <w:noProof/>
        </w:rPr>
        <w:t>speeding up the clean-energy transition</w:t>
      </w:r>
      <w:r w:rsidR="001A438E">
        <w:rPr>
          <w:noProof/>
        </w:rPr>
        <w:t>;</w:t>
      </w:r>
      <w:r>
        <w:rPr>
          <w:noProof/>
        </w:rPr>
        <w:t xml:space="preserve"> and </w:t>
      </w:r>
      <w:r w:rsidR="001A438E">
        <w:rPr>
          <w:noProof/>
        </w:rPr>
        <w:t>(iii) improving the EU’s</w:t>
      </w:r>
      <w:r>
        <w:rPr>
          <w:noProof/>
        </w:rPr>
        <w:t xml:space="preserve"> security of energy supply. The energy transition should therefore bring </w:t>
      </w:r>
      <w:r w:rsidR="001A438E">
        <w:rPr>
          <w:noProof/>
        </w:rPr>
        <w:t xml:space="preserve">about </w:t>
      </w:r>
      <w:r>
        <w:rPr>
          <w:noProof/>
        </w:rPr>
        <w:t xml:space="preserve">a reduction in fossil-fuel subsidies, and a significant redirection </w:t>
      </w:r>
      <w:r w:rsidR="001A438E">
        <w:rPr>
          <w:noProof/>
        </w:rPr>
        <w:t>in subsidy</w:t>
      </w:r>
      <w:r>
        <w:rPr>
          <w:noProof/>
        </w:rPr>
        <w:t xml:space="preserve"> support to renewables and energy efficiency. </w:t>
      </w:r>
    </w:p>
    <w:p w14:paraId="5276682B" w14:textId="1F073AE4" w:rsidR="00843D83" w:rsidRPr="00DA60FE" w:rsidRDefault="001A438E" w:rsidP="00C10D3A">
      <w:pPr>
        <w:pStyle w:val="BodyText"/>
        <w:jc w:val="both"/>
        <w:rPr>
          <w:noProof/>
        </w:rPr>
      </w:pPr>
      <w:r>
        <w:rPr>
          <w:noProof/>
        </w:rPr>
        <w:t xml:space="preserve">Although </w:t>
      </w:r>
      <w:r w:rsidR="00843D83">
        <w:rPr>
          <w:noProof/>
        </w:rPr>
        <w:t xml:space="preserve">the situation on </w:t>
      </w:r>
      <w:r>
        <w:rPr>
          <w:noProof/>
        </w:rPr>
        <w:t xml:space="preserve">global and European </w:t>
      </w:r>
      <w:r w:rsidR="00843D83">
        <w:rPr>
          <w:noProof/>
        </w:rPr>
        <w:t>energy markets has stabilised</w:t>
      </w:r>
      <w:r w:rsidR="00267D99">
        <w:rPr>
          <w:noProof/>
        </w:rPr>
        <w:t xml:space="preserve"> as compared with the </w:t>
      </w:r>
      <w:r w:rsidR="00290C8D">
        <w:rPr>
          <w:noProof/>
        </w:rPr>
        <w:t>worst times of the energy crisis in 2022</w:t>
      </w:r>
      <w:r w:rsidR="00843D83">
        <w:rPr>
          <w:noProof/>
        </w:rPr>
        <w:t>, the price</w:t>
      </w:r>
      <w:r>
        <w:rPr>
          <w:noProof/>
        </w:rPr>
        <w:t>s</w:t>
      </w:r>
      <w:r w:rsidR="00843D83">
        <w:rPr>
          <w:noProof/>
        </w:rPr>
        <w:t xml:space="preserve"> of some fuels (like </w:t>
      </w:r>
      <w:r w:rsidR="00F91B6F">
        <w:rPr>
          <w:noProof/>
        </w:rPr>
        <w:t xml:space="preserve">natural </w:t>
      </w:r>
      <w:r w:rsidR="00843D83">
        <w:rPr>
          <w:noProof/>
        </w:rPr>
        <w:t xml:space="preserve">gas) may remain volatile and at relative high level </w:t>
      </w:r>
      <w:r w:rsidR="000C22CA">
        <w:rPr>
          <w:noProof/>
        </w:rPr>
        <w:t xml:space="preserve">for some years </w:t>
      </w:r>
      <w:r w:rsidR="00843D83">
        <w:rPr>
          <w:noProof/>
        </w:rPr>
        <w:t>compared with pre-crisis levels. This</w:t>
      </w:r>
      <w:r w:rsidR="000C22CA">
        <w:rPr>
          <w:noProof/>
        </w:rPr>
        <w:t>,</w:t>
      </w:r>
      <w:r w:rsidR="00843D83">
        <w:rPr>
          <w:noProof/>
        </w:rPr>
        <w:t xml:space="preserve"> together with the replacement of fossil fuel technologies by more sustainable solutions</w:t>
      </w:r>
      <w:r w:rsidR="000C22CA">
        <w:rPr>
          <w:noProof/>
        </w:rPr>
        <w:t>,</w:t>
      </w:r>
      <w:r w:rsidR="00843D83">
        <w:rPr>
          <w:noProof/>
        </w:rPr>
        <w:t xml:space="preserve"> should lead to a</w:t>
      </w:r>
      <w:r w:rsidR="00843D83" w:rsidDel="00730A8B">
        <w:rPr>
          <w:noProof/>
        </w:rPr>
        <w:t xml:space="preserve"> </w:t>
      </w:r>
      <w:r w:rsidR="00843D83">
        <w:rPr>
          <w:noProof/>
        </w:rPr>
        <w:t>significant dec</w:t>
      </w:r>
      <w:r w:rsidR="000C22CA">
        <w:rPr>
          <w:noProof/>
        </w:rPr>
        <w:t>line</w:t>
      </w:r>
      <w:r w:rsidR="00843D83">
        <w:rPr>
          <w:noProof/>
        </w:rPr>
        <w:t xml:space="preserve"> in the consumption </w:t>
      </w:r>
      <w:r w:rsidR="000C22CA">
        <w:rPr>
          <w:noProof/>
        </w:rPr>
        <w:t>of fossil fuels (</w:t>
      </w:r>
      <w:r w:rsidR="00843D83">
        <w:rPr>
          <w:noProof/>
        </w:rPr>
        <w:t xml:space="preserve">and </w:t>
      </w:r>
      <w:r w:rsidR="000C22CA">
        <w:rPr>
          <w:noProof/>
        </w:rPr>
        <w:t>their</w:t>
      </w:r>
      <w:r w:rsidR="00843D83">
        <w:rPr>
          <w:noProof/>
        </w:rPr>
        <w:t xml:space="preserve"> subsidies</w:t>
      </w:r>
      <w:r w:rsidR="000C22CA">
        <w:rPr>
          <w:noProof/>
        </w:rPr>
        <w:t>) in the medium term</w:t>
      </w:r>
      <w:r w:rsidR="00843D83">
        <w:rPr>
          <w:noProof/>
        </w:rPr>
        <w:t>.</w:t>
      </w:r>
      <w:r w:rsidR="00843D83" w:rsidDel="008D1BF9">
        <w:rPr>
          <w:noProof/>
        </w:rPr>
        <w:t xml:space="preserve"> </w:t>
      </w:r>
      <w:r w:rsidR="00843D83">
        <w:rPr>
          <w:noProof/>
        </w:rPr>
        <w:t xml:space="preserve">Policy considerations for affordability may justify temporary measures to support households and industry. However, in the longer term, the energy transition </w:t>
      </w:r>
      <w:r w:rsidR="001F3BED">
        <w:rPr>
          <w:noProof/>
        </w:rPr>
        <w:t xml:space="preserve">will enable </w:t>
      </w:r>
      <w:r w:rsidR="00843D83">
        <w:rPr>
          <w:noProof/>
        </w:rPr>
        <w:t xml:space="preserve">efficiency and renewable technologies to </w:t>
      </w:r>
      <w:r w:rsidR="00843D83" w:rsidRPr="0BD16CC5">
        <w:rPr>
          <w:noProof/>
        </w:rPr>
        <w:t xml:space="preserve">increasingly </w:t>
      </w:r>
      <w:r w:rsidR="00843D83">
        <w:rPr>
          <w:noProof/>
        </w:rPr>
        <w:t>redirect</w:t>
      </w:r>
      <w:r w:rsidR="00843D83" w:rsidDel="00EA1096">
        <w:rPr>
          <w:noProof/>
        </w:rPr>
        <w:t xml:space="preserve"> </w:t>
      </w:r>
      <w:r w:rsidR="00843D83">
        <w:rPr>
          <w:noProof/>
        </w:rPr>
        <w:t>support away from environmentally harmful fossil fuel subsidies.</w:t>
      </w:r>
    </w:p>
    <w:p w14:paraId="23870C0B" w14:textId="77777777" w:rsidR="00D0777E" w:rsidRDefault="00D0777E" w:rsidP="00C10D3A">
      <w:pPr>
        <w:pStyle w:val="BodyText"/>
        <w:jc w:val="both"/>
        <w:rPr>
          <w:noProof/>
        </w:rPr>
      </w:pPr>
    </w:p>
    <w:sectPr w:rsidR="00D0777E" w:rsidSect="00411152">
      <w:headerReference w:type="even" r:id="rId44"/>
      <w:headerReference w:type="default" r:id="rId45"/>
      <w:footerReference w:type="even" r:id="rId46"/>
      <w:footerReference w:type="default" r:id="rId47"/>
      <w:headerReference w:type="first" r:id="rId48"/>
      <w:footerReference w:type="first" r:id="rId49"/>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3DE5F" w14:textId="77777777" w:rsidR="00361E54" w:rsidRDefault="00361E54" w:rsidP="00843D83">
      <w:pPr>
        <w:spacing w:after="0" w:line="240" w:lineRule="auto"/>
      </w:pPr>
      <w:r>
        <w:separator/>
      </w:r>
    </w:p>
  </w:endnote>
  <w:endnote w:type="continuationSeparator" w:id="0">
    <w:p w14:paraId="36CB16F4" w14:textId="77777777" w:rsidR="00361E54" w:rsidRDefault="00361E54" w:rsidP="00843D83">
      <w:pPr>
        <w:spacing w:after="0" w:line="240" w:lineRule="auto"/>
      </w:pPr>
      <w:r>
        <w:continuationSeparator/>
      </w:r>
    </w:p>
  </w:endnote>
  <w:endnote w:type="continuationNotice" w:id="1">
    <w:p w14:paraId="2F6A34E7" w14:textId="77777777" w:rsidR="00361E54" w:rsidRDefault="00361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 Square Sans Pro">
    <w:altName w:val="Bahnschrift Light"/>
    <w:charset w:val="00"/>
    <w:family w:val="swiss"/>
    <w:pitch w:val="variable"/>
    <w:sig w:usb0="00000001" w:usb1="00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Open Sans Condensed">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1B9DB" w14:textId="45C67170" w:rsidR="00911DDC" w:rsidRPr="00B85F9F" w:rsidRDefault="00911DDC" w:rsidP="00B85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107DA" w14:textId="28832A43" w:rsidR="00911DDC" w:rsidRPr="00B85F9F" w:rsidRDefault="00B85F9F" w:rsidP="00B85F9F">
    <w:pPr>
      <w:pStyle w:val="FooterCoverPage"/>
      <w:rPr>
        <w:rFonts w:ascii="Arial" w:hAnsi="Arial" w:cs="Arial"/>
        <w:b/>
        <w:sz w:val="48"/>
      </w:rPr>
    </w:pPr>
    <w:r w:rsidRPr="00B85F9F">
      <w:rPr>
        <w:rFonts w:ascii="Arial" w:hAnsi="Arial" w:cs="Arial"/>
        <w:b/>
        <w:sz w:val="48"/>
      </w:rPr>
      <w:t>EN</w:t>
    </w:r>
    <w:r w:rsidRPr="00B85F9F">
      <w:rPr>
        <w:rFonts w:ascii="Arial" w:hAnsi="Arial" w:cs="Arial"/>
        <w:b/>
        <w:sz w:val="48"/>
      </w:rPr>
      <w:tab/>
    </w:r>
    <w:r w:rsidRPr="00B85F9F">
      <w:rPr>
        <w:rFonts w:ascii="Arial" w:hAnsi="Arial" w:cs="Arial"/>
        <w:b/>
        <w:sz w:val="48"/>
      </w:rPr>
      <w:tab/>
    </w:r>
    <w:r w:rsidRPr="00B85F9F">
      <w:tab/>
    </w:r>
    <w:r w:rsidRPr="00B85F9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EA480" w14:textId="77777777" w:rsidR="00B85F9F" w:rsidRPr="00B85F9F" w:rsidRDefault="00B85F9F" w:rsidP="00B85F9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C3850" w14:textId="77777777" w:rsidR="00361E54" w:rsidRPr="00843D83" w:rsidRDefault="00361E54" w:rsidP="00843D83">
    <w:pPr>
      <w:pStyle w:val="FooterCoverPage"/>
      <w:rPr>
        <w:rFonts w:ascii="Arial" w:hAnsi="Arial" w:cs="Arial"/>
        <w:b/>
        <w:sz w:val="48"/>
      </w:rPr>
    </w:pPr>
    <w:r w:rsidRPr="00843D83">
      <w:rPr>
        <w:rFonts w:ascii="Arial" w:hAnsi="Arial" w:cs="Arial"/>
        <w:b/>
        <w:sz w:val="48"/>
      </w:rPr>
      <w:t>EN</w:t>
    </w:r>
    <w:r w:rsidRPr="00843D83">
      <w:rPr>
        <w:rFonts w:ascii="Arial" w:hAnsi="Arial" w:cs="Arial"/>
        <w:b/>
        <w:sz w:val="48"/>
      </w:rPr>
      <w:tab/>
    </w:r>
    <w:r w:rsidRPr="00843D83">
      <w:rPr>
        <w:rFonts w:ascii="Arial" w:hAnsi="Arial" w:cs="Arial"/>
        <w:b/>
        <w:sz w:val="48"/>
      </w:rPr>
      <w:tab/>
    </w:r>
    <w:r w:rsidRPr="00843D83">
      <w:tab/>
    </w:r>
    <w:r w:rsidRPr="00843D83">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77024" w14:textId="77777777" w:rsidR="00361E54" w:rsidRPr="00843D83" w:rsidRDefault="00361E54" w:rsidP="00411152">
    <w:pPr>
      <w:pStyle w:val="Footer"/>
      <w:rPr>
        <w:rFonts w:ascii="Arial" w:hAnsi="Arial" w:cs="Arial"/>
        <w:bCs/>
        <w:sz w:val="20"/>
        <w:szCs w:val="4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058D8" w14:textId="77777777" w:rsidR="00361E54" w:rsidRPr="000E1DCF" w:rsidRDefault="00361E54" w:rsidP="0041115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B7F7A" w14:textId="77777777" w:rsidR="00361E54" w:rsidRPr="00843D83" w:rsidRDefault="00361E54" w:rsidP="00843D83">
    <w:pPr>
      <w:pStyle w:val="FooterCoverPage"/>
      <w:rPr>
        <w:rFonts w:ascii="Arial" w:hAnsi="Arial" w:cs="Arial"/>
        <w:b/>
        <w:sz w:val="48"/>
      </w:rPr>
    </w:pPr>
    <w:r w:rsidRPr="00843D83">
      <w:rPr>
        <w:rFonts w:ascii="Arial" w:hAnsi="Arial" w:cs="Arial"/>
        <w:b/>
        <w:sz w:val="48"/>
      </w:rPr>
      <w:t>EN</w:t>
    </w:r>
    <w:r w:rsidRPr="00843D83">
      <w:rPr>
        <w:rFonts w:ascii="Arial" w:hAnsi="Arial" w:cs="Arial"/>
        <w:b/>
        <w:sz w:val="48"/>
      </w:rPr>
      <w:tab/>
    </w:r>
    <w:r w:rsidRPr="00843D83">
      <w:rPr>
        <w:rFonts w:ascii="Arial" w:hAnsi="Arial" w:cs="Arial"/>
        <w:b/>
        <w:sz w:val="48"/>
      </w:rPr>
      <w:tab/>
    </w:r>
    <w:r w:rsidRPr="00843D83">
      <w:tab/>
    </w:r>
    <w:r w:rsidRPr="00843D83">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2B3B9" w14:textId="77777777" w:rsidR="00361E54" w:rsidRPr="00843D83" w:rsidRDefault="00361E54" w:rsidP="00411152">
    <w:pPr>
      <w:pStyle w:val="Footer"/>
      <w:rPr>
        <w:rFonts w:ascii="Arial" w:hAnsi="Arial" w:cs="Arial"/>
        <w:bCs/>
        <w:sz w:val="20"/>
        <w:szCs w:val="4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72EEC" w14:textId="77777777" w:rsidR="00361E54" w:rsidRPr="000E1DCF" w:rsidRDefault="00361E54" w:rsidP="00411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2BDD7" w14:textId="77777777" w:rsidR="00361E54" w:rsidRDefault="00361E54" w:rsidP="00843D83">
      <w:pPr>
        <w:spacing w:after="0" w:line="240" w:lineRule="auto"/>
      </w:pPr>
      <w:r>
        <w:separator/>
      </w:r>
    </w:p>
  </w:footnote>
  <w:footnote w:type="continuationSeparator" w:id="0">
    <w:p w14:paraId="500CE6DE" w14:textId="77777777" w:rsidR="00361E54" w:rsidRDefault="00361E54" w:rsidP="00843D83">
      <w:pPr>
        <w:spacing w:after="0" w:line="240" w:lineRule="auto"/>
      </w:pPr>
      <w:r>
        <w:continuationSeparator/>
      </w:r>
    </w:p>
  </w:footnote>
  <w:footnote w:type="continuationNotice" w:id="1">
    <w:p w14:paraId="4C2C35A0" w14:textId="77777777" w:rsidR="00361E54" w:rsidRDefault="00361E54">
      <w:pPr>
        <w:spacing w:after="0" w:line="240" w:lineRule="auto"/>
      </w:pPr>
    </w:p>
  </w:footnote>
  <w:footnote w:id="2">
    <w:p w14:paraId="14EC1207" w14:textId="77777777" w:rsidR="00361E54" w:rsidRPr="005900FD" w:rsidRDefault="00361E54" w:rsidP="001F3BED">
      <w:pPr>
        <w:pStyle w:val="FootnoteText"/>
        <w:spacing w:after="0"/>
      </w:pPr>
      <w:r>
        <w:rPr>
          <w:rStyle w:val="FootnoteReference"/>
        </w:rPr>
        <w:footnoteRef/>
      </w:r>
      <w:r>
        <w:t xml:space="preserve"> </w:t>
      </w:r>
      <w:r w:rsidRPr="001F3BED">
        <w:rPr>
          <w:sz w:val="16"/>
        </w:rPr>
        <w:t xml:space="preserve">Since their 2009 Summit, G20 Leaders have called for phasing out and rationalising fossil fuel subsidies while providing targeted support for the poorest. The EU is one of the co-sponsors of the </w:t>
      </w:r>
      <w:hyperlink r:id="rId1" w:history="1">
        <w:r w:rsidRPr="001F3BED">
          <w:rPr>
            <w:rStyle w:val="Hyperlink"/>
            <w:sz w:val="16"/>
          </w:rPr>
          <w:t>ministerial statement on fossil fuel subsidies</w:t>
        </w:r>
      </w:hyperlink>
      <w:r w:rsidRPr="001F3BED">
        <w:rPr>
          <w:sz w:val="16"/>
        </w:rPr>
        <w:t xml:space="preserve"> adopted on 14 December 2021 in the context of the WTO. </w:t>
      </w:r>
    </w:p>
  </w:footnote>
  <w:footnote w:id="3">
    <w:p w14:paraId="5479C512" w14:textId="77777777" w:rsidR="00361E54" w:rsidRPr="0049482C" w:rsidRDefault="00361E54" w:rsidP="00843D83">
      <w:pPr>
        <w:pStyle w:val="FootnoteText"/>
        <w:spacing w:after="0"/>
        <w:rPr>
          <w:sz w:val="16"/>
          <w:szCs w:val="16"/>
        </w:rPr>
      </w:pPr>
      <w:r w:rsidRPr="0049482C">
        <w:rPr>
          <w:rStyle w:val="FootnoteReference"/>
          <w:sz w:val="16"/>
          <w:szCs w:val="16"/>
        </w:rPr>
        <w:footnoteRef/>
      </w:r>
      <w:r w:rsidRPr="0049482C">
        <w:rPr>
          <w:sz w:val="16"/>
          <w:szCs w:val="16"/>
        </w:rPr>
        <w:t xml:space="preserve"> Article 35, point n of the Regulation on the Governance of the Energy Union (2018/1999/EU)</w:t>
      </w:r>
      <w:r>
        <w:rPr>
          <w:sz w:val="16"/>
          <w:szCs w:val="16"/>
        </w:rPr>
        <w:t>, hereinafter: the Governance Regulation.</w:t>
      </w:r>
    </w:p>
  </w:footnote>
  <w:footnote w:id="4">
    <w:p w14:paraId="5E8A3893" w14:textId="77777777" w:rsidR="00361E54" w:rsidRPr="009130C0" w:rsidRDefault="00361E54" w:rsidP="00005909">
      <w:pPr>
        <w:pStyle w:val="FootnoteText"/>
        <w:spacing w:after="0"/>
        <w:rPr>
          <w:sz w:val="16"/>
          <w:szCs w:val="16"/>
        </w:rPr>
      </w:pPr>
      <w:r w:rsidRPr="009130C0">
        <w:rPr>
          <w:rStyle w:val="FootnoteReference"/>
          <w:sz w:val="16"/>
          <w:szCs w:val="16"/>
        </w:rPr>
        <w:footnoteRef/>
      </w:r>
      <w:r>
        <w:rPr>
          <w:sz w:val="16"/>
          <w:szCs w:val="16"/>
        </w:rPr>
        <w:t xml:space="preserve"> For previous editions: </w:t>
      </w:r>
      <w:hyperlink r:id="rId2" w:history="1">
        <w:r w:rsidRPr="004E2992">
          <w:rPr>
            <w:rStyle w:val="Hyperlink"/>
            <w:sz w:val="16"/>
            <w:szCs w:val="16"/>
          </w:rPr>
          <w:t>https://op.europa.eu/en/publication-detail/-/publication/34a55767-55a1-11ed-92ed-01aa75ed71a1</w:t>
        </w:r>
      </w:hyperlink>
    </w:p>
  </w:footnote>
  <w:footnote w:id="5">
    <w:p w14:paraId="77A954F6" w14:textId="001F9FC3" w:rsidR="00361E54" w:rsidRPr="009130C0" w:rsidRDefault="00361E54" w:rsidP="00005909">
      <w:pPr>
        <w:pStyle w:val="FootnoteText"/>
        <w:spacing w:after="0"/>
        <w:rPr>
          <w:sz w:val="16"/>
          <w:szCs w:val="16"/>
          <w:lang w:val="en-IE"/>
        </w:rPr>
      </w:pPr>
      <w:r w:rsidRPr="009130C0">
        <w:rPr>
          <w:rStyle w:val="FootnoteReference"/>
          <w:sz w:val="16"/>
          <w:szCs w:val="16"/>
        </w:rPr>
        <w:footnoteRef/>
      </w:r>
      <w:r w:rsidRPr="009130C0">
        <w:rPr>
          <w:sz w:val="16"/>
          <w:szCs w:val="16"/>
        </w:rPr>
        <w:t xml:space="preserve"> </w:t>
      </w:r>
      <w:r>
        <w:rPr>
          <w:sz w:val="16"/>
          <w:szCs w:val="16"/>
        </w:rPr>
        <w:t>For missing</w:t>
      </w:r>
      <w:r w:rsidRPr="009130C0">
        <w:rPr>
          <w:sz w:val="16"/>
          <w:szCs w:val="16"/>
        </w:rPr>
        <w:t xml:space="preserve"> 202</w:t>
      </w:r>
      <w:r>
        <w:rPr>
          <w:sz w:val="16"/>
          <w:szCs w:val="16"/>
        </w:rPr>
        <w:t>2 values</w:t>
      </w:r>
      <w:r w:rsidRPr="009130C0">
        <w:rPr>
          <w:sz w:val="16"/>
          <w:szCs w:val="16"/>
        </w:rPr>
        <w:t>, 20</w:t>
      </w:r>
      <w:r>
        <w:rPr>
          <w:sz w:val="16"/>
          <w:szCs w:val="16"/>
        </w:rPr>
        <w:t>21</w:t>
      </w:r>
      <w:r w:rsidRPr="009130C0">
        <w:rPr>
          <w:sz w:val="16"/>
          <w:szCs w:val="16"/>
        </w:rPr>
        <w:t xml:space="preserve"> </w:t>
      </w:r>
      <w:r>
        <w:rPr>
          <w:sz w:val="16"/>
          <w:szCs w:val="16"/>
        </w:rPr>
        <w:t>data were</w:t>
      </w:r>
      <w:r w:rsidRPr="009130C0">
        <w:rPr>
          <w:sz w:val="16"/>
          <w:szCs w:val="16"/>
        </w:rPr>
        <w:t xml:space="preserve"> taken as </w:t>
      </w:r>
      <w:r>
        <w:rPr>
          <w:sz w:val="16"/>
          <w:szCs w:val="16"/>
        </w:rPr>
        <w:t xml:space="preserve">a basis for an </w:t>
      </w:r>
      <w:r w:rsidRPr="009130C0">
        <w:rPr>
          <w:sz w:val="16"/>
          <w:szCs w:val="16"/>
        </w:rPr>
        <w:t xml:space="preserve">estimate. In </w:t>
      </w:r>
      <w:r>
        <w:rPr>
          <w:sz w:val="16"/>
          <w:szCs w:val="16"/>
        </w:rPr>
        <w:t>such</w:t>
      </w:r>
      <w:r w:rsidRPr="009130C0">
        <w:rPr>
          <w:sz w:val="16"/>
          <w:szCs w:val="16"/>
        </w:rPr>
        <w:t xml:space="preserve"> cases</w:t>
      </w:r>
      <w:r>
        <w:rPr>
          <w:sz w:val="16"/>
          <w:szCs w:val="16"/>
        </w:rPr>
        <w:t>,</w:t>
      </w:r>
      <w:r w:rsidRPr="009130C0">
        <w:rPr>
          <w:sz w:val="16"/>
          <w:szCs w:val="16"/>
        </w:rPr>
        <w:t xml:space="preserve"> 202</w:t>
      </w:r>
      <w:r>
        <w:rPr>
          <w:sz w:val="16"/>
          <w:szCs w:val="16"/>
        </w:rPr>
        <w:t>2</w:t>
      </w:r>
      <w:r w:rsidRPr="009130C0">
        <w:rPr>
          <w:sz w:val="16"/>
          <w:szCs w:val="16"/>
        </w:rPr>
        <w:t xml:space="preserve"> data are referred to in th</w:t>
      </w:r>
      <w:r>
        <w:rPr>
          <w:sz w:val="16"/>
          <w:szCs w:val="16"/>
        </w:rPr>
        <w:t>is report as ‘estimated’ and on graphs, unconfirmed data are indicated on graphs by hatching.</w:t>
      </w:r>
    </w:p>
  </w:footnote>
  <w:footnote w:id="6">
    <w:p w14:paraId="362D6158" w14:textId="77777777" w:rsidR="00361E54" w:rsidRPr="00A17405" w:rsidRDefault="00361E54" w:rsidP="00843D83">
      <w:pPr>
        <w:pStyle w:val="FootnoteText"/>
        <w:spacing w:after="0"/>
        <w:ind w:left="0" w:firstLine="0"/>
        <w:jc w:val="left"/>
        <w:rPr>
          <w:sz w:val="16"/>
          <w:szCs w:val="16"/>
        </w:rPr>
      </w:pPr>
      <w:r w:rsidRPr="00A17405">
        <w:rPr>
          <w:rStyle w:val="FootnoteReference"/>
          <w:sz w:val="16"/>
          <w:szCs w:val="16"/>
        </w:rPr>
        <w:footnoteRef/>
      </w:r>
      <w:r>
        <w:rPr>
          <w:sz w:val="16"/>
          <w:szCs w:val="16"/>
          <w:lang w:val="en-IE"/>
        </w:rPr>
        <w:t xml:space="preserve"> </w:t>
      </w:r>
      <w:r w:rsidRPr="00A140E3">
        <w:rPr>
          <w:sz w:val="16"/>
          <w:szCs w:val="16"/>
        </w:rPr>
        <w:t xml:space="preserve">The analysis is based on the methodological framework used in previous Commission studies, </w:t>
      </w:r>
      <w:r>
        <w:rPr>
          <w:sz w:val="16"/>
          <w:szCs w:val="16"/>
        </w:rPr>
        <w:t>following</w:t>
      </w:r>
      <w:r w:rsidRPr="00A140E3">
        <w:rPr>
          <w:sz w:val="16"/>
          <w:szCs w:val="16"/>
        </w:rPr>
        <w:t xml:space="preserve"> the </w:t>
      </w:r>
      <w:hyperlink r:id="rId3" w:history="1">
        <w:r w:rsidRPr="00C8699C">
          <w:rPr>
            <w:rStyle w:val="Hyperlink"/>
            <w:sz w:val="16"/>
            <w:szCs w:val="16"/>
          </w:rPr>
          <w:t>Agreement on Subsidies and Countervailing Measures</w:t>
        </w:r>
      </w:hyperlink>
      <w:r w:rsidRPr="00A140E3">
        <w:rPr>
          <w:sz w:val="16"/>
          <w:szCs w:val="16"/>
        </w:rPr>
        <w:t xml:space="preserve"> (ASCM) framework developed by the World Trade Organization (WTO)</w:t>
      </w:r>
      <w:r>
        <w:rPr>
          <w:rStyle w:val="Hyperlink"/>
          <w:sz w:val="16"/>
          <w:szCs w:val="16"/>
        </w:rPr>
        <w:t>.</w:t>
      </w:r>
    </w:p>
  </w:footnote>
  <w:footnote w:id="7">
    <w:p w14:paraId="05FC501A" w14:textId="77777777" w:rsidR="00361E54" w:rsidRPr="004F6765" w:rsidRDefault="00361E54" w:rsidP="00843D83">
      <w:pPr>
        <w:pStyle w:val="FootnoteText"/>
        <w:spacing w:after="0"/>
        <w:rPr>
          <w:sz w:val="16"/>
          <w:szCs w:val="16"/>
        </w:rPr>
      </w:pPr>
      <w:r w:rsidRPr="004F6765">
        <w:rPr>
          <w:rStyle w:val="FootnoteReference"/>
          <w:sz w:val="16"/>
          <w:szCs w:val="16"/>
        </w:rPr>
        <w:footnoteRef/>
      </w:r>
      <w:r w:rsidRPr="004F6765">
        <w:rPr>
          <w:sz w:val="16"/>
          <w:szCs w:val="16"/>
        </w:rPr>
        <w:t xml:space="preserve"> See more on energy</w:t>
      </w:r>
      <w:r>
        <w:rPr>
          <w:sz w:val="16"/>
          <w:szCs w:val="16"/>
        </w:rPr>
        <w:t>-</w:t>
      </w:r>
      <w:r w:rsidRPr="004F6765">
        <w:rPr>
          <w:sz w:val="16"/>
          <w:szCs w:val="16"/>
        </w:rPr>
        <w:t xml:space="preserve">subsidy methodology in </w:t>
      </w:r>
      <w:r>
        <w:rPr>
          <w:sz w:val="16"/>
          <w:szCs w:val="16"/>
        </w:rPr>
        <w:t xml:space="preserve">Annex 1 of </w:t>
      </w:r>
      <w:r w:rsidRPr="004F6765">
        <w:rPr>
          <w:sz w:val="16"/>
          <w:szCs w:val="16"/>
        </w:rPr>
        <w:t xml:space="preserve">the </w:t>
      </w:r>
      <w:r>
        <w:rPr>
          <w:sz w:val="16"/>
          <w:szCs w:val="16"/>
        </w:rPr>
        <w:t xml:space="preserve">2023 </w:t>
      </w:r>
      <w:r w:rsidRPr="004F6765">
        <w:rPr>
          <w:sz w:val="16"/>
          <w:szCs w:val="16"/>
        </w:rPr>
        <w:t>Commission study</w:t>
      </w:r>
      <w:r>
        <w:rPr>
          <w:sz w:val="16"/>
          <w:szCs w:val="16"/>
        </w:rPr>
        <w:t>.</w:t>
      </w:r>
    </w:p>
  </w:footnote>
  <w:footnote w:id="8">
    <w:p w14:paraId="3B99B4D6" w14:textId="77777777" w:rsidR="00361E54" w:rsidRPr="00A17405" w:rsidRDefault="00361E54" w:rsidP="00005909">
      <w:pPr>
        <w:pStyle w:val="FootnoteText"/>
        <w:spacing w:after="0"/>
        <w:rPr>
          <w:lang w:val="en-IE"/>
        </w:rPr>
      </w:pPr>
      <w:r w:rsidRPr="00A17405">
        <w:rPr>
          <w:rStyle w:val="FootnoteReference"/>
          <w:sz w:val="16"/>
          <w:szCs w:val="16"/>
        </w:rPr>
        <w:footnoteRef/>
      </w:r>
      <w:r w:rsidRPr="00A17405">
        <w:rPr>
          <w:sz w:val="16"/>
          <w:szCs w:val="16"/>
        </w:rPr>
        <w:t xml:space="preserve"> </w:t>
      </w:r>
      <w:r>
        <w:rPr>
          <w:sz w:val="16"/>
          <w:szCs w:val="16"/>
        </w:rPr>
        <w:t>Also</w:t>
      </w:r>
      <w:r w:rsidRPr="00A17405">
        <w:rPr>
          <w:sz w:val="16"/>
          <w:szCs w:val="16"/>
        </w:rPr>
        <w:t xml:space="preserve"> including subsidies for fishing</w:t>
      </w:r>
      <w:r>
        <w:rPr>
          <w:sz w:val="16"/>
          <w:szCs w:val="16"/>
        </w:rPr>
        <w:t>.</w:t>
      </w:r>
    </w:p>
  </w:footnote>
  <w:footnote w:id="9">
    <w:p w14:paraId="35002ECA" w14:textId="5163BEAA" w:rsidR="00361E54" w:rsidRDefault="00361E54" w:rsidP="00843D83">
      <w:pPr>
        <w:pStyle w:val="FootnoteText"/>
        <w:spacing w:after="0"/>
      </w:pPr>
      <w:r>
        <w:rPr>
          <w:rStyle w:val="FootnoteReference"/>
        </w:rPr>
        <w:footnoteRef/>
      </w:r>
      <w:r>
        <w:t xml:space="preserve"> </w:t>
      </w:r>
      <w:r w:rsidRPr="009130C0">
        <w:rPr>
          <w:sz w:val="16"/>
          <w:szCs w:val="16"/>
        </w:rPr>
        <w:t>Due to</w:t>
      </w:r>
      <w:r>
        <w:rPr>
          <w:sz w:val="16"/>
          <w:szCs w:val="16"/>
        </w:rPr>
        <w:t xml:space="preserve"> data corrections in</w:t>
      </w:r>
      <w:r w:rsidRPr="009130C0">
        <w:rPr>
          <w:sz w:val="16"/>
          <w:szCs w:val="16"/>
        </w:rPr>
        <w:t xml:space="preserve"> the subsidy inventory for the earlier years, and the change in the monetary basis (‘expressed in 202</w:t>
      </w:r>
      <w:r>
        <w:rPr>
          <w:sz w:val="16"/>
          <w:szCs w:val="16"/>
        </w:rPr>
        <w:t>2</w:t>
      </w:r>
      <w:r w:rsidRPr="009130C0">
        <w:rPr>
          <w:sz w:val="16"/>
          <w:szCs w:val="16"/>
        </w:rPr>
        <w:t xml:space="preserve"> euros’ in the current report) total amounts on the charts of this report may differ from the last energy</w:t>
      </w:r>
      <w:r>
        <w:rPr>
          <w:sz w:val="16"/>
          <w:szCs w:val="16"/>
        </w:rPr>
        <w:t>-</w:t>
      </w:r>
      <w:r w:rsidRPr="009130C0">
        <w:rPr>
          <w:sz w:val="16"/>
          <w:szCs w:val="16"/>
        </w:rPr>
        <w:t>subsidy report published in 202</w:t>
      </w:r>
      <w:r>
        <w:rPr>
          <w:sz w:val="16"/>
          <w:szCs w:val="16"/>
        </w:rPr>
        <w:t>2 or earlier</w:t>
      </w:r>
      <w:r w:rsidRPr="009130C0">
        <w:rPr>
          <w:sz w:val="16"/>
          <w:szCs w:val="16"/>
        </w:rPr>
        <w:t>.</w:t>
      </w:r>
    </w:p>
  </w:footnote>
  <w:footnote w:id="10">
    <w:p w14:paraId="4CB5140E" w14:textId="77777777" w:rsidR="00361E54" w:rsidRDefault="00361E54" w:rsidP="000A394D">
      <w:pPr>
        <w:pStyle w:val="FootnoteText"/>
        <w:spacing w:after="0"/>
      </w:pPr>
      <w:r>
        <w:rPr>
          <w:rStyle w:val="FootnoteReference"/>
        </w:rPr>
        <w:footnoteRef/>
      </w:r>
      <w:r>
        <w:t xml:space="preserve"> </w:t>
      </w:r>
      <w:r w:rsidRPr="00984E91">
        <w:rPr>
          <w:sz w:val="16"/>
          <w:szCs w:val="16"/>
        </w:rPr>
        <w:t xml:space="preserve">In this report, all figures are </w:t>
      </w:r>
      <w:r>
        <w:rPr>
          <w:sz w:val="16"/>
          <w:szCs w:val="16"/>
        </w:rPr>
        <w:t xml:space="preserve">expressed </w:t>
      </w:r>
      <w:r w:rsidRPr="00984E91">
        <w:rPr>
          <w:sz w:val="16"/>
          <w:szCs w:val="16"/>
        </w:rPr>
        <w:t>in EUR 2022 bn</w:t>
      </w:r>
      <w:r>
        <w:rPr>
          <w:sz w:val="16"/>
          <w:szCs w:val="16"/>
        </w:rPr>
        <w:t>. Total f</w:t>
      </w:r>
      <w:r w:rsidRPr="66EE706B">
        <w:rPr>
          <w:sz w:val="16"/>
          <w:szCs w:val="16"/>
        </w:rPr>
        <w:t>igures for 2022 include ~EUR 44 billion still under validation.</w:t>
      </w:r>
    </w:p>
  </w:footnote>
  <w:footnote w:id="11">
    <w:p w14:paraId="630FB873" w14:textId="77777777" w:rsidR="00361E54" w:rsidRDefault="00361E54" w:rsidP="00843D83">
      <w:pPr>
        <w:pStyle w:val="FootnoteText"/>
        <w:spacing w:after="0"/>
      </w:pPr>
      <w:r>
        <w:rPr>
          <w:rStyle w:val="FootnoteReference"/>
        </w:rPr>
        <w:footnoteRef/>
      </w:r>
      <w:r>
        <w:t xml:space="preserve"> </w:t>
      </w:r>
      <w:r w:rsidRPr="00984E91">
        <w:rPr>
          <w:sz w:val="16"/>
          <w:szCs w:val="16"/>
        </w:rPr>
        <w:t>Data under the “To be confirmed” category amounted to 12% of the total amount included in the Subsidy inventory for the year 2022.</w:t>
      </w:r>
    </w:p>
  </w:footnote>
  <w:footnote w:id="12">
    <w:p w14:paraId="67B6E948" w14:textId="77777777" w:rsidR="00361E54" w:rsidRDefault="00361E54" w:rsidP="006C4D3D">
      <w:pPr>
        <w:pStyle w:val="FootnoteText"/>
        <w:spacing w:after="0"/>
      </w:pPr>
      <w:r>
        <w:rPr>
          <w:rStyle w:val="FootnoteReference"/>
        </w:rPr>
        <w:footnoteRef/>
      </w:r>
      <w:r>
        <w:t xml:space="preserve"> </w:t>
      </w:r>
      <w:r w:rsidRPr="00D73035">
        <w:rPr>
          <w:sz w:val="16"/>
        </w:rPr>
        <w:t>In certain cases, it is not possible to separate subsidies given to electricity consumption by the source of generation (fossil, nuclear or renewable), therefore this chart shows electricity (energy carrier) subsidies alongside those given to energy sources.</w:t>
      </w:r>
    </w:p>
  </w:footnote>
  <w:footnote w:id="13">
    <w:p w14:paraId="7AFD149B" w14:textId="1A589B77" w:rsidR="00361E54" w:rsidRDefault="00361E54" w:rsidP="00396457">
      <w:pPr>
        <w:pStyle w:val="FootnoteText"/>
        <w:spacing w:after="0"/>
      </w:pPr>
      <w:r>
        <w:rPr>
          <w:rStyle w:val="FootnoteReference"/>
        </w:rPr>
        <w:footnoteRef/>
      </w:r>
      <w:r>
        <w:t xml:space="preserve"> </w:t>
      </w:r>
      <w:r w:rsidRPr="00396457">
        <w:rPr>
          <w:sz w:val="16"/>
          <w:szCs w:val="16"/>
        </w:rPr>
        <w:t>The term “All energies” is used here to classify subsidy measures that apply to energy produced from a mix of both fossil fuel and low carbon sources or an unknown source</w:t>
      </w:r>
      <w:r>
        <w:rPr>
          <w:sz w:val="16"/>
          <w:szCs w:val="16"/>
        </w:rPr>
        <w:t>.</w:t>
      </w:r>
    </w:p>
  </w:footnote>
  <w:footnote w:id="14">
    <w:p w14:paraId="089A6834" w14:textId="556EDF2D" w:rsidR="00361E54" w:rsidRDefault="00361E54" w:rsidP="008A0977">
      <w:pPr>
        <w:pStyle w:val="FootnoteText"/>
        <w:spacing w:after="0"/>
      </w:pPr>
      <w:r>
        <w:rPr>
          <w:rStyle w:val="FootnoteReference"/>
        </w:rPr>
        <w:footnoteRef/>
      </w:r>
      <w:r>
        <w:t xml:space="preserve"> </w:t>
      </w:r>
      <w:r w:rsidRPr="008A0977">
        <w:rPr>
          <w:sz w:val="16"/>
          <w:szCs w:val="16"/>
        </w:rPr>
        <w:t xml:space="preserve">This </w:t>
      </w:r>
      <w:r>
        <w:rPr>
          <w:sz w:val="16"/>
          <w:szCs w:val="16"/>
        </w:rPr>
        <w:t xml:space="preserve">also </w:t>
      </w:r>
      <w:r w:rsidRPr="008A0977">
        <w:rPr>
          <w:sz w:val="16"/>
          <w:szCs w:val="16"/>
        </w:rPr>
        <w:t>includes various types of economic mechanisms</w:t>
      </w:r>
      <w:r>
        <w:rPr>
          <w:sz w:val="16"/>
          <w:szCs w:val="16"/>
        </w:rPr>
        <w:t xml:space="preserve"> beyond income support</w:t>
      </w:r>
      <w:r w:rsidRPr="008A0977">
        <w:rPr>
          <w:sz w:val="16"/>
          <w:szCs w:val="16"/>
        </w:rPr>
        <w:t xml:space="preserve"> for more than one type of energy, such as capacity payments, biofuels blending mandates, renewable energy quotas with tradable certificates, differentiated grid connection charges, energy efficiency obligations, interruptible load schemes, contract for difference, feed-in premiums, feed-in tariffs, consumer price guarantees (cost support), consumer price guarantees (price regulation) and producer price guarantees (price regulation)</w:t>
      </w:r>
    </w:p>
  </w:footnote>
  <w:footnote w:id="15">
    <w:p w14:paraId="1696359E" w14:textId="1E9E8E0A" w:rsidR="00361E54" w:rsidRDefault="00361E54" w:rsidP="00843D83">
      <w:pPr>
        <w:pStyle w:val="FootnoteText"/>
        <w:spacing w:after="0"/>
      </w:pPr>
      <w:r>
        <w:rPr>
          <w:rStyle w:val="FootnoteReference"/>
        </w:rPr>
        <w:footnoteRef/>
      </w:r>
      <w:r>
        <w:t xml:space="preserve"> </w:t>
      </w:r>
      <w:r w:rsidRPr="005727E3">
        <w:rPr>
          <w:sz w:val="16"/>
        </w:rPr>
        <w:t xml:space="preserve">The EUR 3.5 billion increase in </w:t>
      </w:r>
      <w:r>
        <w:rPr>
          <w:sz w:val="16"/>
        </w:rPr>
        <w:t>fossil fuel subsidies</w:t>
      </w:r>
      <w:r w:rsidRPr="005727E3">
        <w:rPr>
          <w:sz w:val="16"/>
        </w:rPr>
        <w:t xml:space="preserve"> in 2018 is partly due to the change in classification of the degressive tariff structure for gas and electricity in the Netherlands, which was not reported by the Dutch government as a subsidy before that date and therefore not included in the database. The Netherlands is the only country for which actual amounts linked to this mechanism have been declared, but they certainly also exist in other countries without being declared as such.</w:t>
      </w:r>
    </w:p>
  </w:footnote>
  <w:footnote w:id="16">
    <w:p w14:paraId="7953C332" w14:textId="77777777" w:rsidR="00CD002B" w:rsidRPr="00D53293" w:rsidRDefault="00CD002B" w:rsidP="00CD002B">
      <w:pPr>
        <w:pStyle w:val="FootnoteText"/>
        <w:spacing w:after="0"/>
        <w:rPr>
          <w:sz w:val="16"/>
        </w:rPr>
      </w:pPr>
      <w:r>
        <w:rPr>
          <w:rStyle w:val="FootnoteReference"/>
        </w:rPr>
        <w:footnoteRef/>
      </w:r>
      <w:r>
        <w:t xml:space="preserve"> </w:t>
      </w:r>
      <w:r w:rsidRPr="00D53293">
        <w:rPr>
          <w:sz w:val="16"/>
        </w:rPr>
        <w:t>The term covers energy extraction, conversion, refining, infrastructure, transmission, distribution, storage, waste management and retail. In short, the energy industry.</w:t>
      </w:r>
    </w:p>
  </w:footnote>
  <w:footnote w:id="17">
    <w:p w14:paraId="1B939FEE" w14:textId="77777777" w:rsidR="00361E54" w:rsidRDefault="00361E54" w:rsidP="00843D83">
      <w:pPr>
        <w:pStyle w:val="FootnoteText"/>
        <w:spacing w:after="0"/>
      </w:pPr>
      <w:r>
        <w:rPr>
          <w:rStyle w:val="FootnoteReference"/>
        </w:rPr>
        <w:footnoteRef/>
      </w:r>
      <w:r>
        <w:t xml:space="preserve"> </w:t>
      </w:r>
      <w:r w:rsidRPr="005F7408">
        <w:rPr>
          <w:sz w:val="16"/>
        </w:rPr>
        <w:t>Not all data were available for 2022, for example those related to FiP/FiT or RES quotas and the figures might be subject to revision.</w:t>
      </w:r>
    </w:p>
  </w:footnote>
  <w:footnote w:id="18">
    <w:p w14:paraId="4AF38F19" w14:textId="42597328" w:rsidR="00361E54" w:rsidRDefault="00361E54" w:rsidP="003B76D4">
      <w:pPr>
        <w:pStyle w:val="FootnoteText"/>
        <w:spacing w:after="0"/>
      </w:pPr>
      <w:r>
        <w:rPr>
          <w:rStyle w:val="FootnoteReference"/>
        </w:rPr>
        <w:footnoteRef/>
      </w:r>
      <w:r>
        <w:t xml:space="preserve"> </w:t>
      </w:r>
      <w:r w:rsidRPr="004057CD">
        <w:rPr>
          <w:sz w:val="16"/>
          <w:szCs w:val="16"/>
        </w:rPr>
        <w:t>E.g. supporting the use of energy through lowering its costs.</w:t>
      </w:r>
    </w:p>
  </w:footnote>
  <w:footnote w:id="19">
    <w:p w14:paraId="09A6B722" w14:textId="17A4EC7F" w:rsidR="00361E54" w:rsidRDefault="00361E54" w:rsidP="00843D83">
      <w:pPr>
        <w:pStyle w:val="FootnoteText"/>
        <w:spacing w:after="0"/>
      </w:pPr>
      <w:r>
        <w:rPr>
          <w:rStyle w:val="FootnoteReference"/>
        </w:rPr>
        <w:footnoteRef/>
      </w:r>
      <w:r>
        <w:t xml:space="preserve"> </w:t>
      </w:r>
      <w:r w:rsidRPr="00DB640A">
        <w:rPr>
          <w:sz w:val="16"/>
          <w:szCs w:val="16"/>
        </w:rPr>
        <w:t>As of July 2023, the estimate of demand-oriented subsidies included EUR 12.6 billion of yet</w:t>
      </w:r>
      <w:r>
        <w:rPr>
          <w:sz w:val="16"/>
          <w:szCs w:val="16"/>
        </w:rPr>
        <w:noBreakHyphen/>
      </w:r>
      <w:r w:rsidRPr="00DB640A">
        <w:rPr>
          <w:sz w:val="16"/>
          <w:szCs w:val="16"/>
        </w:rPr>
        <w:t>unconfirmed payments for 2022 (~5% of the total).</w:t>
      </w:r>
    </w:p>
  </w:footnote>
  <w:footnote w:id="20">
    <w:p w14:paraId="5BCC458D" w14:textId="77777777" w:rsidR="00361E54" w:rsidRPr="00F75F8F" w:rsidRDefault="00361E54" w:rsidP="00843D83">
      <w:pPr>
        <w:pStyle w:val="FootnoteText"/>
        <w:spacing w:after="0"/>
        <w:rPr>
          <w:sz w:val="16"/>
        </w:rPr>
      </w:pPr>
      <w:r>
        <w:rPr>
          <w:rStyle w:val="FootnoteReference"/>
        </w:rPr>
        <w:footnoteRef/>
      </w:r>
      <w:r w:rsidRPr="00742462">
        <w:t xml:space="preserve"> </w:t>
      </w:r>
      <w:r w:rsidRPr="00F75F8F">
        <w:rPr>
          <w:sz w:val="16"/>
        </w:rPr>
        <w:t>FiT, FiP and RES obligations are included by convention in the energy industry, while such payments may confer benefits to actors outside of this sector.</w:t>
      </w:r>
    </w:p>
  </w:footnote>
  <w:footnote w:id="21">
    <w:p w14:paraId="469526E3" w14:textId="77777777" w:rsidR="00361E54" w:rsidRPr="00F75F8F" w:rsidRDefault="00361E54" w:rsidP="00843D83">
      <w:pPr>
        <w:pStyle w:val="FootnoteText"/>
        <w:spacing w:after="0"/>
        <w:rPr>
          <w:sz w:val="16"/>
        </w:rPr>
      </w:pPr>
      <w:r>
        <w:rPr>
          <w:rStyle w:val="FootnoteReference"/>
        </w:rPr>
        <w:footnoteRef/>
      </w:r>
      <w:r w:rsidRPr="00C90F0B">
        <w:rPr>
          <w:sz w:val="16"/>
        </w:rPr>
        <w:t xml:space="preserve"> </w:t>
      </w:r>
      <w:r w:rsidRPr="00C90F0B">
        <w:rPr>
          <w:i/>
          <w:sz w:val="16"/>
        </w:rPr>
        <w:t xml:space="preserve">Industry </w:t>
      </w:r>
      <w:r w:rsidRPr="00C90F0B">
        <w:rPr>
          <w:sz w:val="16"/>
        </w:rPr>
        <w:t xml:space="preserve">excludes </w:t>
      </w:r>
      <w:r w:rsidRPr="00C90F0B">
        <w:rPr>
          <w:i/>
          <w:sz w:val="16"/>
        </w:rPr>
        <w:t>Mining</w:t>
      </w:r>
      <w:r>
        <w:rPr>
          <w:sz w:val="16"/>
        </w:rPr>
        <w:t xml:space="preserve"> &amp; </w:t>
      </w:r>
      <w:r w:rsidRPr="005325E2">
        <w:rPr>
          <w:i/>
          <w:sz w:val="16"/>
        </w:rPr>
        <w:t>Construction</w:t>
      </w:r>
      <w:r w:rsidRPr="00C90F0B">
        <w:rPr>
          <w:sz w:val="16"/>
        </w:rPr>
        <w:t xml:space="preserve">. </w:t>
      </w:r>
      <w:r w:rsidRPr="005325E2">
        <w:rPr>
          <w:i/>
          <w:sz w:val="16"/>
        </w:rPr>
        <w:t>Business</w:t>
      </w:r>
      <w:r w:rsidRPr="00F75F8F">
        <w:rPr>
          <w:sz w:val="16"/>
        </w:rPr>
        <w:t xml:space="preserve">, </w:t>
      </w:r>
      <w:r w:rsidRPr="005325E2">
        <w:rPr>
          <w:i/>
          <w:sz w:val="16"/>
        </w:rPr>
        <w:t>Construction</w:t>
      </w:r>
      <w:r w:rsidRPr="00F75F8F">
        <w:rPr>
          <w:sz w:val="16"/>
        </w:rPr>
        <w:t xml:space="preserve">, </w:t>
      </w:r>
      <w:r w:rsidRPr="005325E2">
        <w:rPr>
          <w:i/>
          <w:sz w:val="16"/>
        </w:rPr>
        <w:t>Public</w:t>
      </w:r>
      <w:r w:rsidRPr="00F75F8F">
        <w:rPr>
          <w:sz w:val="16"/>
        </w:rPr>
        <w:t xml:space="preserve"> and </w:t>
      </w:r>
      <w:r w:rsidRPr="005325E2">
        <w:rPr>
          <w:i/>
          <w:sz w:val="16"/>
        </w:rPr>
        <w:t>Services</w:t>
      </w:r>
      <w:r w:rsidRPr="00F75F8F">
        <w:rPr>
          <w:sz w:val="16"/>
        </w:rPr>
        <w:t xml:space="preserve"> sectors have been regrouped under the denomination “Others” as their individual amount for 2020 is less than €1 billion. </w:t>
      </w:r>
    </w:p>
  </w:footnote>
  <w:footnote w:id="22">
    <w:p w14:paraId="387296B7" w14:textId="77777777" w:rsidR="00361E54" w:rsidRPr="007043CB" w:rsidRDefault="00361E54" w:rsidP="00CB72FA">
      <w:pPr>
        <w:pStyle w:val="FootnoteText"/>
        <w:spacing w:after="0"/>
        <w:rPr>
          <w:lang w:val="en-IE"/>
        </w:rPr>
      </w:pPr>
      <w:r>
        <w:rPr>
          <w:rStyle w:val="FootnoteReference"/>
        </w:rPr>
        <w:footnoteRef/>
      </w:r>
      <w:r w:rsidRPr="007043CB">
        <w:rPr>
          <w:lang w:val="en-IE"/>
        </w:rPr>
        <w:t xml:space="preserve"> </w:t>
      </w:r>
      <w:hyperlink r:id="rId4" w:history="1">
        <w:r w:rsidRPr="00101B5F">
          <w:rPr>
            <w:rStyle w:val="Hyperlink"/>
            <w:sz w:val="16"/>
            <w:lang w:val="en-IE"/>
          </w:rPr>
          <w:t>https://www.cbd.int/gbf/targets/</w:t>
        </w:r>
      </w:hyperlink>
    </w:p>
  </w:footnote>
  <w:footnote w:id="23">
    <w:p w14:paraId="6301A52F" w14:textId="77777777" w:rsidR="00361E54" w:rsidRDefault="00361E54" w:rsidP="00843D83">
      <w:pPr>
        <w:pStyle w:val="FootnoteText"/>
        <w:spacing w:after="0"/>
      </w:pPr>
      <w:r>
        <w:rPr>
          <w:rStyle w:val="FootnoteReference"/>
        </w:rPr>
        <w:footnoteRef/>
      </w:r>
      <w:r>
        <w:t xml:space="preserve"> </w:t>
      </w:r>
      <w:r w:rsidRPr="000777A6">
        <w:rPr>
          <w:sz w:val="16"/>
        </w:rPr>
        <w:t>The analysis is based on the updated annexes VIII and XV of the draft National Energy and Climate Progress Reports.</w:t>
      </w:r>
    </w:p>
  </w:footnote>
  <w:footnote w:id="24">
    <w:p w14:paraId="512AEA4B" w14:textId="77777777" w:rsidR="00361E54" w:rsidRPr="00A31D54" w:rsidRDefault="00361E54" w:rsidP="00843D83">
      <w:pPr>
        <w:pStyle w:val="FootnoteText"/>
        <w:spacing w:after="0"/>
      </w:pPr>
      <w:r>
        <w:rPr>
          <w:rStyle w:val="FootnoteReference"/>
        </w:rPr>
        <w:footnoteRef/>
      </w:r>
      <w:r w:rsidRPr="00A31D54">
        <w:t xml:space="preserve"> </w:t>
      </w:r>
      <w:r w:rsidRPr="000777A6">
        <w:rPr>
          <w:sz w:val="16"/>
        </w:rPr>
        <w:t>Article 3 (h) (i) of Decision (EU) 2022/591 of the European Parliament and of the Council of 6 April 2022 on a General Union Environment Action Programme to 2030.</w:t>
      </w:r>
    </w:p>
  </w:footnote>
  <w:footnote w:id="25">
    <w:p w14:paraId="766B2080" w14:textId="4F876661" w:rsidR="00361E54" w:rsidRDefault="00361E54" w:rsidP="00005909">
      <w:pPr>
        <w:pStyle w:val="FootnoteText"/>
        <w:spacing w:after="0"/>
        <w:rPr>
          <w:sz w:val="16"/>
          <w:szCs w:val="16"/>
        </w:rPr>
      </w:pPr>
      <w:r w:rsidRPr="2ADC3B3F">
        <w:rPr>
          <w:rStyle w:val="FootnoteReference"/>
        </w:rPr>
        <w:footnoteRef/>
      </w:r>
      <w:r>
        <w:t xml:space="preserve"> </w:t>
      </w:r>
      <w:r w:rsidRPr="001A438E">
        <w:rPr>
          <w:sz w:val="16"/>
          <w:szCs w:val="16"/>
        </w:rPr>
        <w:t>Comparing</w:t>
      </w:r>
      <w:r>
        <w:rPr>
          <w:sz w:val="16"/>
          <w:szCs w:val="16"/>
        </w:rPr>
        <w:t xml:space="preserve"> gas consumption in</w:t>
      </w:r>
      <w:r w:rsidRPr="001A438E">
        <w:rPr>
          <w:sz w:val="16"/>
          <w:szCs w:val="16"/>
        </w:rPr>
        <w:t xml:space="preserve"> the </w:t>
      </w:r>
      <w:r w:rsidRPr="00B56CED">
        <w:rPr>
          <w:sz w:val="16"/>
          <w:szCs w:val="16"/>
        </w:rPr>
        <w:t xml:space="preserve">Aug. 2022 – June 2023 </w:t>
      </w:r>
      <w:r>
        <w:rPr>
          <w:sz w:val="16"/>
          <w:szCs w:val="16"/>
        </w:rPr>
        <w:t xml:space="preserve">period with the </w:t>
      </w:r>
      <w:r w:rsidRPr="00B56CED">
        <w:rPr>
          <w:sz w:val="16"/>
          <w:szCs w:val="16"/>
        </w:rPr>
        <w:t>5-year average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0FE9B" w14:textId="77777777" w:rsidR="00B85F9F" w:rsidRPr="00B85F9F" w:rsidRDefault="00B85F9F" w:rsidP="00B85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FDF61" w14:textId="77777777" w:rsidR="00B85F9F" w:rsidRPr="00B85F9F" w:rsidRDefault="00B85F9F" w:rsidP="00B85F9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D2CA6" w14:textId="77777777" w:rsidR="00B85F9F" w:rsidRPr="00B85F9F" w:rsidRDefault="00B85F9F" w:rsidP="00B85F9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8447" w14:textId="77777777" w:rsidR="00361E54" w:rsidRDefault="00361E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12192" w14:textId="77777777" w:rsidR="00361E54" w:rsidRDefault="00361E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46B46" w14:textId="77777777" w:rsidR="00361E54" w:rsidRDefault="00361E5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FFF59" w14:textId="77777777" w:rsidR="00361E54" w:rsidRDefault="00361E5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C6281" w14:textId="77777777" w:rsidR="00361E54" w:rsidRDefault="00361E5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E4684" w14:textId="77777777" w:rsidR="00361E54" w:rsidRDefault="00361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475E0"/>
    <w:multiLevelType w:val="hybridMultilevel"/>
    <w:tmpl w:val="FE98D2CA"/>
    <w:lvl w:ilvl="0" w:tplc="A63CC28C">
      <w:start w:val="16"/>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F2921D5"/>
    <w:multiLevelType w:val="multilevel"/>
    <w:tmpl w:val="60E47948"/>
    <w:lvl w:ilvl="0">
      <w:start w:val="1"/>
      <w:numFmt w:val="decimal"/>
      <w:lvlText w:val="%1."/>
      <w:lvlJc w:val="left"/>
      <w:pPr>
        <w:ind w:left="644" w:hanging="360"/>
      </w:pPr>
    </w:lvl>
    <w:lvl w:ilvl="1">
      <w:start w:val="1"/>
      <w:numFmt w:val="decimal"/>
      <w:lvlText w:val="%1.%2."/>
      <w:legacy w:legacy="1" w:legacySpace="0" w:legacyIndent="708"/>
      <w:lvlJc w:val="left"/>
      <w:pPr>
        <w:ind w:left="708" w:hanging="708"/>
      </w:pPr>
      <w:rPr>
        <w:b/>
        <w:bCs/>
        <w:i w:val="0"/>
        <w:iCs w:val="0"/>
        <w:caps w:val="0"/>
        <w:smallCaps w:val="0"/>
        <w:strike w:val="0"/>
        <w:dstrike w:val="0"/>
        <w:noProof w:val="0"/>
        <w:vanish w:val="0"/>
        <w:color w:val="C0504D"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0" w:legacyIndent="708"/>
      <w:lvlJc w:val="left"/>
      <w:pPr>
        <w:ind w:left="1417" w:hanging="708"/>
      </w:pPr>
      <w:rPr>
        <w:b/>
        <w:bCs/>
        <w:i w:val="0"/>
        <w:iCs w:val="0"/>
        <w:caps w:val="0"/>
        <w:smallCaps w:val="0"/>
        <w:strike w:val="0"/>
        <w:dstrike w:val="0"/>
        <w:noProof w:val="0"/>
        <w:vanish w:val="0"/>
        <w:color w:val="1F497D"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0" w:legacyIndent="708"/>
      <w:lvlJc w:val="left"/>
      <w:pPr>
        <w:ind w:left="1700" w:hanging="708"/>
      </w:pPr>
    </w:lvl>
    <w:lvl w:ilvl="4">
      <w:start w:val="1"/>
      <w:numFmt w:val="decimal"/>
      <w:lvlText w:val="%1.%2.%3.%4.%5."/>
      <w:legacy w:legacy="1" w:legacySpace="0" w:legacyIndent="708"/>
      <w:lvlJc w:val="left"/>
      <w:pPr>
        <w:ind w:left="3539" w:hanging="708"/>
      </w:pPr>
    </w:lvl>
    <w:lvl w:ilvl="5">
      <w:start w:val="1"/>
      <w:numFmt w:val="decimal"/>
      <w:lvlText w:val="%1.%2.%3.%4.%5.%6."/>
      <w:legacy w:legacy="1" w:legacySpace="0" w:legacyIndent="708"/>
      <w:lvlJc w:val="left"/>
      <w:pPr>
        <w:ind w:left="4247" w:hanging="708"/>
      </w:pPr>
    </w:lvl>
    <w:lvl w:ilvl="6">
      <w:start w:val="1"/>
      <w:numFmt w:val="decimal"/>
      <w:lvlText w:val="%1.%2.%3.%4.%5.%6.%7."/>
      <w:legacy w:legacy="1" w:legacySpace="0" w:legacyIndent="708"/>
      <w:lvlJc w:val="left"/>
      <w:pPr>
        <w:ind w:left="4955" w:hanging="708"/>
      </w:pPr>
    </w:lvl>
    <w:lvl w:ilvl="7">
      <w:start w:val="1"/>
      <w:numFmt w:val="decimal"/>
      <w:lvlText w:val="%1.%2.%3.%4.%5.%6.%7.%8."/>
      <w:legacy w:legacy="1" w:legacySpace="0" w:legacyIndent="708"/>
      <w:lvlJc w:val="left"/>
      <w:pPr>
        <w:ind w:left="5663" w:hanging="708"/>
      </w:pPr>
    </w:lvl>
    <w:lvl w:ilvl="8">
      <w:start w:val="1"/>
      <w:numFmt w:val="decimal"/>
      <w:lvlText w:val="%1.%2.%3.%4.%5.%6.%7.%8.%9."/>
      <w:legacy w:legacy="1" w:legacySpace="0" w:legacyIndent="708"/>
      <w:lvlJc w:val="left"/>
      <w:pPr>
        <w:ind w:left="6371" w:hanging="708"/>
      </w:pPr>
    </w:lvl>
  </w:abstractNum>
  <w:abstractNum w:abstractNumId="2" w15:restartNumberingAfterBreak="0">
    <w:nsid w:val="25543970"/>
    <w:multiLevelType w:val="hybridMultilevel"/>
    <w:tmpl w:val="8626C6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50138A6"/>
    <w:multiLevelType w:val="hybridMultilevel"/>
    <w:tmpl w:val="09F43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BB6633"/>
    <w:multiLevelType w:val="hybridMultilevel"/>
    <w:tmpl w:val="C5EC76A8"/>
    <w:lvl w:ilvl="0" w:tplc="ACDE2EDA">
      <w:numFmt w:val="bullet"/>
      <w:lvlText w:val="•"/>
      <w:lvlJc w:val="left"/>
      <w:pPr>
        <w:ind w:left="1080" w:hanging="72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9CD6F19"/>
    <w:multiLevelType w:val="hybridMultilevel"/>
    <w:tmpl w:val="A10E1AB8"/>
    <w:lvl w:ilvl="0" w:tplc="6568A93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3F1BE7"/>
    <w:multiLevelType w:val="hybridMultilevel"/>
    <w:tmpl w:val="1F4E41FE"/>
    <w:lvl w:ilvl="0" w:tplc="FFFFFFFF">
      <w:start w:val="1"/>
      <w:numFmt w:val="bullet"/>
      <w:pStyle w:val="Bullet-1"/>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7C80071A"/>
    <w:multiLevelType w:val="multilevel"/>
    <w:tmpl w:val="D048FFD4"/>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6"/>
  </w:num>
  <w:num w:numId="10">
    <w:abstractNumId w:val="2"/>
  </w:num>
  <w:num w:numId="11">
    <w:abstractNumId w:val="4"/>
  </w:num>
  <w:num w:numId="12">
    <w:abstractNumId w:val="7"/>
  </w:num>
  <w:num w:numId="13">
    <w:abstractNumId w:val="7"/>
  </w:num>
  <w:num w:numId="14">
    <w:abstractNumId w:val="7"/>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n-IE" w:vendorID="64" w:dllVersion="6" w:nlCheck="1" w:checkStyle="1"/>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de-DE" w:vendorID="64" w:dllVersion="6"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503A2B2-F3D7-4F85-A983-274F8D96A07D"/>
    <w:docVar w:name="LW_COVERPAGE_TYPE" w:val="1"/>
    <w:docVar w:name="LW_CROSSREFERENCE" w:val="&lt;UNUSED&gt;"/>
    <w:docVar w:name="LW_DocType" w:val="NORMAL"/>
    <w:docVar w:name="LW_EMISSION" w:val="24.10.2023"/>
    <w:docVar w:name="LW_EMISSION_ISODATE" w:val="2023-10-24"/>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65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2023 Report on Energy Subsidies in the EU"/>
    <w:docVar w:name="LW_TYPE.DOC.CP" w:val="REPORT FROM THE COMMISSION TO THE EUROPEAN PARLIAMENT AND THE COUNCIL"/>
    <w:docVar w:name="LwApiVersions" w:val="LW4CoDe 1.23.2.0; LW 8.0, Build 20211117"/>
  </w:docVars>
  <w:rsids>
    <w:rsidRoot w:val="00843D83"/>
    <w:rsid w:val="000011A2"/>
    <w:rsid w:val="00005909"/>
    <w:rsid w:val="00005AC3"/>
    <w:rsid w:val="00012684"/>
    <w:rsid w:val="00013A8A"/>
    <w:rsid w:val="00015AB6"/>
    <w:rsid w:val="000173C0"/>
    <w:rsid w:val="0001751D"/>
    <w:rsid w:val="0001768F"/>
    <w:rsid w:val="000211DD"/>
    <w:rsid w:val="00025A93"/>
    <w:rsid w:val="0002788A"/>
    <w:rsid w:val="00032E84"/>
    <w:rsid w:val="00033049"/>
    <w:rsid w:val="000343B8"/>
    <w:rsid w:val="00042825"/>
    <w:rsid w:val="00043D64"/>
    <w:rsid w:val="00052EE4"/>
    <w:rsid w:val="00056C5A"/>
    <w:rsid w:val="00057CE6"/>
    <w:rsid w:val="00060852"/>
    <w:rsid w:val="000609D7"/>
    <w:rsid w:val="000672D6"/>
    <w:rsid w:val="00067503"/>
    <w:rsid w:val="00067D69"/>
    <w:rsid w:val="00070C69"/>
    <w:rsid w:val="00071E9D"/>
    <w:rsid w:val="00073806"/>
    <w:rsid w:val="00083E3D"/>
    <w:rsid w:val="0008503F"/>
    <w:rsid w:val="00086248"/>
    <w:rsid w:val="000871EF"/>
    <w:rsid w:val="000900ED"/>
    <w:rsid w:val="00090A72"/>
    <w:rsid w:val="00091B45"/>
    <w:rsid w:val="00092409"/>
    <w:rsid w:val="00094575"/>
    <w:rsid w:val="00095C1D"/>
    <w:rsid w:val="00097FF0"/>
    <w:rsid w:val="000A0E7A"/>
    <w:rsid w:val="000A30D3"/>
    <w:rsid w:val="000A394D"/>
    <w:rsid w:val="000A5FF5"/>
    <w:rsid w:val="000B1AFB"/>
    <w:rsid w:val="000B3452"/>
    <w:rsid w:val="000B62FC"/>
    <w:rsid w:val="000B7466"/>
    <w:rsid w:val="000C06F2"/>
    <w:rsid w:val="000C22CA"/>
    <w:rsid w:val="000C50F3"/>
    <w:rsid w:val="000C612D"/>
    <w:rsid w:val="000D0D25"/>
    <w:rsid w:val="000D0D45"/>
    <w:rsid w:val="000D19C0"/>
    <w:rsid w:val="000D3944"/>
    <w:rsid w:val="000D52A9"/>
    <w:rsid w:val="000D54FF"/>
    <w:rsid w:val="000D571E"/>
    <w:rsid w:val="000E4DCA"/>
    <w:rsid w:val="000E603B"/>
    <w:rsid w:val="000F17E1"/>
    <w:rsid w:val="000F5139"/>
    <w:rsid w:val="000F682F"/>
    <w:rsid w:val="000F6CE5"/>
    <w:rsid w:val="00101B5F"/>
    <w:rsid w:val="001050FD"/>
    <w:rsid w:val="00112DD1"/>
    <w:rsid w:val="00116C42"/>
    <w:rsid w:val="001178FE"/>
    <w:rsid w:val="001200FE"/>
    <w:rsid w:val="00120415"/>
    <w:rsid w:val="00125233"/>
    <w:rsid w:val="00130E51"/>
    <w:rsid w:val="00131FD3"/>
    <w:rsid w:val="00132562"/>
    <w:rsid w:val="0013690A"/>
    <w:rsid w:val="001373CC"/>
    <w:rsid w:val="0014215E"/>
    <w:rsid w:val="001424C7"/>
    <w:rsid w:val="00144D6D"/>
    <w:rsid w:val="00145873"/>
    <w:rsid w:val="00145BDB"/>
    <w:rsid w:val="00145C2A"/>
    <w:rsid w:val="00146694"/>
    <w:rsid w:val="001500E3"/>
    <w:rsid w:val="00152056"/>
    <w:rsid w:val="00154E16"/>
    <w:rsid w:val="00154E94"/>
    <w:rsid w:val="00156BB1"/>
    <w:rsid w:val="00156D2F"/>
    <w:rsid w:val="001573BD"/>
    <w:rsid w:val="00157986"/>
    <w:rsid w:val="0016269B"/>
    <w:rsid w:val="00170D3E"/>
    <w:rsid w:val="001712CF"/>
    <w:rsid w:val="00175CD5"/>
    <w:rsid w:val="00182052"/>
    <w:rsid w:val="00182F4B"/>
    <w:rsid w:val="00186C36"/>
    <w:rsid w:val="00192195"/>
    <w:rsid w:val="00194607"/>
    <w:rsid w:val="001A343E"/>
    <w:rsid w:val="001A438E"/>
    <w:rsid w:val="001A609D"/>
    <w:rsid w:val="001A6A76"/>
    <w:rsid w:val="001A79B4"/>
    <w:rsid w:val="001B77A7"/>
    <w:rsid w:val="001C02DC"/>
    <w:rsid w:val="001C0ABC"/>
    <w:rsid w:val="001C4BBF"/>
    <w:rsid w:val="001C4F82"/>
    <w:rsid w:val="001D26D2"/>
    <w:rsid w:val="001E0359"/>
    <w:rsid w:val="001E17CA"/>
    <w:rsid w:val="001E1CFC"/>
    <w:rsid w:val="001E2E47"/>
    <w:rsid w:val="001E4241"/>
    <w:rsid w:val="001F269D"/>
    <w:rsid w:val="001F3BED"/>
    <w:rsid w:val="001F3D3E"/>
    <w:rsid w:val="001F6A7D"/>
    <w:rsid w:val="0020263B"/>
    <w:rsid w:val="0020295E"/>
    <w:rsid w:val="00204D10"/>
    <w:rsid w:val="00206107"/>
    <w:rsid w:val="00214847"/>
    <w:rsid w:val="0021588F"/>
    <w:rsid w:val="002161FE"/>
    <w:rsid w:val="00221A64"/>
    <w:rsid w:val="00221E84"/>
    <w:rsid w:val="00222487"/>
    <w:rsid w:val="00223B30"/>
    <w:rsid w:val="00231C8B"/>
    <w:rsid w:val="00235088"/>
    <w:rsid w:val="0023531A"/>
    <w:rsid w:val="00237C43"/>
    <w:rsid w:val="00237C63"/>
    <w:rsid w:val="0024011C"/>
    <w:rsid w:val="0024662B"/>
    <w:rsid w:val="00250D4C"/>
    <w:rsid w:val="00252609"/>
    <w:rsid w:val="0025393C"/>
    <w:rsid w:val="0026054E"/>
    <w:rsid w:val="002618C1"/>
    <w:rsid w:val="0026433D"/>
    <w:rsid w:val="00267D99"/>
    <w:rsid w:val="00270725"/>
    <w:rsid w:val="0027080B"/>
    <w:rsid w:val="00272AE7"/>
    <w:rsid w:val="00273676"/>
    <w:rsid w:val="00275122"/>
    <w:rsid w:val="00275FC5"/>
    <w:rsid w:val="00286838"/>
    <w:rsid w:val="002907EA"/>
    <w:rsid w:val="00290C8D"/>
    <w:rsid w:val="002948F6"/>
    <w:rsid w:val="00296CE9"/>
    <w:rsid w:val="002A0943"/>
    <w:rsid w:val="002A0AA0"/>
    <w:rsid w:val="002A17FF"/>
    <w:rsid w:val="002A26F2"/>
    <w:rsid w:val="002A3093"/>
    <w:rsid w:val="002A79E5"/>
    <w:rsid w:val="002B3D2D"/>
    <w:rsid w:val="002B50EE"/>
    <w:rsid w:val="002C0C7C"/>
    <w:rsid w:val="002C0C91"/>
    <w:rsid w:val="002C54E8"/>
    <w:rsid w:val="002C6D57"/>
    <w:rsid w:val="002D0780"/>
    <w:rsid w:val="002D264C"/>
    <w:rsid w:val="002D3546"/>
    <w:rsid w:val="002D578C"/>
    <w:rsid w:val="002D57D6"/>
    <w:rsid w:val="002D7AA8"/>
    <w:rsid w:val="002E03D0"/>
    <w:rsid w:val="002E0524"/>
    <w:rsid w:val="002E1B4E"/>
    <w:rsid w:val="002E631B"/>
    <w:rsid w:val="002F0DD2"/>
    <w:rsid w:val="002F1EE1"/>
    <w:rsid w:val="002F3676"/>
    <w:rsid w:val="003045D1"/>
    <w:rsid w:val="0030472E"/>
    <w:rsid w:val="00307174"/>
    <w:rsid w:val="00312C2D"/>
    <w:rsid w:val="00312E2C"/>
    <w:rsid w:val="00316B7D"/>
    <w:rsid w:val="003209B8"/>
    <w:rsid w:val="00325B41"/>
    <w:rsid w:val="00333280"/>
    <w:rsid w:val="00334838"/>
    <w:rsid w:val="003367AA"/>
    <w:rsid w:val="00346BB7"/>
    <w:rsid w:val="00351360"/>
    <w:rsid w:val="00352ECF"/>
    <w:rsid w:val="00353560"/>
    <w:rsid w:val="003551B5"/>
    <w:rsid w:val="00355995"/>
    <w:rsid w:val="00357C6E"/>
    <w:rsid w:val="00361E54"/>
    <w:rsid w:val="0037037B"/>
    <w:rsid w:val="00371E34"/>
    <w:rsid w:val="00382B58"/>
    <w:rsid w:val="0038329A"/>
    <w:rsid w:val="00383FC1"/>
    <w:rsid w:val="00385964"/>
    <w:rsid w:val="003862B6"/>
    <w:rsid w:val="00390033"/>
    <w:rsid w:val="003901A1"/>
    <w:rsid w:val="00393054"/>
    <w:rsid w:val="00394363"/>
    <w:rsid w:val="00396457"/>
    <w:rsid w:val="0039731F"/>
    <w:rsid w:val="00397D30"/>
    <w:rsid w:val="003A126B"/>
    <w:rsid w:val="003A24C3"/>
    <w:rsid w:val="003A259A"/>
    <w:rsid w:val="003A2D9B"/>
    <w:rsid w:val="003A3347"/>
    <w:rsid w:val="003A3976"/>
    <w:rsid w:val="003A54B7"/>
    <w:rsid w:val="003B76D4"/>
    <w:rsid w:val="003C0B31"/>
    <w:rsid w:val="003C701C"/>
    <w:rsid w:val="003D0187"/>
    <w:rsid w:val="003D0CED"/>
    <w:rsid w:val="003D628F"/>
    <w:rsid w:val="003D67EC"/>
    <w:rsid w:val="003D7617"/>
    <w:rsid w:val="003E6B37"/>
    <w:rsid w:val="003E732C"/>
    <w:rsid w:val="003F115E"/>
    <w:rsid w:val="003F1DBD"/>
    <w:rsid w:val="003F551B"/>
    <w:rsid w:val="003F6C7B"/>
    <w:rsid w:val="004057CD"/>
    <w:rsid w:val="00407FD9"/>
    <w:rsid w:val="00411152"/>
    <w:rsid w:val="00413722"/>
    <w:rsid w:val="00425965"/>
    <w:rsid w:val="0042647C"/>
    <w:rsid w:val="00426D99"/>
    <w:rsid w:val="00427E5E"/>
    <w:rsid w:val="00432824"/>
    <w:rsid w:val="00436F19"/>
    <w:rsid w:val="00441153"/>
    <w:rsid w:val="0044206E"/>
    <w:rsid w:val="00444375"/>
    <w:rsid w:val="00444DEF"/>
    <w:rsid w:val="00451787"/>
    <w:rsid w:val="004518C8"/>
    <w:rsid w:val="00452D7F"/>
    <w:rsid w:val="00456C23"/>
    <w:rsid w:val="00457C45"/>
    <w:rsid w:val="004622A4"/>
    <w:rsid w:val="00462D07"/>
    <w:rsid w:val="004631A4"/>
    <w:rsid w:val="0046471B"/>
    <w:rsid w:val="00466876"/>
    <w:rsid w:val="004672B7"/>
    <w:rsid w:val="0047398F"/>
    <w:rsid w:val="004744CF"/>
    <w:rsid w:val="0047459E"/>
    <w:rsid w:val="004760AF"/>
    <w:rsid w:val="00477634"/>
    <w:rsid w:val="00482B91"/>
    <w:rsid w:val="00483E1A"/>
    <w:rsid w:val="00485A6E"/>
    <w:rsid w:val="00486B10"/>
    <w:rsid w:val="00492287"/>
    <w:rsid w:val="00495643"/>
    <w:rsid w:val="004973C4"/>
    <w:rsid w:val="004A0F88"/>
    <w:rsid w:val="004A4A43"/>
    <w:rsid w:val="004B0F45"/>
    <w:rsid w:val="004B2F29"/>
    <w:rsid w:val="004B33C9"/>
    <w:rsid w:val="004B397E"/>
    <w:rsid w:val="004B47E4"/>
    <w:rsid w:val="004B573E"/>
    <w:rsid w:val="004B5ECD"/>
    <w:rsid w:val="004B5F7F"/>
    <w:rsid w:val="004B7510"/>
    <w:rsid w:val="004C0E67"/>
    <w:rsid w:val="004C213D"/>
    <w:rsid w:val="004C27AF"/>
    <w:rsid w:val="004C49F9"/>
    <w:rsid w:val="004C6D39"/>
    <w:rsid w:val="004D1ECA"/>
    <w:rsid w:val="004D4319"/>
    <w:rsid w:val="004E1004"/>
    <w:rsid w:val="004E15B7"/>
    <w:rsid w:val="004E2174"/>
    <w:rsid w:val="004E58CD"/>
    <w:rsid w:val="004E6031"/>
    <w:rsid w:val="004E6A5B"/>
    <w:rsid w:val="004F079A"/>
    <w:rsid w:val="004F4E19"/>
    <w:rsid w:val="004F613E"/>
    <w:rsid w:val="004F7D10"/>
    <w:rsid w:val="005045F6"/>
    <w:rsid w:val="00511050"/>
    <w:rsid w:val="005153D1"/>
    <w:rsid w:val="005275F4"/>
    <w:rsid w:val="005300E1"/>
    <w:rsid w:val="00530B9E"/>
    <w:rsid w:val="00532514"/>
    <w:rsid w:val="0053536D"/>
    <w:rsid w:val="0053684A"/>
    <w:rsid w:val="00536D54"/>
    <w:rsid w:val="00540509"/>
    <w:rsid w:val="00541E6A"/>
    <w:rsid w:val="00542CF0"/>
    <w:rsid w:val="005432F2"/>
    <w:rsid w:val="00552787"/>
    <w:rsid w:val="0055438D"/>
    <w:rsid w:val="00563431"/>
    <w:rsid w:val="00566500"/>
    <w:rsid w:val="00566E70"/>
    <w:rsid w:val="005701C5"/>
    <w:rsid w:val="00571398"/>
    <w:rsid w:val="0057192E"/>
    <w:rsid w:val="00572A00"/>
    <w:rsid w:val="00574691"/>
    <w:rsid w:val="00574B7B"/>
    <w:rsid w:val="005756FC"/>
    <w:rsid w:val="0057629D"/>
    <w:rsid w:val="00586AA6"/>
    <w:rsid w:val="005919A0"/>
    <w:rsid w:val="005966FA"/>
    <w:rsid w:val="00597DF4"/>
    <w:rsid w:val="005A06C1"/>
    <w:rsid w:val="005A5371"/>
    <w:rsid w:val="005A5A53"/>
    <w:rsid w:val="005B1301"/>
    <w:rsid w:val="005B43E6"/>
    <w:rsid w:val="005B453D"/>
    <w:rsid w:val="005B6421"/>
    <w:rsid w:val="005C05ED"/>
    <w:rsid w:val="005C4857"/>
    <w:rsid w:val="005C4BFA"/>
    <w:rsid w:val="005D2D7B"/>
    <w:rsid w:val="005D4197"/>
    <w:rsid w:val="005D582F"/>
    <w:rsid w:val="005D6BBB"/>
    <w:rsid w:val="005E0EA0"/>
    <w:rsid w:val="005E4004"/>
    <w:rsid w:val="005F3211"/>
    <w:rsid w:val="005F4E9B"/>
    <w:rsid w:val="005F6138"/>
    <w:rsid w:val="005F7FFD"/>
    <w:rsid w:val="006076C9"/>
    <w:rsid w:val="00611F21"/>
    <w:rsid w:val="00612130"/>
    <w:rsid w:val="00612A45"/>
    <w:rsid w:val="00614AB1"/>
    <w:rsid w:val="00615606"/>
    <w:rsid w:val="006158D9"/>
    <w:rsid w:val="00616ADB"/>
    <w:rsid w:val="0062095F"/>
    <w:rsid w:val="006239FB"/>
    <w:rsid w:val="00627442"/>
    <w:rsid w:val="00630555"/>
    <w:rsid w:val="00632DB2"/>
    <w:rsid w:val="006340BC"/>
    <w:rsid w:val="0063430A"/>
    <w:rsid w:val="0063619F"/>
    <w:rsid w:val="006403D9"/>
    <w:rsid w:val="00640EC3"/>
    <w:rsid w:val="00645994"/>
    <w:rsid w:val="00646477"/>
    <w:rsid w:val="00647C56"/>
    <w:rsid w:val="00647D5D"/>
    <w:rsid w:val="006522D3"/>
    <w:rsid w:val="00654BC8"/>
    <w:rsid w:val="00657AF0"/>
    <w:rsid w:val="00661503"/>
    <w:rsid w:val="00663454"/>
    <w:rsid w:val="00664E75"/>
    <w:rsid w:val="00666BA0"/>
    <w:rsid w:val="006738DE"/>
    <w:rsid w:val="00682AEB"/>
    <w:rsid w:val="00683ABB"/>
    <w:rsid w:val="00686B30"/>
    <w:rsid w:val="00687E92"/>
    <w:rsid w:val="00687EF7"/>
    <w:rsid w:val="00692C12"/>
    <w:rsid w:val="006A01D3"/>
    <w:rsid w:val="006A0825"/>
    <w:rsid w:val="006B0DDD"/>
    <w:rsid w:val="006C0373"/>
    <w:rsid w:val="006C04A1"/>
    <w:rsid w:val="006C05C6"/>
    <w:rsid w:val="006C0E0C"/>
    <w:rsid w:val="006C10F6"/>
    <w:rsid w:val="006C1BA3"/>
    <w:rsid w:val="006C1FCF"/>
    <w:rsid w:val="006C4180"/>
    <w:rsid w:val="006C4D3D"/>
    <w:rsid w:val="006C77C6"/>
    <w:rsid w:val="006D0B55"/>
    <w:rsid w:val="006D251B"/>
    <w:rsid w:val="006D7549"/>
    <w:rsid w:val="006E02CF"/>
    <w:rsid w:val="006E32E2"/>
    <w:rsid w:val="006F297A"/>
    <w:rsid w:val="006F33FD"/>
    <w:rsid w:val="006F3655"/>
    <w:rsid w:val="006F5B0E"/>
    <w:rsid w:val="007009C1"/>
    <w:rsid w:val="00700A6B"/>
    <w:rsid w:val="007038E5"/>
    <w:rsid w:val="00703E65"/>
    <w:rsid w:val="00707955"/>
    <w:rsid w:val="007156D0"/>
    <w:rsid w:val="00715B23"/>
    <w:rsid w:val="00716219"/>
    <w:rsid w:val="00717580"/>
    <w:rsid w:val="007215F9"/>
    <w:rsid w:val="00723719"/>
    <w:rsid w:val="0072578D"/>
    <w:rsid w:val="0073288E"/>
    <w:rsid w:val="007372A3"/>
    <w:rsid w:val="00741199"/>
    <w:rsid w:val="00742393"/>
    <w:rsid w:val="00744D83"/>
    <w:rsid w:val="007466A1"/>
    <w:rsid w:val="00747407"/>
    <w:rsid w:val="00750F04"/>
    <w:rsid w:val="00756BE2"/>
    <w:rsid w:val="00760AF8"/>
    <w:rsid w:val="00763BF8"/>
    <w:rsid w:val="00767682"/>
    <w:rsid w:val="00767885"/>
    <w:rsid w:val="007731C1"/>
    <w:rsid w:val="0077410A"/>
    <w:rsid w:val="007769B1"/>
    <w:rsid w:val="00776DF1"/>
    <w:rsid w:val="00780F60"/>
    <w:rsid w:val="00783E8A"/>
    <w:rsid w:val="00785245"/>
    <w:rsid w:val="00786867"/>
    <w:rsid w:val="007872EC"/>
    <w:rsid w:val="007876F5"/>
    <w:rsid w:val="00791761"/>
    <w:rsid w:val="00792BA0"/>
    <w:rsid w:val="00794A27"/>
    <w:rsid w:val="007A126C"/>
    <w:rsid w:val="007A24BD"/>
    <w:rsid w:val="007A3F97"/>
    <w:rsid w:val="007B17F5"/>
    <w:rsid w:val="007B19C1"/>
    <w:rsid w:val="007B3C4B"/>
    <w:rsid w:val="007B4E85"/>
    <w:rsid w:val="007B5A26"/>
    <w:rsid w:val="007C03D9"/>
    <w:rsid w:val="007C1606"/>
    <w:rsid w:val="007C5F55"/>
    <w:rsid w:val="007C7CEF"/>
    <w:rsid w:val="007D0291"/>
    <w:rsid w:val="007D3A39"/>
    <w:rsid w:val="007E15DA"/>
    <w:rsid w:val="007E1F57"/>
    <w:rsid w:val="007E522F"/>
    <w:rsid w:val="007E5977"/>
    <w:rsid w:val="007E5F42"/>
    <w:rsid w:val="007F01F3"/>
    <w:rsid w:val="007F1A7B"/>
    <w:rsid w:val="007F3C66"/>
    <w:rsid w:val="007F4D34"/>
    <w:rsid w:val="007F4FB4"/>
    <w:rsid w:val="008001C4"/>
    <w:rsid w:val="008037CD"/>
    <w:rsid w:val="00806C8C"/>
    <w:rsid w:val="00807E06"/>
    <w:rsid w:val="00810025"/>
    <w:rsid w:val="008111A8"/>
    <w:rsid w:val="008143F2"/>
    <w:rsid w:val="0081466D"/>
    <w:rsid w:val="0082248D"/>
    <w:rsid w:val="00823FB5"/>
    <w:rsid w:val="0082532E"/>
    <w:rsid w:val="00827404"/>
    <w:rsid w:val="00830EB7"/>
    <w:rsid w:val="008322F0"/>
    <w:rsid w:val="0083427C"/>
    <w:rsid w:val="008346D6"/>
    <w:rsid w:val="0083533F"/>
    <w:rsid w:val="00837031"/>
    <w:rsid w:val="00843D83"/>
    <w:rsid w:val="00846509"/>
    <w:rsid w:val="00852115"/>
    <w:rsid w:val="00852358"/>
    <w:rsid w:val="00852FFB"/>
    <w:rsid w:val="00853FAF"/>
    <w:rsid w:val="00854BFF"/>
    <w:rsid w:val="00855A41"/>
    <w:rsid w:val="00857608"/>
    <w:rsid w:val="00857CEF"/>
    <w:rsid w:val="00864BC6"/>
    <w:rsid w:val="0086702C"/>
    <w:rsid w:val="00870345"/>
    <w:rsid w:val="00871C70"/>
    <w:rsid w:val="00874B39"/>
    <w:rsid w:val="00874ED1"/>
    <w:rsid w:val="00876815"/>
    <w:rsid w:val="0088266F"/>
    <w:rsid w:val="008826EA"/>
    <w:rsid w:val="008850AC"/>
    <w:rsid w:val="00885CC2"/>
    <w:rsid w:val="008900C0"/>
    <w:rsid w:val="00890465"/>
    <w:rsid w:val="00893F59"/>
    <w:rsid w:val="00894BC2"/>
    <w:rsid w:val="008A0977"/>
    <w:rsid w:val="008A236A"/>
    <w:rsid w:val="008A53C6"/>
    <w:rsid w:val="008A65CB"/>
    <w:rsid w:val="008A676A"/>
    <w:rsid w:val="008A7307"/>
    <w:rsid w:val="008B5E03"/>
    <w:rsid w:val="008C32BA"/>
    <w:rsid w:val="008C334F"/>
    <w:rsid w:val="008C3AE2"/>
    <w:rsid w:val="008D15B8"/>
    <w:rsid w:val="008D1FD8"/>
    <w:rsid w:val="008D5ABB"/>
    <w:rsid w:val="008D62FF"/>
    <w:rsid w:val="008D6607"/>
    <w:rsid w:val="008E038E"/>
    <w:rsid w:val="008E09EC"/>
    <w:rsid w:val="008E12C1"/>
    <w:rsid w:val="008E1F73"/>
    <w:rsid w:val="008E454F"/>
    <w:rsid w:val="008E6140"/>
    <w:rsid w:val="008E62D0"/>
    <w:rsid w:val="008E78F8"/>
    <w:rsid w:val="008F0119"/>
    <w:rsid w:val="008F0420"/>
    <w:rsid w:val="008F4B73"/>
    <w:rsid w:val="008F5958"/>
    <w:rsid w:val="008F65A1"/>
    <w:rsid w:val="008F7AB1"/>
    <w:rsid w:val="00900B4B"/>
    <w:rsid w:val="0090602B"/>
    <w:rsid w:val="009077F0"/>
    <w:rsid w:val="00911DDC"/>
    <w:rsid w:val="00911F71"/>
    <w:rsid w:val="0091426D"/>
    <w:rsid w:val="0091548E"/>
    <w:rsid w:val="00917354"/>
    <w:rsid w:val="00922D3A"/>
    <w:rsid w:val="00923E7C"/>
    <w:rsid w:val="00930352"/>
    <w:rsid w:val="009324E2"/>
    <w:rsid w:val="00932D8E"/>
    <w:rsid w:val="00934E83"/>
    <w:rsid w:val="00936266"/>
    <w:rsid w:val="00937072"/>
    <w:rsid w:val="009418F7"/>
    <w:rsid w:val="00945EAE"/>
    <w:rsid w:val="009470A5"/>
    <w:rsid w:val="0095072A"/>
    <w:rsid w:val="00960BF6"/>
    <w:rsid w:val="00963225"/>
    <w:rsid w:val="00966E24"/>
    <w:rsid w:val="00975367"/>
    <w:rsid w:val="0097572F"/>
    <w:rsid w:val="00975913"/>
    <w:rsid w:val="00976091"/>
    <w:rsid w:val="00976A5D"/>
    <w:rsid w:val="00976B42"/>
    <w:rsid w:val="00977AC1"/>
    <w:rsid w:val="009815FC"/>
    <w:rsid w:val="00986EE4"/>
    <w:rsid w:val="0099346B"/>
    <w:rsid w:val="00995285"/>
    <w:rsid w:val="009956ED"/>
    <w:rsid w:val="0099625D"/>
    <w:rsid w:val="00996E8C"/>
    <w:rsid w:val="00997159"/>
    <w:rsid w:val="009A1486"/>
    <w:rsid w:val="009A1E92"/>
    <w:rsid w:val="009A1F87"/>
    <w:rsid w:val="009A2C1B"/>
    <w:rsid w:val="009B071B"/>
    <w:rsid w:val="009B32AC"/>
    <w:rsid w:val="009B341E"/>
    <w:rsid w:val="009C07CB"/>
    <w:rsid w:val="009C17AD"/>
    <w:rsid w:val="009C3A59"/>
    <w:rsid w:val="009C58E4"/>
    <w:rsid w:val="009C6CCA"/>
    <w:rsid w:val="009C78AA"/>
    <w:rsid w:val="009D2A7F"/>
    <w:rsid w:val="009D70B2"/>
    <w:rsid w:val="009E0620"/>
    <w:rsid w:val="009E2A74"/>
    <w:rsid w:val="009E6B11"/>
    <w:rsid w:val="009E7B35"/>
    <w:rsid w:val="009F1181"/>
    <w:rsid w:val="009F20BA"/>
    <w:rsid w:val="009F3CE0"/>
    <w:rsid w:val="009F4402"/>
    <w:rsid w:val="009F49E8"/>
    <w:rsid w:val="009F741A"/>
    <w:rsid w:val="00A00EA5"/>
    <w:rsid w:val="00A00ED7"/>
    <w:rsid w:val="00A04C00"/>
    <w:rsid w:val="00A12C72"/>
    <w:rsid w:val="00A14C6A"/>
    <w:rsid w:val="00A1731D"/>
    <w:rsid w:val="00A23D59"/>
    <w:rsid w:val="00A26B1D"/>
    <w:rsid w:val="00A30E3B"/>
    <w:rsid w:val="00A34550"/>
    <w:rsid w:val="00A34CBF"/>
    <w:rsid w:val="00A358A5"/>
    <w:rsid w:val="00A36FB3"/>
    <w:rsid w:val="00A4092D"/>
    <w:rsid w:val="00A41850"/>
    <w:rsid w:val="00A43101"/>
    <w:rsid w:val="00A43122"/>
    <w:rsid w:val="00A46863"/>
    <w:rsid w:val="00A50398"/>
    <w:rsid w:val="00A51D19"/>
    <w:rsid w:val="00A52F3E"/>
    <w:rsid w:val="00A60548"/>
    <w:rsid w:val="00A63913"/>
    <w:rsid w:val="00A669E6"/>
    <w:rsid w:val="00A82634"/>
    <w:rsid w:val="00A84BB9"/>
    <w:rsid w:val="00A90D12"/>
    <w:rsid w:val="00A91C24"/>
    <w:rsid w:val="00A942B5"/>
    <w:rsid w:val="00AA758F"/>
    <w:rsid w:val="00AB456D"/>
    <w:rsid w:val="00AB4707"/>
    <w:rsid w:val="00AB5B5B"/>
    <w:rsid w:val="00AC3BDE"/>
    <w:rsid w:val="00AC630B"/>
    <w:rsid w:val="00AD3CB6"/>
    <w:rsid w:val="00AD4AB5"/>
    <w:rsid w:val="00AD7014"/>
    <w:rsid w:val="00AD72C3"/>
    <w:rsid w:val="00AF296E"/>
    <w:rsid w:val="00AF747A"/>
    <w:rsid w:val="00AF79E7"/>
    <w:rsid w:val="00B008E2"/>
    <w:rsid w:val="00B00BED"/>
    <w:rsid w:val="00B05057"/>
    <w:rsid w:val="00B050BB"/>
    <w:rsid w:val="00B050C2"/>
    <w:rsid w:val="00B053C4"/>
    <w:rsid w:val="00B06F76"/>
    <w:rsid w:val="00B07375"/>
    <w:rsid w:val="00B179E9"/>
    <w:rsid w:val="00B2005C"/>
    <w:rsid w:val="00B26377"/>
    <w:rsid w:val="00B30DF5"/>
    <w:rsid w:val="00B340F5"/>
    <w:rsid w:val="00B34231"/>
    <w:rsid w:val="00B42FAF"/>
    <w:rsid w:val="00B4509B"/>
    <w:rsid w:val="00B46BE4"/>
    <w:rsid w:val="00B503ED"/>
    <w:rsid w:val="00B5209D"/>
    <w:rsid w:val="00B54F4D"/>
    <w:rsid w:val="00B631C4"/>
    <w:rsid w:val="00B65227"/>
    <w:rsid w:val="00B74DAB"/>
    <w:rsid w:val="00B752C1"/>
    <w:rsid w:val="00B75779"/>
    <w:rsid w:val="00B76504"/>
    <w:rsid w:val="00B80282"/>
    <w:rsid w:val="00B80A14"/>
    <w:rsid w:val="00B83E6C"/>
    <w:rsid w:val="00B85B85"/>
    <w:rsid w:val="00B85F9F"/>
    <w:rsid w:val="00B86CA9"/>
    <w:rsid w:val="00B8749E"/>
    <w:rsid w:val="00B9138D"/>
    <w:rsid w:val="00B92CEC"/>
    <w:rsid w:val="00BA1D93"/>
    <w:rsid w:val="00BB2BAF"/>
    <w:rsid w:val="00BB3071"/>
    <w:rsid w:val="00BB5898"/>
    <w:rsid w:val="00BB5F0B"/>
    <w:rsid w:val="00BB74E6"/>
    <w:rsid w:val="00BB7691"/>
    <w:rsid w:val="00BC2118"/>
    <w:rsid w:val="00BC3637"/>
    <w:rsid w:val="00BC57E3"/>
    <w:rsid w:val="00BC7A48"/>
    <w:rsid w:val="00BD3216"/>
    <w:rsid w:val="00BD33F0"/>
    <w:rsid w:val="00BD38B0"/>
    <w:rsid w:val="00BD479F"/>
    <w:rsid w:val="00BD4E82"/>
    <w:rsid w:val="00BD64FF"/>
    <w:rsid w:val="00BD656D"/>
    <w:rsid w:val="00BE5A14"/>
    <w:rsid w:val="00BF3DF4"/>
    <w:rsid w:val="00BF69E7"/>
    <w:rsid w:val="00C00089"/>
    <w:rsid w:val="00C0568C"/>
    <w:rsid w:val="00C07BF7"/>
    <w:rsid w:val="00C10D3A"/>
    <w:rsid w:val="00C1100F"/>
    <w:rsid w:val="00C1407A"/>
    <w:rsid w:val="00C16065"/>
    <w:rsid w:val="00C17A33"/>
    <w:rsid w:val="00C24CAA"/>
    <w:rsid w:val="00C270D1"/>
    <w:rsid w:val="00C33A05"/>
    <w:rsid w:val="00C34834"/>
    <w:rsid w:val="00C35748"/>
    <w:rsid w:val="00C37F88"/>
    <w:rsid w:val="00C40B73"/>
    <w:rsid w:val="00C449CD"/>
    <w:rsid w:val="00C5148A"/>
    <w:rsid w:val="00C515BD"/>
    <w:rsid w:val="00C51F30"/>
    <w:rsid w:val="00C542EE"/>
    <w:rsid w:val="00C54B0F"/>
    <w:rsid w:val="00C54D98"/>
    <w:rsid w:val="00C5572A"/>
    <w:rsid w:val="00C60DAD"/>
    <w:rsid w:val="00C66557"/>
    <w:rsid w:val="00C737A4"/>
    <w:rsid w:val="00C752AE"/>
    <w:rsid w:val="00C81064"/>
    <w:rsid w:val="00C83307"/>
    <w:rsid w:val="00C856C4"/>
    <w:rsid w:val="00C86E69"/>
    <w:rsid w:val="00C90D3E"/>
    <w:rsid w:val="00C920DE"/>
    <w:rsid w:val="00C9222A"/>
    <w:rsid w:val="00C93CBE"/>
    <w:rsid w:val="00C96DD0"/>
    <w:rsid w:val="00CA09A1"/>
    <w:rsid w:val="00CA6563"/>
    <w:rsid w:val="00CB16AB"/>
    <w:rsid w:val="00CB2648"/>
    <w:rsid w:val="00CB440F"/>
    <w:rsid w:val="00CB46DB"/>
    <w:rsid w:val="00CB72FA"/>
    <w:rsid w:val="00CB7BD3"/>
    <w:rsid w:val="00CC456D"/>
    <w:rsid w:val="00CC49AF"/>
    <w:rsid w:val="00CC52B9"/>
    <w:rsid w:val="00CC606C"/>
    <w:rsid w:val="00CD002B"/>
    <w:rsid w:val="00CD2045"/>
    <w:rsid w:val="00CD2514"/>
    <w:rsid w:val="00CD34D4"/>
    <w:rsid w:val="00CD7ADC"/>
    <w:rsid w:val="00CE00A9"/>
    <w:rsid w:val="00CE3111"/>
    <w:rsid w:val="00CE57A2"/>
    <w:rsid w:val="00CE5897"/>
    <w:rsid w:val="00CF00B0"/>
    <w:rsid w:val="00CF2C44"/>
    <w:rsid w:val="00CF4AFC"/>
    <w:rsid w:val="00CF6F94"/>
    <w:rsid w:val="00D0777E"/>
    <w:rsid w:val="00D07FCE"/>
    <w:rsid w:val="00D11840"/>
    <w:rsid w:val="00D120A6"/>
    <w:rsid w:val="00D26C3C"/>
    <w:rsid w:val="00D27A23"/>
    <w:rsid w:val="00D33B86"/>
    <w:rsid w:val="00D34DE1"/>
    <w:rsid w:val="00D35672"/>
    <w:rsid w:val="00D35E47"/>
    <w:rsid w:val="00D35EA4"/>
    <w:rsid w:val="00D36866"/>
    <w:rsid w:val="00D40F4F"/>
    <w:rsid w:val="00D44763"/>
    <w:rsid w:val="00D4598C"/>
    <w:rsid w:val="00D47C9D"/>
    <w:rsid w:val="00D5101C"/>
    <w:rsid w:val="00D53293"/>
    <w:rsid w:val="00D579E3"/>
    <w:rsid w:val="00D63B25"/>
    <w:rsid w:val="00D71584"/>
    <w:rsid w:val="00D71BA9"/>
    <w:rsid w:val="00D721E5"/>
    <w:rsid w:val="00D74FC3"/>
    <w:rsid w:val="00D75A34"/>
    <w:rsid w:val="00D7650F"/>
    <w:rsid w:val="00D76B30"/>
    <w:rsid w:val="00D76FA1"/>
    <w:rsid w:val="00D77497"/>
    <w:rsid w:val="00D8092F"/>
    <w:rsid w:val="00D8345A"/>
    <w:rsid w:val="00D85122"/>
    <w:rsid w:val="00D93FB5"/>
    <w:rsid w:val="00D9456C"/>
    <w:rsid w:val="00D959FC"/>
    <w:rsid w:val="00D96BFD"/>
    <w:rsid w:val="00DA5A74"/>
    <w:rsid w:val="00DA720A"/>
    <w:rsid w:val="00DB2128"/>
    <w:rsid w:val="00DB2F11"/>
    <w:rsid w:val="00DC43D1"/>
    <w:rsid w:val="00DC5581"/>
    <w:rsid w:val="00DC6490"/>
    <w:rsid w:val="00DC7E99"/>
    <w:rsid w:val="00DD28A0"/>
    <w:rsid w:val="00DE290B"/>
    <w:rsid w:val="00DE2DA9"/>
    <w:rsid w:val="00DE6C2C"/>
    <w:rsid w:val="00DF0B96"/>
    <w:rsid w:val="00DF1C47"/>
    <w:rsid w:val="00DF2EC1"/>
    <w:rsid w:val="00DF2F8D"/>
    <w:rsid w:val="00DF658B"/>
    <w:rsid w:val="00E0017F"/>
    <w:rsid w:val="00E05581"/>
    <w:rsid w:val="00E06DE2"/>
    <w:rsid w:val="00E06E7A"/>
    <w:rsid w:val="00E07981"/>
    <w:rsid w:val="00E1046E"/>
    <w:rsid w:val="00E12B7F"/>
    <w:rsid w:val="00E13618"/>
    <w:rsid w:val="00E27335"/>
    <w:rsid w:val="00E34ADE"/>
    <w:rsid w:val="00E376DC"/>
    <w:rsid w:val="00E41220"/>
    <w:rsid w:val="00E41825"/>
    <w:rsid w:val="00E456D2"/>
    <w:rsid w:val="00E51AA3"/>
    <w:rsid w:val="00E53FA6"/>
    <w:rsid w:val="00E660EF"/>
    <w:rsid w:val="00E66415"/>
    <w:rsid w:val="00E67DBA"/>
    <w:rsid w:val="00E7158A"/>
    <w:rsid w:val="00E723F5"/>
    <w:rsid w:val="00E75935"/>
    <w:rsid w:val="00E8220A"/>
    <w:rsid w:val="00E85DD4"/>
    <w:rsid w:val="00E935D6"/>
    <w:rsid w:val="00EA09C8"/>
    <w:rsid w:val="00EB0057"/>
    <w:rsid w:val="00EB09CA"/>
    <w:rsid w:val="00EB41F2"/>
    <w:rsid w:val="00EB5041"/>
    <w:rsid w:val="00EB51A2"/>
    <w:rsid w:val="00EB6E46"/>
    <w:rsid w:val="00EC0083"/>
    <w:rsid w:val="00EC022F"/>
    <w:rsid w:val="00EC0FAC"/>
    <w:rsid w:val="00EC3285"/>
    <w:rsid w:val="00EC7499"/>
    <w:rsid w:val="00EC7864"/>
    <w:rsid w:val="00ED35BC"/>
    <w:rsid w:val="00ED570D"/>
    <w:rsid w:val="00ED5F63"/>
    <w:rsid w:val="00EF153A"/>
    <w:rsid w:val="00EF4EAF"/>
    <w:rsid w:val="00F002DA"/>
    <w:rsid w:val="00F00713"/>
    <w:rsid w:val="00F00D79"/>
    <w:rsid w:val="00F06324"/>
    <w:rsid w:val="00F0663E"/>
    <w:rsid w:val="00F14F45"/>
    <w:rsid w:val="00F2170C"/>
    <w:rsid w:val="00F21B38"/>
    <w:rsid w:val="00F236F1"/>
    <w:rsid w:val="00F256D2"/>
    <w:rsid w:val="00F2598A"/>
    <w:rsid w:val="00F2626B"/>
    <w:rsid w:val="00F26783"/>
    <w:rsid w:val="00F31CF7"/>
    <w:rsid w:val="00F3235D"/>
    <w:rsid w:val="00F340BF"/>
    <w:rsid w:val="00F3414D"/>
    <w:rsid w:val="00F36DA8"/>
    <w:rsid w:val="00F3793B"/>
    <w:rsid w:val="00F37CE3"/>
    <w:rsid w:val="00F46082"/>
    <w:rsid w:val="00F4774C"/>
    <w:rsid w:val="00F60B03"/>
    <w:rsid w:val="00F706DB"/>
    <w:rsid w:val="00F7764A"/>
    <w:rsid w:val="00F81D01"/>
    <w:rsid w:val="00F821A3"/>
    <w:rsid w:val="00F84C1A"/>
    <w:rsid w:val="00F861A0"/>
    <w:rsid w:val="00F86A76"/>
    <w:rsid w:val="00F87952"/>
    <w:rsid w:val="00F87CAB"/>
    <w:rsid w:val="00F902C8"/>
    <w:rsid w:val="00F90A6E"/>
    <w:rsid w:val="00F91B6F"/>
    <w:rsid w:val="00F91D46"/>
    <w:rsid w:val="00F93863"/>
    <w:rsid w:val="00FA0B6F"/>
    <w:rsid w:val="00FA0F02"/>
    <w:rsid w:val="00FA3B72"/>
    <w:rsid w:val="00FA4F1C"/>
    <w:rsid w:val="00FA59A1"/>
    <w:rsid w:val="00FA756C"/>
    <w:rsid w:val="00FB5D9E"/>
    <w:rsid w:val="00FB5F05"/>
    <w:rsid w:val="00FB678A"/>
    <w:rsid w:val="00FC4860"/>
    <w:rsid w:val="00FD139D"/>
    <w:rsid w:val="00FD3B2D"/>
    <w:rsid w:val="00FD62C6"/>
    <w:rsid w:val="00FE1BD4"/>
    <w:rsid w:val="00FE59B6"/>
    <w:rsid w:val="00FF42EF"/>
    <w:rsid w:val="02F7E881"/>
    <w:rsid w:val="0816A987"/>
    <w:rsid w:val="0D0C1BA7"/>
    <w:rsid w:val="19FC26F9"/>
    <w:rsid w:val="2B060DB6"/>
    <w:rsid w:val="2FBF3277"/>
    <w:rsid w:val="372A0790"/>
    <w:rsid w:val="386A179E"/>
    <w:rsid w:val="3B276D82"/>
    <w:rsid w:val="43AE6EBC"/>
    <w:rsid w:val="62586760"/>
    <w:rsid w:val="6318C9AE"/>
    <w:rsid w:val="66B49D68"/>
    <w:rsid w:val="7092CBD3"/>
    <w:rsid w:val="76897D56"/>
    <w:rsid w:val="76F0BB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830EFA6"/>
  <w15:chartTrackingRefBased/>
  <w15:docId w15:val="{A3DBE965-CBBF-452D-A892-57F7B967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843D83"/>
    <w:pPr>
      <w:keepNext/>
      <w:numPr>
        <w:numId w:val="3"/>
      </w:numPr>
      <w:spacing w:before="240" w:after="0" w:line="259" w:lineRule="auto"/>
      <w:ind w:left="714" w:hanging="357"/>
      <w:jc w:val="both"/>
      <w:outlineLvl w:val="0"/>
    </w:pPr>
    <w:rPr>
      <w:rFonts w:ascii="Times New Roman" w:eastAsiaTheme="minorEastAsia" w:hAnsi="Times New Roman" w:cs="Times New Roman"/>
      <w:b/>
      <w:bCs/>
      <w:sz w:val="24"/>
      <w:szCs w:val="24"/>
      <w:lang w:val="en-US"/>
    </w:rPr>
  </w:style>
  <w:style w:type="paragraph" w:styleId="Heading2">
    <w:name w:val="heading 2"/>
    <w:basedOn w:val="ListParagraph"/>
    <w:next w:val="Normal"/>
    <w:link w:val="Heading2Char"/>
    <w:uiPriority w:val="9"/>
    <w:unhideWhenUsed/>
    <w:qFormat/>
    <w:rsid w:val="00843D83"/>
    <w:pPr>
      <w:numPr>
        <w:ilvl w:val="1"/>
        <w:numId w:val="1"/>
      </w:numPr>
      <w:spacing w:before="360"/>
      <w:outlineLvl w:val="1"/>
    </w:pPr>
    <w:rPr>
      <w:rFonts w:ascii="Times New Roman" w:eastAsiaTheme="minorEastAsia" w:hAnsi="Times New Roman" w:cs="Times New Roman"/>
      <w:b/>
      <w:bCs/>
      <w:sz w:val="24"/>
      <w:szCs w:val="24"/>
    </w:rPr>
  </w:style>
  <w:style w:type="paragraph" w:styleId="Heading3">
    <w:name w:val="heading 3"/>
    <w:basedOn w:val="Normal"/>
    <w:next w:val="Normal"/>
    <w:link w:val="Heading3Char"/>
    <w:uiPriority w:val="1"/>
    <w:unhideWhenUsed/>
    <w:qFormat/>
    <w:rsid w:val="00843D83"/>
    <w:pPr>
      <w:keepNext/>
      <w:keepLines/>
      <w:spacing w:before="40" w:after="0" w:line="259" w:lineRule="auto"/>
      <w:outlineLvl w:val="2"/>
    </w:pPr>
    <w:rPr>
      <w:rFonts w:asciiTheme="majorHAnsi" w:eastAsiaTheme="majorEastAsia" w:hAnsiTheme="majorHAnsi" w:cstheme="majorBidi"/>
      <w:color w:val="1F4D78"/>
      <w:sz w:val="24"/>
      <w:szCs w:val="24"/>
      <w:lang w:val="en-IE"/>
    </w:rPr>
  </w:style>
  <w:style w:type="paragraph" w:styleId="Heading4">
    <w:name w:val="heading 4"/>
    <w:basedOn w:val="Heading3"/>
    <w:next w:val="Normal"/>
    <w:link w:val="Heading4Char"/>
    <w:uiPriority w:val="1"/>
    <w:qFormat/>
    <w:rsid w:val="00843D83"/>
    <w:pPr>
      <w:keepLines w:val="0"/>
      <w:spacing w:before="240" w:after="60" w:line="280" w:lineRule="exact"/>
      <w:ind w:left="1560" w:hanging="851"/>
      <w:jc w:val="both"/>
      <w:outlineLvl w:val="3"/>
    </w:pPr>
    <w:rPr>
      <w:rFonts w:ascii="EC Square Sans Pro" w:eastAsia="Arial Unicode MS" w:hAnsi="EC Square Sans Pro" w:cs="Open Sans Condensed"/>
      <w:b/>
      <w:bCs/>
      <w:color w:val="auto"/>
      <w:sz w:val="22"/>
      <w:szCs w:val="22"/>
      <w:lang w:eastAsia="de-DE"/>
    </w:rPr>
  </w:style>
  <w:style w:type="paragraph" w:styleId="Heading5">
    <w:name w:val="heading 5"/>
    <w:basedOn w:val="Normal"/>
    <w:next w:val="Normal"/>
    <w:link w:val="Heading5Char"/>
    <w:uiPriority w:val="9"/>
    <w:unhideWhenUsed/>
    <w:qFormat/>
    <w:rsid w:val="00843D83"/>
    <w:pPr>
      <w:keepNext/>
      <w:keepLines/>
      <w:spacing w:before="40" w:after="0" w:line="259" w:lineRule="auto"/>
      <w:outlineLvl w:val="4"/>
    </w:pPr>
    <w:rPr>
      <w:rFonts w:asciiTheme="majorHAnsi" w:eastAsiaTheme="majorEastAsia" w:hAnsiTheme="majorHAnsi" w:cstheme="majorBidi"/>
      <w:color w:val="365F91" w:themeColor="accent1" w:themeShade="BF"/>
      <w:lang w:val="en-IE"/>
    </w:rPr>
  </w:style>
  <w:style w:type="paragraph" w:styleId="Heading6">
    <w:name w:val="heading 6"/>
    <w:basedOn w:val="Normal"/>
    <w:next w:val="Normal"/>
    <w:link w:val="Heading6Char"/>
    <w:uiPriority w:val="9"/>
    <w:unhideWhenUsed/>
    <w:qFormat/>
    <w:rsid w:val="00843D83"/>
    <w:pPr>
      <w:keepNext/>
      <w:keepLines/>
      <w:spacing w:before="40" w:after="0" w:line="259" w:lineRule="auto"/>
      <w:outlineLvl w:val="5"/>
    </w:pPr>
    <w:rPr>
      <w:rFonts w:asciiTheme="majorHAnsi" w:eastAsiaTheme="majorEastAsia" w:hAnsiTheme="majorHAnsi" w:cstheme="majorBidi"/>
      <w:color w:val="1F4D78"/>
      <w:lang w:val="en-IE"/>
    </w:rPr>
  </w:style>
  <w:style w:type="paragraph" w:styleId="Heading7">
    <w:name w:val="heading 7"/>
    <w:basedOn w:val="Normal"/>
    <w:next w:val="Normal"/>
    <w:link w:val="Heading7Char"/>
    <w:uiPriority w:val="9"/>
    <w:unhideWhenUsed/>
    <w:qFormat/>
    <w:rsid w:val="00843D83"/>
    <w:pPr>
      <w:keepNext/>
      <w:keepLines/>
      <w:spacing w:before="40" w:after="0" w:line="259" w:lineRule="auto"/>
      <w:outlineLvl w:val="6"/>
    </w:pPr>
    <w:rPr>
      <w:rFonts w:asciiTheme="majorHAnsi" w:eastAsiaTheme="majorEastAsia" w:hAnsiTheme="majorHAnsi" w:cstheme="majorBidi"/>
      <w:i/>
      <w:iCs/>
      <w:color w:val="1F4D78"/>
      <w:lang w:val="en-IE"/>
    </w:rPr>
  </w:style>
  <w:style w:type="paragraph" w:styleId="Heading8">
    <w:name w:val="heading 8"/>
    <w:basedOn w:val="Normal"/>
    <w:next w:val="Normal"/>
    <w:link w:val="Heading8Char"/>
    <w:uiPriority w:val="9"/>
    <w:unhideWhenUsed/>
    <w:qFormat/>
    <w:rsid w:val="00843D83"/>
    <w:pPr>
      <w:keepNext/>
      <w:keepLines/>
      <w:spacing w:before="40" w:after="0" w:line="259" w:lineRule="auto"/>
      <w:outlineLvl w:val="7"/>
    </w:pPr>
    <w:rPr>
      <w:rFonts w:asciiTheme="majorHAnsi" w:eastAsiaTheme="majorEastAsia" w:hAnsiTheme="majorHAnsi" w:cstheme="majorBidi"/>
      <w:color w:val="272727"/>
      <w:sz w:val="21"/>
      <w:szCs w:val="21"/>
      <w:lang w:val="en-IE"/>
    </w:rPr>
  </w:style>
  <w:style w:type="paragraph" w:styleId="Heading9">
    <w:name w:val="heading 9"/>
    <w:basedOn w:val="Normal"/>
    <w:next w:val="Normal"/>
    <w:link w:val="Heading9Char"/>
    <w:uiPriority w:val="9"/>
    <w:unhideWhenUsed/>
    <w:qFormat/>
    <w:rsid w:val="00843D83"/>
    <w:pPr>
      <w:keepNext/>
      <w:keepLines/>
      <w:spacing w:before="40" w:after="0" w:line="259" w:lineRule="auto"/>
      <w:outlineLvl w:val="8"/>
    </w:pPr>
    <w:rPr>
      <w:rFonts w:asciiTheme="majorHAnsi" w:eastAsiaTheme="majorEastAsia" w:hAnsiTheme="majorHAnsi" w:cstheme="majorBidi"/>
      <w:i/>
      <w:iCs/>
      <w:color w:val="272727"/>
      <w:sz w:val="21"/>
      <w:szCs w:val="21"/>
      <w:lang w:val="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843D83"/>
    <w:rPr>
      <w:color w:val="0000FF"/>
      <w:shd w:val="clear" w:color="auto" w:fill="auto"/>
    </w:rPr>
  </w:style>
  <w:style w:type="paragraph" w:styleId="Header">
    <w:name w:val="header"/>
    <w:basedOn w:val="Normal"/>
    <w:link w:val="HeaderChar"/>
    <w:uiPriority w:val="99"/>
    <w:unhideWhenUsed/>
    <w:rsid w:val="00843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D83"/>
  </w:style>
  <w:style w:type="paragraph" w:styleId="Footer">
    <w:name w:val="footer"/>
    <w:basedOn w:val="Normal"/>
    <w:link w:val="FooterChar"/>
    <w:uiPriority w:val="99"/>
    <w:unhideWhenUsed/>
    <w:rsid w:val="00843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D83"/>
  </w:style>
  <w:style w:type="paragraph" w:customStyle="1" w:styleId="Pagedecouverture">
    <w:name w:val="Page de couverture"/>
    <w:basedOn w:val="Normal"/>
    <w:next w:val="Normal"/>
    <w:uiPriority w:val="1"/>
    <w:rsid w:val="00843D83"/>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uiPriority w:val="1"/>
    <w:rsid w:val="00843D83"/>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uiPriority w:val="1"/>
    <w:rsid w:val="00843D83"/>
    <w:rPr>
      <w:rFonts w:ascii="Times New Roman" w:hAnsi="Times New Roman" w:cs="Times New Roman"/>
      <w:sz w:val="24"/>
    </w:rPr>
  </w:style>
  <w:style w:type="paragraph" w:customStyle="1" w:styleId="FooterSensitivity">
    <w:name w:val="Footer Sensitivity"/>
    <w:basedOn w:val="Normal"/>
    <w:link w:val="FooterSensitivityChar"/>
    <w:uiPriority w:val="1"/>
    <w:rsid w:val="00843D8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uiPriority w:val="1"/>
    <w:rsid w:val="00843D83"/>
    <w:rPr>
      <w:rFonts w:ascii="Times New Roman" w:hAnsi="Times New Roman" w:cs="Times New Roman"/>
      <w:b/>
      <w:sz w:val="32"/>
    </w:rPr>
  </w:style>
  <w:style w:type="paragraph" w:customStyle="1" w:styleId="HeaderCoverPage">
    <w:name w:val="Header Cover Page"/>
    <w:basedOn w:val="Normal"/>
    <w:link w:val="HeaderCoverPageChar"/>
    <w:uiPriority w:val="1"/>
    <w:rsid w:val="00843D83"/>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uiPriority w:val="1"/>
    <w:rsid w:val="00843D83"/>
    <w:rPr>
      <w:rFonts w:ascii="Times New Roman" w:hAnsi="Times New Roman" w:cs="Times New Roman"/>
      <w:sz w:val="24"/>
    </w:rPr>
  </w:style>
  <w:style w:type="paragraph" w:customStyle="1" w:styleId="HeaderSensitivity">
    <w:name w:val="Header Sensitivity"/>
    <w:basedOn w:val="Normal"/>
    <w:link w:val="HeaderSensitivityChar"/>
    <w:uiPriority w:val="1"/>
    <w:rsid w:val="00843D8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uiPriority w:val="1"/>
    <w:rsid w:val="00843D83"/>
    <w:rPr>
      <w:rFonts w:ascii="Times New Roman" w:hAnsi="Times New Roman" w:cs="Times New Roman"/>
      <w:b/>
      <w:sz w:val="32"/>
    </w:rPr>
  </w:style>
  <w:style w:type="paragraph" w:customStyle="1" w:styleId="HeaderSensitivityRight">
    <w:name w:val="Header Sensitivity Right"/>
    <w:basedOn w:val="Normal"/>
    <w:link w:val="HeaderSensitivityRightChar"/>
    <w:uiPriority w:val="1"/>
    <w:rsid w:val="00843D83"/>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uiPriority w:val="1"/>
    <w:rsid w:val="00843D83"/>
    <w:rPr>
      <w:rFonts w:ascii="Times New Roman" w:hAnsi="Times New Roman" w:cs="Times New Roman"/>
      <w:sz w:val="28"/>
    </w:rPr>
  </w:style>
  <w:style w:type="character" w:customStyle="1" w:styleId="Heading1Char">
    <w:name w:val="Heading 1 Char"/>
    <w:basedOn w:val="DefaultParagraphFont"/>
    <w:link w:val="Heading1"/>
    <w:uiPriority w:val="1"/>
    <w:rsid w:val="00843D83"/>
    <w:rPr>
      <w:rFonts w:ascii="Times New Roman" w:eastAsiaTheme="minorEastAsia" w:hAnsi="Times New Roman" w:cs="Times New Roman"/>
      <w:b/>
      <w:bCs/>
      <w:sz w:val="24"/>
      <w:szCs w:val="24"/>
      <w:lang w:val="en-US"/>
    </w:rPr>
  </w:style>
  <w:style w:type="character" w:customStyle="1" w:styleId="Heading2Char">
    <w:name w:val="Heading 2 Char"/>
    <w:basedOn w:val="DefaultParagraphFont"/>
    <w:link w:val="Heading2"/>
    <w:uiPriority w:val="9"/>
    <w:rsid w:val="00843D83"/>
    <w:rPr>
      <w:rFonts w:ascii="Times New Roman" w:eastAsiaTheme="minorEastAsia" w:hAnsi="Times New Roman" w:cs="Times New Roman"/>
      <w:b/>
      <w:bCs/>
      <w:sz w:val="24"/>
      <w:szCs w:val="24"/>
      <w:lang w:val="en-IE"/>
    </w:rPr>
  </w:style>
  <w:style w:type="character" w:customStyle="1" w:styleId="Heading3Char">
    <w:name w:val="Heading 3 Char"/>
    <w:basedOn w:val="DefaultParagraphFont"/>
    <w:link w:val="Heading3"/>
    <w:uiPriority w:val="1"/>
    <w:rsid w:val="00843D83"/>
    <w:rPr>
      <w:rFonts w:asciiTheme="majorHAnsi" w:eastAsiaTheme="majorEastAsia" w:hAnsiTheme="majorHAnsi" w:cstheme="majorBidi"/>
      <w:color w:val="1F4D78"/>
      <w:sz w:val="24"/>
      <w:szCs w:val="24"/>
      <w:lang w:val="en-IE"/>
    </w:rPr>
  </w:style>
  <w:style w:type="character" w:customStyle="1" w:styleId="Heading4Char">
    <w:name w:val="Heading 4 Char"/>
    <w:basedOn w:val="DefaultParagraphFont"/>
    <w:link w:val="Heading4"/>
    <w:uiPriority w:val="1"/>
    <w:rsid w:val="00843D83"/>
    <w:rPr>
      <w:rFonts w:ascii="EC Square Sans Pro" w:eastAsia="Arial Unicode MS" w:hAnsi="EC Square Sans Pro" w:cs="Open Sans Condensed"/>
      <w:b/>
      <w:bCs/>
      <w:lang w:val="en-IE" w:eastAsia="de-DE"/>
    </w:rPr>
  </w:style>
  <w:style w:type="character" w:customStyle="1" w:styleId="Heading5Char">
    <w:name w:val="Heading 5 Char"/>
    <w:basedOn w:val="DefaultParagraphFont"/>
    <w:link w:val="Heading5"/>
    <w:uiPriority w:val="9"/>
    <w:rsid w:val="00843D83"/>
    <w:rPr>
      <w:rFonts w:asciiTheme="majorHAnsi" w:eastAsiaTheme="majorEastAsia" w:hAnsiTheme="majorHAnsi" w:cstheme="majorBidi"/>
      <w:color w:val="365F91" w:themeColor="accent1" w:themeShade="BF"/>
      <w:lang w:val="en-IE"/>
    </w:rPr>
  </w:style>
  <w:style w:type="character" w:customStyle="1" w:styleId="Heading6Char">
    <w:name w:val="Heading 6 Char"/>
    <w:basedOn w:val="DefaultParagraphFont"/>
    <w:link w:val="Heading6"/>
    <w:uiPriority w:val="9"/>
    <w:rsid w:val="00843D83"/>
    <w:rPr>
      <w:rFonts w:asciiTheme="majorHAnsi" w:eastAsiaTheme="majorEastAsia" w:hAnsiTheme="majorHAnsi" w:cstheme="majorBidi"/>
      <w:color w:val="1F4D78"/>
      <w:lang w:val="en-IE"/>
    </w:rPr>
  </w:style>
  <w:style w:type="character" w:customStyle="1" w:styleId="Heading7Char">
    <w:name w:val="Heading 7 Char"/>
    <w:basedOn w:val="DefaultParagraphFont"/>
    <w:link w:val="Heading7"/>
    <w:uiPriority w:val="9"/>
    <w:rsid w:val="00843D83"/>
    <w:rPr>
      <w:rFonts w:asciiTheme="majorHAnsi" w:eastAsiaTheme="majorEastAsia" w:hAnsiTheme="majorHAnsi" w:cstheme="majorBidi"/>
      <w:i/>
      <w:iCs/>
      <w:color w:val="1F4D78"/>
      <w:lang w:val="en-IE"/>
    </w:rPr>
  </w:style>
  <w:style w:type="character" w:customStyle="1" w:styleId="Heading8Char">
    <w:name w:val="Heading 8 Char"/>
    <w:basedOn w:val="DefaultParagraphFont"/>
    <w:link w:val="Heading8"/>
    <w:uiPriority w:val="9"/>
    <w:rsid w:val="00843D83"/>
    <w:rPr>
      <w:rFonts w:asciiTheme="majorHAnsi" w:eastAsiaTheme="majorEastAsia" w:hAnsiTheme="majorHAnsi" w:cstheme="majorBidi"/>
      <w:color w:val="272727"/>
      <w:sz w:val="21"/>
      <w:szCs w:val="21"/>
      <w:lang w:val="en-IE"/>
    </w:rPr>
  </w:style>
  <w:style w:type="character" w:customStyle="1" w:styleId="Heading9Char">
    <w:name w:val="Heading 9 Char"/>
    <w:basedOn w:val="DefaultParagraphFont"/>
    <w:link w:val="Heading9"/>
    <w:uiPriority w:val="9"/>
    <w:rsid w:val="00843D83"/>
    <w:rPr>
      <w:rFonts w:asciiTheme="majorHAnsi" w:eastAsiaTheme="majorEastAsia" w:hAnsiTheme="majorHAnsi" w:cstheme="majorBidi"/>
      <w:i/>
      <w:iCs/>
      <w:color w:val="272727"/>
      <w:sz w:val="21"/>
      <w:szCs w:val="21"/>
      <w:lang w:val="en-IE"/>
    </w:rPr>
  </w:style>
  <w:style w:type="paragraph" w:styleId="ListParagraph">
    <w:name w:val="List Paragraph"/>
    <w:basedOn w:val="Normal"/>
    <w:link w:val="ListParagraphChar"/>
    <w:uiPriority w:val="34"/>
    <w:qFormat/>
    <w:rsid w:val="00843D83"/>
    <w:pPr>
      <w:spacing w:after="160" w:line="259" w:lineRule="auto"/>
      <w:ind w:left="720"/>
      <w:contextualSpacing/>
    </w:pPr>
    <w:rPr>
      <w:lang w:val="en-IE"/>
    </w:rPr>
  </w:style>
  <w:style w:type="paragraph" w:styleId="Caption">
    <w:name w:val="caption"/>
    <w:basedOn w:val="Normal"/>
    <w:next w:val="Normal"/>
    <w:link w:val="CaptionChar"/>
    <w:uiPriority w:val="1"/>
    <w:unhideWhenUsed/>
    <w:qFormat/>
    <w:rsid w:val="00843D83"/>
    <w:pPr>
      <w:spacing w:line="259" w:lineRule="auto"/>
    </w:pPr>
    <w:rPr>
      <w:i/>
      <w:iCs/>
      <w:color w:val="1F497D" w:themeColor="text2"/>
      <w:sz w:val="18"/>
      <w:szCs w:val="18"/>
      <w:lang w:val="en-IE"/>
    </w:rPr>
  </w:style>
  <w:style w:type="paragraph" w:styleId="FootnoteText">
    <w:name w:val="footnote text"/>
    <w:aliases w:val="Footnote Text Char Char,Footnote text,Geneva 9,Font: Geneva 9,Boston 10,f,Footnote,Fußnote,Fußnote Char Char Char,Fußnote Char Char,Fußnote Char Char Char Char Char Char,Fußnote Char Char Char Char,Fußnotentextf,footnotes,fn,Car Ca,ft,Char"/>
    <w:basedOn w:val="Normal"/>
    <w:link w:val="FootnoteTextChar"/>
    <w:uiPriority w:val="99"/>
    <w:qFormat/>
    <w:rsid w:val="00843D83"/>
    <w:pPr>
      <w:spacing w:after="240" w:line="259"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Footnote Text Char Char Char,Footnote text Char,Geneva 9 Char,Font: Geneva 9 Char,Boston 10 Char,f Char,Footnote Char,Fußnote Char,Fußnote Char Char Char Char1,Fußnote Char Char Char1,Fußnote Char Char Char Char Char Char Char,fn Char"/>
    <w:basedOn w:val="DefaultParagraphFont"/>
    <w:link w:val="FootnoteText"/>
    <w:uiPriority w:val="99"/>
    <w:qFormat/>
    <w:rsid w:val="00843D83"/>
    <w:rPr>
      <w:rFonts w:ascii="Times New Roman" w:eastAsia="Times New Roman" w:hAnsi="Times New Roman" w:cs="Times New Roman"/>
      <w:sz w:val="20"/>
      <w:szCs w:val="20"/>
    </w:rPr>
  </w:style>
  <w:style w:type="character" w:styleId="FootnoteReference">
    <w:name w:val="footnote reference"/>
    <w:aliases w:val="Footnote reference number,Footnote Reference/,Footnote Refernece,BVI fnr,callout,16 Point,Superscript 6 Point,Footnote symbol,Footnote Reference text,Times 10 Point,Exposant 3 Point,EN Footnote Reference,note TESI,-E Fußnotenzeichen"/>
    <w:link w:val="CharCharChar"/>
    <w:uiPriority w:val="99"/>
    <w:qFormat/>
    <w:rsid w:val="00843D83"/>
    <w:rPr>
      <w:vertAlign w:val="superscript"/>
    </w:rPr>
  </w:style>
  <w:style w:type="paragraph" w:customStyle="1" w:styleId="CharCharChar">
    <w:name w:val="Char Char Char"/>
    <w:basedOn w:val="Normal"/>
    <w:link w:val="FootnoteReference"/>
    <w:uiPriority w:val="99"/>
    <w:rsid w:val="00843D83"/>
    <w:pPr>
      <w:spacing w:after="160" w:line="240" w:lineRule="exact"/>
    </w:pPr>
    <w:rPr>
      <w:vertAlign w:val="superscript"/>
    </w:rPr>
  </w:style>
  <w:style w:type="character" w:styleId="Hyperlink">
    <w:name w:val="Hyperlink"/>
    <w:aliases w:val=" Znak Znak Znak,Znak Znak Znak"/>
    <w:basedOn w:val="DefaultParagraphFont"/>
    <w:uiPriority w:val="99"/>
    <w:unhideWhenUsed/>
    <w:qFormat/>
    <w:rsid w:val="00843D83"/>
    <w:rPr>
      <w:color w:val="0000FF" w:themeColor="hyperlink"/>
      <w:u w:val="single"/>
    </w:rPr>
  </w:style>
  <w:style w:type="paragraph" w:styleId="BalloonText">
    <w:name w:val="Balloon Text"/>
    <w:basedOn w:val="Normal"/>
    <w:link w:val="BalloonTextChar"/>
    <w:uiPriority w:val="99"/>
    <w:semiHidden/>
    <w:unhideWhenUsed/>
    <w:rsid w:val="00843D83"/>
    <w:pPr>
      <w:spacing w:after="0" w:line="259" w:lineRule="auto"/>
    </w:pPr>
    <w:rPr>
      <w:rFonts w:ascii="Segoe UI" w:eastAsiaTheme="minorEastAsia" w:hAnsi="Segoe UI" w:cs="Segoe UI"/>
      <w:sz w:val="18"/>
      <w:szCs w:val="18"/>
      <w:lang w:val="en-IE"/>
    </w:rPr>
  </w:style>
  <w:style w:type="character" w:customStyle="1" w:styleId="BalloonTextChar">
    <w:name w:val="Balloon Text Char"/>
    <w:basedOn w:val="DefaultParagraphFont"/>
    <w:link w:val="BalloonText"/>
    <w:uiPriority w:val="99"/>
    <w:semiHidden/>
    <w:rsid w:val="00843D83"/>
    <w:rPr>
      <w:rFonts w:ascii="Segoe UI" w:eastAsiaTheme="minorEastAsia" w:hAnsi="Segoe UI" w:cs="Segoe UI"/>
      <w:sz w:val="18"/>
      <w:szCs w:val="18"/>
      <w:lang w:val="en-IE"/>
    </w:rPr>
  </w:style>
  <w:style w:type="character" w:styleId="CommentReference">
    <w:name w:val="annotation reference"/>
    <w:basedOn w:val="DefaultParagraphFont"/>
    <w:uiPriority w:val="99"/>
    <w:semiHidden/>
    <w:unhideWhenUsed/>
    <w:rsid w:val="00843D83"/>
    <w:rPr>
      <w:sz w:val="16"/>
      <w:szCs w:val="16"/>
    </w:rPr>
  </w:style>
  <w:style w:type="paragraph" w:styleId="CommentText">
    <w:name w:val="annotation text"/>
    <w:basedOn w:val="Normal"/>
    <w:link w:val="CommentTextChar"/>
    <w:uiPriority w:val="99"/>
    <w:unhideWhenUsed/>
    <w:rsid w:val="00843D83"/>
    <w:pPr>
      <w:spacing w:after="160" w:line="259" w:lineRule="auto"/>
    </w:pPr>
    <w:rPr>
      <w:sz w:val="20"/>
      <w:szCs w:val="20"/>
      <w:lang w:val="en-IE"/>
    </w:rPr>
  </w:style>
  <w:style w:type="character" w:customStyle="1" w:styleId="CommentTextChar">
    <w:name w:val="Comment Text Char"/>
    <w:basedOn w:val="DefaultParagraphFont"/>
    <w:link w:val="CommentText"/>
    <w:uiPriority w:val="99"/>
    <w:rsid w:val="00843D83"/>
    <w:rPr>
      <w:sz w:val="20"/>
      <w:szCs w:val="20"/>
      <w:lang w:val="en-IE"/>
    </w:rPr>
  </w:style>
  <w:style w:type="paragraph" w:styleId="CommentSubject">
    <w:name w:val="annotation subject"/>
    <w:basedOn w:val="CommentText"/>
    <w:next w:val="CommentText"/>
    <w:link w:val="CommentSubjectChar"/>
    <w:uiPriority w:val="99"/>
    <w:semiHidden/>
    <w:unhideWhenUsed/>
    <w:rsid w:val="00843D83"/>
    <w:rPr>
      <w:b/>
      <w:bCs/>
    </w:rPr>
  </w:style>
  <w:style w:type="character" w:customStyle="1" w:styleId="CommentSubjectChar">
    <w:name w:val="Comment Subject Char"/>
    <w:basedOn w:val="CommentTextChar"/>
    <w:link w:val="CommentSubject"/>
    <w:uiPriority w:val="99"/>
    <w:semiHidden/>
    <w:rsid w:val="00843D83"/>
    <w:rPr>
      <w:b/>
      <w:bCs/>
      <w:sz w:val="20"/>
      <w:szCs w:val="20"/>
      <w:lang w:val="en-IE"/>
    </w:rPr>
  </w:style>
  <w:style w:type="character" w:styleId="FollowedHyperlink">
    <w:name w:val="FollowedHyperlink"/>
    <w:basedOn w:val="DefaultParagraphFont"/>
    <w:uiPriority w:val="99"/>
    <w:semiHidden/>
    <w:unhideWhenUsed/>
    <w:rsid w:val="00843D83"/>
    <w:rPr>
      <w:color w:val="800080" w:themeColor="followedHyperlink"/>
      <w:u w:val="single"/>
    </w:rPr>
  </w:style>
  <w:style w:type="paragraph" w:styleId="Revision">
    <w:name w:val="Revision"/>
    <w:hidden/>
    <w:uiPriority w:val="99"/>
    <w:semiHidden/>
    <w:rsid w:val="00843D83"/>
    <w:pPr>
      <w:spacing w:after="0" w:line="240" w:lineRule="auto"/>
    </w:pPr>
    <w:rPr>
      <w:lang w:val="fr-BE"/>
    </w:rPr>
  </w:style>
  <w:style w:type="character" w:customStyle="1" w:styleId="CaptionChar">
    <w:name w:val="Caption Char"/>
    <w:link w:val="Caption"/>
    <w:uiPriority w:val="1"/>
    <w:rsid w:val="00843D83"/>
    <w:rPr>
      <w:i/>
      <w:iCs/>
      <w:color w:val="1F497D" w:themeColor="text2"/>
      <w:sz w:val="18"/>
      <w:szCs w:val="18"/>
      <w:lang w:val="en-IE"/>
    </w:rPr>
  </w:style>
  <w:style w:type="paragraph" w:customStyle="1" w:styleId="Source">
    <w:name w:val="Source"/>
    <w:basedOn w:val="Normal"/>
    <w:link w:val="SourceCar"/>
    <w:uiPriority w:val="1"/>
    <w:qFormat/>
    <w:rsid w:val="00843D83"/>
    <w:pPr>
      <w:spacing w:after="0" w:line="280" w:lineRule="exact"/>
      <w:jc w:val="center"/>
    </w:pPr>
    <w:rPr>
      <w:rFonts w:ascii="EC Square Sans Pro" w:eastAsia="Times New Roman" w:hAnsi="EC Square Sans Pro" w:cs="Times New Roman"/>
      <w:i/>
      <w:iCs/>
      <w:color w:val="989393"/>
      <w:sz w:val="18"/>
      <w:szCs w:val="18"/>
      <w:lang w:val="en-IE" w:eastAsia="de-DE"/>
    </w:rPr>
  </w:style>
  <w:style w:type="character" w:customStyle="1" w:styleId="SourceCar">
    <w:name w:val="Source Car"/>
    <w:basedOn w:val="DefaultParagraphFont"/>
    <w:link w:val="Source"/>
    <w:uiPriority w:val="1"/>
    <w:rsid w:val="00843D83"/>
    <w:rPr>
      <w:rFonts w:ascii="EC Square Sans Pro" w:eastAsia="Times New Roman" w:hAnsi="EC Square Sans Pro" w:cs="Times New Roman"/>
      <w:i/>
      <w:iCs/>
      <w:color w:val="989393"/>
      <w:sz w:val="18"/>
      <w:szCs w:val="18"/>
      <w:lang w:val="en-IE" w:eastAsia="de-DE"/>
    </w:rPr>
  </w:style>
  <w:style w:type="paragraph" w:customStyle="1" w:styleId="Text">
    <w:name w:val="Text"/>
    <w:basedOn w:val="PlainText"/>
    <w:link w:val="TextCar"/>
    <w:uiPriority w:val="1"/>
    <w:qFormat/>
    <w:rsid w:val="00843D83"/>
    <w:pPr>
      <w:spacing w:after="200" w:line="280" w:lineRule="exact"/>
      <w:jc w:val="both"/>
    </w:pPr>
    <w:rPr>
      <w:rFonts w:ascii="EC Square Sans Pro" w:eastAsia="Times New Roman" w:hAnsi="EC Square Sans Pro" w:cs="Consolas"/>
      <w:lang w:eastAsia="de-DE"/>
    </w:rPr>
  </w:style>
  <w:style w:type="character" w:customStyle="1" w:styleId="TextCar">
    <w:name w:val="Text Car"/>
    <w:basedOn w:val="PlainTextChar"/>
    <w:link w:val="Text"/>
    <w:uiPriority w:val="1"/>
    <w:rsid w:val="00843D83"/>
    <w:rPr>
      <w:rFonts w:ascii="EC Square Sans Pro" w:eastAsia="Times New Roman" w:hAnsi="EC Square Sans Pro" w:cs="Consolas"/>
      <w:sz w:val="21"/>
      <w:szCs w:val="21"/>
      <w:lang w:val="en-IE" w:eastAsia="de-DE"/>
    </w:rPr>
  </w:style>
  <w:style w:type="paragraph" w:customStyle="1" w:styleId="SUPERSCharCharCharCharCharCharCharChar">
    <w:name w:val="SUPERS Char Char Char Char Char Char Char Char"/>
    <w:basedOn w:val="Normal"/>
    <w:uiPriority w:val="99"/>
    <w:rsid w:val="00843D83"/>
    <w:pPr>
      <w:spacing w:after="160" w:line="240" w:lineRule="exact"/>
    </w:pPr>
    <w:rPr>
      <w:rFonts w:ascii="EC Square Sans Pro" w:eastAsia="Times New Roman" w:hAnsi="EC Square Sans Pro" w:cs="Times New Roman"/>
      <w:vertAlign w:val="superscript"/>
      <w:lang w:val="fr-FR" w:eastAsia="fr-FR"/>
    </w:rPr>
  </w:style>
  <w:style w:type="paragraph" w:styleId="PlainText">
    <w:name w:val="Plain Text"/>
    <w:basedOn w:val="Normal"/>
    <w:link w:val="PlainTextChar"/>
    <w:uiPriority w:val="99"/>
    <w:semiHidden/>
    <w:unhideWhenUsed/>
    <w:rsid w:val="00843D83"/>
    <w:pPr>
      <w:spacing w:after="0" w:line="259" w:lineRule="auto"/>
    </w:pPr>
    <w:rPr>
      <w:rFonts w:ascii="Consolas" w:eastAsiaTheme="minorEastAsia" w:hAnsi="Consolas"/>
      <w:sz w:val="21"/>
      <w:szCs w:val="21"/>
      <w:lang w:val="en-IE"/>
    </w:rPr>
  </w:style>
  <w:style w:type="character" w:customStyle="1" w:styleId="PlainTextChar">
    <w:name w:val="Plain Text Char"/>
    <w:basedOn w:val="DefaultParagraphFont"/>
    <w:link w:val="PlainText"/>
    <w:uiPriority w:val="99"/>
    <w:semiHidden/>
    <w:rsid w:val="00843D83"/>
    <w:rPr>
      <w:rFonts w:ascii="Consolas" w:eastAsiaTheme="minorEastAsia" w:hAnsi="Consolas"/>
      <w:sz w:val="21"/>
      <w:szCs w:val="21"/>
      <w:lang w:val="en-IE"/>
    </w:rPr>
  </w:style>
  <w:style w:type="paragraph" w:styleId="BodyText">
    <w:name w:val="Body Text"/>
    <w:basedOn w:val="Normal"/>
    <w:link w:val="BodyTextChar"/>
    <w:uiPriority w:val="99"/>
    <w:unhideWhenUsed/>
    <w:rsid w:val="00843D83"/>
    <w:pPr>
      <w:spacing w:after="160" w:line="259" w:lineRule="auto"/>
    </w:pPr>
    <w:rPr>
      <w:rFonts w:ascii="Times New Roman" w:eastAsiaTheme="minorEastAsia" w:hAnsi="Times New Roman" w:cs="Times New Roman"/>
      <w:sz w:val="24"/>
      <w:szCs w:val="24"/>
      <w:lang w:val="en-IE"/>
    </w:rPr>
  </w:style>
  <w:style w:type="character" w:customStyle="1" w:styleId="BodyTextChar">
    <w:name w:val="Body Text Char"/>
    <w:basedOn w:val="DefaultParagraphFont"/>
    <w:link w:val="BodyText"/>
    <w:uiPriority w:val="99"/>
    <w:rsid w:val="00843D83"/>
    <w:rPr>
      <w:rFonts w:ascii="Times New Roman" w:eastAsiaTheme="minorEastAsia" w:hAnsi="Times New Roman" w:cs="Times New Roman"/>
      <w:sz w:val="24"/>
      <w:szCs w:val="24"/>
      <w:lang w:val="en-IE"/>
    </w:rPr>
  </w:style>
  <w:style w:type="paragraph" w:styleId="BodyText2">
    <w:name w:val="Body Text 2"/>
    <w:basedOn w:val="Normal"/>
    <w:link w:val="BodyText2Char"/>
    <w:uiPriority w:val="99"/>
    <w:semiHidden/>
    <w:unhideWhenUsed/>
    <w:rsid w:val="00843D83"/>
    <w:pPr>
      <w:spacing w:after="120" w:line="259" w:lineRule="auto"/>
    </w:pPr>
    <w:rPr>
      <w:lang w:val="en-IE"/>
    </w:rPr>
  </w:style>
  <w:style w:type="character" w:customStyle="1" w:styleId="BodyText2Char">
    <w:name w:val="Body Text 2 Char"/>
    <w:basedOn w:val="DefaultParagraphFont"/>
    <w:link w:val="BodyText2"/>
    <w:uiPriority w:val="99"/>
    <w:semiHidden/>
    <w:rsid w:val="00843D83"/>
    <w:rPr>
      <w:lang w:val="en-IE"/>
    </w:rPr>
  </w:style>
  <w:style w:type="character" w:customStyle="1" w:styleId="ListParagraphChar">
    <w:name w:val="List Paragraph Char"/>
    <w:basedOn w:val="DefaultParagraphFont"/>
    <w:link w:val="ListParagraph"/>
    <w:uiPriority w:val="34"/>
    <w:rsid w:val="00843D83"/>
    <w:rPr>
      <w:lang w:val="en-IE"/>
    </w:rPr>
  </w:style>
  <w:style w:type="paragraph" w:customStyle="1" w:styleId="foonote">
    <w:name w:val="foonote"/>
    <w:basedOn w:val="FootnoteText"/>
    <w:link w:val="foonoteChar"/>
    <w:uiPriority w:val="1"/>
    <w:qFormat/>
    <w:rsid w:val="00843D83"/>
    <w:pPr>
      <w:spacing w:after="0"/>
      <w:ind w:left="0" w:firstLine="0"/>
      <w:contextualSpacing/>
      <w:jc w:val="left"/>
    </w:pPr>
    <w:rPr>
      <w:rFonts w:ascii="EC Square Sans Pro" w:eastAsia="Verdana" w:hAnsi="EC Square Sans Pro" w:cs="Open Sans Condensed"/>
      <w:color w:val="000000" w:themeColor="text1"/>
      <w:sz w:val="16"/>
      <w:szCs w:val="16"/>
      <w:lang w:val="en-US"/>
    </w:rPr>
  </w:style>
  <w:style w:type="character" w:customStyle="1" w:styleId="foonoteChar">
    <w:name w:val="foonote Char"/>
    <w:basedOn w:val="FootnoteTextChar"/>
    <w:link w:val="foonote"/>
    <w:uiPriority w:val="1"/>
    <w:rsid w:val="00843D83"/>
    <w:rPr>
      <w:rFonts w:ascii="EC Square Sans Pro" w:eastAsia="Verdana" w:hAnsi="EC Square Sans Pro" w:cs="Open Sans Condensed"/>
      <w:color w:val="000000" w:themeColor="text1"/>
      <w:sz w:val="16"/>
      <w:szCs w:val="16"/>
      <w:lang w:val="en-US"/>
    </w:rPr>
  </w:style>
  <w:style w:type="paragraph" w:styleId="Quote">
    <w:name w:val="Quote"/>
    <w:basedOn w:val="Normal"/>
    <w:next w:val="Normal"/>
    <w:link w:val="QuoteChar"/>
    <w:uiPriority w:val="29"/>
    <w:qFormat/>
    <w:rsid w:val="00843D83"/>
    <w:pPr>
      <w:spacing w:before="200" w:after="160" w:line="259" w:lineRule="auto"/>
      <w:ind w:left="864" w:right="864"/>
      <w:jc w:val="center"/>
    </w:pPr>
    <w:rPr>
      <w:i/>
      <w:iCs/>
      <w:color w:val="404040" w:themeColor="text1" w:themeTint="BF"/>
      <w:lang w:val="en-IE"/>
    </w:rPr>
  </w:style>
  <w:style w:type="character" w:customStyle="1" w:styleId="QuoteChar">
    <w:name w:val="Quote Char"/>
    <w:basedOn w:val="DefaultParagraphFont"/>
    <w:link w:val="Quote"/>
    <w:uiPriority w:val="29"/>
    <w:rsid w:val="00843D83"/>
    <w:rPr>
      <w:i/>
      <w:iCs/>
      <w:color w:val="404040" w:themeColor="text1" w:themeTint="BF"/>
      <w:lang w:val="en-IE"/>
    </w:rPr>
  </w:style>
  <w:style w:type="paragraph" w:customStyle="1" w:styleId="Bullet-1">
    <w:name w:val="Bullet-1"/>
    <w:basedOn w:val="Normal"/>
    <w:link w:val="Bullet-1Car"/>
    <w:uiPriority w:val="1"/>
    <w:qFormat/>
    <w:rsid w:val="00843D83"/>
    <w:pPr>
      <w:numPr>
        <w:numId w:val="9"/>
      </w:numPr>
      <w:spacing w:after="120" w:line="280" w:lineRule="exact"/>
      <w:jc w:val="both"/>
    </w:pPr>
    <w:rPr>
      <w:rFonts w:ascii="EC Square Sans Pro" w:eastAsia="Verdana" w:hAnsi="EC Square Sans Pro" w:cs="Times New Roman"/>
      <w:lang w:val="en-IE"/>
    </w:rPr>
  </w:style>
  <w:style w:type="character" w:customStyle="1" w:styleId="Bullet-1Car">
    <w:name w:val="Bullet-1 Car"/>
    <w:basedOn w:val="DefaultParagraphFont"/>
    <w:link w:val="Bullet-1"/>
    <w:uiPriority w:val="1"/>
    <w:rsid w:val="00843D83"/>
    <w:rPr>
      <w:rFonts w:ascii="EC Square Sans Pro" w:eastAsia="Verdana" w:hAnsi="EC Square Sans Pro" w:cs="Times New Roman"/>
      <w:lang w:val="en-IE"/>
    </w:rPr>
  </w:style>
  <w:style w:type="paragraph" w:customStyle="1" w:styleId="FooterLandscape">
    <w:name w:val="FooterLandscape"/>
    <w:basedOn w:val="Normal"/>
    <w:uiPriority w:val="1"/>
    <w:rsid w:val="00843D83"/>
    <w:pPr>
      <w:tabs>
        <w:tab w:val="center" w:pos="7285"/>
        <w:tab w:val="center" w:pos="10913"/>
        <w:tab w:val="right" w:pos="15137"/>
      </w:tabs>
      <w:spacing w:before="360" w:after="0" w:line="259" w:lineRule="auto"/>
      <w:ind w:left="-567" w:right="-567"/>
    </w:pPr>
    <w:rPr>
      <w:rFonts w:ascii="Times New Roman" w:eastAsiaTheme="minorEastAsia" w:hAnsi="Times New Roman" w:cs="Times New Roman"/>
      <w:sz w:val="24"/>
      <w:szCs w:val="24"/>
      <w:lang w:val="en-IE"/>
    </w:rPr>
  </w:style>
  <w:style w:type="paragraph" w:customStyle="1" w:styleId="HeaderLandscape">
    <w:name w:val="HeaderLandscape"/>
    <w:basedOn w:val="Normal"/>
    <w:uiPriority w:val="1"/>
    <w:rsid w:val="00843D83"/>
    <w:pPr>
      <w:tabs>
        <w:tab w:val="center" w:pos="7285"/>
        <w:tab w:val="right" w:pos="14003"/>
      </w:tabs>
      <w:spacing w:after="120" w:line="259" w:lineRule="auto"/>
      <w:jc w:val="both"/>
    </w:pPr>
    <w:rPr>
      <w:rFonts w:ascii="Times New Roman" w:eastAsiaTheme="minorEastAsia" w:hAnsi="Times New Roman" w:cs="Times New Roman"/>
      <w:sz w:val="24"/>
      <w:szCs w:val="24"/>
      <w:lang w:val="en-IE"/>
    </w:rPr>
  </w:style>
  <w:style w:type="character" w:customStyle="1" w:styleId="Marker2">
    <w:name w:val="Marker2"/>
    <w:rsid w:val="00843D83"/>
    <w:rPr>
      <w:color w:val="FF0000"/>
      <w:shd w:val="clear" w:color="auto" w:fill="auto"/>
    </w:rPr>
  </w:style>
  <w:style w:type="paragraph" w:customStyle="1" w:styleId="Confidentialit">
    <w:name w:val="Confidentialité"/>
    <w:basedOn w:val="Normal"/>
    <w:next w:val="TypedudocumentPagedecouverture"/>
    <w:uiPriority w:val="1"/>
    <w:rsid w:val="00843D83"/>
    <w:pPr>
      <w:spacing w:before="240" w:after="240" w:line="259" w:lineRule="auto"/>
      <w:ind w:left="5103"/>
    </w:pPr>
    <w:rPr>
      <w:rFonts w:ascii="Times New Roman" w:eastAsia="Calibri" w:hAnsi="Times New Roman" w:cs="Times New Roman"/>
      <w:i/>
      <w:iCs/>
      <w:sz w:val="32"/>
      <w:szCs w:val="32"/>
    </w:rPr>
  </w:style>
  <w:style w:type="paragraph" w:customStyle="1" w:styleId="Emission">
    <w:name w:val="Emission"/>
    <w:basedOn w:val="Normal"/>
    <w:next w:val="Rfrenceinstitutionnelle"/>
    <w:uiPriority w:val="1"/>
    <w:rsid w:val="00843D83"/>
    <w:pPr>
      <w:spacing w:after="0" w:line="259" w:lineRule="auto"/>
      <w:ind w:left="5103"/>
    </w:pPr>
    <w:rPr>
      <w:rFonts w:ascii="Times New Roman" w:eastAsia="Calibri" w:hAnsi="Times New Roman" w:cs="Times New Roman"/>
      <w:sz w:val="24"/>
      <w:szCs w:val="24"/>
    </w:rPr>
  </w:style>
  <w:style w:type="paragraph" w:customStyle="1" w:styleId="Nomdelinstitution">
    <w:name w:val="Nom de l'institution"/>
    <w:basedOn w:val="Normal"/>
    <w:next w:val="Emission"/>
    <w:uiPriority w:val="1"/>
    <w:rsid w:val="00843D83"/>
    <w:pPr>
      <w:spacing w:after="0" w:line="259" w:lineRule="auto"/>
    </w:pPr>
    <w:rPr>
      <w:rFonts w:ascii="Arial" w:eastAsia="Calibri" w:hAnsi="Arial" w:cs="Arial"/>
      <w:sz w:val="24"/>
      <w:szCs w:val="24"/>
    </w:rPr>
  </w:style>
  <w:style w:type="paragraph" w:customStyle="1" w:styleId="Rfrenceinstitutionnelle">
    <w:name w:val="Référence institutionnelle"/>
    <w:basedOn w:val="Normal"/>
    <w:next w:val="Confidentialit"/>
    <w:uiPriority w:val="1"/>
    <w:rsid w:val="00843D83"/>
    <w:pPr>
      <w:spacing w:after="240" w:line="259" w:lineRule="auto"/>
      <w:ind w:left="5103"/>
    </w:pPr>
    <w:rPr>
      <w:rFonts w:ascii="Times New Roman" w:eastAsia="Calibri" w:hAnsi="Times New Roman" w:cs="Times New Roman"/>
      <w:sz w:val="24"/>
      <w:szCs w:val="24"/>
    </w:rPr>
  </w:style>
  <w:style w:type="paragraph" w:customStyle="1" w:styleId="TitreobjetPagedecouverture">
    <w:name w:val="Titre objet (Page de couverture)"/>
    <w:basedOn w:val="Normal"/>
    <w:next w:val="Normal"/>
    <w:uiPriority w:val="1"/>
    <w:rsid w:val="00843D83"/>
    <w:pPr>
      <w:spacing w:before="360" w:after="360" w:line="259" w:lineRule="auto"/>
      <w:jc w:val="center"/>
    </w:pPr>
    <w:rPr>
      <w:rFonts w:ascii="Times New Roman" w:eastAsia="Calibri" w:hAnsi="Times New Roman" w:cs="Times New Roman"/>
      <w:b/>
      <w:bCs/>
      <w:sz w:val="24"/>
      <w:szCs w:val="24"/>
    </w:rPr>
  </w:style>
  <w:style w:type="paragraph" w:customStyle="1" w:styleId="TypedudocumentPagedecouverture">
    <w:name w:val="Type du document (Page de couverture)"/>
    <w:basedOn w:val="Normal"/>
    <w:next w:val="TitreobjetPagedecouverture"/>
    <w:uiPriority w:val="1"/>
    <w:rsid w:val="00843D83"/>
    <w:pPr>
      <w:spacing w:before="360" w:after="0" w:line="259" w:lineRule="auto"/>
      <w:jc w:val="center"/>
    </w:pPr>
    <w:rPr>
      <w:rFonts w:ascii="Times New Roman" w:eastAsia="Calibri" w:hAnsi="Times New Roman" w:cs="Times New Roman"/>
      <w:b/>
      <w:bCs/>
      <w:sz w:val="24"/>
      <w:szCs w:val="24"/>
    </w:rPr>
  </w:style>
  <w:style w:type="paragraph" w:styleId="Title">
    <w:name w:val="Title"/>
    <w:basedOn w:val="Normal"/>
    <w:next w:val="Normal"/>
    <w:link w:val="TitleChar"/>
    <w:uiPriority w:val="10"/>
    <w:qFormat/>
    <w:rsid w:val="00843D83"/>
    <w:pPr>
      <w:spacing w:after="0" w:line="259" w:lineRule="auto"/>
      <w:contextualSpacing/>
    </w:pPr>
    <w:rPr>
      <w:rFonts w:asciiTheme="majorHAnsi" w:eastAsiaTheme="majorEastAsia" w:hAnsiTheme="majorHAnsi" w:cstheme="majorBidi"/>
      <w:sz w:val="56"/>
      <w:szCs w:val="56"/>
      <w:lang w:val="en-IE"/>
    </w:rPr>
  </w:style>
  <w:style w:type="character" w:customStyle="1" w:styleId="TitleChar">
    <w:name w:val="Title Char"/>
    <w:basedOn w:val="DefaultParagraphFont"/>
    <w:link w:val="Title"/>
    <w:uiPriority w:val="10"/>
    <w:rsid w:val="00843D83"/>
    <w:rPr>
      <w:rFonts w:asciiTheme="majorHAnsi" w:eastAsiaTheme="majorEastAsia" w:hAnsiTheme="majorHAnsi" w:cstheme="majorBidi"/>
      <w:sz w:val="56"/>
      <w:szCs w:val="56"/>
      <w:lang w:val="en-IE"/>
    </w:rPr>
  </w:style>
  <w:style w:type="paragraph" w:styleId="Subtitle">
    <w:name w:val="Subtitle"/>
    <w:basedOn w:val="Normal"/>
    <w:next w:val="Normal"/>
    <w:link w:val="SubtitleChar"/>
    <w:uiPriority w:val="11"/>
    <w:qFormat/>
    <w:rsid w:val="00843D83"/>
    <w:pPr>
      <w:spacing w:after="160" w:line="259" w:lineRule="auto"/>
    </w:pPr>
    <w:rPr>
      <w:rFonts w:eastAsiaTheme="minorEastAsia"/>
      <w:color w:val="5A5A5A"/>
      <w:lang w:val="en-IE"/>
    </w:rPr>
  </w:style>
  <w:style w:type="character" w:customStyle="1" w:styleId="SubtitleChar">
    <w:name w:val="Subtitle Char"/>
    <w:basedOn w:val="DefaultParagraphFont"/>
    <w:link w:val="Subtitle"/>
    <w:uiPriority w:val="11"/>
    <w:rsid w:val="00843D83"/>
    <w:rPr>
      <w:rFonts w:eastAsiaTheme="minorEastAsia"/>
      <w:color w:val="5A5A5A"/>
      <w:lang w:val="en-IE"/>
    </w:rPr>
  </w:style>
  <w:style w:type="paragraph" w:styleId="IntenseQuote">
    <w:name w:val="Intense Quote"/>
    <w:basedOn w:val="Normal"/>
    <w:next w:val="Normal"/>
    <w:link w:val="IntenseQuoteChar"/>
    <w:uiPriority w:val="30"/>
    <w:qFormat/>
    <w:rsid w:val="00843D83"/>
    <w:pPr>
      <w:spacing w:before="360" w:after="360" w:line="259" w:lineRule="auto"/>
      <w:ind w:left="864" w:right="864"/>
      <w:jc w:val="center"/>
    </w:pPr>
    <w:rPr>
      <w:i/>
      <w:iCs/>
      <w:color w:val="4F81BD" w:themeColor="accent1"/>
      <w:lang w:val="en-IE"/>
    </w:rPr>
  </w:style>
  <w:style w:type="character" w:customStyle="1" w:styleId="IntenseQuoteChar">
    <w:name w:val="Intense Quote Char"/>
    <w:basedOn w:val="DefaultParagraphFont"/>
    <w:link w:val="IntenseQuote"/>
    <w:uiPriority w:val="30"/>
    <w:rsid w:val="00843D83"/>
    <w:rPr>
      <w:i/>
      <w:iCs/>
      <w:color w:val="4F81BD" w:themeColor="accent1"/>
      <w:lang w:val="en-IE"/>
    </w:rPr>
  </w:style>
  <w:style w:type="paragraph" w:styleId="TOC1">
    <w:name w:val="toc 1"/>
    <w:basedOn w:val="Normal"/>
    <w:next w:val="Normal"/>
    <w:uiPriority w:val="39"/>
    <w:unhideWhenUsed/>
    <w:rsid w:val="00843D83"/>
    <w:pPr>
      <w:spacing w:after="100" w:line="259" w:lineRule="auto"/>
    </w:pPr>
    <w:rPr>
      <w:lang w:val="en-IE"/>
    </w:rPr>
  </w:style>
  <w:style w:type="paragraph" w:styleId="TOC2">
    <w:name w:val="toc 2"/>
    <w:basedOn w:val="Normal"/>
    <w:next w:val="Normal"/>
    <w:uiPriority w:val="39"/>
    <w:unhideWhenUsed/>
    <w:rsid w:val="00843D83"/>
    <w:pPr>
      <w:spacing w:after="100" w:line="259" w:lineRule="auto"/>
      <w:ind w:left="220"/>
    </w:pPr>
    <w:rPr>
      <w:lang w:val="en-IE"/>
    </w:rPr>
  </w:style>
  <w:style w:type="paragraph" w:styleId="TOC3">
    <w:name w:val="toc 3"/>
    <w:basedOn w:val="Normal"/>
    <w:next w:val="Normal"/>
    <w:uiPriority w:val="39"/>
    <w:unhideWhenUsed/>
    <w:rsid w:val="00843D83"/>
    <w:pPr>
      <w:spacing w:after="100" w:line="259" w:lineRule="auto"/>
      <w:ind w:left="440"/>
    </w:pPr>
    <w:rPr>
      <w:lang w:val="en-IE"/>
    </w:rPr>
  </w:style>
  <w:style w:type="paragraph" w:styleId="TOC4">
    <w:name w:val="toc 4"/>
    <w:basedOn w:val="Normal"/>
    <w:next w:val="Normal"/>
    <w:uiPriority w:val="39"/>
    <w:unhideWhenUsed/>
    <w:rsid w:val="00843D83"/>
    <w:pPr>
      <w:spacing w:after="100" w:line="259" w:lineRule="auto"/>
      <w:ind w:left="660"/>
    </w:pPr>
    <w:rPr>
      <w:lang w:val="en-IE"/>
    </w:rPr>
  </w:style>
  <w:style w:type="paragraph" w:styleId="TOC5">
    <w:name w:val="toc 5"/>
    <w:basedOn w:val="Normal"/>
    <w:next w:val="Normal"/>
    <w:uiPriority w:val="39"/>
    <w:unhideWhenUsed/>
    <w:rsid w:val="00843D83"/>
    <w:pPr>
      <w:spacing w:after="100" w:line="259" w:lineRule="auto"/>
      <w:ind w:left="880"/>
    </w:pPr>
    <w:rPr>
      <w:lang w:val="en-IE"/>
    </w:rPr>
  </w:style>
  <w:style w:type="paragraph" w:styleId="TOC6">
    <w:name w:val="toc 6"/>
    <w:basedOn w:val="Normal"/>
    <w:next w:val="Normal"/>
    <w:uiPriority w:val="39"/>
    <w:unhideWhenUsed/>
    <w:rsid w:val="00843D83"/>
    <w:pPr>
      <w:spacing w:after="100" w:line="259" w:lineRule="auto"/>
      <w:ind w:left="1100"/>
    </w:pPr>
    <w:rPr>
      <w:lang w:val="en-IE"/>
    </w:rPr>
  </w:style>
  <w:style w:type="paragraph" w:styleId="TOC7">
    <w:name w:val="toc 7"/>
    <w:basedOn w:val="Normal"/>
    <w:next w:val="Normal"/>
    <w:uiPriority w:val="39"/>
    <w:unhideWhenUsed/>
    <w:rsid w:val="00843D83"/>
    <w:pPr>
      <w:spacing w:after="100" w:line="259" w:lineRule="auto"/>
      <w:ind w:left="1320"/>
    </w:pPr>
    <w:rPr>
      <w:lang w:val="en-IE"/>
    </w:rPr>
  </w:style>
  <w:style w:type="paragraph" w:styleId="TOC8">
    <w:name w:val="toc 8"/>
    <w:basedOn w:val="Normal"/>
    <w:next w:val="Normal"/>
    <w:uiPriority w:val="39"/>
    <w:unhideWhenUsed/>
    <w:rsid w:val="00843D83"/>
    <w:pPr>
      <w:spacing w:after="100" w:line="259" w:lineRule="auto"/>
      <w:ind w:left="1540"/>
    </w:pPr>
    <w:rPr>
      <w:lang w:val="en-IE"/>
    </w:rPr>
  </w:style>
  <w:style w:type="paragraph" w:styleId="TOC9">
    <w:name w:val="toc 9"/>
    <w:basedOn w:val="Normal"/>
    <w:next w:val="Normal"/>
    <w:uiPriority w:val="39"/>
    <w:unhideWhenUsed/>
    <w:rsid w:val="00843D83"/>
    <w:pPr>
      <w:spacing w:after="100" w:line="259" w:lineRule="auto"/>
      <w:ind w:left="1760"/>
    </w:pPr>
    <w:rPr>
      <w:lang w:val="en-IE"/>
    </w:rPr>
  </w:style>
  <w:style w:type="paragraph" w:styleId="EndnoteText">
    <w:name w:val="endnote text"/>
    <w:basedOn w:val="Normal"/>
    <w:link w:val="EndnoteTextChar"/>
    <w:uiPriority w:val="99"/>
    <w:semiHidden/>
    <w:unhideWhenUsed/>
    <w:rsid w:val="00843D83"/>
    <w:pPr>
      <w:spacing w:after="0" w:line="259" w:lineRule="auto"/>
    </w:pPr>
    <w:rPr>
      <w:sz w:val="20"/>
      <w:szCs w:val="20"/>
      <w:lang w:val="en-IE"/>
    </w:rPr>
  </w:style>
  <w:style w:type="character" w:customStyle="1" w:styleId="EndnoteTextChar">
    <w:name w:val="Endnote Text Char"/>
    <w:basedOn w:val="DefaultParagraphFont"/>
    <w:link w:val="EndnoteText"/>
    <w:uiPriority w:val="99"/>
    <w:semiHidden/>
    <w:rsid w:val="00843D83"/>
    <w:rPr>
      <w:sz w:val="20"/>
      <w:szCs w:val="20"/>
      <w:lang w:val="en-IE"/>
    </w:rPr>
  </w:style>
  <w:style w:type="character" w:customStyle="1" w:styleId="UnresolvedMention1">
    <w:name w:val="Unresolved Mention1"/>
    <w:basedOn w:val="DefaultParagraphFont"/>
    <w:uiPriority w:val="99"/>
    <w:semiHidden/>
    <w:unhideWhenUsed/>
    <w:rsid w:val="00843D83"/>
    <w:rPr>
      <w:color w:val="605E5C"/>
      <w:shd w:val="clear" w:color="auto" w:fill="E1DFDD"/>
    </w:rPr>
  </w:style>
  <w:style w:type="paragraph" w:styleId="Index3">
    <w:name w:val="index 3"/>
    <w:basedOn w:val="Normal"/>
    <w:next w:val="Normal"/>
    <w:autoRedefine/>
    <w:semiHidden/>
    <w:rsid w:val="00237C63"/>
    <w:pPr>
      <w:spacing w:after="240" w:line="240" w:lineRule="auto"/>
      <w:ind w:left="720" w:hanging="240"/>
      <w:jc w:val="both"/>
    </w:pPr>
    <w:rPr>
      <w:rFonts w:ascii="Times New Roman" w:eastAsia="Times New Roman" w:hAnsi="Times New Roman" w:cs="Times New Roman"/>
      <w:sz w:val="24"/>
      <w:szCs w:val="20"/>
    </w:rPr>
  </w:style>
  <w:style w:type="character" w:customStyle="1" w:styleId="Mention1">
    <w:name w:val="Mention1"/>
    <w:basedOn w:val="DefaultParagraphFont"/>
    <w:uiPriority w:val="99"/>
    <w:unhideWhenUsed/>
    <w:rsid w:val="00E376D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67161">
      <w:bodyDiv w:val="1"/>
      <w:marLeft w:val="0"/>
      <w:marRight w:val="0"/>
      <w:marTop w:val="0"/>
      <w:marBottom w:val="0"/>
      <w:divBdr>
        <w:top w:val="none" w:sz="0" w:space="0" w:color="auto"/>
        <w:left w:val="none" w:sz="0" w:space="0" w:color="auto"/>
        <w:bottom w:val="none" w:sz="0" w:space="0" w:color="auto"/>
        <w:right w:val="none" w:sz="0" w:space="0" w:color="auto"/>
      </w:divBdr>
    </w:div>
    <w:div w:id="1044064616">
      <w:bodyDiv w:val="1"/>
      <w:marLeft w:val="0"/>
      <w:marRight w:val="0"/>
      <w:marTop w:val="0"/>
      <w:marBottom w:val="0"/>
      <w:divBdr>
        <w:top w:val="none" w:sz="0" w:space="0" w:color="auto"/>
        <w:left w:val="none" w:sz="0" w:space="0" w:color="auto"/>
        <w:bottom w:val="none" w:sz="0" w:space="0" w:color="auto"/>
        <w:right w:val="none" w:sz="0" w:space="0" w:color="auto"/>
      </w:divBdr>
    </w:div>
    <w:div w:id="17119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emf"/><Relationship Id="rId39" Type="http://schemas.openxmlformats.org/officeDocument/2006/relationships/image" Target="media/image17.jpeg"/><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image" Target="media/image12.png"/><Relationship Id="rId42" Type="http://schemas.openxmlformats.org/officeDocument/2006/relationships/image" Target="media/image19.png"/><Relationship Id="rId47" Type="http://schemas.openxmlformats.org/officeDocument/2006/relationships/footer" Target="footer8.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7.png"/><Relationship Id="rId41" Type="http://schemas.openxmlformats.org/officeDocument/2006/relationships/image" Target="media/image19.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9.png"/><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0.png"/><Relationship Id="rId48"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to.org/english/tratop_e/scm_e/scm_e.htm" TargetMode="External"/><Relationship Id="rId2" Type="http://schemas.openxmlformats.org/officeDocument/2006/relationships/hyperlink" Target="https://op.europa.eu/en/publication-detail/-/publication/34a55767-55a1-11ed-92ed-01aa75ed71a1" TargetMode="External"/><Relationship Id="rId1" Type="http://schemas.openxmlformats.org/officeDocument/2006/relationships/hyperlink" Target="https://docs.wto.org/dol2fe/Pages/SS/directdoc.aspx?filename=q:/WT/MIN21/9r1.pdf&amp;Open=True" TargetMode="External"/><Relationship Id="rId4" Type="http://schemas.openxmlformats.org/officeDocument/2006/relationships/hyperlink" Target="https://www.cbd.int/gbf/targ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53AE254540994BBD772E5BCBE11F29" ma:contentTypeVersion="15" ma:contentTypeDescription="Create a new document." ma:contentTypeScope="" ma:versionID="a6db5daa1f8b6e5afcb21f91835062bb">
  <xsd:schema xmlns:xsd="http://www.w3.org/2001/XMLSchema" xmlns:xs="http://www.w3.org/2001/XMLSchema" xmlns:p="http://schemas.microsoft.com/office/2006/metadata/properties" xmlns:ns1="http://schemas.microsoft.com/sharepoint/v3" xmlns:ns2="a4c6cd38-953d-409e-8266-a7703513a0a4" xmlns:ns3="64638040-35f6-4905-b21f-4e31af5e1fb5" targetNamespace="http://schemas.microsoft.com/office/2006/metadata/properties" ma:root="true" ma:fieldsID="d3b02e992371a394a31666d2ec65e114" ns1:_="" ns2:_="" ns3:_="">
    <xsd:import namespace="http://schemas.microsoft.com/sharepoint/v3"/>
    <xsd:import namespace="a4c6cd38-953d-409e-8266-a7703513a0a4"/>
    <xsd:import namespace="64638040-35f6-4905-b21f-4e31af5e1f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6cd38-953d-409e-8266-a7703513a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38040-35f6-4905-b21f-4e31af5e1f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b25f30-1c4c-421b-9a0f-7e80fa657a87}" ma:internalName="TaxCatchAll" ma:showField="CatchAllData" ma:web="64638040-35f6-4905-b21f-4e31af5e1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c6cd38-953d-409e-8266-a7703513a0a4">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64638040-35f6-4905-b21f-4e31af5e1fb5"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5AEB7-EDB7-4896-8A77-FA25A144A8F7}">
  <ds:schemaRefs>
    <ds:schemaRef ds:uri="http://schemas.microsoft.com/sharepoint/v3/contenttype/forms"/>
  </ds:schemaRefs>
</ds:datastoreItem>
</file>

<file path=customXml/itemProps2.xml><?xml version="1.0" encoding="utf-8"?>
<ds:datastoreItem xmlns:ds="http://schemas.openxmlformats.org/officeDocument/2006/customXml" ds:itemID="{66D7181D-BC18-4B57-B53E-BC301F16E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c6cd38-953d-409e-8266-a7703513a0a4"/>
    <ds:schemaRef ds:uri="64638040-35f6-4905-b21f-4e31af5e1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819017-473D-459A-9643-4D575B4F49E1}">
  <ds:schemaRefs>
    <ds:schemaRef ds:uri="http://schemas.microsoft.com/office/2006/metadata/properties"/>
    <ds:schemaRef ds:uri="http://schemas.microsoft.com/sharepoint/v3"/>
    <ds:schemaRef ds:uri="http://purl.org/dc/terms/"/>
    <ds:schemaRef ds:uri="http://schemas.microsoft.com/office/2006/documentManagement/types"/>
    <ds:schemaRef ds:uri="http://schemas.microsoft.com/office/infopath/2007/PartnerControls"/>
    <ds:schemaRef ds:uri="64638040-35f6-4905-b21f-4e31af5e1fb5"/>
    <ds:schemaRef ds:uri="http://schemas.openxmlformats.org/package/2006/metadata/core-properties"/>
    <ds:schemaRef ds:uri="http://purl.org/dc/elements/1.1/"/>
    <ds:schemaRef ds:uri="a4c6cd38-953d-409e-8266-a7703513a0a4"/>
    <ds:schemaRef ds:uri="http://www.w3.org/XML/1998/namespace"/>
    <ds:schemaRef ds:uri="http://purl.org/dc/dcmitype/"/>
  </ds:schemaRefs>
</ds:datastoreItem>
</file>

<file path=customXml/itemProps4.xml><?xml version="1.0" encoding="utf-8"?>
<ds:datastoreItem xmlns:ds="http://schemas.openxmlformats.org/officeDocument/2006/customXml" ds:itemID="{83F8A430-8969-4141-BEB9-8F53545EF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4464</Words>
  <Characters>24111</Characters>
  <Application>Microsoft Office Word</Application>
  <DocSecurity>0</DocSecurity>
  <Lines>365</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28455</CharactersWithSpaces>
  <SharedDoc>false</SharedDoc>
  <HLinks>
    <vt:vector size="60" baseType="variant">
      <vt:variant>
        <vt:i4>5570635</vt:i4>
      </vt:variant>
      <vt:variant>
        <vt:i4>15</vt:i4>
      </vt:variant>
      <vt:variant>
        <vt:i4>0</vt:i4>
      </vt:variant>
      <vt:variant>
        <vt:i4>5</vt:i4>
      </vt:variant>
      <vt:variant>
        <vt:lpwstr>https://www.cbd.int/gbf/targets/</vt:lpwstr>
      </vt:variant>
      <vt:variant>
        <vt:lpwstr/>
      </vt:variant>
      <vt:variant>
        <vt:i4>4325450</vt:i4>
      </vt:variant>
      <vt:variant>
        <vt:i4>12</vt:i4>
      </vt:variant>
      <vt:variant>
        <vt:i4>0</vt:i4>
      </vt:variant>
      <vt:variant>
        <vt:i4>5</vt:i4>
      </vt:variant>
      <vt:variant>
        <vt:lpwstr>https://www.raponline.org/wp-content/uploads/2022/07/Taxes-and-levies-final-2022-july-18.pdf</vt:lpwstr>
      </vt:variant>
      <vt:variant>
        <vt:lpwstr/>
      </vt:variant>
      <vt:variant>
        <vt:i4>1769563</vt:i4>
      </vt:variant>
      <vt:variant>
        <vt:i4>9</vt:i4>
      </vt:variant>
      <vt:variant>
        <vt:i4>0</vt:i4>
      </vt:variant>
      <vt:variant>
        <vt:i4>5</vt:i4>
      </vt:variant>
      <vt:variant>
        <vt:lpwstr>https://www.ehpa.org/subsidies-for-residential-heat-pumps-in-europe/</vt:lpwstr>
      </vt:variant>
      <vt:variant>
        <vt:lpwstr/>
      </vt:variant>
      <vt:variant>
        <vt:i4>458796</vt:i4>
      </vt:variant>
      <vt:variant>
        <vt:i4>6</vt:i4>
      </vt:variant>
      <vt:variant>
        <vt:i4>0</vt:i4>
      </vt:variant>
      <vt:variant>
        <vt:i4>5</vt:i4>
      </vt:variant>
      <vt:variant>
        <vt:lpwstr>https://www.wto.org/english/tratop_e/scm_e/scm_e.htm</vt:lpwstr>
      </vt:variant>
      <vt:variant>
        <vt:lpwstr/>
      </vt:variant>
      <vt:variant>
        <vt:i4>65560</vt:i4>
      </vt:variant>
      <vt:variant>
        <vt:i4>3</vt:i4>
      </vt:variant>
      <vt:variant>
        <vt:i4>0</vt:i4>
      </vt:variant>
      <vt:variant>
        <vt:i4>5</vt:i4>
      </vt:variant>
      <vt:variant>
        <vt:lpwstr>https://op.europa.eu/en/publication-detail/-/publication/34a55767-55a1-11ed-92ed-01aa75ed71a1</vt:lpwstr>
      </vt:variant>
      <vt:variant>
        <vt:lpwstr/>
      </vt:variant>
      <vt:variant>
        <vt:i4>7733375</vt:i4>
      </vt:variant>
      <vt:variant>
        <vt:i4>0</vt:i4>
      </vt:variant>
      <vt:variant>
        <vt:i4>0</vt:i4>
      </vt:variant>
      <vt:variant>
        <vt:i4>5</vt:i4>
      </vt:variant>
      <vt:variant>
        <vt:lpwstr>https://docs.wto.org/dol2fe/Pages/SS/directdoc.aspx?filename=q:/WT/MIN21/9r1.pdf&amp;Open=True</vt:lpwstr>
      </vt:variant>
      <vt:variant>
        <vt:lpwstr/>
      </vt:variant>
      <vt:variant>
        <vt:i4>6619199</vt:i4>
      </vt:variant>
      <vt:variant>
        <vt:i4>9</vt:i4>
      </vt:variant>
      <vt:variant>
        <vt:i4>0</vt:i4>
      </vt:variant>
      <vt:variant>
        <vt:i4>5</vt:i4>
      </vt:variant>
      <vt:variant>
        <vt:lpwstr>https://economy-finance.ec.europa.eu/system/files/2023-05/ip200_en_1.pdf</vt:lpwstr>
      </vt:variant>
      <vt:variant>
        <vt:lpwstr/>
      </vt:variant>
      <vt:variant>
        <vt:i4>7012398</vt:i4>
      </vt:variant>
      <vt:variant>
        <vt:i4>6</vt:i4>
      </vt:variant>
      <vt:variant>
        <vt:i4>0</vt:i4>
      </vt:variant>
      <vt:variant>
        <vt:i4>5</vt:i4>
      </vt:variant>
      <vt:variant>
        <vt:lpwstr>https://www.cleanenergywire.org/news/court-forces-germany-revisit-phase-out-compensation-nuclear-operators</vt:lpwstr>
      </vt:variant>
      <vt:variant>
        <vt:lpwstr/>
      </vt:variant>
      <vt:variant>
        <vt:i4>3473496</vt:i4>
      </vt:variant>
      <vt:variant>
        <vt:i4>3</vt:i4>
      </vt:variant>
      <vt:variant>
        <vt:i4>0</vt:i4>
      </vt:variant>
      <vt:variant>
        <vt:i4>5</vt:i4>
      </vt:variant>
      <vt:variant>
        <vt:lpwstr>mailto:Manuel.RIVAS-RABAGO@ec.europa.eu</vt:lpwstr>
      </vt:variant>
      <vt:variant>
        <vt:lpwstr/>
      </vt:variant>
      <vt:variant>
        <vt:i4>3473496</vt:i4>
      </vt:variant>
      <vt:variant>
        <vt:i4>0</vt:i4>
      </vt:variant>
      <vt:variant>
        <vt:i4>0</vt:i4>
      </vt:variant>
      <vt:variant>
        <vt:i4>5</vt:i4>
      </vt:variant>
      <vt:variant>
        <vt:lpwstr>mailto:Manuel.RIVAS-RABAGO@ec.europa.eu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29</cp:revision>
  <dcterms:created xsi:type="dcterms:W3CDTF">2023-10-18T09:15:00Z</dcterms:created>
  <dcterms:modified xsi:type="dcterms:W3CDTF">2023-10-20T09:32:00Z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9.0, Build 20230317</vt:lpwstr>
  </property>
  <property fmtid="{D5CDD505-2E9C-101B-9397-08002B2CF9AE}" pid="9" name="ContentTypeId">
    <vt:lpwstr>0x0101003F53AE254540994BBD772E5BCBE11F29</vt:lpwstr>
  </property>
  <property fmtid="{D5CDD505-2E9C-101B-9397-08002B2CF9AE}" pid="10" name="MediaServiceImageTags">
    <vt:lpwstr/>
  </property>
  <property fmtid="{D5CDD505-2E9C-101B-9397-08002B2CF9AE}" pid="11" name="MSIP_Label_6bd9ddd1-4d20-43f6-abfa-fc3c07406f94_Enabled">
    <vt:lpwstr>true</vt:lpwstr>
  </property>
  <property fmtid="{D5CDD505-2E9C-101B-9397-08002B2CF9AE}" pid="12" name="MSIP_Label_6bd9ddd1-4d20-43f6-abfa-fc3c07406f94_SetDate">
    <vt:lpwstr>2023-10-09T16:50:59Z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0ac85dbc-c1da-4a70-b7ae-46cec9f178be</vt:lpwstr>
  </property>
  <property fmtid="{D5CDD505-2E9C-101B-9397-08002B2CF9AE}" pid="17" name="MSIP_Label_6bd9ddd1-4d20-43f6-abfa-fc3c07406f94_ContentBits">
    <vt:lpwstr>0</vt:lpwstr>
  </property>
</Properties>
</file>