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DB6E" w14:textId="03D803CF" w:rsidR="00EC39BD" w:rsidRDefault="009E751A" w:rsidP="009E751A">
      <w:pPr>
        <w:pStyle w:val="Pagedecouverture"/>
        <w:rPr>
          <w:noProof/>
        </w:rPr>
      </w:pPr>
      <w:bookmarkStart w:id="0" w:name="LW_BM_COVERPAGE"/>
      <w:r>
        <w:rPr>
          <w:noProof/>
        </w:rPr>
        <w:pict w14:anchorId="6039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155E89B-489C-4387-ACD1-9B8DA41C09BC" style="width:455.25pt;height:324pt">
            <v:imagedata r:id="rId8" o:title=""/>
          </v:shape>
        </w:pict>
      </w:r>
    </w:p>
    <w:bookmarkEnd w:id="0"/>
    <w:p w14:paraId="756BF402" w14:textId="77777777" w:rsidR="00EC39BD" w:rsidRDefault="00EC39BD" w:rsidP="00EC39BD">
      <w:pPr>
        <w:rPr>
          <w:noProof/>
        </w:rPr>
        <w:sectPr w:rsidR="00EC39BD" w:rsidSect="009E751A">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14:paraId="5341690D" w14:textId="0F67F5C3" w:rsidR="00AE2BDD" w:rsidRPr="00AE2BDD" w:rsidRDefault="00AE2BDD" w:rsidP="00AE2BDD">
      <w:pPr>
        <w:pStyle w:val="Typedudocument"/>
        <w:rPr>
          <w:noProof/>
        </w:rPr>
      </w:pPr>
      <w:bookmarkStart w:id="1" w:name="_GoBack"/>
      <w:bookmarkEnd w:id="1"/>
      <w:r w:rsidRPr="00AE2BDD">
        <w:rPr>
          <w:noProof/>
        </w:rPr>
        <w:lastRenderedPageBreak/>
        <w:t>REPORT FROM THE COMMISSION TO THE EUROPEAN PARLIAMENT AND THE COUNCIL</w:t>
      </w:r>
    </w:p>
    <w:p w14:paraId="739091EC" w14:textId="0C3AFA15" w:rsidR="00AE2BDD" w:rsidRPr="00AE2BDD" w:rsidRDefault="00AE2BDD" w:rsidP="00AE2BDD">
      <w:pPr>
        <w:pStyle w:val="Titreobjet"/>
        <w:rPr>
          <w:noProof/>
        </w:rPr>
      </w:pPr>
      <w:r w:rsidRPr="00AE2BDD">
        <w:rPr>
          <w:noProof/>
        </w:rPr>
        <w:t>on the working of committees in 2022</w:t>
      </w:r>
    </w:p>
    <w:p w14:paraId="1713286C" w14:textId="6A4EFEC4" w:rsidR="00EC39BD" w:rsidRPr="00955347" w:rsidRDefault="00EC39BD" w:rsidP="00EC39BD">
      <w:pPr>
        <w:pStyle w:val="ManualHeading1"/>
        <w:spacing w:after="240"/>
        <w:ind w:left="851" w:hanging="851"/>
        <w:rPr>
          <w:noProof/>
        </w:rPr>
      </w:pPr>
      <w:r w:rsidRPr="007772AB">
        <w:rPr>
          <w:noProof/>
        </w:rPr>
        <w:t>1.</w:t>
      </w:r>
      <w:r w:rsidRPr="007772AB">
        <w:rPr>
          <w:noProof/>
        </w:rPr>
        <w:tab/>
      </w:r>
      <w:r w:rsidRPr="00955347">
        <w:rPr>
          <w:noProof/>
        </w:rPr>
        <w:t>Intro</w:t>
      </w:r>
      <w:r>
        <w:rPr>
          <w:noProof/>
        </w:rPr>
        <w:t>d</w:t>
      </w:r>
      <w:r w:rsidRPr="00955347">
        <w:rPr>
          <w:noProof/>
        </w:rPr>
        <w:t>u</w:t>
      </w:r>
      <w:r>
        <w:rPr>
          <w:noProof/>
        </w:rPr>
        <w:t>c</w:t>
      </w:r>
      <w:r w:rsidRPr="00955347">
        <w:rPr>
          <w:noProof/>
        </w:rPr>
        <w:t>tion</w:t>
      </w:r>
    </w:p>
    <w:p w14:paraId="55026743" w14:textId="77777777" w:rsidR="00EC39BD" w:rsidRPr="00AA0B4A" w:rsidRDefault="00EC39BD" w:rsidP="00EC39BD">
      <w:pPr>
        <w:jc w:val="both"/>
        <w:rPr>
          <w:rFonts w:ascii="Times New Roman" w:hAnsi="Times New Roman"/>
          <w:noProof/>
          <w:sz w:val="24"/>
          <w:szCs w:val="24"/>
        </w:rPr>
      </w:pPr>
      <w:r w:rsidRPr="00AA0B4A">
        <w:rPr>
          <w:rFonts w:ascii="Times New Roman" w:hAnsi="Times New Roman"/>
          <w:noProof/>
          <w:sz w:val="24"/>
          <w:szCs w:val="24"/>
        </w:rPr>
        <w:t xml:space="preserve">In </w:t>
      </w:r>
      <w:r>
        <w:rPr>
          <w:rFonts w:ascii="Times New Roman" w:hAnsi="Times New Roman"/>
          <w:noProof/>
          <w:sz w:val="24"/>
          <w:szCs w:val="24"/>
        </w:rPr>
        <w:t xml:space="preserve">line </w:t>
      </w:r>
      <w:r w:rsidRPr="00AA0B4A">
        <w:rPr>
          <w:rFonts w:ascii="Times New Roman" w:hAnsi="Times New Roman"/>
          <w:noProof/>
          <w:sz w:val="24"/>
          <w:szCs w:val="24"/>
        </w:rPr>
        <w:t>with Article 10(2) of Regulation (EU) No 182/2011 laying down the rules and general principles concerning mechanisms for control by Member States of the Commission’s exercise of implementing powers</w:t>
      </w:r>
      <w:r w:rsidRPr="00AA0B4A">
        <w:rPr>
          <w:rFonts w:ascii="Times New Roman" w:hAnsi="Times New Roman"/>
          <w:noProof/>
          <w:sz w:val="24"/>
          <w:szCs w:val="24"/>
          <w:vertAlign w:val="superscript"/>
        </w:rPr>
        <w:footnoteReference w:id="2"/>
      </w:r>
      <w:r w:rsidRPr="00AA0B4A">
        <w:rPr>
          <w:rFonts w:ascii="Times New Roman" w:hAnsi="Times New Roman"/>
          <w:noProof/>
          <w:sz w:val="24"/>
          <w:szCs w:val="24"/>
        </w:rPr>
        <w:t xml:space="preserve"> (the ‘Comitology Regulation’), the Commission hereby presents </w:t>
      </w:r>
      <w:r>
        <w:rPr>
          <w:rFonts w:ascii="Times New Roman" w:hAnsi="Times New Roman"/>
          <w:noProof/>
          <w:sz w:val="24"/>
          <w:szCs w:val="24"/>
        </w:rPr>
        <w:t>its</w:t>
      </w:r>
      <w:r w:rsidRPr="00AA0B4A">
        <w:rPr>
          <w:rFonts w:ascii="Times New Roman" w:hAnsi="Times New Roman"/>
          <w:noProof/>
          <w:sz w:val="24"/>
          <w:szCs w:val="24"/>
        </w:rPr>
        <w:t xml:space="preserve"> </w:t>
      </w:r>
      <w:r>
        <w:rPr>
          <w:rFonts w:ascii="Times New Roman" w:hAnsi="Times New Roman"/>
          <w:noProof/>
          <w:sz w:val="24"/>
          <w:szCs w:val="24"/>
        </w:rPr>
        <w:t>a</w:t>
      </w:r>
      <w:r w:rsidRPr="00AA0B4A">
        <w:rPr>
          <w:rFonts w:ascii="Times New Roman" w:hAnsi="Times New Roman"/>
          <w:noProof/>
          <w:sz w:val="24"/>
          <w:szCs w:val="24"/>
        </w:rPr>
        <w:t>nnual</w:t>
      </w:r>
      <w:r>
        <w:rPr>
          <w:rFonts w:ascii="Times New Roman" w:hAnsi="Times New Roman"/>
          <w:noProof/>
          <w:sz w:val="24"/>
          <w:szCs w:val="24"/>
        </w:rPr>
        <w:t xml:space="preserve"> r</w:t>
      </w:r>
      <w:r w:rsidRPr="00AA0B4A">
        <w:rPr>
          <w:rFonts w:ascii="Times New Roman" w:hAnsi="Times New Roman"/>
          <w:noProof/>
          <w:sz w:val="24"/>
          <w:szCs w:val="24"/>
        </w:rPr>
        <w:t xml:space="preserve">eport on the working of committees </w:t>
      </w:r>
      <w:r>
        <w:rPr>
          <w:rFonts w:ascii="Times New Roman" w:hAnsi="Times New Roman"/>
          <w:noProof/>
          <w:sz w:val="24"/>
          <w:szCs w:val="24"/>
        </w:rPr>
        <w:t xml:space="preserve">in </w:t>
      </w:r>
      <w:r w:rsidRPr="00F85BB3">
        <w:rPr>
          <w:rFonts w:ascii="Times New Roman" w:hAnsi="Times New Roman"/>
          <w:noProof/>
          <w:sz w:val="24"/>
          <w:szCs w:val="24"/>
        </w:rPr>
        <w:t>202</w:t>
      </w:r>
      <w:r>
        <w:rPr>
          <w:rFonts w:ascii="Times New Roman" w:hAnsi="Times New Roman"/>
          <w:noProof/>
          <w:sz w:val="24"/>
          <w:szCs w:val="24"/>
        </w:rPr>
        <w:t>2</w:t>
      </w:r>
      <w:r w:rsidRPr="00F85BB3">
        <w:rPr>
          <w:rFonts w:ascii="Times New Roman" w:hAnsi="Times New Roman"/>
          <w:noProof/>
          <w:sz w:val="24"/>
          <w:szCs w:val="24"/>
        </w:rPr>
        <w:t>.</w:t>
      </w:r>
    </w:p>
    <w:p w14:paraId="58405FBD" w14:textId="77777777" w:rsidR="00EC39BD" w:rsidRDefault="00EC39BD" w:rsidP="00EC39BD">
      <w:pPr>
        <w:jc w:val="both"/>
        <w:rPr>
          <w:rFonts w:ascii="Times New Roman" w:hAnsi="Times New Roman"/>
          <w:noProof/>
          <w:sz w:val="24"/>
          <w:szCs w:val="24"/>
        </w:rPr>
      </w:pPr>
      <w:r>
        <w:rPr>
          <w:rFonts w:ascii="Times New Roman" w:hAnsi="Times New Roman"/>
          <w:noProof/>
          <w:sz w:val="24"/>
          <w:szCs w:val="24"/>
        </w:rPr>
        <w:t xml:space="preserve">The report </w:t>
      </w:r>
      <w:r w:rsidRPr="00AA0B4A">
        <w:rPr>
          <w:rFonts w:ascii="Times New Roman" w:hAnsi="Times New Roman"/>
          <w:noProof/>
          <w:sz w:val="24"/>
          <w:szCs w:val="24"/>
        </w:rPr>
        <w:t xml:space="preserve">gives an overview of developments </w:t>
      </w:r>
      <w:r>
        <w:rPr>
          <w:rFonts w:ascii="Times New Roman" w:hAnsi="Times New Roman"/>
          <w:noProof/>
          <w:sz w:val="24"/>
          <w:szCs w:val="24"/>
        </w:rPr>
        <w:t xml:space="preserve">in 2022 </w:t>
      </w:r>
      <w:r w:rsidRPr="00AA0B4A">
        <w:rPr>
          <w:rFonts w:ascii="Times New Roman" w:hAnsi="Times New Roman"/>
          <w:noProof/>
          <w:sz w:val="24"/>
          <w:szCs w:val="24"/>
        </w:rPr>
        <w:t xml:space="preserve">in the </w:t>
      </w:r>
      <w:r>
        <w:rPr>
          <w:rFonts w:ascii="Times New Roman" w:hAnsi="Times New Roman"/>
          <w:noProof/>
          <w:sz w:val="24"/>
          <w:szCs w:val="24"/>
        </w:rPr>
        <w:t>‘</w:t>
      </w:r>
      <w:r w:rsidRPr="00AA0B4A">
        <w:rPr>
          <w:rFonts w:ascii="Times New Roman" w:hAnsi="Times New Roman"/>
          <w:noProof/>
          <w:sz w:val="24"/>
          <w:szCs w:val="24"/>
        </w:rPr>
        <w:t>comitology</w:t>
      </w:r>
      <w:r>
        <w:rPr>
          <w:rFonts w:ascii="Times New Roman" w:hAnsi="Times New Roman"/>
          <w:noProof/>
          <w:sz w:val="24"/>
          <w:szCs w:val="24"/>
        </w:rPr>
        <w:t>’</w:t>
      </w:r>
      <w:r w:rsidRPr="00AA0B4A">
        <w:rPr>
          <w:rFonts w:ascii="Times New Roman" w:hAnsi="Times New Roman"/>
          <w:noProof/>
          <w:sz w:val="24"/>
          <w:szCs w:val="24"/>
        </w:rPr>
        <w:t xml:space="preserve"> system</w:t>
      </w:r>
      <w:r>
        <w:rPr>
          <w:rFonts w:ascii="Times New Roman" w:hAnsi="Times New Roman"/>
          <w:noProof/>
          <w:sz w:val="24"/>
          <w:szCs w:val="24"/>
        </w:rPr>
        <w:t>,</w:t>
      </w:r>
      <w:r w:rsidRPr="00AA0B4A">
        <w:rPr>
          <w:rFonts w:ascii="Times New Roman" w:hAnsi="Times New Roman"/>
          <w:noProof/>
          <w:sz w:val="24"/>
          <w:szCs w:val="24"/>
        </w:rPr>
        <w:t xml:space="preserve"> </w:t>
      </w:r>
      <w:r w:rsidRPr="000735DF">
        <w:rPr>
          <w:rFonts w:ascii="Times New Roman" w:hAnsi="Times New Roman"/>
          <w:noProof/>
          <w:sz w:val="24"/>
          <w:szCs w:val="24"/>
        </w:rPr>
        <w:t>which refers to</w:t>
      </w:r>
      <w:r>
        <w:rPr>
          <w:rFonts w:ascii="Times New Roman" w:hAnsi="Times New Roman"/>
          <w:noProof/>
          <w:sz w:val="24"/>
          <w:szCs w:val="24"/>
        </w:rPr>
        <w:t xml:space="preserve"> the </w:t>
      </w:r>
      <w:r w:rsidRPr="000735DF">
        <w:rPr>
          <w:rFonts w:ascii="Times New Roman" w:hAnsi="Times New Roman"/>
          <w:noProof/>
          <w:sz w:val="24"/>
          <w:szCs w:val="24"/>
        </w:rPr>
        <w:t>committees that the Commission consults on draft implementing acts</w:t>
      </w:r>
      <w:r>
        <w:rPr>
          <w:rFonts w:ascii="Times New Roman" w:hAnsi="Times New Roman"/>
          <w:noProof/>
          <w:sz w:val="24"/>
          <w:szCs w:val="24"/>
        </w:rPr>
        <w:t>.</w:t>
      </w:r>
      <w:r w:rsidRPr="000735DF">
        <w:rPr>
          <w:noProof/>
        </w:rPr>
        <w:t xml:space="preserve"> </w:t>
      </w:r>
      <w:r>
        <w:rPr>
          <w:rFonts w:ascii="Times New Roman" w:hAnsi="Times New Roman"/>
          <w:noProof/>
          <w:sz w:val="24"/>
          <w:szCs w:val="24"/>
        </w:rPr>
        <w:t xml:space="preserve">These committees </w:t>
      </w:r>
      <w:r w:rsidRPr="000735DF">
        <w:rPr>
          <w:rFonts w:ascii="Times New Roman" w:hAnsi="Times New Roman"/>
          <w:noProof/>
          <w:sz w:val="24"/>
          <w:szCs w:val="24"/>
        </w:rPr>
        <w:t xml:space="preserve">are composed of representatives of </w:t>
      </w:r>
      <w:r>
        <w:rPr>
          <w:rFonts w:ascii="Times New Roman" w:hAnsi="Times New Roman"/>
          <w:noProof/>
          <w:sz w:val="24"/>
          <w:szCs w:val="24"/>
        </w:rPr>
        <w:t>the</w:t>
      </w:r>
      <w:r w:rsidRPr="000735DF">
        <w:rPr>
          <w:rFonts w:ascii="Times New Roman" w:hAnsi="Times New Roman"/>
          <w:noProof/>
          <w:sz w:val="24"/>
          <w:szCs w:val="24"/>
        </w:rPr>
        <w:t xml:space="preserve"> Member States, chaired by the Commission</w:t>
      </w:r>
      <w:r>
        <w:rPr>
          <w:rFonts w:ascii="Times New Roman" w:hAnsi="Times New Roman"/>
          <w:noProof/>
          <w:sz w:val="24"/>
          <w:szCs w:val="24"/>
        </w:rPr>
        <w:t>,</w:t>
      </w:r>
      <w:r w:rsidRPr="000735DF">
        <w:rPr>
          <w:rFonts w:ascii="Times New Roman" w:hAnsi="Times New Roman"/>
          <w:noProof/>
          <w:sz w:val="24"/>
          <w:szCs w:val="24"/>
        </w:rPr>
        <w:t xml:space="preserve"> and </w:t>
      </w:r>
      <w:r>
        <w:rPr>
          <w:rFonts w:ascii="Times New Roman" w:hAnsi="Times New Roman"/>
          <w:noProof/>
          <w:sz w:val="24"/>
          <w:szCs w:val="24"/>
        </w:rPr>
        <w:t xml:space="preserve">they </w:t>
      </w:r>
      <w:r w:rsidRPr="000735DF">
        <w:rPr>
          <w:rFonts w:ascii="Times New Roman" w:hAnsi="Times New Roman"/>
          <w:noProof/>
          <w:sz w:val="24"/>
          <w:szCs w:val="24"/>
        </w:rPr>
        <w:t xml:space="preserve">follow different operating procedures depending on the </w:t>
      </w:r>
      <w:r>
        <w:rPr>
          <w:rFonts w:ascii="Times New Roman" w:hAnsi="Times New Roman"/>
          <w:noProof/>
          <w:sz w:val="24"/>
          <w:szCs w:val="24"/>
        </w:rPr>
        <w:t>relevant basic act (cf. Table II)</w:t>
      </w:r>
      <w:r w:rsidRPr="00CD403C">
        <w:rPr>
          <w:rFonts w:ascii="Times New Roman" w:hAnsi="Times New Roman"/>
          <w:noProof/>
          <w:sz w:val="24"/>
          <w:szCs w:val="24"/>
        </w:rPr>
        <w:t>.</w:t>
      </w:r>
      <w:r w:rsidRPr="000735DF">
        <w:rPr>
          <w:rFonts w:ascii="Times New Roman" w:hAnsi="Times New Roman"/>
          <w:noProof/>
          <w:sz w:val="24"/>
          <w:szCs w:val="24"/>
        </w:rPr>
        <w:t xml:space="preserve"> </w:t>
      </w:r>
    </w:p>
    <w:p w14:paraId="38A5ACCD" w14:textId="77777777" w:rsidR="00EC39BD" w:rsidRPr="00AA0B4A" w:rsidRDefault="00EC39BD" w:rsidP="00EC39BD">
      <w:pPr>
        <w:jc w:val="both"/>
        <w:rPr>
          <w:rFonts w:ascii="Times New Roman" w:hAnsi="Times New Roman"/>
          <w:noProof/>
          <w:sz w:val="24"/>
          <w:szCs w:val="24"/>
        </w:rPr>
      </w:pPr>
      <w:r>
        <w:rPr>
          <w:rFonts w:ascii="Times New Roman" w:hAnsi="Times New Roman"/>
          <w:noProof/>
          <w:sz w:val="24"/>
          <w:szCs w:val="24"/>
        </w:rPr>
        <w:t xml:space="preserve">The report provides </w:t>
      </w:r>
      <w:r w:rsidRPr="00AA0B4A">
        <w:rPr>
          <w:rFonts w:ascii="Times New Roman" w:hAnsi="Times New Roman"/>
          <w:noProof/>
          <w:sz w:val="24"/>
          <w:szCs w:val="24"/>
        </w:rPr>
        <w:t>a summary of the committees’ activities</w:t>
      </w:r>
      <w:r>
        <w:rPr>
          <w:rFonts w:ascii="Times New Roman" w:hAnsi="Times New Roman"/>
          <w:noProof/>
          <w:sz w:val="24"/>
          <w:szCs w:val="24"/>
        </w:rPr>
        <w:t xml:space="preserve"> and i</w:t>
      </w:r>
      <w:r w:rsidRPr="00AA0B4A">
        <w:rPr>
          <w:rFonts w:ascii="Times New Roman" w:hAnsi="Times New Roman"/>
          <w:noProof/>
          <w:sz w:val="24"/>
          <w:szCs w:val="24"/>
        </w:rPr>
        <w:t xml:space="preserve">t is accompanied by a </w:t>
      </w:r>
      <w:r w:rsidRPr="00195386">
        <w:rPr>
          <w:rFonts w:ascii="Times New Roman" w:hAnsi="Times New Roman"/>
          <w:b/>
          <w:bCs/>
          <w:noProof/>
          <w:sz w:val="24"/>
          <w:szCs w:val="24"/>
        </w:rPr>
        <w:t xml:space="preserve">staff working document </w:t>
      </w:r>
      <w:r w:rsidRPr="00AA0B4A">
        <w:rPr>
          <w:rFonts w:ascii="Times New Roman" w:hAnsi="Times New Roman"/>
          <w:noProof/>
          <w:sz w:val="24"/>
          <w:szCs w:val="24"/>
        </w:rPr>
        <w:t>containing detailed statistics on the work of the individual committees</w:t>
      </w:r>
      <w:r w:rsidRPr="000735DF">
        <w:rPr>
          <w:noProof/>
        </w:rPr>
        <w:t xml:space="preserve"> </w:t>
      </w:r>
      <w:r w:rsidRPr="000735DF">
        <w:rPr>
          <w:rFonts w:ascii="Times New Roman" w:hAnsi="Times New Roman"/>
          <w:noProof/>
          <w:sz w:val="24"/>
          <w:szCs w:val="24"/>
        </w:rPr>
        <w:t>for each policy sector</w:t>
      </w:r>
      <w:r>
        <w:rPr>
          <w:rStyle w:val="FootnoteReference"/>
          <w:rFonts w:ascii="Times New Roman" w:hAnsi="Times New Roman"/>
          <w:noProof/>
          <w:sz w:val="24"/>
          <w:szCs w:val="24"/>
        </w:rPr>
        <w:footnoteReference w:id="3"/>
      </w:r>
      <w:r>
        <w:rPr>
          <w:rFonts w:ascii="Times New Roman" w:hAnsi="Times New Roman"/>
          <w:noProof/>
          <w:sz w:val="24"/>
          <w:szCs w:val="24"/>
        </w:rPr>
        <w:t>.</w:t>
      </w:r>
      <w:r w:rsidRPr="000735DF">
        <w:rPr>
          <w:rFonts w:ascii="Times New Roman" w:hAnsi="Times New Roman"/>
          <w:noProof/>
          <w:sz w:val="24"/>
          <w:szCs w:val="24"/>
        </w:rPr>
        <w:t xml:space="preserve"> It highlights </w:t>
      </w:r>
      <w:r>
        <w:rPr>
          <w:rFonts w:ascii="Times New Roman" w:hAnsi="Times New Roman"/>
          <w:noProof/>
          <w:sz w:val="24"/>
          <w:szCs w:val="24"/>
        </w:rPr>
        <w:t>the main changes and trends observed on an annual basis</w:t>
      </w:r>
      <w:r w:rsidRPr="000735DF">
        <w:rPr>
          <w:rFonts w:ascii="Times New Roman" w:hAnsi="Times New Roman"/>
          <w:noProof/>
          <w:sz w:val="24"/>
          <w:szCs w:val="24"/>
        </w:rPr>
        <w:t xml:space="preserve">, </w:t>
      </w:r>
      <w:r>
        <w:rPr>
          <w:rFonts w:ascii="Times New Roman" w:hAnsi="Times New Roman"/>
          <w:noProof/>
          <w:sz w:val="24"/>
          <w:szCs w:val="24"/>
        </w:rPr>
        <w:t xml:space="preserve">presenting overall figures </w:t>
      </w:r>
      <w:r w:rsidRPr="000735DF">
        <w:rPr>
          <w:rFonts w:ascii="Times New Roman" w:hAnsi="Times New Roman"/>
          <w:noProof/>
          <w:sz w:val="24"/>
          <w:szCs w:val="24"/>
        </w:rPr>
        <w:t>o</w:t>
      </w:r>
      <w:r>
        <w:rPr>
          <w:rFonts w:ascii="Times New Roman" w:hAnsi="Times New Roman"/>
          <w:noProof/>
          <w:sz w:val="24"/>
          <w:szCs w:val="24"/>
        </w:rPr>
        <w:t xml:space="preserve">n </w:t>
      </w:r>
      <w:r w:rsidRPr="000735DF">
        <w:rPr>
          <w:rFonts w:ascii="Times New Roman" w:hAnsi="Times New Roman"/>
          <w:noProof/>
          <w:sz w:val="24"/>
          <w:szCs w:val="24"/>
        </w:rPr>
        <w:t>meetings,</w:t>
      </w:r>
      <w:r>
        <w:rPr>
          <w:rFonts w:ascii="Times New Roman" w:hAnsi="Times New Roman"/>
          <w:noProof/>
          <w:sz w:val="24"/>
          <w:szCs w:val="24"/>
        </w:rPr>
        <w:t xml:space="preserve"> written</w:t>
      </w:r>
      <w:r w:rsidRPr="000735DF">
        <w:rPr>
          <w:rFonts w:ascii="Times New Roman" w:hAnsi="Times New Roman"/>
          <w:noProof/>
          <w:sz w:val="24"/>
          <w:szCs w:val="24"/>
        </w:rPr>
        <w:t xml:space="preserve"> procedures, opinions </w:t>
      </w:r>
      <w:r>
        <w:rPr>
          <w:rFonts w:ascii="Times New Roman" w:hAnsi="Times New Roman"/>
          <w:noProof/>
          <w:sz w:val="24"/>
          <w:szCs w:val="24"/>
        </w:rPr>
        <w:t xml:space="preserve">delivered </w:t>
      </w:r>
      <w:r w:rsidRPr="000735DF">
        <w:rPr>
          <w:rFonts w:ascii="Times New Roman" w:hAnsi="Times New Roman"/>
          <w:noProof/>
          <w:sz w:val="24"/>
          <w:szCs w:val="24"/>
        </w:rPr>
        <w:t>(i.e. positive, negative or no</w:t>
      </w:r>
      <w:r>
        <w:rPr>
          <w:rFonts w:ascii="Times New Roman" w:hAnsi="Times New Roman"/>
          <w:noProof/>
          <w:sz w:val="24"/>
          <w:szCs w:val="24"/>
        </w:rPr>
        <w:t xml:space="preserve"> opinion</w:t>
      </w:r>
      <w:r w:rsidRPr="000735DF">
        <w:rPr>
          <w:rFonts w:ascii="Times New Roman" w:hAnsi="Times New Roman"/>
          <w:noProof/>
          <w:sz w:val="24"/>
          <w:szCs w:val="24"/>
        </w:rPr>
        <w:t>)</w:t>
      </w:r>
      <w:r>
        <w:rPr>
          <w:rFonts w:ascii="Times New Roman" w:hAnsi="Times New Roman"/>
          <w:noProof/>
          <w:sz w:val="24"/>
          <w:szCs w:val="24"/>
        </w:rPr>
        <w:t xml:space="preserve"> and acts adopted. It also gives an overview of </w:t>
      </w:r>
      <w:r w:rsidRPr="000735DF">
        <w:rPr>
          <w:rFonts w:ascii="Times New Roman" w:hAnsi="Times New Roman"/>
          <w:noProof/>
          <w:sz w:val="24"/>
          <w:szCs w:val="24"/>
        </w:rPr>
        <w:t xml:space="preserve">cases referred to the </w:t>
      </w:r>
      <w:r>
        <w:rPr>
          <w:rFonts w:ascii="Times New Roman" w:hAnsi="Times New Roman"/>
          <w:noProof/>
          <w:sz w:val="24"/>
          <w:szCs w:val="24"/>
        </w:rPr>
        <w:t>a</w:t>
      </w:r>
      <w:r w:rsidRPr="000735DF">
        <w:rPr>
          <w:rFonts w:ascii="Times New Roman" w:hAnsi="Times New Roman"/>
          <w:noProof/>
          <w:sz w:val="24"/>
          <w:szCs w:val="24"/>
        </w:rPr>
        <w:t xml:space="preserve">ppeal </w:t>
      </w:r>
      <w:r>
        <w:rPr>
          <w:rFonts w:ascii="Times New Roman" w:hAnsi="Times New Roman"/>
          <w:noProof/>
          <w:sz w:val="24"/>
          <w:szCs w:val="24"/>
        </w:rPr>
        <w:t>c</w:t>
      </w:r>
      <w:r w:rsidRPr="000735DF">
        <w:rPr>
          <w:rFonts w:ascii="Times New Roman" w:hAnsi="Times New Roman"/>
          <w:noProof/>
          <w:sz w:val="24"/>
          <w:szCs w:val="24"/>
        </w:rPr>
        <w:t>ommittee</w:t>
      </w:r>
      <w:r>
        <w:rPr>
          <w:rFonts w:ascii="Times New Roman" w:hAnsi="Times New Roman"/>
          <w:noProof/>
          <w:sz w:val="24"/>
          <w:szCs w:val="24"/>
        </w:rPr>
        <w:t xml:space="preserve"> and of objections from the European Parliament and the Council under Article 11 of the Comitology Regulation</w:t>
      </w:r>
      <w:r w:rsidRPr="000735DF">
        <w:rPr>
          <w:rFonts w:ascii="Times New Roman" w:hAnsi="Times New Roman"/>
          <w:noProof/>
          <w:sz w:val="24"/>
          <w:szCs w:val="24"/>
        </w:rPr>
        <w:t>.</w:t>
      </w:r>
      <w:r>
        <w:rPr>
          <w:rFonts w:ascii="Times New Roman" w:hAnsi="Times New Roman"/>
          <w:noProof/>
          <w:sz w:val="24"/>
          <w:szCs w:val="24"/>
        </w:rPr>
        <w:t xml:space="preserve"> Information is also provided on the measures adopted under the regulatory procedure with scrutiny.</w:t>
      </w:r>
    </w:p>
    <w:p w14:paraId="46E317D4" w14:textId="77777777" w:rsidR="00EC39BD" w:rsidRPr="003A0E03" w:rsidRDefault="00EC39BD" w:rsidP="00EC39BD">
      <w:pPr>
        <w:pStyle w:val="ManualHeading1"/>
        <w:spacing w:after="240"/>
        <w:ind w:left="851" w:hanging="851"/>
        <w:rPr>
          <w:noProof/>
        </w:rPr>
      </w:pPr>
      <w:r w:rsidRPr="007772AB">
        <w:rPr>
          <w:noProof/>
        </w:rPr>
        <w:t>2.</w:t>
      </w:r>
      <w:r w:rsidRPr="007772AB">
        <w:rPr>
          <w:noProof/>
        </w:rPr>
        <w:tab/>
      </w:r>
      <w:r w:rsidRPr="00AA0B4A">
        <w:rPr>
          <w:noProof/>
        </w:rPr>
        <w:t xml:space="preserve">Overview of developments in the comitology system in </w:t>
      </w:r>
      <w:r>
        <w:rPr>
          <w:noProof/>
        </w:rPr>
        <w:t>2022</w:t>
      </w:r>
    </w:p>
    <w:p w14:paraId="1115F450" w14:textId="77777777" w:rsidR="00EC39BD" w:rsidRPr="00AA0B4A" w:rsidRDefault="00EC39BD" w:rsidP="00EC39BD">
      <w:pPr>
        <w:pStyle w:val="ManualHeading2"/>
        <w:spacing w:before="360" w:after="240"/>
        <w:ind w:left="851" w:hanging="851"/>
        <w:rPr>
          <w:noProof/>
        </w:rPr>
      </w:pPr>
      <w:r w:rsidRPr="007772AB">
        <w:rPr>
          <w:noProof/>
        </w:rPr>
        <w:t>2.1.</w:t>
      </w:r>
      <w:r w:rsidRPr="007772AB">
        <w:rPr>
          <w:noProof/>
        </w:rPr>
        <w:tab/>
      </w:r>
      <w:r w:rsidRPr="00AA0B4A">
        <w:rPr>
          <w:noProof/>
        </w:rPr>
        <w:t>General developments</w:t>
      </w:r>
    </w:p>
    <w:p w14:paraId="124A61CE" w14:textId="77777777" w:rsidR="00EC39BD" w:rsidRPr="00AA0B4A" w:rsidRDefault="00EC39BD" w:rsidP="00EC39BD">
      <w:pPr>
        <w:jc w:val="both"/>
        <w:rPr>
          <w:rFonts w:ascii="Times New Roman" w:hAnsi="Times New Roman"/>
          <w:noProof/>
          <w:sz w:val="24"/>
          <w:szCs w:val="24"/>
        </w:rPr>
      </w:pPr>
      <w:r>
        <w:rPr>
          <w:rFonts w:ascii="Times New Roman" w:hAnsi="Times New Roman"/>
          <w:noProof/>
          <w:sz w:val="24"/>
          <w:szCs w:val="24"/>
        </w:rPr>
        <w:t>T</w:t>
      </w:r>
      <w:r w:rsidRPr="00AA0B4A">
        <w:rPr>
          <w:rFonts w:ascii="Times New Roman" w:hAnsi="Times New Roman"/>
          <w:noProof/>
          <w:sz w:val="24"/>
          <w:szCs w:val="24"/>
        </w:rPr>
        <w:t>he comitology committees operat</w:t>
      </w:r>
      <w:r>
        <w:rPr>
          <w:rFonts w:ascii="Times New Roman" w:hAnsi="Times New Roman"/>
          <w:noProof/>
          <w:sz w:val="24"/>
          <w:szCs w:val="24"/>
        </w:rPr>
        <w:t>ed</w:t>
      </w:r>
      <w:r w:rsidRPr="00AA0B4A">
        <w:rPr>
          <w:rFonts w:ascii="Times New Roman" w:hAnsi="Times New Roman"/>
          <w:noProof/>
          <w:sz w:val="24"/>
          <w:szCs w:val="24"/>
        </w:rPr>
        <w:t xml:space="preserve"> </w:t>
      </w:r>
      <w:r>
        <w:rPr>
          <w:rFonts w:ascii="Times New Roman" w:hAnsi="Times New Roman"/>
          <w:noProof/>
          <w:sz w:val="24"/>
          <w:szCs w:val="24"/>
        </w:rPr>
        <w:t xml:space="preserve">in 2022 </w:t>
      </w:r>
      <w:r w:rsidRPr="00AA0B4A">
        <w:rPr>
          <w:rFonts w:ascii="Times New Roman" w:hAnsi="Times New Roman"/>
          <w:noProof/>
          <w:sz w:val="24"/>
          <w:szCs w:val="24"/>
        </w:rPr>
        <w:t>under the procedures set out in the Comitology Regulation, i.e. advisory (Article 4) and examination (Article 5), as well as under the regulatory procedure with scrutiny set out in Article 5a of the Comitology Decision</w:t>
      </w:r>
      <w:r w:rsidRPr="00AA0B4A">
        <w:rPr>
          <w:rStyle w:val="FootnoteReference"/>
          <w:rFonts w:ascii="Times New Roman" w:hAnsi="Times New Roman"/>
          <w:noProof/>
          <w:sz w:val="24"/>
          <w:szCs w:val="24"/>
        </w:rPr>
        <w:footnoteReference w:id="4"/>
      </w:r>
      <w:r w:rsidRPr="00AA0B4A">
        <w:rPr>
          <w:rFonts w:ascii="Times New Roman" w:hAnsi="Times New Roman"/>
          <w:noProof/>
          <w:sz w:val="24"/>
          <w:szCs w:val="24"/>
        </w:rPr>
        <w:t>.</w:t>
      </w:r>
    </w:p>
    <w:p w14:paraId="4A96CCEA" w14:textId="77777777" w:rsidR="00EC39BD" w:rsidRDefault="00EC39BD" w:rsidP="00EC39BD">
      <w:pPr>
        <w:spacing w:after="160"/>
        <w:jc w:val="both"/>
        <w:rPr>
          <w:rFonts w:ascii="Times New Roman" w:hAnsi="Times New Roman"/>
          <w:noProof/>
          <w:sz w:val="24"/>
          <w:szCs w:val="24"/>
        </w:rPr>
      </w:pPr>
      <w:r w:rsidRPr="00C458CE">
        <w:rPr>
          <w:rFonts w:ascii="Times New Roman" w:hAnsi="Times New Roman"/>
          <w:noProof/>
          <w:sz w:val="24"/>
          <w:szCs w:val="24"/>
        </w:rPr>
        <w:t>With the gradual lifting of COVID-19 restrictions</w:t>
      </w:r>
      <w:r>
        <w:rPr>
          <w:rFonts w:ascii="Times New Roman" w:hAnsi="Times New Roman"/>
          <w:noProof/>
          <w:sz w:val="24"/>
          <w:szCs w:val="24"/>
        </w:rPr>
        <w:t xml:space="preserve">, it became possible to more regularly </w:t>
      </w:r>
      <w:r w:rsidRPr="00AA0B4A">
        <w:rPr>
          <w:rFonts w:ascii="Times New Roman" w:hAnsi="Times New Roman"/>
          <w:noProof/>
          <w:sz w:val="24"/>
          <w:szCs w:val="24"/>
        </w:rPr>
        <w:t xml:space="preserve">hold physical </w:t>
      </w:r>
      <w:r>
        <w:rPr>
          <w:rFonts w:ascii="Times New Roman" w:hAnsi="Times New Roman"/>
          <w:noProof/>
          <w:sz w:val="24"/>
          <w:szCs w:val="24"/>
        </w:rPr>
        <w:t xml:space="preserve">(or hybrid) </w:t>
      </w:r>
      <w:r w:rsidRPr="00AA0B4A">
        <w:rPr>
          <w:rFonts w:ascii="Times New Roman" w:hAnsi="Times New Roman"/>
          <w:noProof/>
          <w:sz w:val="24"/>
          <w:szCs w:val="24"/>
        </w:rPr>
        <w:t xml:space="preserve">meetings of </w:t>
      </w:r>
      <w:r>
        <w:rPr>
          <w:rFonts w:ascii="Times New Roman" w:hAnsi="Times New Roman"/>
          <w:noProof/>
          <w:sz w:val="24"/>
          <w:szCs w:val="24"/>
        </w:rPr>
        <w:t xml:space="preserve">comitology </w:t>
      </w:r>
      <w:r w:rsidRPr="00AA0B4A">
        <w:rPr>
          <w:rFonts w:ascii="Times New Roman" w:hAnsi="Times New Roman"/>
          <w:noProof/>
          <w:sz w:val="24"/>
          <w:szCs w:val="24"/>
        </w:rPr>
        <w:t>committees</w:t>
      </w:r>
      <w:r>
        <w:rPr>
          <w:rFonts w:ascii="Times New Roman" w:hAnsi="Times New Roman"/>
          <w:noProof/>
          <w:sz w:val="24"/>
          <w:szCs w:val="24"/>
        </w:rPr>
        <w:t xml:space="preserve">. All meetings, independent of the form in which they took place (in physical presence, remotely or in a hybrid format) are listed as meetings in </w:t>
      </w:r>
      <w:r w:rsidRPr="00AA0B4A">
        <w:rPr>
          <w:rFonts w:ascii="Times New Roman" w:hAnsi="Times New Roman"/>
          <w:noProof/>
          <w:sz w:val="24"/>
          <w:szCs w:val="24"/>
        </w:rPr>
        <w:t xml:space="preserve">the Comitology </w:t>
      </w:r>
      <w:r>
        <w:rPr>
          <w:rFonts w:ascii="Times New Roman" w:hAnsi="Times New Roman"/>
          <w:noProof/>
          <w:sz w:val="24"/>
          <w:szCs w:val="24"/>
        </w:rPr>
        <w:t>R</w:t>
      </w:r>
      <w:r w:rsidRPr="00AA0B4A">
        <w:rPr>
          <w:rFonts w:ascii="Times New Roman" w:hAnsi="Times New Roman"/>
          <w:noProof/>
          <w:sz w:val="24"/>
          <w:szCs w:val="24"/>
        </w:rPr>
        <w:t>egister</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r w:rsidRPr="00AA0B4A">
        <w:rPr>
          <w:rFonts w:ascii="Times New Roman" w:hAnsi="Times New Roman"/>
          <w:noProof/>
          <w:sz w:val="24"/>
          <w:szCs w:val="24"/>
        </w:rPr>
        <w:t xml:space="preserve">and the summary record specifies </w:t>
      </w:r>
      <w:r>
        <w:rPr>
          <w:rFonts w:ascii="Times New Roman" w:hAnsi="Times New Roman"/>
          <w:noProof/>
          <w:sz w:val="24"/>
          <w:szCs w:val="24"/>
        </w:rPr>
        <w:t>the form of</w:t>
      </w:r>
      <w:r w:rsidRPr="00AA0B4A">
        <w:rPr>
          <w:rFonts w:ascii="Times New Roman" w:hAnsi="Times New Roman"/>
          <w:noProof/>
          <w:sz w:val="24"/>
          <w:szCs w:val="24"/>
        </w:rPr>
        <w:t xml:space="preserve"> the meeting.</w:t>
      </w:r>
    </w:p>
    <w:p w14:paraId="164005E0" w14:textId="77777777" w:rsidR="00EC39BD" w:rsidRDefault="00EC39BD" w:rsidP="00EC39BD">
      <w:pPr>
        <w:jc w:val="both"/>
        <w:rPr>
          <w:rFonts w:ascii="Times New Roman" w:hAnsi="Times New Roman"/>
          <w:noProof/>
          <w:sz w:val="24"/>
          <w:szCs w:val="24"/>
        </w:rPr>
      </w:pPr>
      <w:r>
        <w:rPr>
          <w:rFonts w:ascii="Times New Roman" w:hAnsi="Times New Roman"/>
          <w:noProof/>
          <w:sz w:val="24"/>
          <w:szCs w:val="24"/>
        </w:rPr>
        <w:t>T</w:t>
      </w:r>
      <w:r w:rsidRPr="00AA0B4A">
        <w:rPr>
          <w:rFonts w:ascii="Times New Roman" w:hAnsi="Times New Roman"/>
          <w:noProof/>
          <w:sz w:val="24"/>
          <w:szCs w:val="24"/>
        </w:rPr>
        <w:t>he Interinstitutional Agreement on Better Law-Making of 13 April 2016</w:t>
      </w:r>
      <w:r w:rsidRPr="00AA0B4A">
        <w:rPr>
          <w:rStyle w:val="FootnoteReference"/>
          <w:rFonts w:ascii="Times New Roman" w:hAnsi="Times New Roman"/>
          <w:noProof/>
          <w:sz w:val="24"/>
          <w:szCs w:val="24"/>
        </w:rPr>
        <w:footnoteReference w:id="6"/>
      </w:r>
      <w:r w:rsidRPr="00AA0B4A">
        <w:rPr>
          <w:rFonts w:ascii="Times New Roman" w:hAnsi="Times New Roman"/>
          <w:noProof/>
          <w:sz w:val="24"/>
          <w:szCs w:val="24"/>
        </w:rPr>
        <w:t xml:space="preserve"> recalls the need to align acts still refer</w:t>
      </w:r>
      <w:r>
        <w:rPr>
          <w:rFonts w:ascii="Times New Roman" w:hAnsi="Times New Roman"/>
          <w:noProof/>
          <w:sz w:val="24"/>
          <w:szCs w:val="24"/>
        </w:rPr>
        <w:t>r</w:t>
      </w:r>
      <w:r w:rsidRPr="00AA0B4A">
        <w:rPr>
          <w:rFonts w:ascii="Times New Roman" w:hAnsi="Times New Roman"/>
          <w:noProof/>
          <w:sz w:val="24"/>
          <w:szCs w:val="24"/>
        </w:rPr>
        <w:t xml:space="preserve">ing to </w:t>
      </w:r>
      <w:r>
        <w:rPr>
          <w:rFonts w:ascii="Times New Roman" w:hAnsi="Times New Roman"/>
          <w:noProof/>
          <w:sz w:val="24"/>
          <w:szCs w:val="24"/>
        </w:rPr>
        <w:t>the regulatory</w:t>
      </w:r>
      <w:r w:rsidRPr="00AA0B4A">
        <w:rPr>
          <w:rFonts w:ascii="Times New Roman" w:hAnsi="Times New Roman"/>
          <w:noProof/>
          <w:sz w:val="24"/>
          <w:szCs w:val="24"/>
        </w:rPr>
        <w:t xml:space="preserve"> procedure </w:t>
      </w:r>
      <w:r>
        <w:rPr>
          <w:rFonts w:ascii="Times New Roman" w:hAnsi="Times New Roman"/>
          <w:noProof/>
          <w:sz w:val="24"/>
          <w:szCs w:val="24"/>
        </w:rPr>
        <w:t xml:space="preserve">with scrutiny (RPS) </w:t>
      </w:r>
      <w:r w:rsidRPr="00AA0B4A">
        <w:rPr>
          <w:rFonts w:ascii="Times New Roman" w:hAnsi="Times New Roman"/>
          <w:noProof/>
          <w:sz w:val="24"/>
          <w:szCs w:val="24"/>
        </w:rPr>
        <w:t xml:space="preserve">to the legal framework introduced by the </w:t>
      </w:r>
      <w:r>
        <w:rPr>
          <w:rFonts w:ascii="Times New Roman" w:hAnsi="Times New Roman"/>
          <w:noProof/>
          <w:sz w:val="24"/>
          <w:szCs w:val="24"/>
        </w:rPr>
        <w:t xml:space="preserve">Treaty of </w:t>
      </w:r>
      <w:r w:rsidRPr="00AA0B4A">
        <w:rPr>
          <w:rFonts w:ascii="Times New Roman" w:hAnsi="Times New Roman"/>
          <w:noProof/>
          <w:sz w:val="24"/>
          <w:szCs w:val="24"/>
        </w:rPr>
        <w:t>Lisbon.</w:t>
      </w:r>
      <w:r w:rsidDel="005C0DCD">
        <w:rPr>
          <w:rFonts w:ascii="Times New Roman" w:hAnsi="Times New Roman"/>
          <w:noProof/>
          <w:sz w:val="24"/>
          <w:szCs w:val="24"/>
        </w:rPr>
        <w:t xml:space="preserve"> </w:t>
      </w:r>
      <w:r w:rsidRPr="00C80351">
        <w:rPr>
          <w:rFonts w:ascii="Times New Roman" w:hAnsi="Times New Roman"/>
          <w:noProof/>
          <w:sz w:val="24"/>
          <w:szCs w:val="24"/>
        </w:rPr>
        <w:t xml:space="preserve">Interinstitutional </w:t>
      </w:r>
      <w:r>
        <w:rPr>
          <w:rFonts w:ascii="Times New Roman" w:hAnsi="Times New Roman"/>
          <w:noProof/>
          <w:sz w:val="24"/>
          <w:szCs w:val="24"/>
        </w:rPr>
        <w:t>discussions</w:t>
      </w:r>
      <w:r w:rsidRPr="00C80351">
        <w:rPr>
          <w:rFonts w:ascii="Times New Roman" w:hAnsi="Times New Roman"/>
          <w:noProof/>
          <w:sz w:val="24"/>
          <w:szCs w:val="24"/>
        </w:rPr>
        <w:t xml:space="preserve"> </w:t>
      </w:r>
      <w:r w:rsidRPr="009D3B73">
        <w:rPr>
          <w:rFonts w:ascii="Times New Roman" w:hAnsi="Times New Roman"/>
          <w:noProof/>
          <w:sz w:val="24"/>
          <w:szCs w:val="24"/>
        </w:rPr>
        <w:t>continued</w:t>
      </w:r>
      <w:r w:rsidRPr="00C80351">
        <w:rPr>
          <w:rFonts w:ascii="Times New Roman" w:hAnsi="Times New Roman"/>
          <w:noProof/>
          <w:sz w:val="24"/>
          <w:szCs w:val="24"/>
        </w:rPr>
        <w:t xml:space="preserve"> </w:t>
      </w:r>
      <w:r>
        <w:rPr>
          <w:rFonts w:ascii="Times New Roman" w:hAnsi="Times New Roman"/>
          <w:noProof/>
          <w:sz w:val="24"/>
          <w:szCs w:val="24"/>
        </w:rPr>
        <w:t xml:space="preserve">in 2022 </w:t>
      </w:r>
      <w:r w:rsidRPr="00C80351">
        <w:rPr>
          <w:rFonts w:ascii="Times New Roman" w:hAnsi="Times New Roman"/>
          <w:noProof/>
          <w:sz w:val="24"/>
          <w:szCs w:val="24"/>
        </w:rPr>
        <w:t>on align</w:t>
      </w:r>
      <w:r>
        <w:rPr>
          <w:rFonts w:ascii="Times New Roman" w:hAnsi="Times New Roman"/>
          <w:noProof/>
          <w:sz w:val="24"/>
          <w:szCs w:val="24"/>
        </w:rPr>
        <w:t>ing</w:t>
      </w:r>
      <w:r w:rsidRPr="00C80351">
        <w:rPr>
          <w:rFonts w:ascii="Times New Roman" w:hAnsi="Times New Roman"/>
          <w:noProof/>
          <w:sz w:val="24"/>
          <w:szCs w:val="24"/>
        </w:rPr>
        <w:t xml:space="preserve"> the remaining basic acts, on the basis of the Commission’s </w:t>
      </w:r>
      <w:r>
        <w:rPr>
          <w:rFonts w:ascii="Times New Roman" w:hAnsi="Times New Roman"/>
          <w:noProof/>
          <w:sz w:val="24"/>
          <w:szCs w:val="24"/>
        </w:rPr>
        <w:t xml:space="preserve">2016 </w:t>
      </w:r>
      <w:r w:rsidRPr="00C80351">
        <w:rPr>
          <w:rFonts w:ascii="Times New Roman" w:hAnsi="Times New Roman"/>
          <w:noProof/>
          <w:sz w:val="24"/>
          <w:szCs w:val="24"/>
        </w:rPr>
        <w:t>proposal</w:t>
      </w:r>
      <w:r>
        <w:rPr>
          <w:rFonts w:ascii="Times New Roman" w:hAnsi="Times New Roman"/>
          <w:noProof/>
          <w:sz w:val="24"/>
          <w:szCs w:val="24"/>
        </w:rPr>
        <w:t>s. As to the general alignment proposal</w:t>
      </w:r>
      <w:r w:rsidRPr="00C80351">
        <w:rPr>
          <w:rStyle w:val="FootnoteReference"/>
          <w:rFonts w:ascii="Times New Roman" w:hAnsi="Times New Roman"/>
          <w:noProof/>
          <w:sz w:val="24"/>
          <w:szCs w:val="24"/>
        </w:rPr>
        <w:footnoteReference w:id="7"/>
      </w:r>
      <w:r>
        <w:rPr>
          <w:rFonts w:ascii="Times New Roman" w:hAnsi="Times New Roman"/>
          <w:noProof/>
          <w:sz w:val="24"/>
          <w:szCs w:val="24"/>
        </w:rPr>
        <w:t xml:space="preserve">, after partial agreement reached in 2019, the remaining part covering 104 acts is still subject to further discussions as the co-legislators have so far not been able agree on whether to align the RPS acts to delegated acts or to implementing acts. </w:t>
      </w:r>
      <w:r>
        <w:rPr>
          <w:rFonts w:ascii="Times New Roman" w:hAnsi="Times New Roman"/>
          <w:noProof/>
          <w:sz w:val="24"/>
          <w:szCs w:val="24"/>
        </w:rPr>
        <w:br/>
        <w:t>In the meantime, 25 acts have been either repealed by other legislative acts or had their RPS provisions aligned to either delegated or implementing acts in the context of legislative amendments made to the respective basic acts. T</w:t>
      </w:r>
      <w:r w:rsidRPr="003A60C1">
        <w:rPr>
          <w:rFonts w:ascii="Times New Roman" w:hAnsi="Times New Roman"/>
          <w:noProof/>
          <w:sz w:val="24"/>
          <w:szCs w:val="24"/>
        </w:rPr>
        <w:t xml:space="preserve">hese acts </w:t>
      </w:r>
      <w:r>
        <w:rPr>
          <w:rFonts w:ascii="Times New Roman" w:hAnsi="Times New Roman"/>
          <w:noProof/>
          <w:sz w:val="24"/>
          <w:szCs w:val="24"/>
        </w:rPr>
        <w:t xml:space="preserve">no longer </w:t>
      </w:r>
      <w:r w:rsidRPr="003A60C1">
        <w:rPr>
          <w:rFonts w:ascii="Times New Roman" w:hAnsi="Times New Roman"/>
          <w:noProof/>
          <w:sz w:val="24"/>
          <w:szCs w:val="24"/>
        </w:rPr>
        <w:t>need to be aligned in the context of this proposal.</w:t>
      </w:r>
    </w:p>
    <w:p w14:paraId="312E2630" w14:textId="77777777" w:rsidR="00EC39BD" w:rsidRDefault="00EC39BD" w:rsidP="00EC39BD">
      <w:pPr>
        <w:jc w:val="both"/>
        <w:rPr>
          <w:rFonts w:ascii="Times New Roman" w:hAnsi="Times New Roman"/>
          <w:noProof/>
          <w:sz w:val="24"/>
          <w:szCs w:val="24"/>
        </w:rPr>
      </w:pPr>
      <w:r>
        <w:rPr>
          <w:rFonts w:ascii="Times New Roman" w:hAnsi="Times New Roman"/>
          <w:noProof/>
          <w:sz w:val="24"/>
          <w:szCs w:val="24"/>
        </w:rPr>
        <w:t>On the specific</w:t>
      </w:r>
      <w:r w:rsidRPr="00B84E2A">
        <w:rPr>
          <w:rFonts w:ascii="Times New Roman" w:hAnsi="Times New Roman"/>
          <w:noProof/>
          <w:sz w:val="24"/>
          <w:szCs w:val="24"/>
        </w:rPr>
        <w:t xml:space="preserve"> </w:t>
      </w:r>
      <w:r>
        <w:rPr>
          <w:rFonts w:ascii="Times New Roman" w:hAnsi="Times New Roman"/>
          <w:noProof/>
          <w:sz w:val="24"/>
          <w:szCs w:val="24"/>
        </w:rPr>
        <w:t>alignment proposal</w:t>
      </w:r>
      <w:r w:rsidRPr="00C80351">
        <w:rPr>
          <w:rFonts w:ascii="Times New Roman" w:hAnsi="Times New Roman"/>
          <w:noProof/>
          <w:sz w:val="24"/>
          <w:szCs w:val="24"/>
        </w:rPr>
        <w:t xml:space="preserve"> concerning the area of justice</w:t>
      </w:r>
      <w:r w:rsidRPr="00C80351">
        <w:rPr>
          <w:rStyle w:val="FootnoteReference"/>
          <w:rFonts w:ascii="Times New Roman" w:hAnsi="Times New Roman"/>
          <w:noProof/>
          <w:sz w:val="24"/>
          <w:szCs w:val="24"/>
        </w:rPr>
        <w:footnoteReference w:id="8"/>
      </w:r>
      <w:r>
        <w:rPr>
          <w:rFonts w:ascii="Times New Roman" w:hAnsi="Times New Roman"/>
          <w:noProof/>
          <w:sz w:val="24"/>
          <w:szCs w:val="24"/>
        </w:rPr>
        <w:t>, agreement could be found in 2022. With its legislative resolution of 18 October 2022, the European Parliament endorsed</w:t>
      </w:r>
      <w:r w:rsidRPr="00B84E2A">
        <w:rPr>
          <w:rFonts w:ascii="Times New Roman" w:hAnsi="Times New Roman"/>
          <w:noProof/>
          <w:sz w:val="24"/>
          <w:szCs w:val="24"/>
        </w:rPr>
        <w:t xml:space="preserve"> </w:t>
      </w:r>
      <w:r>
        <w:rPr>
          <w:rFonts w:ascii="Times New Roman" w:hAnsi="Times New Roman"/>
          <w:noProof/>
          <w:sz w:val="24"/>
          <w:szCs w:val="24"/>
        </w:rPr>
        <w:t>the Council’s position at first reading, without futher amendments. The final text, which was published on 25 October</w:t>
      </w:r>
      <w:r>
        <w:rPr>
          <w:rStyle w:val="FootnoteReference"/>
          <w:rFonts w:ascii="Times New Roman" w:hAnsi="Times New Roman"/>
          <w:noProof/>
          <w:sz w:val="24"/>
          <w:szCs w:val="24"/>
        </w:rPr>
        <w:footnoteReference w:id="9"/>
      </w:r>
      <w:r>
        <w:rPr>
          <w:rFonts w:ascii="Times New Roman" w:hAnsi="Times New Roman"/>
          <w:noProof/>
          <w:sz w:val="24"/>
          <w:szCs w:val="24"/>
        </w:rPr>
        <w:t>, co</w:t>
      </w:r>
      <w:r w:rsidRPr="00450625">
        <w:rPr>
          <w:rFonts w:ascii="Times New Roman" w:hAnsi="Times New Roman"/>
          <w:noProof/>
          <w:sz w:val="24"/>
          <w:szCs w:val="24"/>
        </w:rPr>
        <w:t>ncerns only the alignment</w:t>
      </w:r>
      <w:r>
        <w:rPr>
          <w:rStyle w:val="FootnoteReference"/>
          <w:rFonts w:ascii="Times New Roman" w:hAnsi="Times New Roman"/>
          <w:noProof/>
          <w:sz w:val="24"/>
          <w:szCs w:val="24"/>
        </w:rPr>
        <w:footnoteReference w:id="10"/>
      </w:r>
      <w:r w:rsidRPr="00450625">
        <w:rPr>
          <w:rFonts w:ascii="Times New Roman" w:hAnsi="Times New Roman"/>
          <w:noProof/>
          <w:sz w:val="24"/>
          <w:szCs w:val="24"/>
        </w:rPr>
        <w:t xml:space="preserve"> of Regulation (EC) No 805/2004 creating a European Enforcement Order for uncontested claims</w:t>
      </w:r>
      <w:r>
        <w:rPr>
          <w:rFonts w:ascii="Times New Roman" w:hAnsi="Times New Roman"/>
          <w:noProof/>
          <w:sz w:val="24"/>
          <w:szCs w:val="24"/>
        </w:rPr>
        <w:t>, as the other two acts of the original proposal were repealed in the meantime.</w:t>
      </w:r>
    </w:p>
    <w:p w14:paraId="527BC1AC" w14:textId="77777777" w:rsidR="00EC39BD" w:rsidRDefault="00EC39BD" w:rsidP="00EC39BD">
      <w:pPr>
        <w:jc w:val="both"/>
        <w:rPr>
          <w:rFonts w:ascii="Times New Roman" w:hAnsi="Times New Roman"/>
          <w:noProof/>
          <w:sz w:val="24"/>
          <w:szCs w:val="24"/>
        </w:rPr>
      </w:pPr>
      <w:r>
        <w:rPr>
          <w:rFonts w:ascii="Times New Roman" w:hAnsi="Times New Roman"/>
          <w:noProof/>
          <w:sz w:val="24"/>
          <w:szCs w:val="24"/>
          <w:lang w:eastAsia="en-GB"/>
        </w:rPr>
        <w:t>As regards t</w:t>
      </w:r>
      <w:r w:rsidRPr="00C80351">
        <w:rPr>
          <w:rFonts w:ascii="Times New Roman" w:hAnsi="Times New Roman"/>
          <w:noProof/>
          <w:sz w:val="24"/>
          <w:szCs w:val="24"/>
          <w:lang w:eastAsia="en-GB"/>
        </w:rPr>
        <w:t xml:space="preserve">he Commission proposal </w:t>
      </w:r>
      <w:r>
        <w:rPr>
          <w:rFonts w:ascii="Times New Roman" w:hAnsi="Times New Roman"/>
          <w:noProof/>
          <w:sz w:val="24"/>
          <w:szCs w:val="24"/>
          <w:lang w:eastAsia="en-GB"/>
        </w:rPr>
        <w:t>of</w:t>
      </w:r>
      <w:r w:rsidRPr="00C80351">
        <w:rPr>
          <w:rFonts w:ascii="Times New Roman" w:hAnsi="Times New Roman"/>
          <w:noProof/>
          <w:sz w:val="24"/>
          <w:szCs w:val="24"/>
          <w:lang w:eastAsia="en-GB"/>
        </w:rPr>
        <w:t xml:space="preserve"> 14 February 2017</w:t>
      </w:r>
      <w:r>
        <w:rPr>
          <w:rStyle w:val="FootnoteReference"/>
          <w:rFonts w:ascii="Times New Roman" w:hAnsi="Times New Roman"/>
          <w:noProof/>
          <w:sz w:val="24"/>
          <w:szCs w:val="24"/>
          <w:lang w:eastAsia="en-GB"/>
        </w:rPr>
        <w:footnoteReference w:id="11"/>
      </w:r>
      <w:r w:rsidRPr="00C80351">
        <w:rPr>
          <w:rFonts w:ascii="Times New Roman" w:hAnsi="Times New Roman"/>
          <w:noProof/>
          <w:sz w:val="24"/>
          <w:szCs w:val="24"/>
          <w:lang w:eastAsia="en-GB"/>
        </w:rPr>
        <w:t xml:space="preserve"> </w:t>
      </w:r>
      <w:r>
        <w:rPr>
          <w:rFonts w:ascii="Times New Roman" w:hAnsi="Times New Roman"/>
          <w:noProof/>
          <w:sz w:val="24"/>
          <w:szCs w:val="24"/>
          <w:lang w:eastAsia="en-GB"/>
        </w:rPr>
        <w:t xml:space="preserve">aiming to </w:t>
      </w:r>
      <w:r w:rsidRPr="00C80351">
        <w:rPr>
          <w:rFonts w:ascii="Times New Roman" w:hAnsi="Times New Roman"/>
          <w:noProof/>
          <w:sz w:val="24"/>
          <w:szCs w:val="24"/>
        </w:rPr>
        <w:t>amend the Comitology Regulation (EU) No 182/2011</w:t>
      </w:r>
      <w:r>
        <w:rPr>
          <w:rFonts w:ascii="Times New Roman" w:hAnsi="Times New Roman"/>
          <w:noProof/>
          <w:sz w:val="24"/>
          <w:szCs w:val="24"/>
        </w:rPr>
        <w:t xml:space="preserve"> concerning </w:t>
      </w:r>
      <w:r w:rsidRPr="00C80351">
        <w:rPr>
          <w:rFonts w:ascii="Times New Roman" w:hAnsi="Times New Roman"/>
          <w:noProof/>
          <w:sz w:val="24"/>
          <w:szCs w:val="24"/>
        </w:rPr>
        <w:t xml:space="preserve">the </w:t>
      </w:r>
      <w:r>
        <w:rPr>
          <w:rFonts w:ascii="Times New Roman" w:hAnsi="Times New Roman"/>
          <w:noProof/>
          <w:sz w:val="24"/>
          <w:szCs w:val="24"/>
        </w:rPr>
        <w:t>a</w:t>
      </w:r>
      <w:r w:rsidRPr="00C80351">
        <w:rPr>
          <w:rFonts w:ascii="Times New Roman" w:hAnsi="Times New Roman"/>
          <w:noProof/>
          <w:sz w:val="24"/>
          <w:szCs w:val="24"/>
        </w:rPr>
        <w:t xml:space="preserve">ppeal </w:t>
      </w:r>
      <w:r>
        <w:rPr>
          <w:rFonts w:ascii="Times New Roman" w:hAnsi="Times New Roman"/>
          <w:noProof/>
          <w:sz w:val="24"/>
          <w:szCs w:val="24"/>
        </w:rPr>
        <w:t>c</w:t>
      </w:r>
      <w:r w:rsidRPr="00C80351">
        <w:rPr>
          <w:rFonts w:ascii="Times New Roman" w:hAnsi="Times New Roman"/>
          <w:noProof/>
          <w:sz w:val="24"/>
          <w:szCs w:val="24"/>
        </w:rPr>
        <w:t>ommittee</w:t>
      </w:r>
      <w:r>
        <w:rPr>
          <w:rFonts w:ascii="Times New Roman" w:hAnsi="Times New Roman"/>
          <w:noProof/>
          <w:sz w:val="24"/>
          <w:szCs w:val="24"/>
        </w:rPr>
        <w:t>, and notably</w:t>
      </w:r>
      <w:r w:rsidRPr="00C80351">
        <w:rPr>
          <w:rFonts w:ascii="Times New Roman" w:hAnsi="Times New Roman"/>
          <w:noProof/>
          <w:sz w:val="24"/>
          <w:szCs w:val="24"/>
        </w:rPr>
        <w:t xml:space="preserve"> to address ‘no opinion’ situations in sensitive areas</w:t>
      </w:r>
      <w:r>
        <w:rPr>
          <w:rStyle w:val="FootnoteReference"/>
          <w:rFonts w:ascii="Times New Roman" w:hAnsi="Times New Roman"/>
          <w:noProof/>
          <w:sz w:val="24"/>
          <w:szCs w:val="24"/>
        </w:rPr>
        <w:footnoteReference w:id="12"/>
      </w:r>
      <w:r>
        <w:rPr>
          <w:rFonts w:ascii="Times New Roman" w:hAnsi="Times New Roman"/>
          <w:noProof/>
          <w:sz w:val="24"/>
          <w:szCs w:val="24"/>
        </w:rPr>
        <w:t>, no progress was possible in 2022 as the respective positions of the co-legislators remained far apart.</w:t>
      </w:r>
    </w:p>
    <w:p w14:paraId="70C1D333" w14:textId="77777777" w:rsidR="00EC39BD" w:rsidRDefault="00EC39BD" w:rsidP="00EC39BD">
      <w:pPr>
        <w:jc w:val="both"/>
        <w:rPr>
          <w:rFonts w:ascii="Times New Roman" w:hAnsi="Times New Roman"/>
          <w:noProof/>
          <w:sz w:val="24"/>
          <w:szCs w:val="24"/>
        </w:rPr>
      </w:pPr>
      <w:r w:rsidRPr="00AA0B4A">
        <w:rPr>
          <w:rFonts w:ascii="Times New Roman" w:hAnsi="Times New Roman"/>
          <w:noProof/>
          <w:sz w:val="24"/>
          <w:szCs w:val="24"/>
        </w:rPr>
        <w:t>The Commission continue</w:t>
      </w:r>
      <w:r>
        <w:rPr>
          <w:rFonts w:ascii="Times New Roman" w:hAnsi="Times New Roman"/>
          <w:noProof/>
          <w:sz w:val="24"/>
          <w:szCs w:val="24"/>
        </w:rPr>
        <w:t>d</w:t>
      </w:r>
      <w:r w:rsidRPr="00AA0B4A">
        <w:rPr>
          <w:rFonts w:ascii="Times New Roman" w:hAnsi="Times New Roman"/>
          <w:noProof/>
          <w:sz w:val="24"/>
          <w:szCs w:val="24"/>
        </w:rPr>
        <w:t xml:space="preserve"> to make draft texts for </w:t>
      </w:r>
      <w:r>
        <w:rPr>
          <w:rFonts w:ascii="Times New Roman" w:hAnsi="Times New Roman"/>
          <w:noProof/>
          <w:sz w:val="24"/>
          <w:szCs w:val="24"/>
        </w:rPr>
        <w:t xml:space="preserve">important </w:t>
      </w:r>
      <w:r w:rsidRPr="00AA0B4A">
        <w:rPr>
          <w:rFonts w:ascii="Times New Roman" w:hAnsi="Times New Roman"/>
          <w:noProof/>
          <w:sz w:val="24"/>
          <w:szCs w:val="24"/>
        </w:rPr>
        <w:t xml:space="preserve">delegated and implementing acts public for a </w:t>
      </w:r>
      <w:r>
        <w:rPr>
          <w:rFonts w:ascii="Times New Roman" w:hAnsi="Times New Roman"/>
          <w:noProof/>
          <w:sz w:val="24"/>
          <w:szCs w:val="24"/>
        </w:rPr>
        <w:t>4-</w:t>
      </w:r>
      <w:r w:rsidRPr="00AA0B4A">
        <w:rPr>
          <w:rFonts w:ascii="Times New Roman" w:hAnsi="Times New Roman"/>
          <w:noProof/>
          <w:sz w:val="24"/>
          <w:szCs w:val="24"/>
        </w:rPr>
        <w:t xml:space="preserve">week period, allowing stakeholders to submit comments. In </w:t>
      </w:r>
      <w:r w:rsidRPr="0086775C">
        <w:rPr>
          <w:rFonts w:ascii="Times New Roman" w:hAnsi="Times New Roman"/>
          <w:noProof/>
          <w:sz w:val="24"/>
          <w:szCs w:val="24"/>
        </w:rPr>
        <w:t>202</w:t>
      </w:r>
      <w:r>
        <w:rPr>
          <w:rFonts w:ascii="Times New Roman" w:hAnsi="Times New Roman"/>
          <w:noProof/>
          <w:sz w:val="24"/>
          <w:szCs w:val="24"/>
        </w:rPr>
        <w:t>2</w:t>
      </w:r>
      <w:r w:rsidRPr="0086775C">
        <w:rPr>
          <w:rFonts w:ascii="Times New Roman" w:hAnsi="Times New Roman"/>
          <w:noProof/>
          <w:sz w:val="24"/>
          <w:szCs w:val="24"/>
        </w:rPr>
        <w:t>,</w:t>
      </w:r>
      <w:r w:rsidRPr="00AA0B4A">
        <w:rPr>
          <w:rFonts w:ascii="Times New Roman" w:hAnsi="Times New Roman"/>
          <w:noProof/>
          <w:sz w:val="24"/>
          <w:szCs w:val="24"/>
        </w:rPr>
        <w:t xml:space="preserve"> </w:t>
      </w:r>
      <w:r w:rsidRPr="00B004F1">
        <w:rPr>
          <w:rFonts w:ascii="Times New Roman" w:hAnsi="Times New Roman"/>
          <w:noProof/>
          <w:sz w:val="24"/>
          <w:szCs w:val="24"/>
        </w:rPr>
        <w:t>7</w:t>
      </w:r>
      <w:r>
        <w:rPr>
          <w:rFonts w:ascii="Times New Roman" w:hAnsi="Times New Roman"/>
          <w:noProof/>
          <w:sz w:val="24"/>
          <w:szCs w:val="24"/>
        </w:rPr>
        <w:t xml:space="preserve">2 </w:t>
      </w:r>
      <w:r w:rsidRPr="00E37955">
        <w:rPr>
          <w:rFonts w:ascii="Times New Roman" w:hAnsi="Times New Roman"/>
          <w:noProof/>
          <w:sz w:val="24"/>
          <w:szCs w:val="24"/>
        </w:rPr>
        <w:t>draft implementing acts</w:t>
      </w:r>
      <w:r w:rsidRPr="00AA0B4A">
        <w:rPr>
          <w:rFonts w:ascii="Times New Roman" w:hAnsi="Times New Roman"/>
          <w:noProof/>
          <w:sz w:val="24"/>
          <w:szCs w:val="24"/>
        </w:rPr>
        <w:t xml:space="preserve"> were published for </w:t>
      </w:r>
      <w:r>
        <w:rPr>
          <w:rFonts w:ascii="Times New Roman" w:hAnsi="Times New Roman"/>
          <w:noProof/>
          <w:sz w:val="24"/>
          <w:szCs w:val="24"/>
        </w:rPr>
        <w:t xml:space="preserve">public </w:t>
      </w:r>
      <w:r w:rsidRPr="00AA0B4A">
        <w:rPr>
          <w:rFonts w:ascii="Times New Roman" w:hAnsi="Times New Roman"/>
          <w:noProof/>
          <w:sz w:val="24"/>
          <w:szCs w:val="24"/>
        </w:rPr>
        <w:t>feedback on the ‘</w:t>
      </w:r>
      <w:r w:rsidRPr="00AA0B4A">
        <w:rPr>
          <w:rFonts w:ascii="Times New Roman" w:hAnsi="Times New Roman"/>
          <w:bCs/>
          <w:noProof/>
          <w:sz w:val="24"/>
          <w:szCs w:val="24"/>
          <w:lang w:val="en"/>
        </w:rPr>
        <w:t>Have your say’</w:t>
      </w:r>
      <w:r w:rsidRPr="00AA0B4A">
        <w:rPr>
          <w:rFonts w:ascii="Times New Roman" w:hAnsi="Times New Roman"/>
          <w:b/>
          <w:bCs/>
          <w:noProof/>
          <w:sz w:val="24"/>
          <w:szCs w:val="24"/>
          <w:lang w:val="en"/>
        </w:rPr>
        <w:t xml:space="preserve"> </w:t>
      </w:r>
      <w:r w:rsidRPr="00AA0B4A">
        <w:rPr>
          <w:rFonts w:ascii="Times New Roman" w:hAnsi="Times New Roman"/>
          <w:noProof/>
          <w:sz w:val="24"/>
          <w:szCs w:val="24"/>
        </w:rPr>
        <w:t>website</w:t>
      </w:r>
      <w:r w:rsidRPr="00AA0B4A">
        <w:rPr>
          <w:rStyle w:val="FootnoteReference"/>
          <w:rFonts w:ascii="Times New Roman" w:hAnsi="Times New Roman"/>
          <w:noProof/>
          <w:sz w:val="24"/>
          <w:szCs w:val="24"/>
        </w:rPr>
        <w:footnoteReference w:id="13"/>
      </w:r>
      <w:r>
        <w:rPr>
          <w:rFonts w:ascii="Times New Roman" w:hAnsi="Times New Roman"/>
          <w:noProof/>
          <w:sz w:val="24"/>
          <w:szCs w:val="24"/>
        </w:rPr>
        <w:t>, which is slightly less than the 85 draft implementing acts that were published in 2021</w:t>
      </w:r>
      <w:r w:rsidRPr="00AA0B4A">
        <w:rPr>
          <w:rFonts w:ascii="Times New Roman" w:hAnsi="Times New Roman"/>
          <w:noProof/>
          <w:sz w:val="24"/>
          <w:szCs w:val="24"/>
        </w:rPr>
        <w:t xml:space="preserve">. </w:t>
      </w:r>
    </w:p>
    <w:p w14:paraId="56D0450F" w14:textId="77777777" w:rsidR="00EC39BD" w:rsidRPr="00020271" w:rsidRDefault="00EC39BD" w:rsidP="00EC39BD">
      <w:pPr>
        <w:pStyle w:val="ManualHeading2"/>
        <w:spacing w:before="360" w:after="240"/>
        <w:ind w:left="851" w:hanging="851"/>
        <w:rPr>
          <w:noProof/>
        </w:rPr>
      </w:pPr>
      <w:r w:rsidRPr="007772AB">
        <w:rPr>
          <w:noProof/>
        </w:rPr>
        <w:t>2.2.</w:t>
      </w:r>
      <w:r w:rsidRPr="007772AB">
        <w:rPr>
          <w:noProof/>
        </w:rPr>
        <w:tab/>
      </w:r>
      <w:r>
        <w:rPr>
          <w:noProof/>
        </w:rPr>
        <w:t>Case-law d</w:t>
      </w:r>
      <w:r w:rsidRPr="00020271">
        <w:rPr>
          <w:noProof/>
        </w:rPr>
        <w:t>evelopment</w:t>
      </w:r>
      <w:r>
        <w:rPr>
          <w:noProof/>
        </w:rPr>
        <w:t>s</w:t>
      </w:r>
      <w:r w:rsidRPr="00020271">
        <w:rPr>
          <w:noProof/>
        </w:rPr>
        <w:t xml:space="preserve"> </w:t>
      </w:r>
    </w:p>
    <w:p w14:paraId="0EF64245" w14:textId="77777777" w:rsidR="00EC39BD" w:rsidRDefault="00EC39BD" w:rsidP="00EC39BD">
      <w:pPr>
        <w:spacing w:after="120"/>
        <w:jc w:val="both"/>
        <w:rPr>
          <w:rFonts w:ascii="Times New Roman" w:hAnsi="Times New Roman"/>
          <w:noProof/>
          <w:sz w:val="24"/>
          <w:szCs w:val="24"/>
        </w:rPr>
      </w:pPr>
      <w:r w:rsidRPr="004951C5">
        <w:rPr>
          <w:rFonts w:ascii="Times New Roman" w:hAnsi="Times New Roman"/>
          <w:noProof/>
          <w:sz w:val="24"/>
          <w:szCs w:val="24"/>
        </w:rPr>
        <w:t xml:space="preserve">In its judgment of 14 July 2022 in </w:t>
      </w:r>
      <w:r w:rsidRPr="009821BE">
        <w:rPr>
          <w:rFonts w:ascii="Times New Roman" w:hAnsi="Times New Roman"/>
          <w:i/>
          <w:iCs/>
          <w:noProof/>
          <w:sz w:val="24"/>
          <w:szCs w:val="24"/>
        </w:rPr>
        <w:t xml:space="preserve">Commission </w:t>
      </w:r>
      <w:r w:rsidRPr="004951C5">
        <w:rPr>
          <w:rFonts w:ascii="Times New Roman" w:hAnsi="Times New Roman"/>
          <w:noProof/>
          <w:sz w:val="24"/>
          <w:szCs w:val="24"/>
        </w:rPr>
        <w:t xml:space="preserve">v </w:t>
      </w:r>
      <w:r w:rsidRPr="001F6373">
        <w:rPr>
          <w:rFonts w:ascii="Times New Roman" w:hAnsi="Times New Roman"/>
          <w:i/>
          <w:iCs/>
          <w:noProof/>
          <w:sz w:val="24"/>
          <w:szCs w:val="24"/>
        </w:rPr>
        <w:t>Poland</w:t>
      </w:r>
      <w:r>
        <w:rPr>
          <w:rStyle w:val="FootnoteReference"/>
          <w:rFonts w:ascii="Times New Roman" w:hAnsi="Times New Roman"/>
          <w:noProof/>
          <w:sz w:val="24"/>
          <w:szCs w:val="24"/>
        </w:rPr>
        <w:footnoteReference w:id="14"/>
      </w:r>
      <w:r w:rsidRPr="004951C5">
        <w:rPr>
          <w:rFonts w:ascii="Times New Roman" w:hAnsi="Times New Roman"/>
          <w:noProof/>
          <w:sz w:val="24"/>
          <w:szCs w:val="24"/>
        </w:rPr>
        <w:t xml:space="preserve">, the Court confirmed the judgment of the General Court in case T-699/17. </w:t>
      </w:r>
      <w:r>
        <w:rPr>
          <w:rFonts w:ascii="Times New Roman" w:hAnsi="Times New Roman"/>
          <w:noProof/>
          <w:sz w:val="24"/>
          <w:szCs w:val="24"/>
        </w:rPr>
        <w:t xml:space="preserve">The case was about the transitional period and provisions on qualified majority voting for the changeover from the Treaty of Nice to the Treaty of Lisbon. It concerns the application in time of Article 3(2) of Protocol 36 of the Treaty of Lisbon, which provides that, between </w:t>
      </w:r>
      <w:r w:rsidRPr="00DB59F9">
        <w:rPr>
          <w:rFonts w:ascii="Times New Roman" w:hAnsi="Times New Roman"/>
          <w:noProof/>
          <w:sz w:val="24"/>
          <w:szCs w:val="24"/>
        </w:rPr>
        <w:t xml:space="preserve">1 November 2014 and 31 March 2017, when an act is to be adopted by qualified majority, a </w:t>
      </w:r>
      <w:r>
        <w:rPr>
          <w:rFonts w:ascii="Times New Roman" w:hAnsi="Times New Roman"/>
          <w:noProof/>
          <w:sz w:val="24"/>
          <w:szCs w:val="24"/>
        </w:rPr>
        <w:t>Member State</w:t>
      </w:r>
      <w:r w:rsidRPr="00DB59F9">
        <w:rPr>
          <w:rFonts w:ascii="Times New Roman" w:hAnsi="Times New Roman"/>
          <w:noProof/>
          <w:sz w:val="24"/>
          <w:szCs w:val="24"/>
        </w:rPr>
        <w:t xml:space="preserve"> may request that </w:t>
      </w:r>
      <w:r>
        <w:rPr>
          <w:rFonts w:ascii="Times New Roman" w:hAnsi="Times New Roman"/>
          <w:noProof/>
          <w:sz w:val="24"/>
          <w:szCs w:val="24"/>
        </w:rPr>
        <w:t xml:space="preserve"> the act be</w:t>
      </w:r>
      <w:r w:rsidRPr="00DB59F9">
        <w:rPr>
          <w:rFonts w:ascii="Times New Roman" w:hAnsi="Times New Roman"/>
          <w:noProof/>
          <w:sz w:val="24"/>
          <w:szCs w:val="24"/>
        </w:rPr>
        <w:t xml:space="preserve"> adopted in accordance with the qualified majority </w:t>
      </w:r>
      <w:r>
        <w:rPr>
          <w:rFonts w:ascii="Times New Roman" w:hAnsi="Times New Roman"/>
          <w:noProof/>
          <w:sz w:val="24"/>
          <w:szCs w:val="24"/>
        </w:rPr>
        <w:t xml:space="preserve">applicable before 31 October 2014 (i.e. the qualified majority that applied prior to the entry into force of the Treaty of Lisbon). </w:t>
      </w:r>
      <w:r>
        <w:rPr>
          <w:rFonts w:ascii="Times New Roman" w:hAnsi="Times New Roman"/>
          <w:noProof/>
          <w:sz w:val="24"/>
          <w:szCs w:val="24"/>
        </w:rPr>
        <w:br/>
        <w:t>The dispute concerned whether both the request from a Member State and the vote had to take place before 31 March 2017, or whether it was sufficient for the request from a Member State to be made before that date while the vote could take place afterwards. The General Court had ruled that it was sufficient that a Member State had made the request before 31 March 2017, and, upon appeal, the Court upheld the judgment of the General Court.</w:t>
      </w:r>
    </w:p>
    <w:p w14:paraId="1859012C" w14:textId="77777777" w:rsidR="00EC39BD" w:rsidRPr="00B123B9" w:rsidRDefault="00EC39BD" w:rsidP="00EC39BD">
      <w:pPr>
        <w:spacing w:after="120"/>
        <w:jc w:val="both"/>
        <w:rPr>
          <w:rFonts w:ascii="Times New Roman" w:hAnsi="Times New Roman"/>
          <w:noProof/>
          <w:sz w:val="24"/>
          <w:szCs w:val="24"/>
        </w:rPr>
      </w:pPr>
      <w:r w:rsidRPr="0015439D">
        <w:rPr>
          <w:rFonts w:ascii="Times New Roman" w:hAnsi="Times New Roman"/>
          <w:noProof/>
          <w:sz w:val="24"/>
          <w:szCs w:val="24"/>
        </w:rPr>
        <w:t xml:space="preserve">As regards the transparency of the work of comitology committees, </w:t>
      </w:r>
      <w:r>
        <w:rPr>
          <w:rFonts w:ascii="Times New Roman" w:hAnsi="Times New Roman"/>
          <w:noProof/>
          <w:sz w:val="24"/>
          <w:szCs w:val="24"/>
        </w:rPr>
        <w:t>i</w:t>
      </w:r>
      <w:r w:rsidRPr="002B678E">
        <w:rPr>
          <w:rFonts w:ascii="Times New Roman" w:hAnsi="Times New Roman"/>
          <w:noProof/>
          <w:sz w:val="24"/>
          <w:szCs w:val="24"/>
        </w:rPr>
        <w:t>n joined cases T-371/20 and T-554/20 (</w:t>
      </w:r>
      <w:r w:rsidRPr="001F6373">
        <w:rPr>
          <w:rFonts w:ascii="Times New Roman" w:hAnsi="Times New Roman"/>
          <w:i/>
          <w:iCs/>
          <w:noProof/>
          <w:sz w:val="24"/>
          <w:szCs w:val="24"/>
        </w:rPr>
        <w:t>Pollinis France</w:t>
      </w:r>
      <w:r w:rsidRPr="002B678E">
        <w:rPr>
          <w:rFonts w:ascii="Times New Roman" w:hAnsi="Times New Roman"/>
          <w:noProof/>
          <w:sz w:val="24"/>
          <w:szCs w:val="24"/>
        </w:rPr>
        <w:t xml:space="preserve"> v </w:t>
      </w:r>
      <w:r w:rsidRPr="001F6373">
        <w:rPr>
          <w:rFonts w:ascii="Times New Roman" w:hAnsi="Times New Roman"/>
          <w:i/>
          <w:iCs/>
          <w:noProof/>
          <w:sz w:val="24"/>
          <w:szCs w:val="24"/>
        </w:rPr>
        <w:t>Commission</w:t>
      </w:r>
      <w:r>
        <w:rPr>
          <w:rStyle w:val="FootnoteReference"/>
          <w:rFonts w:ascii="Times New Roman" w:hAnsi="Times New Roman"/>
          <w:noProof/>
          <w:sz w:val="24"/>
          <w:szCs w:val="24"/>
        </w:rPr>
        <w:footnoteReference w:id="15"/>
      </w:r>
      <w:r w:rsidRPr="002B678E">
        <w:rPr>
          <w:rFonts w:ascii="Times New Roman" w:hAnsi="Times New Roman"/>
          <w:noProof/>
          <w:sz w:val="24"/>
          <w:szCs w:val="24"/>
        </w:rPr>
        <w:t>), the General Court examined the refusal of the Commission to grant ac</w:t>
      </w:r>
      <w:r>
        <w:rPr>
          <w:rFonts w:ascii="Times New Roman" w:hAnsi="Times New Roman"/>
          <w:noProof/>
          <w:sz w:val="24"/>
          <w:szCs w:val="24"/>
        </w:rPr>
        <w:t>c</w:t>
      </w:r>
      <w:r w:rsidRPr="002B678E">
        <w:rPr>
          <w:rFonts w:ascii="Times New Roman" w:hAnsi="Times New Roman"/>
          <w:noProof/>
          <w:sz w:val="24"/>
          <w:szCs w:val="24"/>
        </w:rPr>
        <w:t>ess to documents</w:t>
      </w:r>
      <w:r w:rsidRPr="002B678E">
        <w:rPr>
          <w:rFonts w:ascii="Times New Roman" w:hAnsi="Times New Roman"/>
          <w:noProof/>
          <w:sz w:val="24"/>
          <w:szCs w:val="24"/>
          <w:lang w:val="en-IE"/>
        </w:rPr>
        <w:t xml:space="preserve"> </w:t>
      </w:r>
      <w:r>
        <w:rPr>
          <w:rFonts w:ascii="Times New Roman" w:hAnsi="Times New Roman"/>
          <w:noProof/>
          <w:sz w:val="24"/>
          <w:szCs w:val="24"/>
          <w:lang w:val="en-IE"/>
        </w:rPr>
        <w:t>(</w:t>
      </w:r>
      <w:r w:rsidRPr="0015439D">
        <w:rPr>
          <w:rFonts w:ascii="Times New Roman" w:hAnsi="Times New Roman"/>
          <w:noProof/>
          <w:sz w:val="24"/>
          <w:szCs w:val="24"/>
        </w:rPr>
        <w:t>under Regulation (EC) No 1049/20</w:t>
      </w:r>
      <w:r>
        <w:rPr>
          <w:rFonts w:ascii="Times New Roman" w:hAnsi="Times New Roman"/>
          <w:noProof/>
          <w:sz w:val="24"/>
          <w:szCs w:val="24"/>
        </w:rPr>
        <w:t>0</w:t>
      </w:r>
      <w:r w:rsidRPr="0015439D">
        <w:rPr>
          <w:rFonts w:ascii="Times New Roman" w:hAnsi="Times New Roman"/>
          <w:noProof/>
          <w:sz w:val="24"/>
          <w:szCs w:val="24"/>
        </w:rPr>
        <w:t>1</w:t>
      </w:r>
      <w:r>
        <w:rPr>
          <w:rStyle w:val="FootnoteReference"/>
          <w:rFonts w:ascii="Times New Roman" w:hAnsi="Times New Roman"/>
          <w:noProof/>
          <w:sz w:val="24"/>
          <w:szCs w:val="24"/>
        </w:rPr>
        <w:footnoteReference w:id="16"/>
      </w:r>
      <w:r>
        <w:rPr>
          <w:rFonts w:ascii="Times New Roman" w:hAnsi="Times New Roman"/>
          <w:noProof/>
          <w:sz w:val="24"/>
          <w:szCs w:val="24"/>
        </w:rPr>
        <w:t>)</w:t>
      </w:r>
      <w:r w:rsidRPr="0015439D">
        <w:rPr>
          <w:rFonts w:ascii="Times New Roman" w:hAnsi="Times New Roman"/>
          <w:noProof/>
          <w:sz w:val="24"/>
          <w:szCs w:val="24"/>
        </w:rPr>
        <w:t xml:space="preserve"> </w:t>
      </w:r>
      <w:r>
        <w:rPr>
          <w:rFonts w:ascii="Times New Roman" w:hAnsi="Times New Roman"/>
          <w:noProof/>
          <w:sz w:val="24"/>
          <w:szCs w:val="24"/>
        </w:rPr>
        <w:t xml:space="preserve">that </w:t>
      </w:r>
      <w:r>
        <w:rPr>
          <w:rFonts w:ascii="Times New Roman" w:hAnsi="Times New Roman"/>
          <w:noProof/>
          <w:sz w:val="24"/>
          <w:szCs w:val="24"/>
          <w:lang w:val="en-IE"/>
        </w:rPr>
        <w:t>indicate</w:t>
      </w:r>
      <w:r w:rsidRPr="002B678E">
        <w:rPr>
          <w:rFonts w:ascii="Times New Roman" w:hAnsi="Times New Roman"/>
          <w:noProof/>
          <w:sz w:val="24"/>
          <w:szCs w:val="24"/>
          <w:lang w:val="en-IE"/>
        </w:rPr>
        <w:t xml:space="preserve"> the individual positions of the Member States expressed in the context of a comitology committee</w:t>
      </w:r>
      <w:r w:rsidRPr="002B678E">
        <w:rPr>
          <w:rFonts w:ascii="Times New Roman" w:hAnsi="Times New Roman"/>
          <w:noProof/>
          <w:sz w:val="24"/>
          <w:szCs w:val="24"/>
        </w:rPr>
        <w:t xml:space="preserve">. In its judgment of 14 September 2022, the General Court </w:t>
      </w:r>
      <w:r w:rsidRPr="002B678E">
        <w:rPr>
          <w:rFonts w:ascii="Times New Roman" w:hAnsi="Times New Roman"/>
          <w:noProof/>
          <w:sz w:val="24"/>
          <w:szCs w:val="24"/>
          <w:lang w:val="en-IE"/>
        </w:rPr>
        <w:t>dismiss</w:t>
      </w:r>
      <w:r>
        <w:rPr>
          <w:rFonts w:ascii="Times New Roman" w:hAnsi="Times New Roman"/>
          <w:noProof/>
          <w:sz w:val="24"/>
          <w:szCs w:val="24"/>
          <w:lang w:val="en-IE"/>
        </w:rPr>
        <w:t>ed</w:t>
      </w:r>
      <w:r w:rsidRPr="002B678E">
        <w:rPr>
          <w:rFonts w:ascii="Times New Roman" w:hAnsi="Times New Roman"/>
          <w:noProof/>
          <w:sz w:val="24"/>
          <w:szCs w:val="24"/>
          <w:lang w:val="en-IE"/>
        </w:rPr>
        <w:t xml:space="preserve"> </w:t>
      </w:r>
      <w:r>
        <w:rPr>
          <w:rFonts w:ascii="Times New Roman" w:hAnsi="Times New Roman"/>
          <w:noProof/>
          <w:sz w:val="24"/>
          <w:szCs w:val="24"/>
          <w:lang w:val="en-IE"/>
        </w:rPr>
        <w:t>the Commission’s</w:t>
      </w:r>
      <w:r w:rsidRPr="002B678E">
        <w:rPr>
          <w:rFonts w:ascii="Times New Roman" w:hAnsi="Times New Roman"/>
          <w:noProof/>
          <w:sz w:val="24"/>
          <w:szCs w:val="24"/>
          <w:lang w:val="en-IE"/>
        </w:rPr>
        <w:t xml:space="preserve"> arguments </w:t>
      </w:r>
      <w:r>
        <w:rPr>
          <w:rFonts w:ascii="Times New Roman" w:hAnsi="Times New Roman"/>
          <w:noProof/>
          <w:sz w:val="24"/>
          <w:szCs w:val="24"/>
          <w:lang w:val="en-IE"/>
        </w:rPr>
        <w:t xml:space="preserve">that were </w:t>
      </w:r>
      <w:r w:rsidRPr="002B678E">
        <w:rPr>
          <w:rFonts w:ascii="Times New Roman" w:hAnsi="Times New Roman"/>
          <w:noProof/>
          <w:sz w:val="24"/>
          <w:szCs w:val="24"/>
          <w:lang w:val="en-IE"/>
        </w:rPr>
        <w:t>based on the need to protect the ongoing decision-making process</w:t>
      </w:r>
      <w:r w:rsidRPr="00934D63">
        <w:rPr>
          <w:rFonts w:ascii="Times New Roman" w:hAnsi="Times New Roman"/>
          <w:noProof/>
          <w:sz w:val="24"/>
          <w:szCs w:val="24"/>
          <w:lang w:val="en-IE"/>
        </w:rPr>
        <w:t xml:space="preserve"> </w:t>
      </w:r>
      <w:r>
        <w:rPr>
          <w:rFonts w:ascii="Times New Roman" w:hAnsi="Times New Roman"/>
          <w:noProof/>
          <w:sz w:val="24"/>
          <w:szCs w:val="24"/>
          <w:lang w:val="en-IE"/>
        </w:rPr>
        <w:t xml:space="preserve">and </w:t>
      </w:r>
      <w:r w:rsidRPr="002B678E">
        <w:rPr>
          <w:rFonts w:ascii="Times New Roman" w:hAnsi="Times New Roman"/>
          <w:noProof/>
          <w:sz w:val="24"/>
          <w:szCs w:val="24"/>
          <w:lang w:val="en-IE"/>
        </w:rPr>
        <w:t>annulled the respective Commission decisions</w:t>
      </w:r>
      <w:r>
        <w:rPr>
          <w:rFonts w:ascii="Times New Roman" w:hAnsi="Times New Roman"/>
          <w:noProof/>
          <w:sz w:val="24"/>
          <w:szCs w:val="24"/>
          <w:lang w:val="en-IE"/>
        </w:rPr>
        <w:t xml:space="preserve"> refusing access</w:t>
      </w:r>
      <w:r w:rsidRPr="002B678E">
        <w:rPr>
          <w:rFonts w:ascii="Times New Roman" w:hAnsi="Times New Roman"/>
          <w:noProof/>
          <w:sz w:val="24"/>
          <w:szCs w:val="24"/>
          <w:lang w:val="en-IE"/>
        </w:rPr>
        <w:t>.</w:t>
      </w:r>
      <w:r w:rsidRPr="0070709A">
        <w:rPr>
          <w:rFonts w:ascii="Times New Roman" w:hAnsi="Times New Roman"/>
          <w:noProof/>
          <w:sz w:val="24"/>
          <w:szCs w:val="24"/>
          <w:lang w:val="en-IE"/>
        </w:rPr>
        <w:t xml:space="preserve"> </w:t>
      </w:r>
      <w:r>
        <w:rPr>
          <w:rFonts w:ascii="Times New Roman" w:hAnsi="Times New Roman"/>
          <w:noProof/>
          <w:sz w:val="24"/>
          <w:szCs w:val="24"/>
          <w:lang w:val="en-IE"/>
        </w:rPr>
        <w:br/>
        <w:t>The Commission subsequently lodged an appeal against the judgment.</w:t>
      </w:r>
    </w:p>
    <w:p w14:paraId="298EBFFD" w14:textId="77777777" w:rsidR="00EC39BD" w:rsidRDefault="00EC39BD" w:rsidP="00EC39BD">
      <w:pPr>
        <w:pStyle w:val="ManualHeading1"/>
        <w:spacing w:after="0"/>
        <w:ind w:left="851" w:hanging="851"/>
        <w:rPr>
          <w:noProof/>
        </w:rPr>
      </w:pPr>
      <w:r w:rsidRPr="007772AB">
        <w:rPr>
          <w:noProof/>
        </w:rPr>
        <w:t>3.</w:t>
      </w:r>
      <w:r w:rsidRPr="007772AB">
        <w:rPr>
          <w:noProof/>
        </w:rPr>
        <w:tab/>
      </w:r>
      <w:r w:rsidRPr="00AA0B4A">
        <w:rPr>
          <w:noProof/>
        </w:rPr>
        <w:t>Overview of activities</w:t>
      </w:r>
    </w:p>
    <w:p w14:paraId="64681FEE" w14:textId="77777777" w:rsidR="00EC39BD" w:rsidRPr="00C769F2" w:rsidRDefault="00EC39BD" w:rsidP="00EC39BD">
      <w:pPr>
        <w:pStyle w:val="Text1"/>
        <w:spacing w:before="240" w:after="360" w:line="276" w:lineRule="auto"/>
        <w:ind w:left="0"/>
        <w:rPr>
          <w:noProof/>
        </w:rPr>
      </w:pPr>
      <w:r>
        <w:rPr>
          <w:noProof/>
        </w:rPr>
        <w:t>The figures indicated in the following sections are all based on the findings presented in detail in the accompanying staff working document.</w:t>
      </w:r>
    </w:p>
    <w:p w14:paraId="099DD132" w14:textId="77777777" w:rsidR="00EC39BD" w:rsidRPr="00AA0B4A" w:rsidRDefault="00EC39BD" w:rsidP="00EC39BD">
      <w:pPr>
        <w:pStyle w:val="ManualHeading2"/>
        <w:spacing w:before="360" w:after="240"/>
        <w:ind w:left="0" w:firstLine="0"/>
        <w:rPr>
          <w:noProof/>
        </w:rPr>
      </w:pPr>
      <w:r w:rsidRPr="007772AB">
        <w:rPr>
          <w:noProof/>
        </w:rPr>
        <w:t>3.1.</w:t>
      </w:r>
      <w:r w:rsidRPr="007772AB">
        <w:rPr>
          <w:noProof/>
        </w:rPr>
        <w:tab/>
      </w:r>
      <w:r w:rsidRPr="00AA0B4A">
        <w:rPr>
          <w:noProof/>
        </w:rPr>
        <w:t xml:space="preserve">Number of committees </w:t>
      </w:r>
    </w:p>
    <w:p w14:paraId="066F1594" w14:textId="77777777" w:rsidR="00EC39BD" w:rsidRPr="00AA0B4A" w:rsidRDefault="00EC39BD" w:rsidP="00EC39BD">
      <w:pPr>
        <w:spacing w:after="120"/>
        <w:jc w:val="both"/>
        <w:rPr>
          <w:rFonts w:ascii="Times New Roman" w:hAnsi="Times New Roman"/>
          <w:noProof/>
          <w:sz w:val="24"/>
          <w:szCs w:val="24"/>
        </w:rPr>
      </w:pPr>
      <w:r w:rsidRPr="00AA0B4A">
        <w:rPr>
          <w:rFonts w:ascii="Times New Roman" w:hAnsi="Times New Roman"/>
          <w:noProof/>
          <w:sz w:val="24"/>
          <w:szCs w:val="24"/>
        </w:rPr>
        <w:t>This report focuses exclusively on comitology committees</w:t>
      </w:r>
      <w:r>
        <w:rPr>
          <w:rFonts w:ascii="Times New Roman" w:hAnsi="Times New Roman"/>
          <w:noProof/>
          <w:sz w:val="24"/>
          <w:szCs w:val="24"/>
        </w:rPr>
        <w:t>,</w:t>
      </w:r>
      <w:r w:rsidRPr="00AA0B4A">
        <w:rPr>
          <w:rFonts w:ascii="Times New Roman" w:hAnsi="Times New Roman"/>
          <w:noProof/>
          <w:sz w:val="24"/>
          <w:szCs w:val="24"/>
        </w:rPr>
        <w:t xml:space="preserve"> which are </w:t>
      </w:r>
      <w:r>
        <w:rPr>
          <w:rFonts w:ascii="Times New Roman" w:hAnsi="Times New Roman"/>
          <w:noProof/>
          <w:sz w:val="24"/>
          <w:szCs w:val="24"/>
        </w:rPr>
        <w:t xml:space="preserve">set up </w:t>
      </w:r>
      <w:r w:rsidRPr="00AA0B4A">
        <w:rPr>
          <w:rFonts w:ascii="Times New Roman" w:hAnsi="Times New Roman"/>
          <w:noProof/>
          <w:sz w:val="24"/>
          <w:szCs w:val="24"/>
        </w:rPr>
        <w:t xml:space="preserve">by the legislator to assist the Commission in </w:t>
      </w:r>
      <w:r>
        <w:rPr>
          <w:rFonts w:ascii="Times New Roman" w:hAnsi="Times New Roman"/>
          <w:noProof/>
          <w:sz w:val="24"/>
          <w:szCs w:val="24"/>
        </w:rPr>
        <w:t xml:space="preserve">its </w:t>
      </w:r>
      <w:r w:rsidRPr="00AA0B4A">
        <w:rPr>
          <w:rFonts w:ascii="Times New Roman" w:hAnsi="Times New Roman"/>
          <w:noProof/>
          <w:sz w:val="24"/>
          <w:szCs w:val="24"/>
        </w:rPr>
        <w:t>exercise of the implementing powers that have been conferr</w:t>
      </w:r>
      <w:r>
        <w:rPr>
          <w:rFonts w:ascii="Times New Roman" w:hAnsi="Times New Roman"/>
          <w:noProof/>
          <w:sz w:val="24"/>
          <w:szCs w:val="24"/>
        </w:rPr>
        <w:t xml:space="preserve">ed upon it by basic legal acts. </w:t>
      </w:r>
      <w:r w:rsidRPr="00AA0B4A">
        <w:rPr>
          <w:rFonts w:ascii="Times New Roman" w:hAnsi="Times New Roman"/>
          <w:noProof/>
          <w:sz w:val="24"/>
          <w:szCs w:val="24"/>
        </w:rPr>
        <w:t xml:space="preserve">Other entities, in particular expert groups </w:t>
      </w:r>
      <w:r>
        <w:rPr>
          <w:rFonts w:ascii="Times New Roman" w:hAnsi="Times New Roman"/>
          <w:noProof/>
          <w:sz w:val="24"/>
          <w:szCs w:val="24"/>
        </w:rPr>
        <w:t xml:space="preserve">set up </w:t>
      </w:r>
      <w:r w:rsidRPr="00AA0B4A">
        <w:rPr>
          <w:rFonts w:ascii="Times New Roman" w:hAnsi="Times New Roman"/>
          <w:noProof/>
          <w:sz w:val="24"/>
          <w:szCs w:val="24"/>
        </w:rPr>
        <w:t xml:space="preserve">by the Commission itself, are not covered in this report. </w:t>
      </w:r>
    </w:p>
    <w:p w14:paraId="6E9B7AE5" w14:textId="77777777" w:rsidR="00EC39BD" w:rsidRDefault="00EC39BD" w:rsidP="00EC39BD">
      <w:pPr>
        <w:jc w:val="both"/>
        <w:rPr>
          <w:rFonts w:ascii="Times New Roman" w:hAnsi="Times New Roman"/>
          <w:b/>
          <w:noProof/>
          <w:sz w:val="24"/>
          <w:szCs w:val="24"/>
          <w:u w:val="single"/>
        </w:rPr>
      </w:pPr>
      <w:r>
        <w:rPr>
          <w:rFonts w:ascii="Times New Roman" w:hAnsi="Times New Roman"/>
          <w:noProof/>
          <w:sz w:val="24"/>
          <w:szCs w:val="24"/>
        </w:rPr>
        <w:t>Table I presents t</w:t>
      </w:r>
      <w:r w:rsidRPr="00AA0B4A">
        <w:rPr>
          <w:rFonts w:ascii="Times New Roman" w:hAnsi="Times New Roman"/>
          <w:noProof/>
          <w:sz w:val="24"/>
          <w:szCs w:val="24"/>
        </w:rPr>
        <w:t>he number of comitology committees</w:t>
      </w:r>
      <w:r>
        <w:rPr>
          <w:rFonts w:ascii="Times New Roman" w:hAnsi="Times New Roman"/>
          <w:noProof/>
          <w:sz w:val="24"/>
          <w:szCs w:val="24"/>
        </w:rPr>
        <w:t xml:space="preserve"> that existed during</w:t>
      </w:r>
      <w:r w:rsidRPr="00AA0B4A">
        <w:rPr>
          <w:rFonts w:ascii="Times New Roman" w:hAnsi="Times New Roman"/>
          <w:noProof/>
          <w:sz w:val="24"/>
          <w:szCs w:val="24"/>
        </w:rPr>
        <w:t xml:space="preserve"> the period </w:t>
      </w:r>
      <w:r>
        <w:rPr>
          <w:rFonts w:ascii="Times New Roman" w:hAnsi="Times New Roman"/>
          <w:noProof/>
          <w:sz w:val="24"/>
          <w:szCs w:val="24"/>
        </w:rPr>
        <w:t xml:space="preserve">of </w:t>
      </w:r>
      <w:r>
        <w:rPr>
          <w:rFonts w:ascii="Times New Roman" w:hAnsi="Times New Roman"/>
          <w:noProof/>
          <w:sz w:val="24"/>
          <w:szCs w:val="24"/>
        </w:rPr>
        <w:br/>
      </w:r>
      <w:r w:rsidRPr="00AA0B4A">
        <w:rPr>
          <w:rFonts w:ascii="Times New Roman" w:hAnsi="Times New Roman"/>
          <w:noProof/>
          <w:sz w:val="24"/>
          <w:szCs w:val="24"/>
        </w:rPr>
        <w:t xml:space="preserve">1 January to </w:t>
      </w:r>
      <w:r w:rsidRPr="007D5A3C">
        <w:rPr>
          <w:rFonts w:ascii="Times New Roman" w:hAnsi="Times New Roman"/>
          <w:noProof/>
          <w:sz w:val="24"/>
          <w:szCs w:val="24"/>
        </w:rPr>
        <w:t xml:space="preserve">31 December </w:t>
      </w:r>
      <w:r w:rsidRPr="00EF6468">
        <w:rPr>
          <w:rFonts w:ascii="Times New Roman" w:hAnsi="Times New Roman"/>
          <w:noProof/>
          <w:sz w:val="24"/>
          <w:szCs w:val="24"/>
        </w:rPr>
        <w:t>202</w:t>
      </w:r>
      <w:r>
        <w:rPr>
          <w:rFonts w:ascii="Times New Roman" w:hAnsi="Times New Roman"/>
          <w:noProof/>
          <w:sz w:val="24"/>
          <w:szCs w:val="24"/>
        </w:rPr>
        <w:t>2, with the figures for the previous year added for comparison.</w:t>
      </w:r>
      <w:r w:rsidRPr="00AA0B4A">
        <w:rPr>
          <w:rFonts w:ascii="Times New Roman" w:hAnsi="Times New Roman"/>
          <w:noProof/>
          <w:sz w:val="24"/>
          <w:szCs w:val="24"/>
        </w:rPr>
        <w:t xml:space="preserve"> </w:t>
      </w:r>
    </w:p>
    <w:p w14:paraId="5DC6A2DE" w14:textId="77777777" w:rsidR="00EC39BD" w:rsidRDefault="00EC39BD" w:rsidP="00EC39BD">
      <w:pPr>
        <w:spacing w:after="0" w:line="240" w:lineRule="auto"/>
        <w:rPr>
          <w:rFonts w:ascii="Times New Roman" w:hAnsi="Times New Roman"/>
          <w:b/>
          <w:noProof/>
          <w:sz w:val="24"/>
          <w:szCs w:val="24"/>
          <w:u w:val="single"/>
        </w:rPr>
      </w:pPr>
      <w:r>
        <w:rPr>
          <w:rFonts w:ascii="Times New Roman" w:hAnsi="Times New Roman"/>
          <w:b/>
          <w:noProof/>
          <w:sz w:val="24"/>
          <w:szCs w:val="24"/>
          <w:u w:val="single"/>
        </w:rPr>
        <w:br w:type="page"/>
      </w:r>
    </w:p>
    <w:p w14:paraId="28630C45" w14:textId="77777777" w:rsidR="00EC39BD" w:rsidRPr="00AA0B4A" w:rsidRDefault="00EC39BD" w:rsidP="00EC39BD">
      <w:pPr>
        <w:keepNext/>
        <w:spacing w:line="240" w:lineRule="auto"/>
        <w:rPr>
          <w:rFonts w:ascii="Times New Roman" w:hAnsi="Times New Roman"/>
          <w:b/>
          <w:noProof/>
          <w:sz w:val="24"/>
          <w:szCs w:val="24"/>
          <w:u w:val="single"/>
        </w:rPr>
      </w:pPr>
      <w:r w:rsidRPr="00AA0B4A">
        <w:rPr>
          <w:rFonts w:ascii="Times New Roman" w:hAnsi="Times New Roman"/>
          <w:b/>
          <w:noProof/>
          <w:sz w:val="24"/>
          <w:szCs w:val="24"/>
          <w:u w:val="single"/>
        </w:rPr>
        <w:t xml:space="preserve">TABLE I — </w:t>
      </w:r>
      <w:r w:rsidRPr="00AA0B4A">
        <w:rPr>
          <w:rFonts w:ascii="Times New Roman" w:hAnsi="Times New Roman"/>
          <w:b/>
          <w:smallCaps/>
          <w:noProof/>
          <w:sz w:val="24"/>
          <w:szCs w:val="24"/>
          <w:u w:val="single"/>
        </w:rPr>
        <w:t>Total number of committees</w:t>
      </w:r>
    </w:p>
    <w:tbl>
      <w:tblPr>
        <w:tblW w:w="4885" w:type="pct"/>
        <w:tblInd w:w="108" w:type="dxa"/>
        <w:tblLayout w:type="fixed"/>
        <w:tblLook w:val="0000" w:firstRow="0" w:lastRow="0" w:firstColumn="0" w:lastColumn="0" w:noHBand="0" w:noVBand="0"/>
      </w:tblPr>
      <w:tblGrid>
        <w:gridCol w:w="6236"/>
        <w:gridCol w:w="1444"/>
        <w:gridCol w:w="1392"/>
      </w:tblGrid>
      <w:tr w:rsidR="00EC39BD" w:rsidRPr="00AA0B4A" w14:paraId="471C7109" w14:textId="77777777" w:rsidTr="00E55B57">
        <w:trPr>
          <w:trHeight w:val="375"/>
        </w:trPr>
        <w:tc>
          <w:tcPr>
            <w:tcW w:w="3437" w:type="pct"/>
            <w:tcBorders>
              <w:top w:val="single" w:sz="4" w:space="0" w:color="auto"/>
              <w:left w:val="single" w:sz="4" w:space="0" w:color="auto"/>
              <w:bottom w:val="single" w:sz="4" w:space="0" w:color="auto"/>
              <w:right w:val="single" w:sz="4" w:space="0" w:color="auto"/>
            </w:tcBorders>
            <w:shd w:val="clear" w:color="auto" w:fill="FFFF99"/>
            <w:noWrap/>
            <w:vAlign w:val="center"/>
          </w:tcPr>
          <w:p w14:paraId="7ADA82F0" w14:textId="77777777" w:rsidR="00EC39BD" w:rsidRPr="00AA0B4A" w:rsidRDefault="00EC39BD" w:rsidP="00E55B57">
            <w:pPr>
              <w:spacing w:after="0" w:line="240" w:lineRule="auto"/>
              <w:ind w:left="-149"/>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Commission department</w:t>
            </w:r>
          </w:p>
        </w:tc>
        <w:tc>
          <w:tcPr>
            <w:tcW w:w="796" w:type="pct"/>
            <w:tcBorders>
              <w:top w:val="single" w:sz="4" w:space="0" w:color="auto"/>
              <w:left w:val="nil"/>
              <w:bottom w:val="single" w:sz="4" w:space="0" w:color="auto"/>
              <w:right w:val="single" w:sz="4" w:space="0" w:color="auto"/>
            </w:tcBorders>
            <w:shd w:val="clear" w:color="auto" w:fill="FFFF99"/>
            <w:vAlign w:val="center"/>
          </w:tcPr>
          <w:p w14:paraId="2BDE2328"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center"/>
          </w:tcPr>
          <w:p w14:paraId="03F773A7"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r>
      <w:tr w:rsidR="00EC39BD" w:rsidRPr="00AA0B4A" w14:paraId="449AC092"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292935E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   (Agriculture and Rural Development</w:t>
            </w:r>
          </w:p>
        </w:tc>
        <w:tc>
          <w:tcPr>
            <w:tcW w:w="796" w:type="pct"/>
            <w:tcBorders>
              <w:top w:val="single" w:sz="4" w:space="0" w:color="auto"/>
              <w:left w:val="nil"/>
              <w:bottom w:val="single" w:sz="4" w:space="0" w:color="auto"/>
              <w:right w:val="single" w:sz="4" w:space="0" w:color="auto"/>
            </w:tcBorders>
            <w:shd w:val="clear" w:color="auto" w:fill="FFFF99"/>
            <w:vAlign w:val="bottom"/>
          </w:tcPr>
          <w:p w14:paraId="2D06556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r>
              <w:rPr>
                <w:rFonts w:ascii="Times New Roman" w:hAnsi="Times New Roman"/>
                <w:noProof/>
                <w:color w:val="000000"/>
                <w:sz w:val="18"/>
                <w:szCs w:val="18"/>
                <w:lang w:eastAsia="en-GB"/>
              </w:rPr>
              <w:t>2</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67084DBA" w14:textId="77777777" w:rsidR="00EC39BD" w:rsidRPr="005B5F61" w:rsidRDefault="00EC39BD" w:rsidP="00E55B57">
            <w:pPr>
              <w:spacing w:after="0" w:line="240" w:lineRule="auto"/>
              <w:jc w:val="center"/>
              <w:rPr>
                <w:rFonts w:ascii="Times New Roman" w:hAnsi="Times New Roman"/>
                <w:noProof/>
                <w:color w:val="000000"/>
                <w:sz w:val="18"/>
                <w:szCs w:val="18"/>
                <w:lang w:eastAsia="en-GB"/>
              </w:rPr>
            </w:pPr>
            <w:r w:rsidRPr="005B5F61">
              <w:rPr>
                <w:rFonts w:ascii="Times New Roman" w:hAnsi="Times New Roman"/>
                <w:noProof/>
                <w:color w:val="000000"/>
                <w:sz w:val="18"/>
                <w:szCs w:val="18"/>
                <w:lang w:eastAsia="en-GB"/>
              </w:rPr>
              <w:t>12</w:t>
            </w:r>
          </w:p>
        </w:tc>
      </w:tr>
      <w:tr w:rsidR="00EC39BD" w:rsidRPr="00AA0B4A" w14:paraId="1ECCF5FB"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FDA7F5F"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   (Budget)</w:t>
            </w:r>
          </w:p>
        </w:tc>
        <w:tc>
          <w:tcPr>
            <w:tcW w:w="796" w:type="pct"/>
            <w:tcBorders>
              <w:top w:val="single" w:sz="4" w:space="0" w:color="auto"/>
              <w:left w:val="nil"/>
              <w:bottom w:val="single" w:sz="4" w:space="0" w:color="auto"/>
              <w:right w:val="single" w:sz="4" w:space="0" w:color="auto"/>
            </w:tcBorders>
            <w:shd w:val="clear" w:color="auto" w:fill="FFFF99"/>
            <w:vAlign w:val="bottom"/>
          </w:tcPr>
          <w:p w14:paraId="7C5553A6"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7076F61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6EADE5A2"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3805554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   (Climate Action)</w:t>
            </w:r>
          </w:p>
        </w:tc>
        <w:tc>
          <w:tcPr>
            <w:tcW w:w="796" w:type="pct"/>
            <w:tcBorders>
              <w:top w:val="single" w:sz="4" w:space="0" w:color="auto"/>
              <w:left w:val="nil"/>
              <w:bottom w:val="single" w:sz="4" w:space="0" w:color="auto"/>
              <w:right w:val="single" w:sz="4" w:space="0" w:color="auto"/>
            </w:tcBorders>
            <w:shd w:val="clear" w:color="auto" w:fill="FFFF99"/>
            <w:vAlign w:val="bottom"/>
          </w:tcPr>
          <w:p w14:paraId="3FA48BDC"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5</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26964A5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rsidR="00EC39BD" w:rsidRPr="00AA0B4A" w14:paraId="7D49DD77"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204F5A6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   (Communications Networks, Content and Technology)</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F4B360C"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23653909"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15</w:t>
            </w:r>
          </w:p>
        </w:tc>
      </w:tr>
      <w:tr w:rsidR="00EC39BD" w:rsidRPr="00AA0B4A" w14:paraId="2A569B29"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15C21E3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   (Defence Industry and Space)</w:t>
            </w:r>
          </w:p>
        </w:tc>
        <w:tc>
          <w:tcPr>
            <w:tcW w:w="796" w:type="pct"/>
            <w:tcBorders>
              <w:top w:val="single" w:sz="4" w:space="0" w:color="auto"/>
              <w:left w:val="nil"/>
              <w:bottom w:val="single" w:sz="4" w:space="0" w:color="auto"/>
              <w:right w:val="single" w:sz="4" w:space="0" w:color="auto"/>
            </w:tcBorders>
            <w:shd w:val="clear" w:color="auto" w:fill="FFFF99"/>
            <w:vAlign w:val="bottom"/>
          </w:tcPr>
          <w:p w14:paraId="530DBA6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50B4275A"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r>
      <w:tr w:rsidR="00EC39BD" w:rsidRPr="00AA0B4A" w14:paraId="2791E6BE"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578B4A3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   (Informatics)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5AADD0D"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56EEF09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rsidR="00EC39BD" w:rsidRPr="00AA0B4A" w14:paraId="3779D298"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234DDED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   (Education and Culture)</w:t>
            </w:r>
          </w:p>
        </w:tc>
        <w:tc>
          <w:tcPr>
            <w:tcW w:w="796" w:type="pct"/>
            <w:tcBorders>
              <w:top w:val="single" w:sz="4" w:space="0" w:color="auto"/>
              <w:left w:val="nil"/>
              <w:bottom w:val="single" w:sz="4" w:space="0" w:color="auto"/>
              <w:right w:val="single" w:sz="4" w:space="0" w:color="auto"/>
            </w:tcBorders>
            <w:shd w:val="clear" w:color="auto" w:fill="FFFF99"/>
            <w:vAlign w:val="bottom"/>
          </w:tcPr>
          <w:p w14:paraId="7D6AB37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0173185A"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rsidR="00EC39BD" w:rsidRPr="00AA0B4A" w14:paraId="25E78D9F"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5790D6E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   (Economic and Financial Affairs)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6A913E5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6112B646"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5FCB39F4"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3F30DFB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   (Humanitarian Aid and Civil Protection)</w:t>
            </w:r>
          </w:p>
        </w:tc>
        <w:tc>
          <w:tcPr>
            <w:tcW w:w="796" w:type="pct"/>
            <w:tcBorders>
              <w:top w:val="single" w:sz="4" w:space="0" w:color="auto"/>
              <w:left w:val="nil"/>
              <w:bottom w:val="single" w:sz="4" w:space="0" w:color="auto"/>
              <w:right w:val="single" w:sz="4" w:space="0" w:color="auto"/>
            </w:tcBorders>
            <w:shd w:val="clear" w:color="auto" w:fill="FFFF99"/>
            <w:vAlign w:val="bottom"/>
          </w:tcPr>
          <w:p w14:paraId="5102FF84"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7B113FD8"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1D7A791E"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127B227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   (Employment, Social Affairs and Inclusion)</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8E67E2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5D839F13"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rsidR="00EC39BD" w:rsidRPr="00AA0B4A" w14:paraId="07B97C2A"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E8525DF"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   (Energy)</w:t>
            </w:r>
          </w:p>
        </w:tc>
        <w:tc>
          <w:tcPr>
            <w:tcW w:w="796" w:type="pct"/>
            <w:tcBorders>
              <w:top w:val="single" w:sz="4" w:space="0" w:color="auto"/>
              <w:left w:val="nil"/>
              <w:bottom w:val="single" w:sz="4" w:space="0" w:color="auto"/>
              <w:right w:val="single" w:sz="4" w:space="0" w:color="auto"/>
            </w:tcBorders>
            <w:shd w:val="clear" w:color="auto" w:fill="FFFF99"/>
            <w:vAlign w:val="bottom"/>
          </w:tcPr>
          <w:p w14:paraId="550AE22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14</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1D921196"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rsidR="00EC39BD" w:rsidRPr="00AA0B4A" w14:paraId="15960BA2"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1DD1479" w14:textId="77777777" w:rsidR="00EC39BD" w:rsidRPr="00AA0B4A" w:rsidRDefault="00EC39BD" w:rsidP="00E55B57">
            <w:pPr>
              <w:spacing w:after="0" w:line="240" w:lineRule="auto"/>
              <w:rPr>
                <w:rFonts w:ascii="Times New Roman" w:hAnsi="Times New Roman"/>
                <w:b/>
                <w:noProof/>
                <w:sz w:val="18"/>
                <w:szCs w:val="18"/>
                <w:lang w:eastAsia="en-GB"/>
              </w:rPr>
            </w:pPr>
            <w:r w:rsidRPr="00AA0B4A">
              <w:rPr>
                <w:rFonts w:ascii="Times New Roman" w:hAnsi="Times New Roman"/>
                <w:b/>
                <w:noProof/>
                <w:color w:val="000000"/>
                <w:sz w:val="18"/>
                <w:szCs w:val="18"/>
                <w:lang w:eastAsia="en-GB"/>
              </w:rPr>
              <w:t>ENV   (Environment)</w:t>
            </w:r>
          </w:p>
        </w:tc>
        <w:tc>
          <w:tcPr>
            <w:tcW w:w="796" w:type="pct"/>
            <w:tcBorders>
              <w:top w:val="single" w:sz="4" w:space="0" w:color="auto"/>
              <w:left w:val="nil"/>
              <w:bottom w:val="single" w:sz="4" w:space="0" w:color="auto"/>
              <w:right w:val="single" w:sz="4" w:space="0" w:color="auto"/>
            </w:tcBorders>
            <w:shd w:val="clear" w:color="auto" w:fill="FFFF99"/>
            <w:vAlign w:val="bottom"/>
          </w:tcPr>
          <w:p w14:paraId="49674F28"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27</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1B548C4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26</w:t>
            </w:r>
          </w:p>
        </w:tc>
      </w:tr>
      <w:tr w:rsidR="00EC39BD" w:rsidRPr="00AA0B4A" w14:paraId="7F57E2D4"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3849142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   (Eurostat)</w:t>
            </w:r>
          </w:p>
        </w:tc>
        <w:tc>
          <w:tcPr>
            <w:tcW w:w="796" w:type="pct"/>
            <w:tcBorders>
              <w:top w:val="single" w:sz="4" w:space="0" w:color="auto"/>
              <w:left w:val="nil"/>
              <w:bottom w:val="single" w:sz="4" w:space="0" w:color="auto"/>
              <w:right w:val="single" w:sz="4" w:space="0" w:color="auto"/>
            </w:tcBorders>
            <w:shd w:val="clear" w:color="auto" w:fill="FFFF99"/>
            <w:vAlign w:val="bottom"/>
          </w:tcPr>
          <w:p w14:paraId="6696EEE3"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475768A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EC39BD" w:rsidRPr="00AA0B4A" w14:paraId="010FC9AA"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69A5D660"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FISMA   (Financial Stability, Financial Services and Capital </w:t>
            </w:r>
            <w:r>
              <w:rPr>
                <w:rFonts w:ascii="Times New Roman" w:hAnsi="Times New Roman"/>
                <w:b/>
                <w:noProof/>
                <w:color w:val="000000"/>
                <w:sz w:val="18"/>
                <w:szCs w:val="18"/>
                <w:lang w:eastAsia="en-GB"/>
              </w:rPr>
              <w:t>M</w:t>
            </w:r>
            <w:r w:rsidRPr="00AA0B4A">
              <w:rPr>
                <w:rFonts w:ascii="Times New Roman" w:hAnsi="Times New Roman"/>
                <w:b/>
                <w:noProof/>
                <w:color w:val="000000"/>
                <w:sz w:val="18"/>
                <w:szCs w:val="18"/>
                <w:lang w:eastAsia="en-GB"/>
              </w:rPr>
              <w:t>arkets Union)</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A1E085B"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0D33389E"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r>
      <w:tr w:rsidR="00EC39BD" w:rsidRPr="00AA0B4A" w14:paraId="2C009C71"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55B81E1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   (Service for Foreign Policy Instruments)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366BC43"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675110DB"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593218B2"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2E7E70B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   (Internal Market, Industry, Entrepreneurship and SMEs)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43B627BE"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w:t>
            </w:r>
            <w:r>
              <w:rPr>
                <w:rFonts w:ascii="Times New Roman" w:hAnsi="Times New Roman"/>
                <w:noProof/>
                <w:color w:val="000000"/>
                <w:sz w:val="18"/>
                <w:szCs w:val="18"/>
                <w:lang w:eastAsia="en-GB"/>
              </w:rPr>
              <w:t>9</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3E1F7E03"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38</w:t>
            </w:r>
          </w:p>
        </w:tc>
      </w:tr>
      <w:tr w:rsidR="00EC39BD" w:rsidRPr="00AA0B4A" w14:paraId="3AFA0C28"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1EA5C2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   (Migration and Home Affairs)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46DEF95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20</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730FAA0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r>
      <w:tr w:rsidR="00EC39BD" w:rsidRPr="00AA0B4A" w14:paraId="1895C0C2"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25B1371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INTPA (International </w:t>
            </w:r>
            <w:r>
              <w:rPr>
                <w:rFonts w:ascii="Times New Roman" w:hAnsi="Times New Roman"/>
                <w:b/>
                <w:noProof/>
                <w:color w:val="000000"/>
                <w:sz w:val="18"/>
                <w:szCs w:val="18"/>
                <w:lang w:eastAsia="en-GB"/>
              </w:rPr>
              <w:t>Partnerships</w:t>
            </w:r>
            <w:r w:rsidRPr="00AA0B4A">
              <w:rPr>
                <w:rFonts w:ascii="Times New Roman" w:hAnsi="Times New Roman"/>
                <w:b/>
                <w:noProof/>
                <w:color w:val="000000"/>
                <w:sz w:val="18"/>
                <w:szCs w:val="18"/>
                <w:lang w:eastAsia="en-GB"/>
              </w:rPr>
              <w:t xml:space="preserve">) </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A9A6D88"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3168B287"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rsidR="00EC39BD" w:rsidRPr="00AA0B4A" w14:paraId="15571B6F"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4410928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   (Justice and Consumers)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4AD29D96"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r>
              <w:rPr>
                <w:rFonts w:ascii="Times New Roman" w:hAnsi="Times New Roman"/>
                <w:noProof/>
                <w:color w:val="000000"/>
                <w:sz w:val="18"/>
                <w:szCs w:val="18"/>
                <w:lang w:eastAsia="en-GB"/>
              </w:rPr>
              <w:t>8</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0CF45B16"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w:t>
            </w:r>
          </w:p>
        </w:tc>
      </w:tr>
      <w:tr w:rsidR="00EC39BD" w:rsidRPr="00AA0B4A" w14:paraId="58EAF180"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49C42CE4" w14:textId="77777777" w:rsidR="00EC39BD" w:rsidRPr="00AA0B4A" w:rsidRDefault="00EC39BD" w:rsidP="00E55B57">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MARE   (Maritime Affairs and Fisheries)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05FB102E" w14:textId="77777777" w:rsidR="00EC39BD" w:rsidRPr="00AA0B4A" w:rsidRDefault="00EC39BD" w:rsidP="00E55B57">
            <w:pPr>
              <w:spacing w:after="0" w:line="240" w:lineRule="auto"/>
              <w:jc w:val="center"/>
              <w:rPr>
                <w:rFonts w:ascii="Times New Roman" w:hAnsi="Times New Roman"/>
                <w:bCs/>
                <w:noProof/>
                <w:color w:val="000000"/>
                <w:sz w:val="18"/>
                <w:szCs w:val="18"/>
                <w:lang w:eastAsia="en-GB"/>
              </w:rPr>
            </w:pPr>
            <w:r w:rsidRPr="00AA0B4A">
              <w:rPr>
                <w:rFonts w:ascii="Times New Roman" w:hAnsi="Times New Roman"/>
                <w:bCs/>
                <w:noProof/>
                <w:color w:val="000000"/>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0BA87707" w14:textId="77777777" w:rsidR="00EC39BD" w:rsidRPr="00AA0B4A"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r>
      <w:tr w:rsidR="00EC39BD" w:rsidRPr="00AA0B4A" w14:paraId="547F68EB"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483FB0E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   (Mobility and Transport)</w:t>
            </w:r>
          </w:p>
        </w:tc>
        <w:tc>
          <w:tcPr>
            <w:tcW w:w="796" w:type="pct"/>
            <w:tcBorders>
              <w:top w:val="single" w:sz="4" w:space="0" w:color="auto"/>
              <w:left w:val="nil"/>
              <w:bottom w:val="single" w:sz="4" w:space="0" w:color="auto"/>
              <w:right w:val="single" w:sz="4" w:space="0" w:color="auto"/>
            </w:tcBorders>
            <w:shd w:val="clear" w:color="auto" w:fill="FFFF99"/>
            <w:vAlign w:val="bottom"/>
          </w:tcPr>
          <w:p w14:paraId="4E72CCA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w:t>
            </w:r>
            <w:r>
              <w:rPr>
                <w:rFonts w:ascii="Times New Roman" w:hAnsi="Times New Roman"/>
                <w:noProof/>
                <w:color w:val="000000"/>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252340F3"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r>
      <w:tr w:rsidR="00EC39BD" w:rsidRPr="00AA0B4A" w14:paraId="6745DA3E"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36E8D38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   (Neighbourhood and Enlargement Negotiations)</w:t>
            </w:r>
          </w:p>
        </w:tc>
        <w:tc>
          <w:tcPr>
            <w:tcW w:w="796" w:type="pct"/>
            <w:tcBorders>
              <w:top w:val="single" w:sz="4" w:space="0" w:color="auto"/>
              <w:left w:val="nil"/>
              <w:bottom w:val="single" w:sz="4" w:space="0" w:color="auto"/>
              <w:right w:val="single" w:sz="4" w:space="0" w:color="auto"/>
            </w:tcBorders>
            <w:shd w:val="clear" w:color="auto" w:fill="FFFF99"/>
            <w:vAlign w:val="bottom"/>
          </w:tcPr>
          <w:p w14:paraId="1D07481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3B668695"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2E70126C"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DD26DB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OLAF   (European Anti-Fraud Office)</w:t>
            </w:r>
          </w:p>
        </w:tc>
        <w:tc>
          <w:tcPr>
            <w:tcW w:w="796" w:type="pct"/>
            <w:tcBorders>
              <w:top w:val="single" w:sz="4" w:space="0" w:color="auto"/>
              <w:left w:val="nil"/>
              <w:bottom w:val="single" w:sz="4" w:space="0" w:color="auto"/>
              <w:right w:val="single" w:sz="4" w:space="0" w:color="auto"/>
            </w:tcBorders>
            <w:shd w:val="clear" w:color="auto" w:fill="FFFF99"/>
            <w:vAlign w:val="bottom"/>
          </w:tcPr>
          <w:p w14:paraId="0CC8D71C"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0FF112E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EC39BD" w:rsidRPr="00AA0B4A" w14:paraId="343F3BDB"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1C7F8A8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w:t>
            </w:r>
            <w:r>
              <w:rPr>
                <w:rFonts w:ascii="Times New Roman" w:hAnsi="Times New Roman"/>
                <w:b/>
                <w:noProof/>
                <w:color w:val="000000"/>
                <w:sz w:val="18"/>
                <w:szCs w:val="18"/>
                <w:lang w:eastAsia="en-GB"/>
              </w:rPr>
              <w:t xml:space="preserve">FORM </w:t>
            </w:r>
            <w:r w:rsidRPr="008F1761">
              <w:rPr>
                <w:rFonts w:ascii="Times New Roman" w:hAnsi="Times New Roman"/>
                <w:b/>
                <w:noProof/>
                <w:color w:val="000000"/>
                <w:sz w:val="18"/>
                <w:szCs w:val="18"/>
                <w:lang w:eastAsia="en-GB"/>
              </w:rPr>
              <w:t>(Structural Reform Support</w:t>
            </w:r>
            <w:r>
              <w:rPr>
                <w:rFonts w:ascii="Times New Roman" w:hAnsi="Times New Roman"/>
                <w:b/>
                <w:noProof/>
                <w:color w:val="000000"/>
                <w:sz w:val="18"/>
                <w:szCs w:val="18"/>
                <w:lang w:eastAsia="en-GB"/>
              </w:rPr>
              <w:t>)</w:t>
            </w:r>
          </w:p>
        </w:tc>
        <w:tc>
          <w:tcPr>
            <w:tcW w:w="796" w:type="pct"/>
            <w:tcBorders>
              <w:top w:val="single" w:sz="4" w:space="0" w:color="auto"/>
              <w:left w:val="nil"/>
              <w:bottom w:val="single" w:sz="4" w:space="0" w:color="auto"/>
              <w:right w:val="single" w:sz="4" w:space="0" w:color="auto"/>
            </w:tcBorders>
            <w:shd w:val="clear" w:color="auto" w:fill="FFFF99"/>
            <w:vAlign w:val="bottom"/>
          </w:tcPr>
          <w:p w14:paraId="63F26051"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6465E641"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rsidR="00EC39BD" w:rsidRPr="00AA0B4A" w14:paraId="364F19CE"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8E81E2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REGIO </w:t>
            </w:r>
            <w:r w:rsidRPr="008F1761">
              <w:rPr>
                <w:rFonts w:ascii="Times New Roman" w:hAnsi="Times New Roman"/>
                <w:b/>
                <w:noProof/>
                <w:color w:val="000000"/>
                <w:sz w:val="18"/>
                <w:szCs w:val="18"/>
                <w:lang w:eastAsia="en-GB"/>
              </w:rPr>
              <w:t>(Regional and Urban Policy)</w:t>
            </w:r>
          </w:p>
        </w:tc>
        <w:tc>
          <w:tcPr>
            <w:tcW w:w="796" w:type="pct"/>
            <w:tcBorders>
              <w:top w:val="single" w:sz="4" w:space="0" w:color="auto"/>
              <w:left w:val="nil"/>
              <w:bottom w:val="single" w:sz="4" w:space="0" w:color="auto"/>
              <w:right w:val="single" w:sz="4" w:space="0" w:color="auto"/>
            </w:tcBorders>
            <w:shd w:val="clear" w:color="auto" w:fill="FFFF99"/>
            <w:vAlign w:val="bottom"/>
          </w:tcPr>
          <w:p w14:paraId="7BD94642" w14:textId="77777777" w:rsidR="00EC39BD"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5969437E" w14:textId="77777777" w:rsidR="00EC39BD"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1DD06F4D" w14:textId="77777777" w:rsidTr="00E55B57">
        <w:trPr>
          <w:trHeight w:val="240"/>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139DD64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   (Research and Innovation)</w:t>
            </w:r>
          </w:p>
        </w:tc>
        <w:tc>
          <w:tcPr>
            <w:tcW w:w="796" w:type="pct"/>
            <w:tcBorders>
              <w:top w:val="single" w:sz="4" w:space="0" w:color="auto"/>
              <w:left w:val="nil"/>
              <w:bottom w:val="single" w:sz="4" w:space="0" w:color="auto"/>
              <w:right w:val="single" w:sz="4" w:space="0" w:color="auto"/>
            </w:tcBorders>
            <w:shd w:val="clear" w:color="auto" w:fill="FFFF99"/>
            <w:vAlign w:val="bottom"/>
          </w:tcPr>
          <w:p w14:paraId="2932C8A6"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1C485422"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r>
      <w:tr w:rsidR="00EC39BD" w:rsidRPr="00AA0B4A" w14:paraId="6BE51DC0" w14:textId="77777777" w:rsidTr="00E55B57">
        <w:trPr>
          <w:trHeight w:val="255"/>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604A935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   (Health and Food Safety)</w:t>
            </w:r>
          </w:p>
        </w:tc>
        <w:tc>
          <w:tcPr>
            <w:tcW w:w="796" w:type="pct"/>
            <w:tcBorders>
              <w:top w:val="single" w:sz="4" w:space="0" w:color="auto"/>
              <w:left w:val="nil"/>
              <w:bottom w:val="single" w:sz="4" w:space="0" w:color="auto"/>
              <w:right w:val="single" w:sz="4" w:space="0" w:color="auto"/>
            </w:tcBorders>
            <w:shd w:val="clear" w:color="auto" w:fill="FFFF99"/>
            <w:vAlign w:val="bottom"/>
          </w:tcPr>
          <w:p w14:paraId="28047868"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3</w:t>
            </w:r>
            <w:r>
              <w:rPr>
                <w:rFonts w:ascii="Times New Roman" w:hAnsi="Times New Roman"/>
                <w:noProof/>
                <w:color w:val="000000"/>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4E8BFFE7"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33</w:t>
            </w:r>
          </w:p>
        </w:tc>
      </w:tr>
      <w:tr w:rsidR="00EC39BD" w:rsidRPr="00AA0B4A" w14:paraId="3311AF9F" w14:textId="77777777" w:rsidTr="00E55B57">
        <w:trPr>
          <w:trHeight w:val="255"/>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4FB350F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   (Secretariat-General)</w:t>
            </w:r>
            <w:r>
              <w:rPr>
                <w:rFonts w:ascii="Times New Roman" w:hAnsi="Times New Roman"/>
                <w:b/>
                <w:noProof/>
                <w:color w:val="000000"/>
                <w:sz w:val="18"/>
                <w:szCs w:val="18"/>
                <w:lang w:eastAsia="en-GB"/>
              </w:rPr>
              <w:t xml:space="preserve"> *</w:t>
            </w:r>
          </w:p>
        </w:tc>
        <w:tc>
          <w:tcPr>
            <w:tcW w:w="796" w:type="pct"/>
            <w:tcBorders>
              <w:top w:val="single" w:sz="4" w:space="0" w:color="auto"/>
              <w:left w:val="nil"/>
              <w:bottom w:val="single" w:sz="4" w:space="0" w:color="auto"/>
              <w:right w:val="single" w:sz="4" w:space="0" w:color="auto"/>
            </w:tcBorders>
            <w:shd w:val="clear" w:color="auto" w:fill="FFFF99"/>
            <w:vAlign w:val="bottom"/>
          </w:tcPr>
          <w:p w14:paraId="2D3654F9"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1866993E"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rsidR="00EC39BD" w:rsidRPr="00AA0B4A" w14:paraId="27D3B0A8" w14:textId="77777777" w:rsidTr="00E55B57">
        <w:trPr>
          <w:trHeight w:val="236"/>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488B474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   (Taxation and Customs Union)</w:t>
            </w:r>
          </w:p>
        </w:tc>
        <w:tc>
          <w:tcPr>
            <w:tcW w:w="796" w:type="pct"/>
            <w:tcBorders>
              <w:top w:val="single" w:sz="4" w:space="0" w:color="auto"/>
              <w:left w:val="nil"/>
              <w:bottom w:val="single" w:sz="4" w:space="0" w:color="auto"/>
              <w:right w:val="single" w:sz="4" w:space="0" w:color="auto"/>
            </w:tcBorders>
            <w:shd w:val="clear" w:color="auto" w:fill="FFFF99"/>
            <w:vAlign w:val="bottom"/>
          </w:tcPr>
          <w:p w14:paraId="2239FA1C"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sidRPr="00AA0B4A">
              <w:rPr>
                <w:rFonts w:ascii="Times New Roman" w:hAnsi="Times New Roman"/>
                <w:noProof/>
                <w:color w:val="000000"/>
                <w:sz w:val="18"/>
                <w:szCs w:val="18"/>
                <w:lang w:eastAsia="en-GB"/>
              </w:rPr>
              <w:t>2</w:t>
            </w:r>
            <w:r>
              <w:rPr>
                <w:rFonts w:ascii="Times New Roman" w:hAnsi="Times New Roman"/>
                <w:noProof/>
                <w:color w:val="000000"/>
                <w:sz w:val="18"/>
                <w:szCs w:val="18"/>
                <w:lang w:eastAsia="en-GB"/>
              </w:rPr>
              <w:t>8</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253CC80F"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26</w:t>
            </w:r>
          </w:p>
        </w:tc>
      </w:tr>
      <w:tr w:rsidR="00EC39BD" w:rsidRPr="00AA0B4A" w14:paraId="55C1FE24" w14:textId="77777777" w:rsidTr="00E55B57">
        <w:trPr>
          <w:trHeight w:val="255"/>
        </w:trPr>
        <w:tc>
          <w:tcPr>
            <w:tcW w:w="3437" w:type="pct"/>
            <w:tcBorders>
              <w:top w:val="nil"/>
              <w:left w:val="single" w:sz="4" w:space="0" w:color="auto"/>
              <w:bottom w:val="single" w:sz="4" w:space="0" w:color="auto"/>
              <w:right w:val="single" w:sz="4" w:space="0" w:color="auto"/>
            </w:tcBorders>
            <w:shd w:val="clear" w:color="auto" w:fill="FFFF99"/>
            <w:noWrap/>
            <w:vAlign w:val="bottom"/>
          </w:tcPr>
          <w:p w14:paraId="7F2CE243" w14:textId="77777777" w:rsidR="00EC39BD" w:rsidRPr="00AA0B4A" w:rsidRDefault="00EC39BD" w:rsidP="00E55B57">
            <w:pPr>
              <w:spacing w:after="0" w:line="240" w:lineRule="auto"/>
              <w:rPr>
                <w:rFonts w:ascii="Times New Roman" w:hAnsi="Times New Roman"/>
                <w:b/>
                <w:noProof/>
                <w:sz w:val="18"/>
                <w:szCs w:val="18"/>
                <w:lang w:eastAsia="en-GB"/>
              </w:rPr>
            </w:pPr>
            <w:r w:rsidRPr="00AA0B4A">
              <w:rPr>
                <w:rFonts w:ascii="Times New Roman" w:hAnsi="Times New Roman"/>
                <w:b/>
                <w:noProof/>
                <w:sz w:val="18"/>
                <w:szCs w:val="18"/>
                <w:lang w:eastAsia="en-GB"/>
              </w:rPr>
              <w:t>TRADE   (Trade)</w:t>
            </w:r>
          </w:p>
        </w:tc>
        <w:tc>
          <w:tcPr>
            <w:tcW w:w="796" w:type="pct"/>
            <w:tcBorders>
              <w:top w:val="single" w:sz="4" w:space="0" w:color="auto"/>
              <w:left w:val="nil"/>
              <w:bottom w:val="single" w:sz="4" w:space="0" w:color="auto"/>
              <w:right w:val="single" w:sz="4" w:space="0" w:color="auto"/>
            </w:tcBorders>
            <w:shd w:val="clear" w:color="auto" w:fill="FFFF99"/>
            <w:vAlign w:val="bottom"/>
          </w:tcPr>
          <w:p w14:paraId="77F11E3F"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7822451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r>
      <w:tr w:rsidR="00EC39BD" w:rsidRPr="00AA0B4A" w14:paraId="7FCBE752" w14:textId="77777777" w:rsidTr="00E55B57">
        <w:trPr>
          <w:trHeight w:val="255"/>
        </w:trPr>
        <w:tc>
          <w:tcPr>
            <w:tcW w:w="3437" w:type="pct"/>
            <w:tcBorders>
              <w:top w:val="nil"/>
              <w:left w:val="single" w:sz="4" w:space="0" w:color="auto"/>
              <w:bottom w:val="single" w:sz="4" w:space="0" w:color="auto"/>
              <w:right w:val="single" w:sz="4" w:space="0" w:color="auto"/>
            </w:tcBorders>
            <w:shd w:val="clear" w:color="auto" w:fill="FFFF99"/>
            <w:noWrap/>
            <w:vAlign w:val="center"/>
          </w:tcPr>
          <w:p w14:paraId="0E3F831F" w14:textId="77777777" w:rsidR="00EC39BD" w:rsidRPr="00AA0B4A" w:rsidRDefault="00EC39BD" w:rsidP="00E55B57">
            <w:pPr>
              <w:spacing w:after="0" w:line="240" w:lineRule="auto"/>
              <w:rPr>
                <w:rFonts w:ascii="Times New Roman" w:hAnsi="Times New Roman"/>
                <w:b/>
                <w:bCs/>
                <w:noProof/>
                <w:sz w:val="18"/>
                <w:szCs w:val="18"/>
                <w:lang w:eastAsia="en-GB"/>
              </w:rPr>
            </w:pPr>
            <w:r w:rsidRPr="00AA0B4A">
              <w:rPr>
                <w:rFonts w:ascii="Times New Roman" w:hAnsi="Times New Roman"/>
                <w:b/>
                <w:bCs/>
                <w:noProof/>
                <w:sz w:val="18"/>
                <w:szCs w:val="18"/>
                <w:lang w:eastAsia="en-GB"/>
              </w:rPr>
              <w:t>TOTAL:</w:t>
            </w:r>
          </w:p>
        </w:tc>
        <w:tc>
          <w:tcPr>
            <w:tcW w:w="796" w:type="pct"/>
            <w:tcBorders>
              <w:top w:val="single" w:sz="4" w:space="0" w:color="auto"/>
              <w:left w:val="nil"/>
              <w:bottom w:val="single" w:sz="4" w:space="0" w:color="auto"/>
              <w:right w:val="single" w:sz="4" w:space="0" w:color="auto"/>
            </w:tcBorders>
            <w:shd w:val="clear" w:color="auto" w:fill="FFFF99"/>
            <w:vAlign w:val="bottom"/>
          </w:tcPr>
          <w:p w14:paraId="35960026"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sidRPr="00AA0B4A">
              <w:rPr>
                <w:rFonts w:ascii="Times New Roman" w:hAnsi="Times New Roman"/>
                <w:b/>
                <w:bCs/>
                <w:noProof/>
                <w:sz w:val="18"/>
                <w:szCs w:val="18"/>
                <w:lang w:eastAsia="en-GB"/>
              </w:rPr>
              <w:t>3</w:t>
            </w:r>
            <w:r>
              <w:rPr>
                <w:rFonts w:ascii="Times New Roman" w:hAnsi="Times New Roman"/>
                <w:b/>
                <w:bCs/>
                <w:noProof/>
                <w:sz w:val="18"/>
                <w:szCs w:val="18"/>
                <w:lang w:eastAsia="en-GB"/>
              </w:rPr>
              <w:t>53</w:t>
            </w:r>
          </w:p>
        </w:tc>
        <w:tc>
          <w:tcPr>
            <w:tcW w:w="767" w:type="pct"/>
            <w:tcBorders>
              <w:top w:val="single" w:sz="4" w:space="0" w:color="auto"/>
              <w:left w:val="single" w:sz="4" w:space="0" w:color="auto"/>
              <w:bottom w:val="single" w:sz="4" w:space="0" w:color="auto"/>
              <w:right w:val="single" w:sz="4" w:space="0" w:color="auto"/>
            </w:tcBorders>
            <w:shd w:val="clear" w:color="auto" w:fill="FFFF99"/>
            <w:vAlign w:val="bottom"/>
          </w:tcPr>
          <w:p w14:paraId="56907B02"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322</w:t>
            </w:r>
          </w:p>
        </w:tc>
      </w:tr>
    </w:tbl>
    <w:p w14:paraId="4C762EB2" w14:textId="77777777" w:rsidR="00EC39BD" w:rsidRPr="001F6C98" w:rsidRDefault="00EC39BD" w:rsidP="00EC39BD">
      <w:pPr>
        <w:spacing w:after="120"/>
        <w:jc w:val="both"/>
        <w:rPr>
          <w:rFonts w:ascii="Times New Roman" w:hAnsi="Times New Roman"/>
          <w:i/>
          <w:noProof/>
          <w:sz w:val="18"/>
          <w:szCs w:val="18"/>
        </w:rPr>
      </w:pPr>
      <w:r w:rsidRPr="00AA0B4A">
        <w:rPr>
          <w:rFonts w:ascii="Times New Roman" w:hAnsi="Times New Roman"/>
          <w:noProof/>
          <w:sz w:val="18"/>
          <w:szCs w:val="18"/>
        </w:rPr>
        <w:t xml:space="preserve">* </w:t>
      </w:r>
      <w:r w:rsidRPr="00AA0B4A">
        <w:rPr>
          <w:rFonts w:ascii="Times New Roman" w:hAnsi="Times New Roman"/>
          <w:i/>
          <w:noProof/>
          <w:sz w:val="18"/>
          <w:szCs w:val="18"/>
        </w:rPr>
        <w:t xml:space="preserve">Including the </w:t>
      </w:r>
      <w:r>
        <w:rPr>
          <w:rFonts w:ascii="Times New Roman" w:hAnsi="Times New Roman"/>
          <w:i/>
          <w:noProof/>
          <w:sz w:val="18"/>
          <w:szCs w:val="18"/>
        </w:rPr>
        <w:t>a</w:t>
      </w:r>
      <w:r w:rsidRPr="00AA0B4A">
        <w:rPr>
          <w:rFonts w:ascii="Times New Roman" w:hAnsi="Times New Roman"/>
          <w:i/>
          <w:noProof/>
          <w:sz w:val="18"/>
          <w:szCs w:val="18"/>
        </w:rPr>
        <w:t xml:space="preserve">ppeal </w:t>
      </w:r>
      <w:r>
        <w:rPr>
          <w:rFonts w:ascii="Times New Roman" w:hAnsi="Times New Roman"/>
          <w:i/>
          <w:noProof/>
          <w:sz w:val="18"/>
          <w:szCs w:val="18"/>
        </w:rPr>
        <w:t>c</w:t>
      </w:r>
      <w:r w:rsidRPr="00AA0B4A">
        <w:rPr>
          <w:rFonts w:ascii="Times New Roman" w:hAnsi="Times New Roman"/>
          <w:i/>
          <w:noProof/>
          <w:sz w:val="18"/>
          <w:szCs w:val="18"/>
        </w:rPr>
        <w:t>ommittee</w:t>
      </w:r>
      <w:r>
        <w:rPr>
          <w:rFonts w:ascii="Times New Roman" w:hAnsi="Times New Roman"/>
          <w:i/>
          <w:noProof/>
          <w:sz w:val="18"/>
          <w:szCs w:val="18"/>
        </w:rPr>
        <w:t xml:space="preserve"> </w:t>
      </w:r>
      <w:r>
        <w:rPr>
          <w:rStyle w:val="FootnoteReference"/>
          <w:rFonts w:ascii="Times New Roman" w:hAnsi="Times New Roman"/>
          <w:i/>
          <w:noProof/>
          <w:sz w:val="18"/>
          <w:szCs w:val="18"/>
        </w:rPr>
        <w:footnoteReference w:id="17"/>
      </w:r>
    </w:p>
    <w:p w14:paraId="6CEA50E2" w14:textId="77777777" w:rsidR="00EC39BD" w:rsidRDefault="00EC39BD" w:rsidP="00EC39BD">
      <w:pPr>
        <w:spacing w:after="120"/>
        <w:jc w:val="both"/>
        <w:rPr>
          <w:rFonts w:ascii="Times New Roman" w:hAnsi="Times New Roman"/>
          <w:noProof/>
          <w:sz w:val="24"/>
          <w:szCs w:val="24"/>
        </w:rPr>
      </w:pPr>
      <w:r>
        <w:rPr>
          <w:rFonts w:ascii="Times New Roman" w:hAnsi="Times New Roman"/>
          <w:noProof/>
          <w:sz w:val="24"/>
          <w:szCs w:val="24"/>
        </w:rPr>
        <w:t>In 2022</w:t>
      </w:r>
      <w:r w:rsidRPr="00AA0B4A">
        <w:rPr>
          <w:rFonts w:ascii="Times New Roman" w:hAnsi="Times New Roman"/>
          <w:noProof/>
          <w:sz w:val="24"/>
          <w:szCs w:val="24"/>
        </w:rPr>
        <w:t xml:space="preserve">, </w:t>
      </w:r>
      <w:r>
        <w:rPr>
          <w:rFonts w:ascii="Times New Roman" w:hAnsi="Times New Roman"/>
          <w:noProof/>
          <w:sz w:val="24"/>
          <w:szCs w:val="24"/>
        </w:rPr>
        <w:t xml:space="preserve">there were </w:t>
      </w:r>
      <w:r w:rsidRPr="008F1761">
        <w:rPr>
          <w:rFonts w:ascii="Times New Roman" w:hAnsi="Times New Roman"/>
          <w:b/>
          <w:bCs/>
          <w:noProof/>
          <w:sz w:val="24"/>
          <w:szCs w:val="24"/>
        </w:rPr>
        <w:t>3</w:t>
      </w:r>
      <w:r>
        <w:rPr>
          <w:rFonts w:ascii="Times New Roman" w:hAnsi="Times New Roman"/>
          <w:b/>
          <w:bCs/>
          <w:noProof/>
          <w:sz w:val="24"/>
          <w:szCs w:val="24"/>
        </w:rPr>
        <w:t>22</w:t>
      </w:r>
      <w:r w:rsidRPr="008F1761">
        <w:rPr>
          <w:rFonts w:ascii="Times New Roman" w:hAnsi="Times New Roman"/>
          <w:b/>
          <w:bCs/>
          <w:noProof/>
          <w:sz w:val="24"/>
          <w:szCs w:val="24"/>
        </w:rPr>
        <w:t xml:space="preserve"> comitology committees</w:t>
      </w:r>
      <w:r w:rsidRPr="00AA0B4A">
        <w:rPr>
          <w:rFonts w:ascii="Times New Roman" w:hAnsi="Times New Roman"/>
          <w:noProof/>
          <w:sz w:val="24"/>
          <w:szCs w:val="24"/>
        </w:rPr>
        <w:t xml:space="preserve"> </w:t>
      </w:r>
      <w:r w:rsidRPr="00D573BE">
        <w:rPr>
          <w:rFonts w:ascii="Times New Roman" w:hAnsi="Times New Roman"/>
          <w:noProof/>
          <w:sz w:val="24"/>
          <w:szCs w:val="24"/>
        </w:rPr>
        <w:t>that existed during the year</w:t>
      </w:r>
      <w:r>
        <w:rPr>
          <w:rFonts w:ascii="Times New Roman" w:hAnsi="Times New Roman"/>
          <w:noProof/>
          <w:sz w:val="24"/>
          <w:szCs w:val="24"/>
        </w:rPr>
        <w:t>, including</w:t>
      </w:r>
      <w:r w:rsidRPr="00AA0B4A">
        <w:rPr>
          <w:rFonts w:ascii="Times New Roman" w:hAnsi="Times New Roman"/>
          <w:noProof/>
          <w:sz w:val="24"/>
          <w:szCs w:val="24"/>
        </w:rPr>
        <w:t xml:space="preserve"> all committee configurations</w:t>
      </w:r>
      <w:r w:rsidRPr="00AA0B4A">
        <w:rPr>
          <w:rStyle w:val="FootnoteReference"/>
          <w:rFonts w:ascii="Times New Roman" w:hAnsi="Times New Roman"/>
          <w:noProof/>
          <w:sz w:val="24"/>
          <w:szCs w:val="24"/>
        </w:rPr>
        <w:footnoteReference w:id="18"/>
      </w:r>
      <w:r>
        <w:rPr>
          <w:rFonts w:ascii="Times New Roman" w:hAnsi="Times New Roman"/>
          <w:noProof/>
          <w:sz w:val="24"/>
          <w:szCs w:val="24"/>
        </w:rPr>
        <w:t>. This</w:t>
      </w:r>
      <w:r w:rsidRPr="00AA0B4A">
        <w:rPr>
          <w:rFonts w:ascii="Times New Roman" w:hAnsi="Times New Roman"/>
          <w:noProof/>
          <w:sz w:val="24"/>
          <w:szCs w:val="24"/>
        </w:rPr>
        <w:t xml:space="preserve"> </w:t>
      </w:r>
      <w:r w:rsidRPr="00D47741">
        <w:rPr>
          <w:rFonts w:ascii="Times New Roman" w:hAnsi="Times New Roman"/>
          <w:noProof/>
          <w:sz w:val="24"/>
          <w:szCs w:val="24"/>
        </w:rPr>
        <w:t xml:space="preserve">represents </w:t>
      </w:r>
      <w:r w:rsidRPr="00F87ECF">
        <w:rPr>
          <w:rFonts w:ascii="Times New Roman" w:hAnsi="Times New Roman"/>
          <w:noProof/>
          <w:sz w:val="24"/>
          <w:szCs w:val="24"/>
        </w:rPr>
        <w:t xml:space="preserve">a small decrease in the number of committees </w:t>
      </w:r>
      <w:r>
        <w:rPr>
          <w:rFonts w:ascii="Times New Roman" w:hAnsi="Times New Roman"/>
          <w:noProof/>
          <w:sz w:val="24"/>
          <w:szCs w:val="24"/>
        </w:rPr>
        <w:t xml:space="preserve">as </w:t>
      </w:r>
      <w:r w:rsidRPr="00F87ECF">
        <w:rPr>
          <w:rFonts w:ascii="Times New Roman" w:hAnsi="Times New Roman"/>
          <w:noProof/>
          <w:sz w:val="24"/>
          <w:szCs w:val="24"/>
        </w:rPr>
        <w:t>compared to 2021</w:t>
      </w:r>
      <w:r>
        <w:rPr>
          <w:rFonts w:ascii="Times New Roman" w:hAnsi="Times New Roman"/>
          <w:noProof/>
          <w:sz w:val="24"/>
          <w:szCs w:val="24"/>
        </w:rPr>
        <w:t xml:space="preserve"> (when there were 353 comitology committees). This was mainly due to the abolition of a number of ‘old’ committees that had served under the previous </w:t>
      </w:r>
      <w:r w:rsidRPr="001D56BF">
        <w:rPr>
          <w:rFonts w:ascii="Times New Roman" w:hAnsi="Times New Roman"/>
          <w:noProof/>
          <w:sz w:val="24"/>
          <w:szCs w:val="24"/>
        </w:rPr>
        <w:t>generation of M</w:t>
      </w:r>
      <w:r>
        <w:rPr>
          <w:rFonts w:ascii="Times New Roman" w:hAnsi="Times New Roman"/>
          <w:noProof/>
          <w:sz w:val="24"/>
          <w:szCs w:val="24"/>
        </w:rPr>
        <w:t xml:space="preserve">ultiannual </w:t>
      </w:r>
      <w:r w:rsidRPr="001D56BF">
        <w:rPr>
          <w:rFonts w:ascii="Times New Roman" w:hAnsi="Times New Roman"/>
          <w:noProof/>
          <w:sz w:val="24"/>
          <w:szCs w:val="24"/>
        </w:rPr>
        <w:t>F</w:t>
      </w:r>
      <w:r>
        <w:rPr>
          <w:rFonts w:ascii="Times New Roman" w:hAnsi="Times New Roman"/>
          <w:noProof/>
          <w:sz w:val="24"/>
          <w:szCs w:val="24"/>
        </w:rPr>
        <w:t xml:space="preserve">inancial </w:t>
      </w:r>
      <w:r w:rsidRPr="001D56BF">
        <w:rPr>
          <w:rFonts w:ascii="Times New Roman" w:hAnsi="Times New Roman"/>
          <w:noProof/>
          <w:sz w:val="24"/>
          <w:szCs w:val="24"/>
        </w:rPr>
        <w:t>F</w:t>
      </w:r>
      <w:r>
        <w:rPr>
          <w:rFonts w:ascii="Times New Roman" w:hAnsi="Times New Roman"/>
          <w:noProof/>
          <w:sz w:val="24"/>
          <w:szCs w:val="24"/>
        </w:rPr>
        <w:t>ramework (MFF)</w:t>
      </w:r>
      <w:r w:rsidRPr="001D56BF">
        <w:rPr>
          <w:rFonts w:ascii="Times New Roman" w:hAnsi="Times New Roman"/>
          <w:noProof/>
          <w:sz w:val="24"/>
          <w:szCs w:val="24"/>
        </w:rPr>
        <w:t xml:space="preserve"> programmes and funds</w:t>
      </w:r>
      <w:r>
        <w:rPr>
          <w:rStyle w:val="FootnoteReference"/>
          <w:rFonts w:ascii="Times New Roman" w:hAnsi="Times New Roman"/>
          <w:noProof/>
          <w:sz w:val="24"/>
          <w:szCs w:val="24"/>
        </w:rPr>
        <w:footnoteReference w:id="19"/>
      </w:r>
      <w:r w:rsidRPr="004E7D09">
        <w:rPr>
          <w:rFonts w:ascii="Times New Roman" w:hAnsi="Times New Roman"/>
          <w:noProof/>
          <w:sz w:val="24"/>
          <w:szCs w:val="24"/>
        </w:rPr>
        <w:t xml:space="preserve">. </w:t>
      </w:r>
      <w:r>
        <w:rPr>
          <w:rFonts w:ascii="Times New Roman" w:hAnsi="Times New Roman"/>
          <w:noProof/>
          <w:sz w:val="24"/>
          <w:szCs w:val="24"/>
        </w:rPr>
        <w:t>As n</w:t>
      </w:r>
      <w:r w:rsidRPr="004E7D09">
        <w:rPr>
          <w:rFonts w:ascii="Times New Roman" w:hAnsi="Times New Roman"/>
          <w:noProof/>
          <w:sz w:val="24"/>
          <w:szCs w:val="24"/>
        </w:rPr>
        <w:t>ew legislation entering into force in 2022</w:t>
      </w:r>
      <w:r>
        <w:rPr>
          <w:rFonts w:ascii="Times New Roman" w:hAnsi="Times New Roman"/>
          <w:noProof/>
          <w:sz w:val="24"/>
          <w:szCs w:val="24"/>
        </w:rPr>
        <w:t xml:space="preserve"> has</w:t>
      </w:r>
      <w:r w:rsidRPr="004E7D09">
        <w:rPr>
          <w:rFonts w:ascii="Times New Roman" w:hAnsi="Times New Roman"/>
          <w:noProof/>
          <w:sz w:val="24"/>
          <w:szCs w:val="24"/>
        </w:rPr>
        <w:t xml:space="preserve"> </w:t>
      </w:r>
      <w:r>
        <w:rPr>
          <w:rFonts w:ascii="Times New Roman" w:hAnsi="Times New Roman"/>
          <w:noProof/>
          <w:sz w:val="24"/>
          <w:szCs w:val="24"/>
        </w:rPr>
        <w:t xml:space="preserve">created </w:t>
      </w:r>
      <w:r w:rsidRPr="004E7D09">
        <w:rPr>
          <w:rFonts w:ascii="Times New Roman" w:hAnsi="Times New Roman"/>
          <w:noProof/>
          <w:sz w:val="24"/>
          <w:szCs w:val="24"/>
        </w:rPr>
        <w:t xml:space="preserve">new committees </w:t>
      </w:r>
      <w:r>
        <w:rPr>
          <w:rFonts w:ascii="Times New Roman" w:hAnsi="Times New Roman"/>
          <w:noProof/>
          <w:sz w:val="24"/>
          <w:szCs w:val="24"/>
        </w:rPr>
        <w:t xml:space="preserve">in </w:t>
      </w:r>
      <w:r w:rsidRPr="004E7D09">
        <w:rPr>
          <w:rFonts w:ascii="Times New Roman" w:hAnsi="Times New Roman"/>
          <w:noProof/>
          <w:sz w:val="24"/>
          <w:szCs w:val="24"/>
        </w:rPr>
        <w:t>only a few cases</w:t>
      </w:r>
      <w:r>
        <w:rPr>
          <w:rFonts w:ascii="Times New Roman" w:hAnsi="Times New Roman"/>
          <w:noProof/>
          <w:sz w:val="24"/>
          <w:szCs w:val="24"/>
        </w:rPr>
        <w:t>,</w:t>
      </w:r>
      <w:r w:rsidRPr="00641FA2">
        <w:rPr>
          <w:rFonts w:ascii="Times New Roman" w:hAnsi="Times New Roman"/>
          <w:noProof/>
          <w:sz w:val="24"/>
          <w:szCs w:val="24"/>
        </w:rPr>
        <w:t xml:space="preserve"> </w:t>
      </w:r>
      <w:r>
        <w:rPr>
          <w:rFonts w:ascii="Times New Roman" w:hAnsi="Times New Roman"/>
          <w:noProof/>
          <w:sz w:val="24"/>
          <w:szCs w:val="24"/>
        </w:rPr>
        <w:t>the number  of comitology committees decreased from 2021 and went back to the levels recorded in in the years before 2021</w:t>
      </w:r>
      <w:r>
        <w:rPr>
          <w:rStyle w:val="FootnoteReference"/>
          <w:rFonts w:ascii="Times New Roman" w:hAnsi="Times New Roman"/>
          <w:noProof/>
          <w:sz w:val="24"/>
          <w:szCs w:val="24"/>
        </w:rPr>
        <w:footnoteReference w:id="20"/>
      </w:r>
      <w:r>
        <w:rPr>
          <w:rFonts w:ascii="Times New Roman" w:hAnsi="Times New Roman"/>
          <w:noProof/>
          <w:sz w:val="24"/>
          <w:szCs w:val="24"/>
        </w:rPr>
        <w:t>.</w:t>
      </w:r>
      <w:bookmarkStart w:id="2" w:name="_Toc138589006"/>
    </w:p>
    <w:p w14:paraId="742DCF5B" w14:textId="77777777" w:rsidR="00EC39BD" w:rsidRPr="00CC24AD" w:rsidRDefault="00EC39BD" w:rsidP="00EC39BD">
      <w:pPr>
        <w:spacing w:after="120"/>
        <w:jc w:val="both"/>
        <w:rPr>
          <w:rFonts w:ascii="Times New Roman" w:hAnsi="Times New Roman"/>
          <w:noProof/>
          <w:sz w:val="24"/>
          <w:szCs w:val="24"/>
        </w:rPr>
      </w:pPr>
    </w:p>
    <w:p w14:paraId="1C78CD92" w14:textId="77777777" w:rsidR="00EC39BD" w:rsidRPr="00AA0B4A" w:rsidRDefault="00EC39BD" w:rsidP="00EC39BD">
      <w:pPr>
        <w:keepNext/>
        <w:spacing w:line="240" w:lineRule="auto"/>
        <w:rPr>
          <w:rFonts w:ascii="Times New Roman" w:hAnsi="Times New Roman"/>
          <w:b/>
          <w:smallCaps/>
          <w:noProof/>
          <w:sz w:val="24"/>
          <w:szCs w:val="24"/>
          <w:u w:val="single"/>
        </w:rPr>
      </w:pPr>
      <w:r w:rsidRPr="00AA0B4A">
        <w:rPr>
          <w:rFonts w:ascii="Times New Roman" w:hAnsi="Times New Roman"/>
          <w:b/>
          <w:noProof/>
          <w:sz w:val="24"/>
          <w:szCs w:val="24"/>
          <w:u w:val="single"/>
        </w:rPr>
        <w:t xml:space="preserve">TABLE II — </w:t>
      </w:r>
      <w:r w:rsidRPr="009732D0">
        <w:rPr>
          <w:rFonts w:ascii="Times New Roman" w:hAnsi="Times New Roman"/>
          <w:b/>
          <w:smallCaps/>
          <w:noProof/>
          <w:sz w:val="24"/>
          <w:szCs w:val="24"/>
          <w:u w:val="single"/>
        </w:rPr>
        <w:t>Number of committees by procedure</w:t>
      </w:r>
      <w:bookmarkEnd w:id="2"/>
    </w:p>
    <w:tbl>
      <w:tblPr>
        <w:tblW w:w="4885" w:type="pct"/>
        <w:tblInd w:w="108" w:type="dxa"/>
        <w:tblLook w:val="0000" w:firstRow="0" w:lastRow="0" w:firstColumn="0" w:lastColumn="0" w:noHBand="0" w:noVBand="0"/>
      </w:tblPr>
      <w:tblGrid>
        <w:gridCol w:w="2111"/>
        <w:gridCol w:w="1341"/>
        <w:gridCol w:w="1344"/>
        <w:gridCol w:w="1344"/>
        <w:gridCol w:w="1355"/>
        <w:gridCol w:w="1577"/>
      </w:tblGrid>
      <w:tr w:rsidR="00EC39BD" w:rsidRPr="00AA0B4A" w14:paraId="317AE9CC" w14:textId="77777777" w:rsidTr="00E55B57">
        <w:trPr>
          <w:trHeight w:val="329"/>
        </w:trPr>
        <w:tc>
          <w:tcPr>
            <w:tcW w:w="1163" w:type="pct"/>
            <w:vMerge w:val="restart"/>
            <w:tcBorders>
              <w:top w:val="single" w:sz="4" w:space="0" w:color="auto"/>
              <w:left w:val="single" w:sz="4" w:space="0" w:color="auto"/>
              <w:right w:val="single" w:sz="4" w:space="0" w:color="auto"/>
            </w:tcBorders>
            <w:shd w:val="clear" w:color="auto" w:fill="FFFF99"/>
            <w:noWrap/>
            <w:vAlign w:val="bottom"/>
          </w:tcPr>
          <w:p w14:paraId="6173291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Commission department</w:t>
            </w:r>
          </w:p>
        </w:tc>
        <w:tc>
          <w:tcPr>
            <w:tcW w:w="2967" w:type="pct"/>
            <w:gridSpan w:val="4"/>
            <w:tcBorders>
              <w:top w:val="single" w:sz="4" w:space="0" w:color="auto"/>
              <w:left w:val="nil"/>
              <w:bottom w:val="single" w:sz="4" w:space="0" w:color="auto"/>
              <w:right w:val="single" w:sz="4" w:space="0" w:color="auto"/>
            </w:tcBorders>
            <w:shd w:val="clear" w:color="auto" w:fill="FFFF99"/>
            <w:vAlign w:val="center"/>
          </w:tcPr>
          <w:p w14:paraId="19FC2309"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Type of procedure</w:t>
            </w:r>
          </w:p>
        </w:tc>
        <w:tc>
          <w:tcPr>
            <w:tcW w:w="869" w:type="pct"/>
            <w:tcBorders>
              <w:top w:val="single" w:sz="4" w:space="0" w:color="auto"/>
              <w:left w:val="nil"/>
              <w:bottom w:val="single" w:sz="4" w:space="0" w:color="auto"/>
              <w:right w:val="single" w:sz="4" w:space="0" w:color="auto"/>
            </w:tcBorders>
            <w:shd w:val="clear" w:color="auto" w:fill="FFFF99"/>
            <w:vAlign w:val="center"/>
          </w:tcPr>
          <w:p w14:paraId="78D8D546"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p>
        </w:tc>
      </w:tr>
      <w:tr w:rsidR="00EC39BD" w:rsidRPr="00AA0B4A" w14:paraId="46D81463" w14:textId="77777777" w:rsidTr="00E55B57">
        <w:trPr>
          <w:trHeight w:val="251"/>
        </w:trPr>
        <w:tc>
          <w:tcPr>
            <w:tcW w:w="1163" w:type="pct"/>
            <w:vMerge/>
            <w:tcBorders>
              <w:left w:val="single" w:sz="4" w:space="0" w:color="auto"/>
              <w:bottom w:val="single" w:sz="4" w:space="0" w:color="auto"/>
              <w:right w:val="single" w:sz="4" w:space="0" w:color="auto"/>
            </w:tcBorders>
            <w:shd w:val="clear" w:color="auto" w:fill="FFFF99"/>
            <w:noWrap/>
            <w:vAlign w:val="bottom"/>
          </w:tcPr>
          <w:p w14:paraId="53680B41" w14:textId="77777777" w:rsidR="00EC39BD" w:rsidRPr="00AA0B4A" w:rsidRDefault="00EC39BD" w:rsidP="00E55B57">
            <w:pPr>
              <w:spacing w:after="0" w:line="240" w:lineRule="auto"/>
              <w:rPr>
                <w:rFonts w:ascii="Times New Roman" w:hAnsi="Times New Roman"/>
                <w:noProof/>
                <w:color w:val="000000"/>
                <w:sz w:val="18"/>
                <w:szCs w:val="18"/>
                <w:lang w:eastAsia="en-GB"/>
              </w:rPr>
            </w:pPr>
          </w:p>
        </w:tc>
        <w:tc>
          <w:tcPr>
            <w:tcW w:w="739" w:type="pct"/>
            <w:tcBorders>
              <w:top w:val="single" w:sz="4" w:space="0" w:color="auto"/>
              <w:left w:val="nil"/>
              <w:bottom w:val="single" w:sz="4" w:space="0" w:color="auto"/>
              <w:right w:val="single" w:sz="4" w:space="0" w:color="auto"/>
            </w:tcBorders>
            <w:shd w:val="clear" w:color="auto" w:fill="FFFF99"/>
            <w:vAlign w:val="center"/>
          </w:tcPr>
          <w:p w14:paraId="598495C7"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Advisory</w:t>
            </w:r>
          </w:p>
        </w:tc>
        <w:tc>
          <w:tcPr>
            <w:tcW w:w="741" w:type="pct"/>
            <w:tcBorders>
              <w:top w:val="single" w:sz="4" w:space="0" w:color="auto"/>
              <w:left w:val="nil"/>
              <w:bottom w:val="single" w:sz="4" w:space="0" w:color="auto"/>
              <w:right w:val="single" w:sz="4" w:space="0" w:color="auto"/>
            </w:tcBorders>
            <w:shd w:val="clear" w:color="auto" w:fill="FFFF99"/>
            <w:vAlign w:val="center"/>
          </w:tcPr>
          <w:p w14:paraId="4E72D2FA"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Examination</w:t>
            </w:r>
          </w:p>
        </w:tc>
        <w:tc>
          <w:tcPr>
            <w:tcW w:w="741" w:type="pct"/>
            <w:tcBorders>
              <w:top w:val="single" w:sz="4" w:space="0" w:color="auto"/>
              <w:left w:val="nil"/>
              <w:bottom w:val="single" w:sz="4" w:space="0" w:color="auto"/>
              <w:right w:val="single" w:sz="4" w:space="0" w:color="auto"/>
            </w:tcBorders>
            <w:shd w:val="clear" w:color="auto" w:fill="FFFF99"/>
            <w:vAlign w:val="center"/>
          </w:tcPr>
          <w:p w14:paraId="261498F0"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Regulatory with scrutiny</w:t>
            </w:r>
          </w:p>
        </w:tc>
        <w:tc>
          <w:tcPr>
            <w:tcW w:w="747" w:type="pct"/>
            <w:tcBorders>
              <w:top w:val="single" w:sz="4" w:space="0" w:color="auto"/>
              <w:left w:val="nil"/>
              <w:bottom w:val="single" w:sz="4" w:space="0" w:color="auto"/>
              <w:right w:val="single" w:sz="4" w:space="0" w:color="auto"/>
            </w:tcBorders>
            <w:shd w:val="clear" w:color="auto" w:fill="FFFF99"/>
            <w:vAlign w:val="center"/>
          </w:tcPr>
          <w:p w14:paraId="7F3BFA0A"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Multiple </w:t>
            </w:r>
            <w:r w:rsidRPr="00AA0B4A">
              <w:rPr>
                <w:rFonts w:ascii="Times New Roman" w:hAnsi="Times New Roman"/>
                <w:b/>
                <w:noProof/>
                <w:color w:val="000000"/>
                <w:sz w:val="18"/>
                <w:szCs w:val="18"/>
                <w:lang w:eastAsia="en-GB"/>
              </w:rPr>
              <w:t>procedures</w:t>
            </w:r>
          </w:p>
        </w:tc>
        <w:tc>
          <w:tcPr>
            <w:tcW w:w="869" w:type="pct"/>
            <w:tcBorders>
              <w:top w:val="single" w:sz="4" w:space="0" w:color="auto"/>
              <w:left w:val="nil"/>
              <w:bottom w:val="single" w:sz="4" w:space="0" w:color="auto"/>
              <w:right w:val="single" w:sz="4" w:space="0" w:color="auto"/>
            </w:tcBorders>
            <w:shd w:val="clear" w:color="auto" w:fill="FFFF99"/>
            <w:vAlign w:val="center"/>
          </w:tcPr>
          <w:p w14:paraId="3AF43D15"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TOTAL:</w:t>
            </w:r>
          </w:p>
        </w:tc>
      </w:tr>
      <w:tr w:rsidR="00EC39BD" w:rsidRPr="00AA0B4A" w14:paraId="3DBF7FDC"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92F7E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AGRI</w:t>
            </w:r>
          </w:p>
        </w:tc>
        <w:tc>
          <w:tcPr>
            <w:tcW w:w="739" w:type="pct"/>
            <w:tcBorders>
              <w:top w:val="nil"/>
              <w:left w:val="nil"/>
              <w:bottom w:val="single" w:sz="4" w:space="0" w:color="auto"/>
              <w:right w:val="single" w:sz="4" w:space="0" w:color="auto"/>
            </w:tcBorders>
            <w:shd w:val="clear" w:color="auto" w:fill="FFFF99"/>
            <w:noWrap/>
            <w:vAlign w:val="bottom"/>
          </w:tcPr>
          <w:p w14:paraId="233E106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F07CF9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741" w:type="pct"/>
            <w:tcBorders>
              <w:top w:val="nil"/>
              <w:left w:val="nil"/>
              <w:bottom w:val="single" w:sz="4" w:space="0" w:color="auto"/>
              <w:right w:val="single" w:sz="4" w:space="0" w:color="auto"/>
            </w:tcBorders>
            <w:shd w:val="clear" w:color="auto" w:fill="FFFF99"/>
            <w:noWrap/>
            <w:vAlign w:val="bottom"/>
          </w:tcPr>
          <w:p w14:paraId="09B429C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FB3812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46F5293"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12</w:t>
            </w:r>
          </w:p>
        </w:tc>
      </w:tr>
      <w:tr w:rsidR="00EC39BD" w:rsidRPr="00AA0B4A" w14:paraId="664EFB41"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698E61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BUDG</w:t>
            </w:r>
          </w:p>
        </w:tc>
        <w:tc>
          <w:tcPr>
            <w:tcW w:w="739" w:type="pct"/>
            <w:tcBorders>
              <w:top w:val="nil"/>
              <w:left w:val="nil"/>
              <w:bottom w:val="single" w:sz="4" w:space="0" w:color="auto"/>
              <w:right w:val="single" w:sz="4" w:space="0" w:color="auto"/>
            </w:tcBorders>
            <w:shd w:val="clear" w:color="auto" w:fill="FFFF99"/>
            <w:noWrap/>
            <w:vAlign w:val="bottom"/>
          </w:tcPr>
          <w:p w14:paraId="62BF47D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F349E8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00B3B369"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08F6865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48D2846"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2A9B3699"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F09CB8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CLIMA</w:t>
            </w:r>
          </w:p>
        </w:tc>
        <w:tc>
          <w:tcPr>
            <w:tcW w:w="739" w:type="pct"/>
            <w:tcBorders>
              <w:top w:val="nil"/>
              <w:left w:val="nil"/>
              <w:bottom w:val="single" w:sz="4" w:space="0" w:color="auto"/>
              <w:right w:val="single" w:sz="4" w:space="0" w:color="auto"/>
            </w:tcBorders>
            <w:shd w:val="clear" w:color="auto" w:fill="FFFF99"/>
            <w:noWrap/>
            <w:vAlign w:val="bottom"/>
          </w:tcPr>
          <w:p w14:paraId="35D2990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6B4522A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564FC96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4DEE086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FC6042E"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5</w:t>
            </w:r>
          </w:p>
        </w:tc>
      </w:tr>
      <w:tr w:rsidR="00EC39BD" w:rsidRPr="00AA0B4A" w14:paraId="6E134FD1"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8A55E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CNECT</w:t>
            </w:r>
          </w:p>
        </w:tc>
        <w:tc>
          <w:tcPr>
            <w:tcW w:w="739" w:type="pct"/>
            <w:tcBorders>
              <w:top w:val="nil"/>
              <w:left w:val="nil"/>
              <w:bottom w:val="single" w:sz="4" w:space="0" w:color="auto"/>
              <w:right w:val="single" w:sz="4" w:space="0" w:color="auto"/>
            </w:tcBorders>
            <w:shd w:val="clear" w:color="auto" w:fill="FFFF99"/>
            <w:noWrap/>
            <w:vAlign w:val="bottom"/>
          </w:tcPr>
          <w:p w14:paraId="190EACAE"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63034B4D"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1" w:type="pct"/>
            <w:tcBorders>
              <w:top w:val="nil"/>
              <w:left w:val="nil"/>
              <w:bottom w:val="single" w:sz="4" w:space="0" w:color="auto"/>
              <w:right w:val="single" w:sz="4" w:space="0" w:color="auto"/>
            </w:tcBorders>
            <w:shd w:val="clear" w:color="auto" w:fill="FFFF99"/>
            <w:noWrap/>
            <w:vAlign w:val="bottom"/>
          </w:tcPr>
          <w:p w14:paraId="106CBCBD"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36916A7D"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3AF105C"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15</w:t>
            </w:r>
          </w:p>
        </w:tc>
      </w:tr>
      <w:tr w:rsidR="00EC39BD" w:rsidRPr="00AA0B4A" w14:paraId="5DAAE88C"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5EA002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DEFIS</w:t>
            </w:r>
          </w:p>
        </w:tc>
        <w:tc>
          <w:tcPr>
            <w:tcW w:w="739" w:type="pct"/>
            <w:tcBorders>
              <w:top w:val="nil"/>
              <w:left w:val="nil"/>
              <w:bottom w:val="single" w:sz="4" w:space="0" w:color="auto"/>
              <w:right w:val="single" w:sz="4" w:space="0" w:color="auto"/>
            </w:tcBorders>
            <w:shd w:val="clear" w:color="auto" w:fill="FFFF99"/>
            <w:noWrap/>
            <w:vAlign w:val="bottom"/>
          </w:tcPr>
          <w:p w14:paraId="2D15DD4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AD683F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5290B99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52DF96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1FC4D84E"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8</w:t>
            </w:r>
          </w:p>
        </w:tc>
      </w:tr>
      <w:tr w:rsidR="00EC39BD" w:rsidRPr="00AA0B4A" w14:paraId="4BCE296B"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0A8364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DIGIT</w:t>
            </w:r>
          </w:p>
        </w:tc>
        <w:tc>
          <w:tcPr>
            <w:tcW w:w="739" w:type="pct"/>
            <w:tcBorders>
              <w:top w:val="nil"/>
              <w:left w:val="nil"/>
              <w:bottom w:val="single" w:sz="4" w:space="0" w:color="auto"/>
              <w:right w:val="single" w:sz="4" w:space="0" w:color="auto"/>
            </w:tcBorders>
            <w:shd w:val="clear" w:color="auto" w:fill="FFFF99"/>
            <w:noWrap/>
            <w:vAlign w:val="bottom"/>
          </w:tcPr>
          <w:p w14:paraId="50360499"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35B492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201183B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AF66EE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B086316"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0</w:t>
            </w:r>
          </w:p>
        </w:tc>
      </w:tr>
      <w:tr w:rsidR="00EC39BD" w:rsidRPr="00AA0B4A" w14:paraId="7687C0F5"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F17D353"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EAC</w:t>
            </w:r>
          </w:p>
        </w:tc>
        <w:tc>
          <w:tcPr>
            <w:tcW w:w="739" w:type="pct"/>
            <w:tcBorders>
              <w:top w:val="nil"/>
              <w:left w:val="nil"/>
              <w:bottom w:val="single" w:sz="4" w:space="0" w:color="auto"/>
              <w:right w:val="single" w:sz="4" w:space="0" w:color="auto"/>
            </w:tcBorders>
            <w:shd w:val="clear" w:color="auto" w:fill="FFFF99"/>
            <w:noWrap/>
            <w:vAlign w:val="bottom"/>
          </w:tcPr>
          <w:p w14:paraId="1012EEB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15DD5D3"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47E0E19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93AFA7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6A80300"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4</w:t>
            </w:r>
          </w:p>
        </w:tc>
      </w:tr>
      <w:tr w:rsidR="00EC39BD" w:rsidRPr="00AA0B4A" w14:paraId="4D2EE916"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1026C6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ECFIN</w:t>
            </w:r>
          </w:p>
        </w:tc>
        <w:tc>
          <w:tcPr>
            <w:tcW w:w="739" w:type="pct"/>
            <w:tcBorders>
              <w:top w:val="nil"/>
              <w:left w:val="nil"/>
              <w:bottom w:val="single" w:sz="4" w:space="0" w:color="auto"/>
              <w:right w:val="single" w:sz="4" w:space="0" w:color="auto"/>
            </w:tcBorders>
            <w:shd w:val="clear" w:color="auto" w:fill="FFFF99"/>
            <w:noWrap/>
            <w:vAlign w:val="bottom"/>
          </w:tcPr>
          <w:p w14:paraId="6506109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4B8961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2863445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03411F0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45071E9"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2FF9E722"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BB0E210"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ECHO</w:t>
            </w:r>
          </w:p>
        </w:tc>
        <w:tc>
          <w:tcPr>
            <w:tcW w:w="739" w:type="pct"/>
            <w:tcBorders>
              <w:top w:val="nil"/>
              <w:left w:val="nil"/>
              <w:bottom w:val="single" w:sz="4" w:space="0" w:color="auto"/>
              <w:right w:val="single" w:sz="4" w:space="0" w:color="auto"/>
            </w:tcBorders>
            <w:shd w:val="clear" w:color="auto" w:fill="FFFF99"/>
            <w:noWrap/>
            <w:vAlign w:val="bottom"/>
          </w:tcPr>
          <w:p w14:paraId="6BDD36F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2092493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270FB8B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212D45D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0DD9715"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6536291F"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124C96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EMPL</w:t>
            </w:r>
          </w:p>
        </w:tc>
        <w:tc>
          <w:tcPr>
            <w:tcW w:w="739" w:type="pct"/>
            <w:tcBorders>
              <w:top w:val="nil"/>
              <w:left w:val="nil"/>
              <w:bottom w:val="single" w:sz="4" w:space="0" w:color="auto"/>
              <w:right w:val="single" w:sz="4" w:space="0" w:color="auto"/>
            </w:tcBorders>
            <w:shd w:val="clear" w:color="auto" w:fill="FFFF99"/>
            <w:noWrap/>
            <w:vAlign w:val="bottom"/>
          </w:tcPr>
          <w:p w14:paraId="1B4F949E"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5705323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7D64200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7" w:type="pct"/>
            <w:tcBorders>
              <w:top w:val="nil"/>
              <w:left w:val="nil"/>
              <w:bottom w:val="single" w:sz="4" w:space="0" w:color="auto"/>
              <w:right w:val="single" w:sz="4" w:space="0" w:color="auto"/>
            </w:tcBorders>
            <w:shd w:val="clear" w:color="auto" w:fill="FFFF99"/>
            <w:vAlign w:val="bottom"/>
          </w:tcPr>
          <w:p w14:paraId="052D814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DC5B825"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5</w:t>
            </w:r>
          </w:p>
        </w:tc>
      </w:tr>
      <w:tr w:rsidR="00EC39BD" w:rsidRPr="00AA0B4A" w14:paraId="30D3B800"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9D4879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ENER</w:t>
            </w:r>
          </w:p>
        </w:tc>
        <w:tc>
          <w:tcPr>
            <w:tcW w:w="739" w:type="pct"/>
            <w:tcBorders>
              <w:top w:val="nil"/>
              <w:left w:val="nil"/>
              <w:bottom w:val="single" w:sz="4" w:space="0" w:color="auto"/>
              <w:right w:val="single" w:sz="4" w:space="0" w:color="auto"/>
            </w:tcBorders>
            <w:shd w:val="clear" w:color="auto" w:fill="FFFF99"/>
            <w:noWrap/>
            <w:vAlign w:val="bottom"/>
          </w:tcPr>
          <w:p w14:paraId="19638DD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1B446777"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1" w:type="pct"/>
            <w:tcBorders>
              <w:top w:val="nil"/>
              <w:left w:val="nil"/>
              <w:bottom w:val="single" w:sz="4" w:space="0" w:color="auto"/>
              <w:right w:val="single" w:sz="4" w:space="0" w:color="auto"/>
            </w:tcBorders>
            <w:shd w:val="clear" w:color="auto" w:fill="FFFF99"/>
            <w:noWrap/>
            <w:vAlign w:val="bottom"/>
          </w:tcPr>
          <w:p w14:paraId="2A420039"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410F42D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1839ABB"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13</w:t>
            </w:r>
          </w:p>
        </w:tc>
      </w:tr>
      <w:tr w:rsidR="00EC39BD" w:rsidRPr="00AA0B4A" w14:paraId="619DA8EC"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546971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ENV</w:t>
            </w:r>
          </w:p>
        </w:tc>
        <w:tc>
          <w:tcPr>
            <w:tcW w:w="739" w:type="pct"/>
            <w:tcBorders>
              <w:top w:val="nil"/>
              <w:left w:val="nil"/>
              <w:bottom w:val="single" w:sz="4" w:space="0" w:color="auto"/>
              <w:right w:val="single" w:sz="4" w:space="0" w:color="auto"/>
            </w:tcBorders>
            <w:shd w:val="clear" w:color="auto" w:fill="FFFF99"/>
            <w:noWrap/>
            <w:vAlign w:val="bottom"/>
          </w:tcPr>
          <w:p w14:paraId="401F3073"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07927AE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741" w:type="pct"/>
            <w:tcBorders>
              <w:top w:val="nil"/>
              <w:left w:val="nil"/>
              <w:bottom w:val="single" w:sz="4" w:space="0" w:color="auto"/>
              <w:right w:val="single" w:sz="4" w:space="0" w:color="auto"/>
            </w:tcBorders>
            <w:shd w:val="clear" w:color="auto" w:fill="FFFF99"/>
            <w:noWrap/>
            <w:vAlign w:val="bottom"/>
          </w:tcPr>
          <w:p w14:paraId="1981C29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7" w:type="pct"/>
            <w:tcBorders>
              <w:top w:val="nil"/>
              <w:left w:val="nil"/>
              <w:bottom w:val="single" w:sz="4" w:space="0" w:color="auto"/>
              <w:right w:val="single" w:sz="4" w:space="0" w:color="auto"/>
            </w:tcBorders>
            <w:shd w:val="clear" w:color="auto" w:fill="FFFF99"/>
            <w:vAlign w:val="bottom"/>
          </w:tcPr>
          <w:p w14:paraId="2211F59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26067AB1"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sz w:val="18"/>
                <w:szCs w:val="18"/>
                <w:lang w:eastAsia="en-GB"/>
              </w:rPr>
              <w:t>26</w:t>
            </w:r>
          </w:p>
        </w:tc>
      </w:tr>
      <w:tr w:rsidR="00EC39BD" w:rsidRPr="00AA0B4A" w14:paraId="58927F8E"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86650A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ESTAT</w:t>
            </w:r>
          </w:p>
        </w:tc>
        <w:tc>
          <w:tcPr>
            <w:tcW w:w="739" w:type="pct"/>
            <w:tcBorders>
              <w:top w:val="nil"/>
              <w:left w:val="nil"/>
              <w:bottom w:val="single" w:sz="4" w:space="0" w:color="auto"/>
              <w:right w:val="single" w:sz="4" w:space="0" w:color="auto"/>
            </w:tcBorders>
            <w:shd w:val="clear" w:color="auto" w:fill="FFFF99"/>
            <w:noWrap/>
            <w:vAlign w:val="bottom"/>
          </w:tcPr>
          <w:p w14:paraId="08311E97"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F6F4D83"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BFD7F7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70EFE9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54AFB2A"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w:t>
            </w:r>
          </w:p>
        </w:tc>
      </w:tr>
      <w:tr w:rsidR="00EC39BD" w:rsidRPr="00AA0B4A" w14:paraId="6149A236"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73449D3"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FISMA</w:t>
            </w:r>
          </w:p>
        </w:tc>
        <w:tc>
          <w:tcPr>
            <w:tcW w:w="739" w:type="pct"/>
            <w:tcBorders>
              <w:top w:val="nil"/>
              <w:left w:val="nil"/>
              <w:bottom w:val="single" w:sz="4" w:space="0" w:color="auto"/>
              <w:right w:val="single" w:sz="4" w:space="0" w:color="auto"/>
            </w:tcBorders>
            <w:shd w:val="clear" w:color="auto" w:fill="FFFF99"/>
            <w:noWrap/>
            <w:vAlign w:val="bottom"/>
          </w:tcPr>
          <w:p w14:paraId="7C00D1F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683879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741" w:type="pct"/>
            <w:tcBorders>
              <w:top w:val="nil"/>
              <w:left w:val="nil"/>
              <w:bottom w:val="single" w:sz="4" w:space="0" w:color="auto"/>
              <w:right w:val="single" w:sz="4" w:space="0" w:color="auto"/>
            </w:tcBorders>
            <w:shd w:val="clear" w:color="auto" w:fill="FFFF99"/>
            <w:noWrap/>
            <w:vAlign w:val="bottom"/>
          </w:tcPr>
          <w:p w14:paraId="3EF54867"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7" w:type="pct"/>
            <w:tcBorders>
              <w:top w:val="nil"/>
              <w:left w:val="nil"/>
              <w:bottom w:val="single" w:sz="4" w:space="0" w:color="auto"/>
              <w:right w:val="single" w:sz="4" w:space="0" w:color="auto"/>
            </w:tcBorders>
            <w:shd w:val="clear" w:color="auto" w:fill="FFFF99"/>
            <w:vAlign w:val="bottom"/>
          </w:tcPr>
          <w:p w14:paraId="62E7791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51E9511"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11</w:t>
            </w:r>
          </w:p>
        </w:tc>
      </w:tr>
      <w:tr w:rsidR="00EC39BD" w:rsidRPr="00AA0B4A" w14:paraId="1ADCAFD3"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0E0E72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FPI</w:t>
            </w:r>
          </w:p>
        </w:tc>
        <w:tc>
          <w:tcPr>
            <w:tcW w:w="739" w:type="pct"/>
            <w:tcBorders>
              <w:top w:val="nil"/>
              <w:left w:val="nil"/>
              <w:bottom w:val="single" w:sz="4" w:space="0" w:color="auto"/>
              <w:right w:val="single" w:sz="4" w:space="0" w:color="auto"/>
            </w:tcBorders>
            <w:shd w:val="clear" w:color="auto" w:fill="FFFF99"/>
            <w:noWrap/>
            <w:vAlign w:val="bottom"/>
          </w:tcPr>
          <w:p w14:paraId="2F11A95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399B84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4B3F87E9"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F4DC2B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4534EFB4"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3DAC7B7A"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51E68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GROW</w:t>
            </w:r>
          </w:p>
        </w:tc>
        <w:tc>
          <w:tcPr>
            <w:tcW w:w="739" w:type="pct"/>
            <w:tcBorders>
              <w:top w:val="nil"/>
              <w:left w:val="nil"/>
              <w:bottom w:val="single" w:sz="4" w:space="0" w:color="auto"/>
              <w:right w:val="single" w:sz="4" w:space="0" w:color="auto"/>
            </w:tcBorders>
            <w:shd w:val="clear" w:color="auto" w:fill="FFFF99"/>
            <w:noWrap/>
            <w:vAlign w:val="bottom"/>
          </w:tcPr>
          <w:p w14:paraId="2406923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2B23ACB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741" w:type="pct"/>
            <w:tcBorders>
              <w:top w:val="nil"/>
              <w:left w:val="nil"/>
              <w:bottom w:val="single" w:sz="4" w:space="0" w:color="auto"/>
              <w:right w:val="single" w:sz="4" w:space="0" w:color="auto"/>
            </w:tcBorders>
            <w:shd w:val="clear" w:color="auto" w:fill="FFFF99"/>
            <w:noWrap/>
            <w:vAlign w:val="bottom"/>
          </w:tcPr>
          <w:p w14:paraId="12A5711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7" w:type="pct"/>
            <w:tcBorders>
              <w:top w:val="nil"/>
              <w:left w:val="nil"/>
              <w:bottom w:val="single" w:sz="4" w:space="0" w:color="auto"/>
              <w:right w:val="single" w:sz="4" w:space="0" w:color="auto"/>
            </w:tcBorders>
            <w:shd w:val="clear" w:color="auto" w:fill="FFFF99"/>
            <w:vAlign w:val="bottom"/>
          </w:tcPr>
          <w:p w14:paraId="6FF0A1A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r>
              <w:rPr>
                <w:rFonts w:ascii="Times New Roman" w:hAnsi="Times New Roman"/>
                <w:noProof/>
                <w:color w:val="000000"/>
                <w:sz w:val="18"/>
                <w:szCs w:val="18"/>
                <w:lang w:eastAsia="en-GB"/>
              </w:rPr>
              <w:t>3</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D7647C6"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38</w:t>
            </w:r>
          </w:p>
        </w:tc>
      </w:tr>
      <w:tr w:rsidR="00EC39BD" w:rsidRPr="00AA0B4A" w14:paraId="217B5EE4"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D09DD9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HOME</w:t>
            </w:r>
          </w:p>
        </w:tc>
        <w:tc>
          <w:tcPr>
            <w:tcW w:w="739" w:type="pct"/>
            <w:tcBorders>
              <w:top w:val="nil"/>
              <w:left w:val="nil"/>
              <w:bottom w:val="single" w:sz="4" w:space="0" w:color="auto"/>
              <w:right w:val="single" w:sz="4" w:space="0" w:color="auto"/>
            </w:tcBorders>
            <w:shd w:val="clear" w:color="auto" w:fill="FFFF99"/>
            <w:noWrap/>
            <w:vAlign w:val="bottom"/>
          </w:tcPr>
          <w:p w14:paraId="1E870E1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3E34B4E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r>
              <w:rPr>
                <w:rFonts w:ascii="Times New Roman" w:hAnsi="Times New Roman"/>
                <w:noProof/>
                <w:color w:val="000000"/>
                <w:sz w:val="18"/>
                <w:szCs w:val="18"/>
                <w:lang w:eastAsia="en-GB"/>
              </w:rPr>
              <w:t>5</w:t>
            </w:r>
          </w:p>
        </w:tc>
        <w:tc>
          <w:tcPr>
            <w:tcW w:w="741" w:type="pct"/>
            <w:tcBorders>
              <w:top w:val="nil"/>
              <w:left w:val="nil"/>
              <w:bottom w:val="single" w:sz="4" w:space="0" w:color="auto"/>
              <w:right w:val="single" w:sz="4" w:space="0" w:color="auto"/>
            </w:tcBorders>
            <w:shd w:val="clear" w:color="auto" w:fill="FFFF99"/>
            <w:noWrap/>
            <w:vAlign w:val="bottom"/>
          </w:tcPr>
          <w:p w14:paraId="070D5B1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266B376D"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A3A166D"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18</w:t>
            </w:r>
          </w:p>
        </w:tc>
      </w:tr>
      <w:tr w:rsidR="00EC39BD" w:rsidRPr="00AA0B4A" w14:paraId="46DB5933"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4F41E1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INTPA</w:t>
            </w:r>
          </w:p>
        </w:tc>
        <w:tc>
          <w:tcPr>
            <w:tcW w:w="739" w:type="pct"/>
            <w:tcBorders>
              <w:top w:val="nil"/>
              <w:left w:val="nil"/>
              <w:bottom w:val="single" w:sz="4" w:space="0" w:color="auto"/>
              <w:right w:val="single" w:sz="4" w:space="0" w:color="auto"/>
            </w:tcBorders>
            <w:shd w:val="clear" w:color="auto" w:fill="FFFF99"/>
            <w:noWrap/>
            <w:vAlign w:val="bottom"/>
          </w:tcPr>
          <w:p w14:paraId="7432C98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B69CE8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052406F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522B7B2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9218AEB"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3</w:t>
            </w:r>
          </w:p>
        </w:tc>
      </w:tr>
      <w:tr w:rsidR="00EC39BD" w:rsidRPr="00AA0B4A" w14:paraId="3B10D30D"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7F9CEB8"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JUST</w:t>
            </w:r>
          </w:p>
        </w:tc>
        <w:tc>
          <w:tcPr>
            <w:tcW w:w="739" w:type="pct"/>
            <w:tcBorders>
              <w:top w:val="nil"/>
              <w:left w:val="nil"/>
              <w:bottom w:val="single" w:sz="4" w:space="0" w:color="auto"/>
              <w:right w:val="single" w:sz="4" w:space="0" w:color="auto"/>
            </w:tcBorders>
            <w:shd w:val="clear" w:color="auto" w:fill="FFFF99"/>
            <w:noWrap/>
            <w:vAlign w:val="bottom"/>
          </w:tcPr>
          <w:p w14:paraId="757C56D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1" w:type="pct"/>
            <w:tcBorders>
              <w:top w:val="nil"/>
              <w:left w:val="nil"/>
              <w:bottom w:val="single" w:sz="4" w:space="0" w:color="auto"/>
              <w:right w:val="single" w:sz="4" w:space="0" w:color="auto"/>
            </w:tcBorders>
            <w:shd w:val="clear" w:color="auto" w:fill="FFFF99"/>
            <w:noWrap/>
            <w:vAlign w:val="bottom"/>
          </w:tcPr>
          <w:p w14:paraId="3E1C4275"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11</w:t>
            </w:r>
          </w:p>
        </w:tc>
        <w:tc>
          <w:tcPr>
            <w:tcW w:w="741" w:type="pct"/>
            <w:tcBorders>
              <w:top w:val="nil"/>
              <w:left w:val="nil"/>
              <w:bottom w:val="single" w:sz="4" w:space="0" w:color="auto"/>
              <w:right w:val="single" w:sz="4" w:space="0" w:color="auto"/>
            </w:tcBorders>
            <w:shd w:val="clear" w:color="auto" w:fill="FFFF99"/>
            <w:noWrap/>
            <w:vAlign w:val="bottom"/>
          </w:tcPr>
          <w:p w14:paraId="5D2E5FF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7" w:type="pct"/>
            <w:tcBorders>
              <w:top w:val="nil"/>
              <w:left w:val="nil"/>
              <w:bottom w:val="single" w:sz="4" w:space="0" w:color="auto"/>
              <w:right w:val="single" w:sz="4" w:space="0" w:color="auto"/>
            </w:tcBorders>
            <w:shd w:val="clear" w:color="auto" w:fill="FFFF99"/>
            <w:vAlign w:val="bottom"/>
          </w:tcPr>
          <w:p w14:paraId="5723676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443E0B9"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24</w:t>
            </w:r>
          </w:p>
        </w:tc>
      </w:tr>
      <w:tr w:rsidR="00EC39BD" w:rsidRPr="00AA0B4A" w14:paraId="2C2F6360" w14:textId="77777777" w:rsidTr="00E55B57">
        <w:trPr>
          <w:trHeight w:val="247"/>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F7D7C4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MARE</w:t>
            </w:r>
          </w:p>
        </w:tc>
        <w:tc>
          <w:tcPr>
            <w:tcW w:w="739" w:type="pct"/>
            <w:tcBorders>
              <w:top w:val="nil"/>
              <w:left w:val="nil"/>
              <w:bottom w:val="single" w:sz="4" w:space="0" w:color="auto"/>
              <w:right w:val="single" w:sz="4" w:space="0" w:color="auto"/>
            </w:tcBorders>
            <w:shd w:val="clear" w:color="auto" w:fill="FFFF99"/>
            <w:noWrap/>
            <w:vAlign w:val="bottom"/>
          </w:tcPr>
          <w:p w14:paraId="5C149DF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DFD944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242D54F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7A202E1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3F940277"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r>
      <w:tr w:rsidR="00EC39BD" w:rsidRPr="00AA0B4A" w14:paraId="3D9903BA"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104330A" w14:textId="77777777" w:rsidR="00EC39BD" w:rsidRPr="00160466"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MOVE</w:t>
            </w:r>
          </w:p>
        </w:tc>
        <w:tc>
          <w:tcPr>
            <w:tcW w:w="739" w:type="pct"/>
            <w:tcBorders>
              <w:top w:val="nil"/>
              <w:left w:val="nil"/>
              <w:bottom w:val="single" w:sz="4" w:space="0" w:color="auto"/>
              <w:right w:val="single" w:sz="4" w:space="0" w:color="auto"/>
            </w:tcBorders>
            <w:shd w:val="clear" w:color="auto" w:fill="FFFF99"/>
            <w:noWrap/>
            <w:vAlign w:val="bottom"/>
          </w:tcPr>
          <w:p w14:paraId="0926E65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345E898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741" w:type="pct"/>
            <w:tcBorders>
              <w:top w:val="nil"/>
              <w:left w:val="nil"/>
              <w:bottom w:val="single" w:sz="4" w:space="0" w:color="auto"/>
              <w:right w:val="single" w:sz="4" w:space="0" w:color="auto"/>
            </w:tcBorders>
            <w:shd w:val="clear" w:color="auto" w:fill="FFFF99"/>
            <w:noWrap/>
            <w:vAlign w:val="bottom"/>
          </w:tcPr>
          <w:p w14:paraId="29CF645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7" w:type="pct"/>
            <w:tcBorders>
              <w:top w:val="nil"/>
              <w:left w:val="nil"/>
              <w:bottom w:val="single" w:sz="4" w:space="0" w:color="auto"/>
              <w:right w:val="single" w:sz="4" w:space="0" w:color="auto"/>
            </w:tcBorders>
            <w:shd w:val="clear" w:color="auto" w:fill="FFFF99"/>
            <w:vAlign w:val="bottom"/>
          </w:tcPr>
          <w:p w14:paraId="144995C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603DF43" w14:textId="77777777" w:rsidR="00EC39BD" w:rsidRPr="009A3C03"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31</w:t>
            </w:r>
          </w:p>
        </w:tc>
      </w:tr>
      <w:tr w:rsidR="00EC39BD" w:rsidRPr="00AA0B4A" w14:paraId="4226B1E2"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230D01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NEAR</w:t>
            </w:r>
          </w:p>
        </w:tc>
        <w:tc>
          <w:tcPr>
            <w:tcW w:w="739" w:type="pct"/>
            <w:tcBorders>
              <w:top w:val="nil"/>
              <w:left w:val="nil"/>
              <w:bottom w:val="single" w:sz="4" w:space="0" w:color="auto"/>
              <w:right w:val="single" w:sz="4" w:space="0" w:color="auto"/>
            </w:tcBorders>
            <w:shd w:val="clear" w:color="auto" w:fill="FFFF99"/>
            <w:noWrap/>
            <w:vAlign w:val="bottom"/>
          </w:tcPr>
          <w:p w14:paraId="15AC9E5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1A430CC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p>
        </w:tc>
        <w:tc>
          <w:tcPr>
            <w:tcW w:w="741" w:type="pct"/>
            <w:tcBorders>
              <w:top w:val="nil"/>
              <w:left w:val="nil"/>
              <w:bottom w:val="single" w:sz="4" w:space="0" w:color="auto"/>
              <w:right w:val="single" w:sz="4" w:space="0" w:color="auto"/>
            </w:tcBorders>
            <w:shd w:val="clear" w:color="auto" w:fill="FFFF99"/>
            <w:noWrap/>
            <w:vAlign w:val="bottom"/>
          </w:tcPr>
          <w:p w14:paraId="194D14D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3D2555F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5C5EF696"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43E55BFD"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182F953"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OLAF</w:t>
            </w:r>
          </w:p>
        </w:tc>
        <w:tc>
          <w:tcPr>
            <w:tcW w:w="739" w:type="pct"/>
            <w:tcBorders>
              <w:top w:val="nil"/>
              <w:left w:val="nil"/>
              <w:bottom w:val="single" w:sz="4" w:space="0" w:color="auto"/>
              <w:right w:val="single" w:sz="4" w:space="0" w:color="auto"/>
            </w:tcBorders>
            <w:shd w:val="clear" w:color="auto" w:fill="FFFF99"/>
            <w:noWrap/>
            <w:vAlign w:val="bottom"/>
          </w:tcPr>
          <w:p w14:paraId="78A3D74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0863E0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79070D0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E8BA80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EB8D58C"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w:t>
            </w:r>
          </w:p>
        </w:tc>
      </w:tr>
      <w:tr w:rsidR="00EC39BD" w:rsidRPr="00AA0B4A" w14:paraId="76437E1A"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106C3C3" w14:textId="77777777" w:rsidR="00EC39BD" w:rsidRPr="00160466"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REFORM</w:t>
            </w:r>
          </w:p>
        </w:tc>
        <w:tc>
          <w:tcPr>
            <w:tcW w:w="739" w:type="pct"/>
            <w:tcBorders>
              <w:top w:val="nil"/>
              <w:left w:val="nil"/>
              <w:bottom w:val="single" w:sz="4" w:space="0" w:color="auto"/>
              <w:right w:val="single" w:sz="4" w:space="0" w:color="auto"/>
            </w:tcBorders>
            <w:shd w:val="clear" w:color="auto" w:fill="FFFF99"/>
            <w:noWrap/>
            <w:vAlign w:val="bottom"/>
          </w:tcPr>
          <w:p w14:paraId="0B90FB4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54050B7E"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6096B0C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10095BA7"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520DCB77"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1</w:t>
            </w:r>
          </w:p>
        </w:tc>
      </w:tr>
      <w:tr w:rsidR="00EC39BD" w:rsidRPr="00AA0B4A" w14:paraId="068A506E"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6499E8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REGIO</w:t>
            </w:r>
          </w:p>
        </w:tc>
        <w:tc>
          <w:tcPr>
            <w:tcW w:w="739" w:type="pct"/>
            <w:tcBorders>
              <w:top w:val="nil"/>
              <w:left w:val="nil"/>
              <w:bottom w:val="single" w:sz="4" w:space="0" w:color="auto"/>
              <w:right w:val="single" w:sz="4" w:space="0" w:color="auto"/>
            </w:tcBorders>
            <w:shd w:val="clear" w:color="auto" w:fill="FFFF99"/>
            <w:noWrap/>
            <w:vAlign w:val="bottom"/>
          </w:tcPr>
          <w:p w14:paraId="2153C79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261D7D58"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45E725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465601A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C8A090E" w14:textId="77777777" w:rsidR="00EC39BD" w:rsidRPr="009A3C03"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w:t>
            </w:r>
          </w:p>
        </w:tc>
      </w:tr>
      <w:tr w:rsidR="00EC39BD" w:rsidRPr="00AA0B4A" w14:paraId="41BC7743"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33C46A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RTD</w:t>
            </w:r>
          </w:p>
        </w:tc>
        <w:tc>
          <w:tcPr>
            <w:tcW w:w="739" w:type="pct"/>
            <w:tcBorders>
              <w:top w:val="nil"/>
              <w:left w:val="nil"/>
              <w:bottom w:val="single" w:sz="4" w:space="0" w:color="auto"/>
              <w:right w:val="single" w:sz="4" w:space="0" w:color="auto"/>
            </w:tcBorders>
            <w:shd w:val="clear" w:color="auto" w:fill="FFFF99"/>
            <w:noWrap/>
            <w:vAlign w:val="bottom"/>
          </w:tcPr>
          <w:p w14:paraId="3A6E70F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9EFC15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3DD8234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27CD64D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0DA30326"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17</w:t>
            </w:r>
          </w:p>
        </w:tc>
      </w:tr>
      <w:tr w:rsidR="00EC39BD" w:rsidRPr="00AA0B4A" w14:paraId="7CE80433"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638107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SANTE</w:t>
            </w:r>
          </w:p>
        </w:tc>
        <w:tc>
          <w:tcPr>
            <w:tcW w:w="739" w:type="pct"/>
            <w:tcBorders>
              <w:top w:val="nil"/>
              <w:left w:val="nil"/>
              <w:bottom w:val="single" w:sz="4" w:space="0" w:color="auto"/>
              <w:right w:val="single" w:sz="4" w:space="0" w:color="auto"/>
            </w:tcBorders>
            <w:shd w:val="clear" w:color="auto" w:fill="FFFF99"/>
            <w:noWrap/>
            <w:vAlign w:val="bottom"/>
          </w:tcPr>
          <w:p w14:paraId="5FDD92B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5252EB92"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741" w:type="pct"/>
            <w:tcBorders>
              <w:top w:val="nil"/>
              <w:left w:val="nil"/>
              <w:bottom w:val="single" w:sz="4" w:space="0" w:color="auto"/>
              <w:right w:val="single" w:sz="4" w:space="0" w:color="auto"/>
            </w:tcBorders>
            <w:shd w:val="clear" w:color="auto" w:fill="FFFF99"/>
            <w:noWrap/>
            <w:vAlign w:val="bottom"/>
          </w:tcPr>
          <w:p w14:paraId="52241F7F"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4ED934B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2</w:t>
            </w:r>
            <w:r>
              <w:rPr>
                <w:rFonts w:ascii="Times New Roman" w:hAnsi="Times New Roman"/>
                <w:noProof/>
                <w:color w:val="000000"/>
                <w:sz w:val="18"/>
                <w:szCs w:val="18"/>
                <w:lang w:eastAsia="en-GB"/>
              </w:rPr>
              <w:t>1</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7DC80155" w14:textId="77777777" w:rsidR="00EC39BD" w:rsidRPr="009A3C03"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33</w:t>
            </w:r>
          </w:p>
        </w:tc>
      </w:tr>
      <w:tr w:rsidR="00EC39BD" w:rsidRPr="00AA0B4A" w14:paraId="4CC16903"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BF60F23"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SG</w:t>
            </w:r>
            <w:r>
              <w:rPr>
                <w:rFonts w:ascii="Times New Roman" w:hAnsi="Times New Roman"/>
                <w:b/>
                <w:noProof/>
                <w:color w:val="000000"/>
                <w:sz w:val="18"/>
                <w:szCs w:val="18"/>
                <w:lang w:eastAsia="en-GB"/>
              </w:rPr>
              <w:t>*</w:t>
            </w:r>
          </w:p>
        </w:tc>
        <w:tc>
          <w:tcPr>
            <w:tcW w:w="739" w:type="pct"/>
            <w:tcBorders>
              <w:top w:val="nil"/>
              <w:left w:val="nil"/>
              <w:bottom w:val="single" w:sz="4" w:space="0" w:color="auto"/>
              <w:right w:val="single" w:sz="4" w:space="0" w:color="auto"/>
            </w:tcBorders>
            <w:shd w:val="clear" w:color="auto" w:fill="FFFF99"/>
            <w:noWrap/>
            <w:vAlign w:val="bottom"/>
          </w:tcPr>
          <w:p w14:paraId="59AFA03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41A2F4A4"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238FFF10"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6638C73A"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2B3FE1AD" w14:textId="77777777" w:rsidR="00EC39BD" w:rsidRPr="009A3C03"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3</w:t>
            </w:r>
          </w:p>
        </w:tc>
      </w:tr>
      <w:tr w:rsidR="00EC39BD" w:rsidRPr="00AA0B4A" w14:paraId="03A6D239"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2E676A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TAXUD</w:t>
            </w:r>
          </w:p>
        </w:tc>
        <w:tc>
          <w:tcPr>
            <w:tcW w:w="739" w:type="pct"/>
            <w:tcBorders>
              <w:top w:val="nil"/>
              <w:left w:val="nil"/>
              <w:bottom w:val="single" w:sz="4" w:space="0" w:color="auto"/>
              <w:right w:val="single" w:sz="4" w:space="0" w:color="auto"/>
            </w:tcBorders>
            <w:shd w:val="clear" w:color="auto" w:fill="FFFF99"/>
            <w:noWrap/>
            <w:vAlign w:val="bottom"/>
          </w:tcPr>
          <w:p w14:paraId="4E62A0F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1" w:type="pct"/>
            <w:tcBorders>
              <w:top w:val="nil"/>
              <w:left w:val="nil"/>
              <w:bottom w:val="single" w:sz="4" w:space="0" w:color="auto"/>
              <w:right w:val="single" w:sz="4" w:space="0" w:color="auto"/>
            </w:tcBorders>
            <w:shd w:val="clear" w:color="auto" w:fill="FFFF99"/>
            <w:noWrap/>
            <w:vAlign w:val="bottom"/>
          </w:tcPr>
          <w:p w14:paraId="38C6C5DB"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741" w:type="pct"/>
            <w:tcBorders>
              <w:top w:val="nil"/>
              <w:left w:val="nil"/>
              <w:bottom w:val="single" w:sz="4" w:space="0" w:color="auto"/>
              <w:right w:val="single" w:sz="4" w:space="0" w:color="auto"/>
            </w:tcBorders>
            <w:shd w:val="clear" w:color="auto" w:fill="FFFF99"/>
            <w:noWrap/>
            <w:vAlign w:val="bottom"/>
          </w:tcPr>
          <w:p w14:paraId="3CA12206"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0CA31441"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1</w:t>
            </w:r>
            <w:r>
              <w:rPr>
                <w:rFonts w:ascii="Times New Roman" w:hAnsi="Times New Roman"/>
                <w:noProof/>
                <w:color w:val="000000"/>
                <w:sz w:val="18"/>
                <w:szCs w:val="18"/>
                <w:lang w:eastAsia="en-GB"/>
              </w:rPr>
              <w:t>6</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674CAD72" w14:textId="77777777" w:rsidR="00EC39BD" w:rsidRPr="00B42886"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color w:val="000000"/>
                <w:sz w:val="18"/>
                <w:szCs w:val="18"/>
                <w:lang w:eastAsia="en-GB"/>
              </w:rPr>
              <w:t>26</w:t>
            </w:r>
          </w:p>
        </w:tc>
      </w:tr>
      <w:tr w:rsidR="00EC39BD" w:rsidRPr="00AA0B4A" w14:paraId="270F80AA" w14:textId="77777777" w:rsidTr="00E55B57">
        <w:trPr>
          <w:trHeight w:val="263"/>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1DB861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TRADE</w:t>
            </w:r>
          </w:p>
        </w:tc>
        <w:tc>
          <w:tcPr>
            <w:tcW w:w="739" w:type="pct"/>
            <w:tcBorders>
              <w:top w:val="nil"/>
              <w:left w:val="nil"/>
              <w:bottom w:val="single" w:sz="4" w:space="0" w:color="auto"/>
              <w:right w:val="single" w:sz="4" w:space="0" w:color="auto"/>
            </w:tcBorders>
            <w:shd w:val="clear" w:color="auto" w:fill="FFFF99"/>
            <w:noWrap/>
            <w:vAlign w:val="bottom"/>
          </w:tcPr>
          <w:p w14:paraId="4DB3C85E"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3</w:t>
            </w:r>
          </w:p>
        </w:tc>
        <w:tc>
          <w:tcPr>
            <w:tcW w:w="741" w:type="pct"/>
            <w:tcBorders>
              <w:top w:val="nil"/>
              <w:left w:val="nil"/>
              <w:bottom w:val="single" w:sz="4" w:space="0" w:color="auto"/>
              <w:right w:val="single" w:sz="4" w:space="0" w:color="auto"/>
            </w:tcBorders>
            <w:shd w:val="clear" w:color="auto" w:fill="FFFF99"/>
            <w:noWrap/>
            <w:vAlign w:val="bottom"/>
          </w:tcPr>
          <w:p w14:paraId="051A97D7"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1" w:type="pct"/>
            <w:tcBorders>
              <w:top w:val="nil"/>
              <w:left w:val="nil"/>
              <w:bottom w:val="single" w:sz="4" w:space="0" w:color="auto"/>
              <w:right w:val="single" w:sz="4" w:space="0" w:color="auto"/>
            </w:tcBorders>
            <w:shd w:val="clear" w:color="auto" w:fill="FFFF99"/>
            <w:noWrap/>
            <w:vAlign w:val="bottom"/>
          </w:tcPr>
          <w:p w14:paraId="683FD6D7"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sidRPr="00160466">
              <w:rPr>
                <w:rFonts w:ascii="Times New Roman" w:hAnsi="Times New Roman"/>
                <w:noProof/>
                <w:color w:val="000000"/>
                <w:sz w:val="18"/>
                <w:szCs w:val="18"/>
                <w:lang w:eastAsia="en-GB"/>
              </w:rPr>
              <w:t>0</w:t>
            </w:r>
          </w:p>
        </w:tc>
        <w:tc>
          <w:tcPr>
            <w:tcW w:w="747" w:type="pct"/>
            <w:tcBorders>
              <w:top w:val="nil"/>
              <w:left w:val="nil"/>
              <w:bottom w:val="single" w:sz="4" w:space="0" w:color="auto"/>
              <w:right w:val="single" w:sz="4" w:space="0" w:color="auto"/>
            </w:tcBorders>
            <w:shd w:val="clear" w:color="auto" w:fill="FFFF99"/>
            <w:vAlign w:val="bottom"/>
          </w:tcPr>
          <w:p w14:paraId="7421D7BC" w14:textId="77777777" w:rsidR="00EC39BD" w:rsidRPr="00160466"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69" w:type="pct"/>
            <w:tcBorders>
              <w:top w:val="single" w:sz="4" w:space="0" w:color="auto"/>
              <w:left w:val="single" w:sz="4" w:space="0" w:color="auto"/>
              <w:bottom w:val="single" w:sz="4" w:space="0" w:color="auto"/>
              <w:right w:val="single" w:sz="4" w:space="0" w:color="auto"/>
            </w:tcBorders>
            <w:shd w:val="clear" w:color="auto" w:fill="FFFF99"/>
            <w:vAlign w:val="bottom"/>
          </w:tcPr>
          <w:p w14:paraId="515E3B23" w14:textId="77777777" w:rsidR="00EC39BD" w:rsidRPr="009A3C03"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noProof/>
                <w:sz w:val="18"/>
                <w:szCs w:val="18"/>
                <w:lang w:eastAsia="en-GB"/>
              </w:rPr>
              <w:t>12</w:t>
            </w:r>
          </w:p>
        </w:tc>
      </w:tr>
      <w:tr w:rsidR="00EC39BD" w:rsidRPr="00AA0B4A" w14:paraId="52AF6305" w14:textId="77777777" w:rsidTr="00E55B57">
        <w:trPr>
          <w:trHeight w:val="301"/>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8C7B029" w14:textId="77777777" w:rsidR="00EC39BD" w:rsidRPr="00AA0B4A" w:rsidRDefault="00EC39BD" w:rsidP="00E55B57">
            <w:pPr>
              <w:spacing w:after="0"/>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TOTAL:</w:t>
            </w:r>
          </w:p>
        </w:tc>
        <w:tc>
          <w:tcPr>
            <w:tcW w:w="739" w:type="pct"/>
            <w:tcBorders>
              <w:top w:val="nil"/>
              <w:left w:val="nil"/>
              <w:bottom w:val="single" w:sz="4" w:space="0" w:color="auto"/>
              <w:right w:val="single" w:sz="4" w:space="0" w:color="auto"/>
            </w:tcBorders>
            <w:shd w:val="clear" w:color="auto" w:fill="FFFF99"/>
            <w:noWrap/>
            <w:vAlign w:val="bottom"/>
          </w:tcPr>
          <w:p w14:paraId="3FBDC36D" w14:textId="77777777" w:rsidR="00EC39BD" w:rsidRPr="00160466" w:rsidRDefault="00EC39BD" w:rsidP="00E55B57">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2</w:t>
            </w:r>
            <w:r>
              <w:rPr>
                <w:rFonts w:ascii="Times New Roman" w:hAnsi="Times New Roman"/>
                <w:b/>
                <w:noProof/>
                <w:color w:val="000000"/>
                <w:sz w:val="18"/>
                <w:szCs w:val="18"/>
                <w:lang w:eastAsia="en-GB"/>
              </w:rPr>
              <w:t>1</w:t>
            </w:r>
          </w:p>
        </w:tc>
        <w:tc>
          <w:tcPr>
            <w:tcW w:w="741" w:type="pct"/>
            <w:tcBorders>
              <w:top w:val="nil"/>
              <w:left w:val="nil"/>
              <w:bottom w:val="single" w:sz="4" w:space="0" w:color="auto"/>
              <w:right w:val="single" w:sz="4" w:space="0" w:color="auto"/>
            </w:tcBorders>
            <w:shd w:val="clear" w:color="auto" w:fill="FFFF99"/>
            <w:noWrap/>
            <w:vAlign w:val="bottom"/>
          </w:tcPr>
          <w:p w14:paraId="6DFEFEB7" w14:textId="77777777" w:rsidR="00EC39BD" w:rsidRPr="00160466" w:rsidRDefault="00EC39BD" w:rsidP="00E55B57">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1</w:t>
            </w:r>
            <w:r>
              <w:rPr>
                <w:rFonts w:ascii="Times New Roman" w:hAnsi="Times New Roman"/>
                <w:b/>
                <w:noProof/>
                <w:color w:val="000000"/>
                <w:sz w:val="18"/>
                <w:szCs w:val="18"/>
                <w:lang w:eastAsia="en-GB"/>
              </w:rPr>
              <w:t>41</w:t>
            </w:r>
          </w:p>
        </w:tc>
        <w:tc>
          <w:tcPr>
            <w:tcW w:w="741" w:type="pct"/>
            <w:tcBorders>
              <w:top w:val="nil"/>
              <w:left w:val="nil"/>
              <w:bottom w:val="single" w:sz="4" w:space="0" w:color="auto"/>
              <w:right w:val="single" w:sz="4" w:space="0" w:color="auto"/>
            </w:tcBorders>
            <w:shd w:val="clear" w:color="auto" w:fill="FFFF99"/>
            <w:noWrap/>
            <w:vAlign w:val="bottom"/>
          </w:tcPr>
          <w:p w14:paraId="6A7EB5AD" w14:textId="77777777" w:rsidR="00EC39BD" w:rsidRPr="00160466" w:rsidRDefault="00EC39BD" w:rsidP="00E55B57">
            <w:pPr>
              <w:spacing w:after="0"/>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9</w:t>
            </w:r>
          </w:p>
        </w:tc>
        <w:tc>
          <w:tcPr>
            <w:tcW w:w="747" w:type="pct"/>
            <w:tcBorders>
              <w:top w:val="nil"/>
              <w:left w:val="nil"/>
              <w:bottom w:val="single" w:sz="4" w:space="0" w:color="auto"/>
              <w:right w:val="single" w:sz="4" w:space="0" w:color="auto"/>
            </w:tcBorders>
            <w:shd w:val="clear" w:color="auto" w:fill="FFFF99"/>
            <w:vAlign w:val="bottom"/>
          </w:tcPr>
          <w:p w14:paraId="1A0CB027" w14:textId="77777777" w:rsidR="00EC39BD" w:rsidRPr="00160466" w:rsidRDefault="00EC39BD" w:rsidP="00E55B57">
            <w:pPr>
              <w:spacing w:after="0"/>
              <w:jc w:val="center"/>
              <w:rPr>
                <w:rFonts w:ascii="Times New Roman" w:hAnsi="Times New Roman"/>
                <w:b/>
                <w:noProof/>
                <w:color w:val="000000"/>
                <w:sz w:val="18"/>
                <w:szCs w:val="18"/>
                <w:lang w:eastAsia="en-GB"/>
              </w:rPr>
            </w:pPr>
            <w:r w:rsidRPr="00160466">
              <w:rPr>
                <w:rFonts w:ascii="Times New Roman" w:hAnsi="Times New Roman"/>
                <w:b/>
                <w:noProof/>
                <w:color w:val="000000"/>
                <w:sz w:val="18"/>
                <w:szCs w:val="18"/>
                <w:lang w:eastAsia="en-GB"/>
              </w:rPr>
              <w:t>1</w:t>
            </w:r>
            <w:r>
              <w:rPr>
                <w:rFonts w:ascii="Times New Roman" w:hAnsi="Times New Roman"/>
                <w:b/>
                <w:noProof/>
                <w:color w:val="000000"/>
                <w:sz w:val="18"/>
                <w:szCs w:val="18"/>
                <w:lang w:eastAsia="en-GB"/>
              </w:rPr>
              <w:t>51</w:t>
            </w:r>
          </w:p>
        </w:tc>
        <w:tc>
          <w:tcPr>
            <w:tcW w:w="869" w:type="pct"/>
            <w:tcBorders>
              <w:top w:val="nil"/>
              <w:left w:val="nil"/>
              <w:bottom w:val="single" w:sz="4" w:space="0" w:color="auto"/>
              <w:right w:val="single" w:sz="4" w:space="0" w:color="auto"/>
            </w:tcBorders>
            <w:shd w:val="clear" w:color="auto" w:fill="FFFF99"/>
            <w:vAlign w:val="bottom"/>
          </w:tcPr>
          <w:p w14:paraId="73CE76C5" w14:textId="77777777" w:rsidR="00EC39BD" w:rsidRPr="00160466" w:rsidRDefault="00EC39BD" w:rsidP="00E55B57">
            <w:pPr>
              <w:spacing w:after="0"/>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322</w:t>
            </w:r>
          </w:p>
        </w:tc>
      </w:tr>
    </w:tbl>
    <w:p w14:paraId="2D768F9C" w14:textId="77777777" w:rsidR="00EC39BD" w:rsidRPr="008B1ED8" w:rsidRDefault="00EC39BD" w:rsidP="00EC39BD">
      <w:pPr>
        <w:spacing w:line="240" w:lineRule="auto"/>
        <w:jc w:val="both"/>
        <w:rPr>
          <w:rFonts w:ascii="Times New Roman" w:hAnsi="Times New Roman"/>
          <w:i/>
          <w:noProof/>
          <w:sz w:val="18"/>
          <w:szCs w:val="18"/>
        </w:rPr>
      </w:pPr>
      <w:r w:rsidRPr="00AA0B4A">
        <w:rPr>
          <w:rFonts w:ascii="Times New Roman" w:hAnsi="Times New Roman"/>
          <w:noProof/>
          <w:sz w:val="18"/>
          <w:szCs w:val="18"/>
        </w:rPr>
        <w:t xml:space="preserve">* </w:t>
      </w:r>
      <w:r w:rsidRPr="00AA0B4A">
        <w:rPr>
          <w:rFonts w:ascii="Times New Roman" w:hAnsi="Times New Roman"/>
          <w:i/>
          <w:noProof/>
          <w:sz w:val="18"/>
          <w:szCs w:val="18"/>
        </w:rPr>
        <w:t xml:space="preserve">Including the </w:t>
      </w:r>
      <w:r>
        <w:rPr>
          <w:rFonts w:ascii="Times New Roman" w:hAnsi="Times New Roman"/>
          <w:i/>
          <w:noProof/>
          <w:sz w:val="18"/>
          <w:szCs w:val="18"/>
        </w:rPr>
        <w:t>a</w:t>
      </w:r>
      <w:r w:rsidRPr="00AA0B4A">
        <w:rPr>
          <w:rFonts w:ascii="Times New Roman" w:hAnsi="Times New Roman"/>
          <w:i/>
          <w:noProof/>
          <w:sz w:val="18"/>
          <w:szCs w:val="18"/>
        </w:rPr>
        <w:t xml:space="preserve">ppeal </w:t>
      </w:r>
      <w:r>
        <w:rPr>
          <w:rFonts w:ascii="Times New Roman" w:hAnsi="Times New Roman"/>
          <w:i/>
          <w:noProof/>
          <w:sz w:val="18"/>
          <w:szCs w:val="18"/>
        </w:rPr>
        <w:t>c</w:t>
      </w:r>
      <w:r w:rsidRPr="00AA0B4A">
        <w:rPr>
          <w:rFonts w:ascii="Times New Roman" w:hAnsi="Times New Roman"/>
          <w:i/>
          <w:noProof/>
          <w:sz w:val="18"/>
          <w:szCs w:val="18"/>
        </w:rPr>
        <w:t>ommittee</w:t>
      </w:r>
    </w:p>
    <w:p w14:paraId="38701084" w14:textId="77777777" w:rsidR="00EC39BD" w:rsidRPr="00DD2932" w:rsidRDefault="00EC39BD" w:rsidP="00EC39BD">
      <w:pPr>
        <w:jc w:val="both"/>
        <w:rPr>
          <w:rFonts w:ascii="Times New Roman" w:hAnsi="Times New Roman"/>
          <w:noProof/>
          <w:sz w:val="24"/>
          <w:szCs w:val="24"/>
        </w:rPr>
      </w:pPr>
      <w:r>
        <w:rPr>
          <w:rFonts w:ascii="Times New Roman" w:hAnsi="Times New Roman"/>
          <w:noProof/>
          <w:sz w:val="24"/>
          <w:szCs w:val="24"/>
        </w:rPr>
        <w:t xml:space="preserve">Table II shows a breakdown of the committees </w:t>
      </w:r>
      <w:r w:rsidRPr="007D5A3C">
        <w:rPr>
          <w:rFonts w:ascii="Times New Roman" w:hAnsi="Times New Roman"/>
          <w:noProof/>
          <w:sz w:val="24"/>
          <w:szCs w:val="24"/>
        </w:rPr>
        <w:t>in 202</w:t>
      </w:r>
      <w:r>
        <w:rPr>
          <w:rFonts w:ascii="Times New Roman" w:hAnsi="Times New Roman"/>
          <w:noProof/>
          <w:sz w:val="24"/>
          <w:szCs w:val="24"/>
        </w:rPr>
        <w:t>2</w:t>
      </w:r>
      <w:r w:rsidRPr="00AA0B4A">
        <w:rPr>
          <w:rFonts w:ascii="Times New Roman" w:hAnsi="Times New Roman"/>
          <w:noProof/>
          <w:sz w:val="24"/>
          <w:szCs w:val="24"/>
        </w:rPr>
        <w:t xml:space="preserve"> </w:t>
      </w:r>
      <w:r>
        <w:rPr>
          <w:rFonts w:ascii="Times New Roman" w:hAnsi="Times New Roman"/>
          <w:noProof/>
          <w:sz w:val="24"/>
          <w:szCs w:val="24"/>
        </w:rPr>
        <w:t>by</w:t>
      </w:r>
      <w:r w:rsidRPr="00AA0B4A">
        <w:rPr>
          <w:rFonts w:ascii="Times New Roman" w:hAnsi="Times New Roman"/>
          <w:noProof/>
          <w:sz w:val="24"/>
          <w:szCs w:val="24"/>
        </w:rPr>
        <w:t xml:space="preserve"> </w:t>
      </w:r>
      <w:r>
        <w:rPr>
          <w:rFonts w:ascii="Times New Roman" w:hAnsi="Times New Roman"/>
          <w:noProof/>
          <w:sz w:val="24"/>
          <w:szCs w:val="24"/>
        </w:rPr>
        <w:t xml:space="preserve">type of </w:t>
      </w:r>
      <w:r w:rsidRPr="00AA0B4A">
        <w:rPr>
          <w:rFonts w:ascii="Times New Roman" w:hAnsi="Times New Roman"/>
          <w:noProof/>
          <w:sz w:val="24"/>
          <w:szCs w:val="24"/>
        </w:rPr>
        <w:t>procedure</w:t>
      </w:r>
      <w:r>
        <w:rPr>
          <w:rFonts w:ascii="Times New Roman" w:hAnsi="Times New Roman"/>
          <w:noProof/>
          <w:sz w:val="24"/>
          <w:szCs w:val="24"/>
        </w:rPr>
        <w:t xml:space="preserve"> under which they operated (i.e. advisory procedure, examination procedure, regulatory procedure with scrutiny). C</w:t>
      </w:r>
      <w:r w:rsidRPr="00AA0B4A">
        <w:rPr>
          <w:rFonts w:ascii="Times New Roman" w:hAnsi="Times New Roman"/>
          <w:noProof/>
          <w:sz w:val="24"/>
          <w:szCs w:val="24"/>
        </w:rPr>
        <w:t xml:space="preserve">ommittees </w:t>
      </w:r>
      <w:r>
        <w:rPr>
          <w:rFonts w:ascii="Times New Roman" w:hAnsi="Times New Roman"/>
          <w:noProof/>
          <w:sz w:val="24"/>
          <w:szCs w:val="24"/>
        </w:rPr>
        <w:t>with</w:t>
      </w:r>
      <w:r w:rsidRPr="00AA0B4A">
        <w:rPr>
          <w:rFonts w:ascii="Times New Roman" w:hAnsi="Times New Roman"/>
          <w:noProof/>
          <w:sz w:val="24"/>
          <w:szCs w:val="24"/>
        </w:rPr>
        <w:t xml:space="preserve"> multiple procedures have been separated from </w:t>
      </w:r>
      <w:r>
        <w:rPr>
          <w:rFonts w:ascii="Times New Roman" w:hAnsi="Times New Roman"/>
          <w:noProof/>
          <w:sz w:val="24"/>
          <w:szCs w:val="24"/>
        </w:rPr>
        <w:t xml:space="preserve">those operating </w:t>
      </w:r>
      <w:r w:rsidRPr="00AA0B4A">
        <w:rPr>
          <w:rFonts w:ascii="Times New Roman" w:hAnsi="Times New Roman"/>
          <w:noProof/>
          <w:sz w:val="24"/>
          <w:szCs w:val="24"/>
        </w:rPr>
        <w:t>under a single procedure.</w:t>
      </w:r>
    </w:p>
    <w:p w14:paraId="3E365E50" w14:textId="77777777" w:rsidR="00EC39BD" w:rsidRPr="00AA0B4A" w:rsidRDefault="00EC39BD" w:rsidP="00EC39BD">
      <w:pPr>
        <w:pStyle w:val="ManualHeading2"/>
        <w:spacing w:before="360" w:after="240"/>
        <w:ind w:left="851" w:hanging="851"/>
        <w:rPr>
          <w:noProof/>
        </w:rPr>
      </w:pPr>
      <w:r w:rsidRPr="007772AB">
        <w:rPr>
          <w:noProof/>
        </w:rPr>
        <w:t>3.2.</w:t>
      </w:r>
      <w:r w:rsidRPr="007772AB">
        <w:rPr>
          <w:noProof/>
        </w:rPr>
        <w:tab/>
      </w:r>
      <w:r w:rsidRPr="00AA0B4A">
        <w:rPr>
          <w:noProof/>
        </w:rPr>
        <w:t xml:space="preserve">Number of meetings </w:t>
      </w:r>
      <w:r>
        <w:rPr>
          <w:noProof/>
        </w:rPr>
        <w:t>and written procedures</w:t>
      </w:r>
    </w:p>
    <w:p w14:paraId="46CCEC0B" w14:textId="77777777" w:rsidR="00EC39BD" w:rsidRPr="00AA0B4A" w:rsidRDefault="00EC39BD" w:rsidP="00EC39BD">
      <w:pPr>
        <w:jc w:val="both"/>
        <w:rPr>
          <w:noProof/>
          <w:szCs w:val="24"/>
        </w:rPr>
      </w:pPr>
      <w:r w:rsidRPr="00AA0B4A">
        <w:rPr>
          <w:rFonts w:ascii="Times New Roman" w:hAnsi="Times New Roman"/>
          <w:noProof/>
          <w:sz w:val="24"/>
          <w:szCs w:val="24"/>
        </w:rPr>
        <w:t xml:space="preserve">The </w:t>
      </w:r>
      <w:r>
        <w:rPr>
          <w:rFonts w:ascii="Times New Roman" w:hAnsi="Times New Roman"/>
          <w:noProof/>
          <w:sz w:val="24"/>
          <w:szCs w:val="24"/>
        </w:rPr>
        <w:t xml:space="preserve">intensity of committees’ activity is primarily defined by the </w:t>
      </w:r>
      <w:r w:rsidRPr="00AA0B4A">
        <w:rPr>
          <w:rFonts w:ascii="Times New Roman" w:hAnsi="Times New Roman"/>
          <w:noProof/>
          <w:sz w:val="24"/>
          <w:szCs w:val="24"/>
        </w:rPr>
        <w:t>number of committee</w:t>
      </w:r>
      <w:r>
        <w:rPr>
          <w:rFonts w:ascii="Times New Roman" w:hAnsi="Times New Roman"/>
          <w:noProof/>
          <w:sz w:val="24"/>
          <w:szCs w:val="24"/>
        </w:rPr>
        <w:t xml:space="preserve"> meeting</w:t>
      </w:r>
      <w:r w:rsidRPr="00AA0B4A">
        <w:rPr>
          <w:rFonts w:ascii="Times New Roman" w:hAnsi="Times New Roman"/>
          <w:noProof/>
          <w:sz w:val="24"/>
          <w:szCs w:val="24"/>
        </w:rPr>
        <w:t xml:space="preserve">s </w:t>
      </w:r>
      <w:r w:rsidRPr="0043776A">
        <w:rPr>
          <w:rFonts w:ascii="Times New Roman" w:hAnsi="Times New Roman"/>
          <w:noProof/>
          <w:sz w:val="24"/>
          <w:szCs w:val="24"/>
        </w:rPr>
        <w:t>and</w:t>
      </w:r>
      <w:r>
        <w:rPr>
          <w:rFonts w:ascii="Times New Roman" w:hAnsi="Times New Roman"/>
          <w:noProof/>
          <w:sz w:val="24"/>
          <w:szCs w:val="24"/>
        </w:rPr>
        <w:t xml:space="preserve"> </w:t>
      </w:r>
      <w:r w:rsidRPr="00AA0B4A">
        <w:rPr>
          <w:rFonts w:ascii="Times New Roman" w:hAnsi="Times New Roman"/>
          <w:noProof/>
          <w:sz w:val="24"/>
          <w:szCs w:val="24"/>
        </w:rPr>
        <w:t>the number of written procedures</w:t>
      </w:r>
      <w:r w:rsidRPr="00AA0B4A">
        <w:rPr>
          <w:rStyle w:val="FootnoteReference"/>
          <w:rFonts w:ascii="Times New Roman" w:hAnsi="Times New Roman"/>
          <w:noProof/>
          <w:sz w:val="24"/>
          <w:szCs w:val="24"/>
        </w:rPr>
        <w:footnoteReference w:id="21"/>
      </w:r>
      <w:r>
        <w:rPr>
          <w:rFonts w:ascii="Times New Roman" w:hAnsi="Times New Roman"/>
          <w:noProof/>
          <w:sz w:val="24"/>
          <w:szCs w:val="24"/>
        </w:rPr>
        <w:t>. These are presented in the following Table III.</w:t>
      </w:r>
    </w:p>
    <w:p w14:paraId="3E8838B0" w14:textId="77777777" w:rsidR="00EC39BD" w:rsidRPr="00AA0B4A" w:rsidRDefault="00EC39BD" w:rsidP="00EC39BD">
      <w:pPr>
        <w:keepNext/>
        <w:spacing w:line="240" w:lineRule="auto"/>
        <w:rPr>
          <w:rFonts w:ascii="Times New Roman" w:hAnsi="Times New Roman"/>
          <w:b/>
          <w:noProof/>
          <w:sz w:val="24"/>
          <w:szCs w:val="24"/>
          <w:u w:val="single"/>
        </w:rPr>
      </w:pPr>
      <w:r w:rsidRPr="00AA0B4A">
        <w:rPr>
          <w:rFonts w:ascii="Times New Roman" w:hAnsi="Times New Roman"/>
          <w:b/>
          <w:noProof/>
          <w:sz w:val="24"/>
          <w:szCs w:val="24"/>
          <w:u w:val="single"/>
        </w:rPr>
        <w:t xml:space="preserve">TABLE III — </w:t>
      </w:r>
      <w:r w:rsidRPr="00AA0B4A">
        <w:rPr>
          <w:rFonts w:ascii="Times New Roman" w:hAnsi="Times New Roman"/>
          <w:b/>
          <w:smallCaps/>
          <w:noProof/>
          <w:sz w:val="24"/>
          <w:szCs w:val="24"/>
          <w:u w:val="single"/>
        </w:rPr>
        <w:t>Number of meetings and written procedures</w:t>
      </w:r>
    </w:p>
    <w:tbl>
      <w:tblPr>
        <w:tblW w:w="4885" w:type="pct"/>
        <w:tblInd w:w="108" w:type="dxa"/>
        <w:tblLook w:val="0000" w:firstRow="0" w:lastRow="0" w:firstColumn="0" w:lastColumn="0" w:noHBand="0" w:noVBand="0"/>
      </w:tblPr>
      <w:tblGrid>
        <w:gridCol w:w="2111"/>
        <w:gridCol w:w="1340"/>
        <w:gridCol w:w="1340"/>
        <w:gridCol w:w="1448"/>
        <w:gridCol w:w="1441"/>
        <w:gridCol w:w="1392"/>
      </w:tblGrid>
      <w:tr w:rsidR="00EC39BD" w:rsidRPr="00AA0B4A" w14:paraId="6E19880C" w14:textId="77777777" w:rsidTr="00E55B57">
        <w:trPr>
          <w:trHeight w:val="550"/>
        </w:trPr>
        <w:tc>
          <w:tcPr>
            <w:tcW w:w="1163" w:type="pct"/>
            <w:vMerge w:val="restart"/>
            <w:tcBorders>
              <w:top w:val="single" w:sz="4" w:space="0" w:color="auto"/>
              <w:left w:val="single" w:sz="4" w:space="0" w:color="auto"/>
              <w:right w:val="single" w:sz="4" w:space="0" w:color="auto"/>
            </w:tcBorders>
            <w:shd w:val="clear" w:color="auto" w:fill="FFFF99"/>
            <w:noWrap/>
            <w:vAlign w:val="center"/>
          </w:tcPr>
          <w:p w14:paraId="0AF397D9" w14:textId="77777777" w:rsidR="00EC39BD" w:rsidRPr="00EA7E10" w:rsidRDefault="00EC39BD" w:rsidP="00E55B57">
            <w:pPr>
              <w:spacing w:after="0" w:line="240" w:lineRule="auto"/>
              <w:jc w:val="center"/>
              <w:rPr>
                <w:rFonts w:ascii="Times New Roman" w:hAnsi="Times New Roman"/>
                <w:b/>
                <w:noProof/>
                <w:color w:val="000000"/>
                <w:sz w:val="18"/>
                <w:szCs w:val="18"/>
                <w:lang w:eastAsia="en-GB"/>
              </w:rPr>
            </w:pPr>
            <w:r w:rsidRPr="00EA7E10">
              <w:rPr>
                <w:rFonts w:ascii="Times New Roman" w:hAnsi="Times New Roman"/>
                <w:b/>
                <w:noProof/>
                <w:color w:val="000000"/>
                <w:sz w:val="18"/>
                <w:szCs w:val="18"/>
                <w:lang w:eastAsia="en-GB"/>
              </w:rPr>
              <w:t>Commission department</w:t>
            </w:r>
          </w:p>
        </w:tc>
        <w:tc>
          <w:tcPr>
            <w:tcW w:w="739" w:type="pct"/>
            <w:vMerge w:val="restart"/>
            <w:tcBorders>
              <w:top w:val="single" w:sz="4" w:space="0" w:color="auto"/>
              <w:left w:val="nil"/>
              <w:right w:val="single" w:sz="4" w:space="0" w:color="auto"/>
            </w:tcBorders>
            <w:shd w:val="clear" w:color="auto" w:fill="FFFF99"/>
            <w:vAlign w:val="center"/>
          </w:tcPr>
          <w:p w14:paraId="3E15267D"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Number of committees </w:t>
            </w:r>
          </w:p>
        </w:tc>
        <w:tc>
          <w:tcPr>
            <w:tcW w:w="1537" w:type="pct"/>
            <w:gridSpan w:val="2"/>
            <w:tcBorders>
              <w:top w:val="single" w:sz="4" w:space="0" w:color="auto"/>
              <w:left w:val="nil"/>
              <w:bottom w:val="single" w:sz="4" w:space="0" w:color="auto"/>
              <w:right w:val="single" w:sz="4" w:space="0" w:color="auto"/>
            </w:tcBorders>
            <w:shd w:val="clear" w:color="auto" w:fill="FFFF99"/>
            <w:vAlign w:val="center"/>
          </w:tcPr>
          <w:p w14:paraId="4C726E43"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Meetings</w:t>
            </w:r>
          </w:p>
        </w:tc>
        <w:tc>
          <w:tcPr>
            <w:tcW w:w="1561" w:type="pct"/>
            <w:gridSpan w:val="2"/>
            <w:tcBorders>
              <w:top w:val="single" w:sz="4" w:space="0" w:color="auto"/>
              <w:left w:val="nil"/>
              <w:bottom w:val="single" w:sz="4" w:space="0" w:color="auto"/>
              <w:right w:val="single" w:sz="4" w:space="0" w:color="auto"/>
            </w:tcBorders>
            <w:shd w:val="clear" w:color="auto" w:fill="FFFF99"/>
            <w:vAlign w:val="center"/>
          </w:tcPr>
          <w:p w14:paraId="5CFCECE9"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Written procedures</w:t>
            </w:r>
          </w:p>
        </w:tc>
      </w:tr>
      <w:tr w:rsidR="00EC39BD" w:rsidRPr="00AA0B4A" w14:paraId="2E89E19C" w14:textId="77777777" w:rsidTr="00E55B57">
        <w:trPr>
          <w:trHeight w:val="550"/>
        </w:trPr>
        <w:tc>
          <w:tcPr>
            <w:tcW w:w="1163" w:type="pct"/>
            <w:vMerge/>
            <w:tcBorders>
              <w:left w:val="single" w:sz="4" w:space="0" w:color="auto"/>
              <w:bottom w:val="single" w:sz="4" w:space="0" w:color="auto"/>
              <w:right w:val="single" w:sz="4" w:space="0" w:color="auto"/>
            </w:tcBorders>
            <w:shd w:val="clear" w:color="auto" w:fill="FFFF99"/>
            <w:noWrap/>
            <w:vAlign w:val="center"/>
          </w:tcPr>
          <w:p w14:paraId="648539A8" w14:textId="77777777" w:rsidR="00EC39BD" w:rsidRPr="00AA0B4A" w:rsidRDefault="00EC39BD" w:rsidP="00E55B57">
            <w:pPr>
              <w:spacing w:after="0" w:line="240" w:lineRule="auto"/>
              <w:jc w:val="center"/>
              <w:rPr>
                <w:rFonts w:ascii="Times New Roman" w:hAnsi="Times New Roman"/>
                <w:noProof/>
                <w:color w:val="000000"/>
                <w:sz w:val="18"/>
                <w:szCs w:val="18"/>
                <w:lang w:eastAsia="en-GB"/>
              </w:rPr>
            </w:pPr>
          </w:p>
        </w:tc>
        <w:tc>
          <w:tcPr>
            <w:tcW w:w="739" w:type="pct"/>
            <w:vMerge/>
            <w:tcBorders>
              <w:left w:val="nil"/>
              <w:bottom w:val="single" w:sz="4" w:space="0" w:color="auto"/>
              <w:right w:val="single" w:sz="4" w:space="0" w:color="auto"/>
            </w:tcBorders>
            <w:shd w:val="clear" w:color="auto" w:fill="FFFF99"/>
            <w:vAlign w:val="center"/>
          </w:tcPr>
          <w:p w14:paraId="6601C143"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p>
        </w:tc>
        <w:tc>
          <w:tcPr>
            <w:tcW w:w="739" w:type="pct"/>
            <w:tcBorders>
              <w:top w:val="single" w:sz="4" w:space="0" w:color="auto"/>
              <w:left w:val="nil"/>
              <w:bottom w:val="single" w:sz="4" w:space="0" w:color="auto"/>
              <w:right w:val="single" w:sz="4" w:space="0" w:color="auto"/>
            </w:tcBorders>
            <w:shd w:val="clear" w:color="auto" w:fill="FFFF99"/>
            <w:vAlign w:val="center"/>
          </w:tcPr>
          <w:p w14:paraId="6C60225F"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798" w:type="pct"/>
            <w:tcBorders>
              <w:top w:val="single" w:sz="4" w:space="0" w:color="auto"/>
              <w:left w:val="nil"/>
              <w:bottom w:val="single" w:sz="4" w:space="0" w:color="auto"/>
              <w:right w:val="single" w:sz="4" w:space="0" w:color="auto"/>
            </w:tcBorders>
            <w:shd w:val="clear" w:color="auto" w:fill="FFFF99"/>
            <w:vAlign w:val="center"/>
          </w:tcPr>
          <w:p w14:paraId="3F137A18"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c>
          <w:tcPr>
            <w:tcW w:w="794" w:type="pct"/>
            <w:tcBorders>
              <w:top w:val="single" w:sz="4" w:space="0" w:color="auto"/>
              <w:left w:val="nil"/>
              <w:bottom w:val="single" w:sz="4" w:space="0" w:color="auto"/>
              <w:right w:val="single" w:sz="4" w:space="0" w:color="auto"/>
            </w:tcBorders>
            <w:shd w:val="clear" w:color="auto" w:fill="FFFF99"/>
            <w:vAlign w:val="center"/>
          </w:tcPr>
          <w:p w14:paraId="693FADA1"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767" w:type="pct"/>
            <w:tcBorders>
              <w:top w:val="single" w:sz="4" w:space="0" w:color="auto"/>
              <w:left w:val="nil"/>
              <w:bottom w:val="single" w:sz="4" w:space="0" w:color="auto"/>
              <w:right w:val="single" w:sz="4" w:space="0" w:color="auto"/>
            </w:tcBorders>
            <w:shd w:val="clear" w:color="auto" w:fill="FFFF99"/>
            <w:vAlign w:val="center"/>
          </w:tcPr>
          <w:p w14:paraId="4AF4DB32"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r>
      <w:tr w:rsidR="00EC39BD" w:rsidRPr="00AA0B4A" w14:paraId="4D41A465"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AA0EC58"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A97E18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12</w:t>
            </w:r>
          </w:p>
        </w:tc>
        <w:tc>
          <w:tcPr>
            <w:tcW w:w="739" w:type="pct"/>
            <w:tcBorders>
              <w:top w:val="nil"/>
              <w:left w:val="nil"/>
              <w:bottom w:val="single" w:sz="4" w:space="0" w:color="auto"/>
              <w:right w:val="single" w:sz="4" w:space="0" w:color="auto"/>
            </w:tcBorders>
            <w:shd w:val="clear" w:color="auto" w:fill="FFFF99"/>
            <w:noWrap/>
            <w:vAlign w:val="bottom"/>
          </w:tcPr>
          <w:p w14:paraId="7FB3F81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121</w:t>
            </w:r>
          </w:p>
        </w:tc>
        <w:tc>
          <w:tcPr>
            <w:tcW w:w="798" w:type="pct"/>
            <w:tcBorders>
              <w:top w:val="nil"/>
              <w:left w:val="nil"/>
              <w:bottom w:val="single" w:sz="4" w:space="0" w:color="auto"/>
              <w:right w:val="single" w:sz="4" w:space="0" w:color="auto"/>
            </w:tcBorders>
            <w:shd w:val="clear" w:color="auto" w:fill="FFFF99"/>
            <w:noWrap/>
            <w:vAlign w:val="bottom"/>
          </w:tcPr>
          <w:p w14:paraId="36419AD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100</w:t>
            </w:r>
          </w:p>
        </w:tc>
        <w:tc>
          <w:tcPr>
            <w:tcW w:w="794" w:type="pct"/>
            <w:tcBorders>
              <w:top w:val="nil"/>
              <w:left w:val="nil"/>
              <w:bottom w:val="single" w:sz="4" w:space="0" w:color="auto"/>
              <w:right w:val="single" w:sz="4" w:space="0" w:color="auto"/>
            </w:tcBorders>
            <w:shd w:val="clear" w:color="auto" w:fill="FFFF99"/>
            <w:vAlign w:val="center"/>
          </w:tcPr>
          <w:p w14:paraId="0DDD259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104</w:t>
            </w:r>
          </w:p>
        </w:tc>
        <w:tc>
          <w:tcPr>
            <w:tcW w:w="767" w:type="pct"/>
            <w:tcBorders>
              <w:top w:val="nil"/>
              <w:left w:val="nil"/>
              <w:bottom w:val="single" w:sz="4" w:space="0" w:color="auto"/>
              <w:right w:val="single" w:sz="4" w:space="0" w:color="auto"/>
            </w:tcBorders>
            <w:shd w:val="clear" w:color="auto" w:fill="FFFF99"/>
            <w:vAlign w:val="center"/>
          </w:tcPr>
          <w:p w14:paraId="77F6AC6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val="fr-BE" w:eastAsia="en-GB"/>
              </w:rPr>
              <w:t>52</w:t>
            </w:r>
          </w:p>
        </w:tc>
      </w:tr>
      <w:tr w:rsidR="00EC39BD" w:rsidRPr="00AA0B4A" w14:paraId="641AE2C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4C859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4ADD5F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6BF60B9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98" w:type="pct"/>
            <w:tcBorders>
              <w:top w:val="nil"/>
              <w:left w:val="nil"/>
              <w:bottom w:val="single" w:sz="4" w:space="0" w:color="auto"/>
              <w:right w:val="single" w:sz="4" w:space="0" w:color="auto"/>
            </w:tcBorders>
            <w:shd w:val="clear" w:color="auto" w:fill="FFFF99"/>
            <w:noWrap/>
            <w:vAlign w:val="bottom"/>
          </w:tcPr>
          <w:p w14:paraId="592890A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94" w:type="pct"/>
            <w:tcBorders>
              <w:top w:val="nil"/>
              <w:left w:val="nil"/>
              <w:bottom w:val="single" w:sz="4" w:space="0" w:color="auto"/>
              <w:right w:val="single" w:sz="4" w:space="0" w:color="auto"/>
            </w:tcBorders>
            <w:shd w:val="clear" w:color="auto" w:fill="FFFF99"/>
            <w:vAlign w:val="center"/>
          </w:tcPr>
          <w:p w14:paraId="0442320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67" w:type="pct"/>
            <w:tcBorders>
              <w:top w:val="nil"/>
              <w:left w:val="nil"/>
              <w:bottom w:val="single" w:sz="4" w:space="0" w:color="auto"/>
              <w:right w:val="single" w:sz="4" w:space="0" w:color="auto"/>
            </w:tcBorders>
            <w:shd w:val="clear" w:color="auto" w:fill="FFFF99"/>
            <w:vAlign w:val="center"/>
          </w:tcPr>
          <w:p w14:paraId="7A853A4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EC39BD" w:rsidRPr="00AA0B4A" w14:paraId="1D20C199"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67A024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1B5EA1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5</w:t>
            </w:r>
          </w:p>
        </w:tc>
        <w:tc>
          <w:tcPr>
            <w:tcW w:w="739" w:type="pct"/>
            <w:tcBorders>
              <w:top w:val="nil"/>
              <w:left w:val="nil"/>
              <w:bottom w:val="single" w:sz="4" w:space="0" w:color="auto"/>
              <w:right w:val="single" w:sz="4" w:space="0" w:color="auto"/>
            </w:tcBorders>
            <w:shd w:val="clear" w:color="auto" w:fill="FFFF99"/>
            <w:noWrap/>
            <w:vAlign w:val="bottom"/>
          </w:tcPr>
          <w:p w14:paraId="7AE1F95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98" w:type="pct"/>
            <w:tcBorders>
              <w:top w:val="nil"/>
              <w:left w:val="nil"/>
              <w:bottom w:val="single" w:sz="4" w:space="0" w:color="auto"/>
              <w:right w:val="single" w:sz="4" w:space="0" w:color="auto"/>
            </w:tcBorders>
            <w:shd w:val="clear" w:color="auto" w:fill="FFFF99"/>
            <w:noWrap/>
            <w:vAlign w:val="bottom"/>
          </w:tcPr>
          <w:p w14:paraId="4A28B83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94" w:type="pct"/>
            <w:tcBorders>
              <w:top w:val="nil"/>
              <w:left w:val="nil"/>
              <w:bottom w:val="single" w:sz="4" w:space="0" w:color="auto"/>
              <w:right w:val="single" w:sz="4" w:space="0" w:color="auto"/>
            </w:tcBorders>
            <w:shd w:val="clear" w:color="auto" w:fill="FFFF99"/>
            <w:vAlign w:val="center"/>
          </w:tcPr>
          <w:p w14:paraId="1730A00E"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8</w:t>
            </w:r>
          </w:p>
        </w:tc>
        <w:tc>
          <w:tcPr>
            <w:tcW w:w="767" w:type="pct"/>
            <w:tcBorders>
              <w:top w:val="nil"/>
              <w:left w:val="nil"/>
              <w:bottom w:val="single" w:sz="4" w:space="0" w:color="auto"/>
              <w:right w:val="single" w:sz="4" w:space="0" w:color="auto"/>
            </w:tcBorders>
            <w:shd w:val="clear" w:color="auto" w:fill="FFFF99"/>
            <w:vAlign w:val="center"/>
          </w:tcPr>
          <w:p w14:paraId="3F78ECC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r>
      <w:tr w:rsidR="00EC39BD" w:rsidRPr="00AA0B4A" w14:paraId="57D7BC6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CAFD79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0EF4B0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15</w:t>
            </w:r>
          </w:p>
        </w:tc>
        <w:tc>
          <w:tcPr>
            <w:tcW w:w="739" w:type="pct"/>
            <w:tcBorders>
              <w:top w:val="nil"/>
              <w:left w:val="nil"/>
              <w:bottom w:val="single" w:sz="4" w:space="0" w:color="auto"/>
              <w:right w:val="single" w:sz="4" w:space="0" w:color="auto"/>
            </w:tcBorders>
            <w:shd w:val="clear" w:color="auto" w:fill="FFFF99"/>
            <w:noWrap/>
            <w:vAlign w:val="bottom"/>
          </w:tcPr>
          <w:p w14:paraId="071DE65F"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3</w:t>
            </w:r>
          </w:p>
        </w:tc>
        <w:tc>
          <w:tcPr>
            <w:tcW w:w="798" w:type="pct"/>
            <w:tcBorders>
              <w:top w:val="nil"/>
              <w:left w:val="nil"/>
              <w:bottom w:val="single" w:sz="4" w:space="0" w:color="auto"/>
              <w:right w:val="single" w:sz="4" w:space="0" w:color="auto"/>
            </w:tcBorders>
            <w:shd w:val="clear" w:color="auto" w:fill="FFFF99"/>
            <w:noWrap/>
            <w:vAlign w:val="bottom"/>
          </w:tcPr>
          <w:p w14:paraId="211B7F0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15</w:t>
            </w:r>
          </w:p>
        </w:tc>
        <w:tc>
          <w:tcPr>
            <w:tcW w:w="794" w:type="pct"/>
            <w:tcBorders>
              <w:top w:val="nil"/>
              <w:left w:val="nil"/>
              <w:bottom w:val="single" w:sz="4" w:space="0" w:color="auto"/>
              <w:right w:val="single" w:sz="4" w:space="0" w:color="auto"/>
            </w:tcBorders>
            <w:shd w:val="clear" w:color="auto" w:fill="FFFF99"/>
            <w:vAlign w:val="center"/>
          </w:tcPr>
          <w:p w14:paraId="36E562C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r w:rsidRPr="00AA0B4A">
              <w:rPr>
                <w:rFonts w:ascii="Times New Roman" w:hAnsi="Times New Roman"/>
                <w:noProof/>
                <w:sz w:val="18"/>
                <w:szCs w:val="18"/>
                <w:lang w:eastAsia="en-GB"/>
              </w:rPr>
              <w:t>1</w:t>
            </w:r>
          </w:p>
        </w:tc>
        <w:tc>
          <w:tcPr>
            <w:tcW w:w="767" w:type="pct"/>
            <w:tcBorders>
              <w:top w:val="nil"/>
              <w:left w:val="nil"/>
              <w:bottom w:val="single" w:sz="4" w:space="0" w:color="auto"/>
              <w:right w:val="single" w:sz="4" w:space="0" w:color="auto"/>
            </w:tcBorders>
            <w:shd w:val="clear" w:color="auto" w:fill="FFFF99"/>
            <w:vAlign w:val="center"/>
          </w:tcPr>
          <w:p w14:paraId="190B0BF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30</w:t>
            </w:r>
          </w:p>
        </w:tc>
      </w:tr>
      <w:tr w:rsidR="00EC39BD" w:rsidRPr="00AA0B4A" w14:paraId="5787FCB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A62BC6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8E30CE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8</w:t>
            </w:r>
          </w:p>
        </w:tc>
        <w:tc>
          <w:tcPr>
            <w:tcW w:w="739" w:type="pct"/>
            <w:tcBorders>
              <w:top w:val="nil"/>
              <w:left w:val="nil"/>
              <w:bottom w:val="single" w:sz="4" w:space="0" w:color="auto"/>
              <w:right w:val="single" w:sz="4" w:space="0" w:color="auto"/>
            </w:tcBorders>
            <w:shd w:val="clear" w:color="auto" w:fill="FFFF99"/>
            <w:noWrap/>
            <w:vAlign w:val="bottom"/>
          </w:tcPr>
          <w:p w14:paraId="0973681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c>
          <w:tcPr>
            <w:tcW w:w="798" w:type="pct"/>
            <w:tcBorders>
              <w:top w:val="nil"/>
              <w:left w:val="nil"/>
              <w:bottom w:val="single" w:sz="4" w:space="0" w:color="auto"/>
              <w:right w:val="single" w:sz="4" w:space="0" w:color="auto"/>
            </w:tcBorders>
            <w:shd w:val="clear" w:color="auto" w:fill="FFFF99"/>
            <w:noWrap/>
            <w:vAlign w:val="bottom"/>
          </w:tcPr>
          <w:p w14:paraId="2B6E0B1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46</w:t>
            </w:r>
          </w:p>
        </w:tc>
        <w:tc>
          <w:tcPr>
            <w:tcW w:w="794" w:type="pct"/>
            <w:tcBorders>
              <w:top w:val="nil"/>
              <w:left w:val="nil"/>
              <w:bottom w:val="single" w:sz="4" w:space="0" w:color="auto"/>
              <w:right w:val="single" w:sz="4" w:space="0" w:color="auto"/>
            </w:tcBorders>
            <w:shd w:val="clear" w:color="auto" w:fill="FFFF99"/>
            <w:vAlign w:val="center"/>
          </w:tcPr>
          <w:p w14:paraId="37AC09B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767" w:type="pct"/>
            <w:tcBorders>
              <w:top w:val="nil"/>
              <w:left w:val="nil"/>
              <w:bottom w:val="single" w:sz="4" w:space="0" w:color="auto"/>
              <w:right w:val="single" w:sz="4" w:space="0" w:color="auto"/>
            </w:tcBorders>
            <w:shd w:val="clear" w:color="auto" w:fill="FFFF99"/>
            <w:vAlign w:val="center"/>
          </w:tcPr>
          <w:p w14:paraId="5DFD3FD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r>
      <w:tr w:rsidR="00EC39BD" w:rsidRPr="00AA0B4A" w14:paraId="0022A4A9"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6F5F25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45F880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0</w:t>
            </w:r>
          </w:p>
        </w:tc>
        <w:tc>
          <w:tcPr>
            <w:tcW w:w="739" w:type="pct"/>
            <w:tcBorders>
              <w:top w:val="nil"/>
              <w:left w:val="nil"/>
              <w:bottom w:val="single" w:sz="4" w:space="0" w:color="auto"/>
              <w:right w:val="single" w:sz="4" w:space="0" w:color="auto"/>
            </w:tcBorders>
            <w:shd w:val="clear" w:color="auto" w:fill="FFFF99"/>
            <w:noWrap/>
            <w:vAlign w:val="bottom"/>
          </w:tcPr>
          <w:p w14:paraId="0FF1DE1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98" w:type="pct"/>
            <w:tcBorders>
              <w:top w:val="nil"/>
              <w:left w:val="nil"/>
              <w:bottom w:val="single" w:sz="4" w:space="0" w:color="auto"/>
              <w:right w:val="single" w:sz="4" w:space="0" w:color="auto"/>
            </w:tcBorders>
            <w:shd w:val="clear" w:color="auto" w:fill="FFFF99"/>
            <w:noWrap/>
            <w:vAlign w:val="bottom"/>
          </w:tcPr>
          <w:p w14:paraId="4CE0F922" w14:textId="77777777" w:rsidR="00EC39BD" w:rsidRPr="00843E0A" w:rsidRDefault="00EC39BD" w:rsidP="00E55B57">
            <w:pPr>
              <w:spacing w:after="0" w:line="240" w:lineRule="auto"/>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c>
          <w:tcPr>
            <w:tcW w:w="794" w:type="pct"/>
            <w:tcBorders>
              <w:top w:val="nil"/>
              <w:left w:val="nil"/>
              <w:bottom w:val="single" w:sz="4" w:space="0" w:color="auto"/>
              <w:right w:val="single" w:sz="4" w:space="0" w:color="auto"/>
            </w:tcBorders>
            <w:shd w:val="clear" w:color="auto" w:fill="FFFF99"/>
            <w:vAlign w:val="center"/>
          </w:tcPr>
          <w:p w14:paraId="6DC267B6" w14:textId="77777777" w:rsidR="00EC39BD" w:rsidRPr="00843E0A" w:rsidRDefault="00EC39BD" w:rsidP="00E55B57">
            <w:pPr>
              <w:spacing w:after="0" w:line="240" w:lineRule="auto"/>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5611B391" w14:textId="77777777" w:rsidR="00EC39BD" w:rsidRPr="00843E0A" w:rsidRDefault="00EC39BD" w:rsidP="00E55B57">
            <w:pPr>
              <w:spacing w:after="0" w:line="240" w:lineRule="auto"/>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r>
      <w:tr w:rsidR="00EC39BD" w:rsidRPr="00AA0B4A" w14:paraId="2EDE9AB3"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C1398D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6DB922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4</w:t>
            </w:r>
          </w:p>
        </w:tc>
        <w:tc>
          <w:tcPr>
            <w:tcW w:w="739" w:type="pct"/>
            <w:tcBorders>
              <w:top w:val="nil"/>
              <w:left w:val="nil"/>
              <w:bottom w:val="single" w:sz="4" w:space="0" w:color="auto"/>
              <w:right w:val="single" w:sz="4" w:space="0" w:color="auto"/>
            </w:tcBorders>
            <w:shd w:val="clear" w:color="auto" w:fill="FFFF99"/>
            <w:noWrap/>
            <w:vAlign w:val="bottom"/>
          </w:tcPr>
          <w:p w14:paraId="5083AC4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98" w:type="pct"/>
            <w:tcBorders>
              <w:top w:val="nil"/>
              <w:left w:val="nil"/>
              <w:bottom w:val="single" w:sz="4" w:space="0" w:color="auto"/>
              <w:right w:val="single" w:sz="4" w:space="0" w:color="auto"/>
            </w:tcBorders>
            <w:shd w:val="clear" w:color="auto" w:fill="FFFF99"/>
            <w:noWrap/>
            <w:vAlign w:val="bottom"/>
          </w:tcPr>
          <w:p w14:paraId="6675EBA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11</w:t>
            </w:r>
          </w:p>
        </w:tc>
        <w:tc>
          <w:tcPr>
            <w:tcW w:w="794" w:type="pct"/>
            <w:tcBorders>
              <w:top w:val="nil"/>
              <w:left w:val="nil"/>
              <w:bottom w:val="single" w:sz="4" w:space="0" w:color="auto"/>
              <w:right w:val="single" w:sz="4" w:space="0" w:color="auto"/>
            </w:tcBorders>
            <w:shd w:val="clear" w:color="auto" w:fill="FFFF99"/>
            <w:vAlign w:val="center"/>
          </w:tcPr>
          <w:p w14:paraId="54DE2BCD"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2</w:t>
            </w:r>
          </w:p>
        </w:tc>
        <w:tc>
          <w:tcPr>
            <w:tcW w:w="767" w:type="pct"/>
            <w:tcBorders>
              <w:top w:val="nil"/>
              <w:left w:val="nil"/>
              <w:bottom w:val="single" w:sz="4" w:space="0" w:color="auto"/>
              <w:right w:val="single" w:sz="4" w:space="0" w:color="auto"/>
            </w:tcBorders>
            <w:shd w:val="clear" w:color="auto" w:fill="FFFF99"/>
            <w:vAlign w:val="center"/>
          </w:tcPr>
          <w:p w14:paraId="6A4331E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17</w:t>
            </w:r>
          </w:p>
        </w:tc>
      </w:tr>
      <w:tr w:rsidR="00EC39BD" w:rsidRPr="00AA0B4A" w14:paraId="682C49E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CE1A3D0"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675633C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710D7BF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98" w:type="pct"/>
            <w:tcBorders>
              <w:top w:val="nil"/>
              <w:left w:val="nil"/>
              <w:bottom w:val="single" w:sz="4" w:space="0" w:color="auto"/>
              <w:right w:val="single" w:sz="4" w:space="0" w:color="auto"/>
            </w:tcBorders>
            <w:shd w:val="clear" w:color="auto" w:fill="FFFF99"/>
            <w:noWrap/>
            <w:vAlign w:val="bottom"/>
          </w:tcPr>
          <w:p w14:paraId="2D59735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794" w:type="pct"/>
            <w:tcBorders>
              <w:top w:val="nil"/>
              <w:left w:val="nil"/>
              <w:bottom w:val="single" w:sz="4" w:space="0" w:color="auto"/>
              <w:right w:val="single" w:sz="4" w:space="0" w:color="auto"/>
            </w:tcBorders>
            <w:shd w:val="clear" w:color="auto" w:fill="FFFF99"/>
            <w:vAlign w:val="center"/>
          </w:tcPr>
          <w:p w14:paraId="5BA9DA71"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1E2E101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EC39BD" w:rsidRPr="00AA0B4A" w14:paraId="7F34970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061BECF3"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85DEB6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461DF444" w14:textId="77777777" w:rsidR="00EC39BD" w:rsidRPr="00E6753F" w:rsidRDefault="00EC39BD" w:rsidP="00E55B57">
            <w:pPr>
              <w:spacing w:after="0" w:line="240" w:lineRule="auto"/>
              <w:jc w:val="center"/>
              <w:rPr>
                <w:rFonts w:ascii="Times New Roman" w:hAnsi="Times New Roman"/>
                <w:noProof/>
                <w:sz w:val="18"/>
                <w:szCs w:val="18"/>
                <w:lang w:eastAsia="en-GB"/>
              </w:rPr>
            </w:pPr>
            <w:r w:rsidRPr="00F85BB3">
              <w:rPr>
                <w:rFonts w:ascii="Times New Roman" w:hAnsi="Times New Roman"/>
                <w:noProof/>
                <w:sz w:val="18"/>
                <w:szCs w:val="18"/>
                <w:lang w:eastAsia="en-GB"/>
              </w:rPr>
              <w:t>8</w:t>
            </w:r>
          </w:p>
        </w:tc>
        <w:tc>
          <w:tcPr>
            <w:tcW w:w="798" w:type="pct"/>
            <w:tcBorders>
              <w:top w:val="nil"/>
              <w:left w:val="nil"/>
              <w:bottom w:val="single" w:sz="4" w:space="0" w:color="auto"/>
              <w:right w:val="single" w:sz="4" w:space="0" w:color="auto"/>
            </w:tcBorders>
            <w:shd w:val="clear" w:color="auto" w:fill="FFFF99"/>
            <w:noWrap/>
            <w:vAlign w:val="bottom"/>
          </w:tcPr>
          <w:p w14:paraId="0630A0C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94" w:type="pct"/>
            <w:tcBorders>
              <w:top w:val="nil"/>
              <w:left w:val="nil"/>
              <w:bottom w:val="single" w:sz="4" w:space="0" w:color="auto"/>
              <w:right w:val="single" w:sz="4" w:space="0" w:color="auto"/>
            </w:tcBorders>
            <w:shd w:val="clear" w:color="auto" w:fill="FFFF99"/>
            <w:vAlign w:val="center"/>
          </w:tcPr>
          <w:p w14:paraId="1293F3F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67" w:type="pct"/>
            <w:tcBorders>
              <w:top w:val="nil"/>
              <w:left w:val="nil"/>
              <w:bottom w:val="single" w:sz="4" w:space="0" w:color="auto"/>
              <w:right w:val="single" w:sz="4" w:space="0" w:color="auto"/>
            </w:tcBorders>
            <w:shd w:val="clear" w:color="auto" w:fill="FFFF99"/>
            <w:vAlign w:val="center"/>
          </w:tcPr>
          <w:p w14:paraId="51031B2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r>
      <w:tr w:rsidR="00EC39BD" w:rsidRPr="00AA0B4A" w14:paraId="374F1CA0"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91EF4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3C9588F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5</w:t>
            </w:r>
          </w:p>
        </w:tc>
        <w:tc>
          <w:tcPr>
            <w:tcW w:w="739" w:type="pct"/>
            <w:tcBorders>
              <w:top w:val="nil"/>
              <w:left w:val="nil"/>
              <w:bottom w:val="single" w:sz="4" w:space="0" w:color="auto"/>
              <w:right w:val="single" w:sz="4" w:space="0" w:color="auto"/>
            </w:tcBorders>
            <w:shd w:val="clear" w:color="auto" w:fill="FFFF99"/>
            <w:noWrap/>
            <w:vAlign w:val="bottom"/>
          </w:tcPr>
          <w:p w14:paraId="4FB4C74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98" w:type="pct"/>
            <w:tcBorders>
              <w:top w:val="nil"/>
              <w:left w:val="nil"/>
              <w:bottom w:val="single" w:sz="4" w:space="0" w:color="auto"/>
              <w:right w:val="single" w:sz="4" w:space="0" w:color="auto"/>
            </w:tcBorders>
            <w:shd w:val="clear" w:color="auto" w:fill="FFFF99"/>
            <w:noWrap/>
            <w:vAlign w:val="bottom"/>
          </w:tcPr>
          <w:p w14:paraId="654D83D9" w14:textId="77777777" w:rsidR="00EC39BD" w:rsidRPr="00843E0A" w:rsidRDefault="00EC39BD" w:rsidP="00E55B57">
            <w:pPr>
              <w:spacing w:after="0" w:line="240" w:lineRule="auto"/>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c>
          <w:tcPr>
            <w:tcW w:w="794" w:type="pct"/>
            <w:tcBorders>
              <w:top w:val="nil"/>
              <w:left w:val="nil"/>
              <w:bottom w:val="single" w:sz="4" w:space="0" w:color="auto"/>
              <w:right w:val="single" w:sz="4" w:space="0" w:color="auto"/>
            </w:tcBorders>
            <w:shd w:val="clear" w:color="auto" w:fill="FFFF99"/>
            <w:vAlign w:val="center"/>
          </w:tcPr>
          <w:p w14:paraId="69C7F73E" w14:textId="77777777" w:rsidR="00EC39BD" w:rsidRPr="00843E0A" w:rsidRDefault="00EC39BD" w:rsidP="00E55B57">
            <w:pPr>
              <w:spacing w:after="0" w:line="240" w:lineRule="auto"/>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3764F671" w14:textId="77777777" w:rsidR="00EC39BD" w:rsidRPr="00843E0A" w:rsidRDefault="00EC39BD" w:rsidP="00E55B57">
            <w:pPr>
              <w:spacing w:after="0" w:line="240" w:lineRule="auto"/>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r>
      <w:tr w:rsidR="00EC39BD" w:rsidRPr="00AA0B4A" w14:paraId="1B0B2FA5"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109FC3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71DBED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13</w:t>
            </w:r>
          </w:p>
        </w:tc>
        <w:tc>
          <w:tcPr>
            <w:tcW w:w="739" w:type="pct"/>
            <w:tcBorders>
              <w:top w:val="nil"/>
              <w:left w:val="nil"/>
              <w:bottom w:val="single" w:sz="4" w:space="0" w:color="auto"/>
              <w:right w:val="single" w:sz="4" w:space="0" w:color="auto"/>
            </w:tcBorders>
            <w:shd w:val="clear" w:color="auto" w:fill="FFFF99"/>
            <w:noWrap/>
            <w:vAlign w:val="bottom"/>
          </w:tcPr>
          <w:p w14:paraId="3B30324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798" w:type="pct"/>
            <w:tcBorders>
              <w:top w:val="nil"/>
              <w:left w:val="nil"/>
              <w:bottom w:val="single" w:sz="4" w:space="0" w:color="auto"/>
              <w:right w:val="single" w:sz="4" w:space="0" w:color="auto"/>
            </w:tcBorders>
            <w:shd w:val="clear" w:color="auto" w:fill="FFFF99"/>
            <w:noWrap/>
            <w:vAlign w:val="bottom"/>
          </w:tcPr>
          <w:p w14:paraId="4305894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794" w:type="pct"/>
            <w:tcBorders>
              <w:top w:val="nil"/>
              <w:left w:val="nil"/>
              <w:bottom w:val="single" w:sz="4" w:space="0" w:color="auto"/>
              <w:right w:val="single" w:sz="4" w:space="0" w:color="auto"/>
            </w:tcBorders>
            <w:shd w:val="clear" w:color="auto" w:fill="FFFF99"/>
            <w:vAlign w:val="center"/>
          </w:tcPr>
          <w:p w14:paraId="467097E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68803F5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r>
      <w:tr w:rsidR="00EC39BD" w:rsidRPr="00AA0B4A" w14:paraId="0A0802CC"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72F9F8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ENV</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90744E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26</w:t>
            </w:r>
          </w:p>
        </w:tc>
        <w:tc>
          <w:tcPr>
            <w:tcW w:w="739" w:type="pct"/>
            <w:tcBorders>
              <w:top w:val="nil"/>
              <w:left w:val="nil"/>
              <w:bottom w:val="single" w:sz="4" w:space="0" w:color="auto"/>
              <w:right w:val="single" w:sz="4" w:space="0" w:color="auto"/>
            </w:tcBorders>
            <w:shd w:val="clear" w:color="auto" w:fill="FFFF99"/>
            <w:noWrap/>
            <w:vAlign w:val="bottom"/>
          </w:tcPr>
          <w:p w14:paraId="46EA088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798" w:type="pct"/>
            <w:tcBorders>
              <w:top w:val="nil"/>
              <w:left w:val="nil"/>
              <w:bottom w:val="single" w:sz="4" w:space="0" w:color="auto"/>
              <w:right w:val="single" w:sz="4" w:space="0" w:color="auto"/>
            </w:tcBorders>
            <w:shd w:val="clear" w:color="auto" w:fill="FFFF99"/>
            <w:noWrap/>
            <w:vAlign w:val="bottom"/>
          </w:tcPr>
          <w:p w14:paraId="1B5559D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23</w:t>
            </w:r>
          </w:p>
        </w:tc>
        <w:tc>
          <w:tcPr>
            <w:tcW w:w="794" w:type="pct"/>
            <w:tcBorders>
              <w:top w:val="nil"/>
              <w:left w:val="nil"/>
              <w:bottom w:val="single" w:sz="4" w:space="0" w:color="auto"/>
              <w:right w:val="single" w:sz="4" w:space="0" w:color="auto"/>
            </w:tcBorders>
            <w:shd w:val="clear" w:color="auto" w:fill="FFFF99"/>
            <w:vAlign w:val="center"/>
          </w:tcPr>
          <w:p w14:paraId="3464553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20</w:t>
            </w:r>
          </w:p>
        </w:tc>
        <w:tc>
          <w:tcPr>
            <w:tcW w:w="767" w:type="pct"/>
            <w:tcBorders>
              <w:top w:val="nil"/>
              <w:left w:val="nil"/>
              <w:bottom w:val="single" w:sz="4" w:space="0" w:color="auto"/>
              <w:right w:val="single" w:sz="4" w:space="0" w:color="auto"/>
            </w:tcBorders>
            <w:shd w:val="clear" w:color="auto" w:fill="FFFF99"/>
            <w:vAlign w:val="center"/>
          </w:tcPr>
          <w:p w14:paraId="0824E23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r>
      <w:tr w:rsidR="00EC39BD" w:rsidRPr="00AA0B4A" w14:paraId="1B7C7EB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0600E4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301055D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39" w:type="pct"/>
            <w:tcBorders>
              <w:top w:val="nil"/>
              <w:left w:val="nil"/>
              <w:bottom w:val="single" w:sz="4" w:space="0" w:color="auto"/>
              <w:right w:val="single" w:sz="4" w:space="0" w:color="auto"/>
            </w:tcBorders>
            <w:shd w:val="clear" w:color="auto" w:fill="FFFF99"/>
            <w:noWrap/>
            <w:vAlign w:val="bottom"/>
          </w:tcPr>
          <w:p w14:paraId="7DB90A5D"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p>
        </w:tc>
        <w:tc>
          <w:tcPr>
            <w:tcW w:w="798" w:type="pct"/>
            <w:tcBorders>
              <w:top w:val="nil"/>
              <w:left w:val="nil"/>
              <w:bottom w:val="single" w:sz="4" w:space="0" w:color="auto"/>
              <w:right w:val="single" w:sz="4" w:space="0" w:color="auto"/>
            </w:tcBorders>
            <w:shd w:val="clear" w:color="auto" w:fill="FFFF99"/>
            <w:noWrap/>
            <w:vAlign w:val="bottom"/>
          </w:tcPr>
          <w:p w14:paraId="3ECF910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94" w:type="pct"/>
            <w:tcBorders>
              <w:top w:val="nil"/>
              <w:left w:val="nil"/>
              <w:bottom w:val="single" w:sz="4" w:space="0" w:color="auto"/>
              <w:right w:val="single" w:sz="4" w:space="0" w:color="auto"/>
            </w:tcBorders>
            <w:shd w:val="clear" w:color="auto" w:fill="FFFF99"/>
            <w:vAlign w:val="center"/>
          </w:tcPr>
          <w:p w14:paraId="3BFB0A6A"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6</w:t>
            </w:r>
          </w:p>
        </w:tc>
        <w:tc>
          <w:tcPr>
            <w:tcW w:w="767" w:type="pct"/>
            <w:tcBorders>
              <w:top w:val="nil"/>
              <w:left w:val="nil"/>
              <w:bottom w:val="single" w:sz="4" w:space="0" w:color="auto"/>
              <w:right w:val="single" w:sz="4" w:space="0" w:color="auto"/>
            </w:tcBorders>
            <w:shd w:val="clear" w:color="auto" w:fill="FFFF99"/>
            <w:vAlign w:val="center"/>
          </w:tcPr>
          <w:p w14:paraId="28CB54A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r>
      <w:tr w:rsidR="00EC39BD" w:rsidRPr="00AA0B4A" w14:paraId="7AAD6679"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214F9D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FISMA</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9C2312E"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color w:val="000000"/>
                <w:sz w:val="18"/>
                <w:szCs w:val="18"/>
                <w:lang w:eastAsia="en-GB"/>
              </w:rPr>
              <w:t>11</w:t>
            </w:r>
          </w:p>
        </w:tc>
        <w:tc>
          <w:tcPr>
            <w:tcW w:w="739" w:type="pct"/>
            <w:tcBorders>
              <w:top w:val="nil"/>
              <w:left w:val="nil"/>
              <w:bottom w:val="single" w:sz="4" w:space="0" w:color="auto"/>
              <w:right w:val="single" w:sz="4" w:space="0" w:color="auto"/>
            </w:tcBorders>
            <w:shd w:val="clear" w:color="auto" w:fill="FFFF99"/>
            <w:noWrap/>
            <w:vAlign w:val="bottom"/>
          </w:tcPr>
          <w:p w14:paraId="39E59DC2" w14:textId="77777777" w:rsidR="00EC39BD" w:rsidRPr="00AA0B4A" w:rsidRDefault="00EC39BD" w:rsidP="00E55B57">
            <w:pPr>
              <w:spacing w:after="0"/>
              <w:jc w:val="center"/>
              <w:rPr>
                <w:rFonts w:ascii="Times New Roman" w:hAnsi="Times New Roman"/>
                <w:noProof/>
                <w:sz w:val="18"/>
                <w:szCs w:val="18"/>
                <w:lang w:eastAsia="en-GB"/>
              </w:rPr>
            </w:pPr>
            <w:r w:rsidRPr="00AA0B4A">
              <w:rPr>
                <w:rFonts w:ascii="Times New Roman" w:hAnsi="Times New Roman"/>
                <w:noProof/>
                <w:sz w:val="18"/>
                <w:szCs w:val="18"/>
                <w:lang w:eastAsia="en-GB"/>
              </w:rPr>
              <w:t>14</w:t>
            </w:r>
          </w:p>
        </w:tc>
        <w:tc>
          <w:tcPr>
            <w:tcW w:w="798" w:type="pct"/>
            <w:tcBorders>
              <w:top w:val="nil"/>
              <w:left w:val="nil"/>
              <w:bottom w:val="single" w:sz="4" w:space="0" w:color="auto"/>
              <w:right w:val="single" w:sz="4" w:space="0" w:color="auto"/>
            </w:tcBorders>
            <w:shd w:val="clear" w:color="auto" w:fill="FFFF99"/>
            <w:noWrap/>
            <w:vAlign w:val="bottom"/>
          </w:tcPr>
          <w:p w14:paraId="38E1F278"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794" w:type="pct"/>
            <w:tcBorders>
              <w:top w:val="nil"/>
              <w:left w:val="nil"/>
              <w:bottom w:val="single" w:sz="4" w:space="0" w:color="auto"/>
              <w:right w:val="single" w:sz="4" w:space="0" w:color="auto"/>
            </w:tcBorders>
            <w:shd w:val="clear" w:color="auto" w:fill="FFFF99"/>
            <w:vAlign w:val="center"/>
          </w:tcPr>
          <w:p w14:paraId="4F1FBB03"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7</w:t>
            </w:r>
          </w:p>
        </w:tc>
        <w:tc>
          <w:tcPr>
            <w:tcW w:w="767" w:type="pct"/>
            <w:tcBorders>
              <w:top w:val="nil"/>
              <w:left w:val="nil"/>
              <w:bottom w:val="single" w:sz="4" w:space="0" w:color="auto"/>
              <w:right w:val="single" w:sz="4" w:space="0" w:color="auto"/>
            </w:tcBorders>
            <w:shd w:val="clear" w:color="auto" w:fill="FFFF99"/>
            <w:vAlign w:val="center"/>
          </w:tcPr>
          <w:p w14:paraId="0F563EA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23</w:t>
            </w:r>
          </w:p>
        </w:tc>
      </w:tr>
      <w:tr w:rsidR="00EC39BD" w:rsidRPr="00AA0B4A" w14:paraId="330BD8BC"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94134C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5939EA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0B39272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98" w:type="pct"/>
            <w:tcBorders>
              <w:top w:val="nil"/>
              <w:left w:val="nil"/>
              <w:bottom w:val="single" w:sz="4" w:space="0" w:color="auto"/>
              <w:right w:val="single" w:sz="4" w:space="0" w:color="auto"/>
            </w:tcBorders>
            <w:shd w:val="clear" w:color="auto" w:fill="FFFF99"/>
            <w:noWrap/>
            <w:vAlign w:val="bottom"/>
          </w:tcPr>
          <w:p w14:paraId="2AA00AD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bCs/>
                <w:noProof/>
                <w:color w:val="000000"/>
                <w:sz w:val="18"/>
                <w:szCs w:val="18"/>
                <w:lang w:eastAsia="en-GB"/>
              </w:rPr>
              <w:t>9</w:t>
            </w:r>
          </w:p>
        </w:tc>
        <w:tc>
          <w:tcPr>
            <w:tcW w:w="794" w:type="pct"/>
            <w:tcBorders>
              <w:top w:val="nil"/>
              <w:left w:val="nil"/>
              <w:bottom w:val="single" w:sz="4" w:space="0" w:color="auto"/>
              <w:right w:val="single" w:sz="4" w:space="0" w:color="auto"/>
            </w:tcBorders>
            <w:shd w:val="clear" w:color="auto" w:fill="FFFF99"/>
            <w:vAlign w:val="center"/>
          </w:tcPr>
          <w:p w14:paraId="58CD984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6256B28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bCs/>
                <w:noProof/>
                <w:color w:val="000000"/>
                <w:sz w:val="18"/>
                <w:szCs w:val="18"/>
                <w:lang w:eastAsia="en-GB"/>
              </w:rPr>
              <w:t>6</w:t>
            </w:r>
          </w:p>
        </w:tc>
      </w:tr>
      <w:tr w:rsidR="00EC39BD" w:rsidRPr="00AA0B4A" w14:paraId="74F17E5C"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886692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77CFA9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38</w:t>
            </w:r>
          </w:p>
        </w:tc>
        <w:tc>
          <w:tcPr>
            <w:tcW w:w="739" w:type="pct"/>
            <w:tcBorders>
              <w:top w:val="nil"/>
              <w:left w:val="nil"/>
              <w:bottom w:val="single" w:sz="4" w:space="0" w:color="auto"/>
              <w:right w:val="single" w:sz="4" w:space="0" w:color="auto"/>
            </w:tcBorders>
            <w:shd w:val="clear" w:color="auto" w:fill="FFFF99"/>
            <w:noWrap/>
            <w:vAlign w:val="bottom"/>
          </w:tcPr>
          <w:p w14:paraId="60A69BF8"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r>
              <w:rPr>
                <w:rFonts w:ascii="Times New Roman" w:hAnsi="Times New Roman"/>
                <w:noProof/>
                <w:sz w:val="18"/>
                <w:szCs w:val="18"/>
                <w:lang w:eastAsia="en-GB"/>
              </w:rPr>
              <w:t>3</w:t>
            </w:r>
          </w:p>
        </w:tc>
        <w:tc>
          <w:tcPr>
            <w:tcW w:w="798" w:type="pct"/>
            <w:tcBorders>
              <w:top w:val="nil"/>
              <w:left w:val="nil"/>
              <w:bottom w:val="single" w:sz="4" w:space="0" w:color="auto"/>
              <w:right w:val="single" w:sz="4" w:space="0" w:color="auto"/>
            </w:tcBorders>
            <w:shd w:val="clear" w:color="auto" w:fill="FFFF99"/>
            <w:noWrap/>
            <w:vAlign w:val="bottom"/>
          </w:tcPr>
          <w:p w14:paraId="72BA518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30</w:t>
            </w:r>
          </w:p>
        </w:tc>
        <w:tc>
          <w:tcPr>
            <w:tcW w:w="794" w:type="pct"/>
            <w:tcBorders>
              <w:top w:val="nil"/>
              <w:left w:val="nil"/>
              <w:bottom w:val="single" w:sz="4" w:space="0" w:color="auto"/>
              <w:right w:val="single" w:sz="4" w:space="0" w:color="auto"/>
            </w:tcBorders>
            <w:shd w:val="clear" w:color="auto" w:fill="FFFF99"/>
            <w:vAlign w:val="center"/>
          </w:tcPr>
          <w:p w14:paraId="70D5CEF3"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4</w:t>
            </w:r>
            <w:r>
              <w:rPr>
                <w:rFonts w:ascii="Times New Roman" w:hAnsi="Times New Roman"/>
                <w:noProof/>
                <w:sz w:val="18"/>
                <w:szCs w:val="18"/>
                <w:lang w:eastAsia="en-GB"/>
              </w:rPr>
              <w:t>2</w:t>
            </w:r>
          </w:p>
        </w:tc>
        <w:tc>
          <w:tcPr>
            <w:tcW w:w="767" w:type="pct"/>
            <w:tcBorders>
              <w:top w:val="nil"/>
              <w:left w:val="nil"/>
              <w:bottom w:val="single" w:sz="4" w:space="0" w:color="auto"/>
              <w:right w:val="single" w:sz="4" w:space="0" w:color="auto"/>
            </w:tcBorders>
            <w:shd w:val="clear" w:color="auto" w:fill="FFFF99"/>
            <w:vAlign w:val="center"/>
          </w:tcPr>
          <w:p w14:paraId="557141A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78</w:t>
            </w:r>
          </w:p>
        </w:tc>
      </w:tr>
      <w:tr w:rsidR="00EC39BD" w:rsidRPr="00AA0B4A" w14:paraId="70BA80A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F897A9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830034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18</w:t>
            </w:r>
          </w:p>
        </w:tc>
        <w:tc>
          <w:tcPr>
            <w:tcW w:w="739" w:type="pct"/>
            <w:tcBorders>
              <w:top w:val="nil"/>
              <w:left w:val="nil"/>
              <w:bottom w:val="single" w:sz="4" w:space="0" w:color="auto"/>
              <w:right w:val="single" w:sz="4" w:space="0" w:color="auto"/>
            </w:tcBorders>
            <w:shd w:val="clear" w:color="auto" w:fill="FFFF99"/>
            <w:noWrap/>
            <w:vAlign w:val="bottom"/>
          </w:tcPr>
          <w:p w14:paraId="34FAF60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798" w:type="pct"/>
            <w:tcBorders>
              <w:top w:val="nil"/>
              <w:left w:val="nil"/>
              <w:bottom w:val="single" w:sz="4" w:space="0" w:color="auto"/>
              <w:right w:val="single" w:sz="4" w:space="0" w:color="auto"/>
            </w:tcBorders>
            <w:shd w:val="clear" w:color="auto" w:fill="FFFF99"/>
            <w:noWrap/>
            <w:vAlign w:val="bottom"/>
          </w:tcPr>
          <w:p w14:paraId="1ABDB46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49</w:t>
            </w:r>
          </w:p>
        </w:tc>
        <w:tc>
          <w:tcPr>
            <w:tcW w:w="794" w:type="pct"/>
            <w:tcBorders>
              <w:top w:val="nil"/>
              <w:left w:val="nil"/>
              <w:bottom w:val="single" w:sz="4" w:space="0" w:color="auto"/>
              <w:right w:val="single" w:sz="4" w:space="0" w:color="auto"/>
            </w:tcBorders>
            <w:shd w:val="clear" w:color="auto" w:fill="FFFF99"/>
            <w:vAlign w:val="center"/>
          </w:tcPr>
          <w:p w14:paraId="7ABE93E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38</w:t>
            </w:r>
          </w:p>
        </w:tc>
        <w:tc>
          <w:tcPr>
            <w:tcW w:w="767" w:type="pct"/>
            <w:tcBorders>
              <w:top w:val="nil"/>
              <w:left w:val="nil"/>
              <w:bottom w:val="single" w:sz="4" w:space="0" w:color="auto"/>
              <w:right w:val="single" w:sz="4" w:space="0" w:color="auto"/>
            </w:tcBorders>
            <w:shd w:val="clear" w:color="auto" w:fill="FFFF99"/>
            <w:vAlign w:val="center"/>
          </w:tcPr>
          <w:p w14:paraId="7C3DFA5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60</w:t>
            </w:r>
          </w:p>
        </w:tc>
      </w:tr>
      <w:tr w:rsidR="00EC39BD" w:rsidRPr="00AA0B4A" w14:paraId="54B5284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3DE6496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INTPA</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69BD4CE" w14:textId="77777777" w:rsidR="00EC39BD"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633FC67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Pr="00AA0B4A">
              <w:rPr>
                <w:rFonts w:ascii="Times New Roman" w:hAnsi="Times New Roman"/>
                <w:noProof/>
                <w:sz w:val="18"/>
                <w:szCs w:val="18"/>
                <w:lang w:eastAsia="en-GB"/>
              </w:rPr>
              <w:t>9</w:t>
            </w:r>
          </w:p>
        </w:tc>
        <w:tc>
          <w:tcPr>
            <w:tcW w:w="798" w:type="pct"/>
            <w:tcBorders>
              <w:top w:val="nil"/>
              <w:left w:val="nil"/>
              <w:bottom w:val="single" w:sz="4" w:space="0" w:color="auto"/>
              <w:right w:val="single" w:sz="4" w:space="0" w:color="auto"/>
            </w:tcBorders>
            <w:shd w:val="clear" w:color="auto" w:fill="FFFF99"/>
            <w:noWrap/>
            <w:vAlign w:val="bottom"/>
          </w:tcPr>
          <w:p w14:paraId="20AE999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18</w:t>
            </w:r>
          </w:p>
        </w:tc>
        <w:tc>
          <w:tcPr>
            <w:tcW w:w="794" w:type="pct"/>
            <w:tcBorders>
              <w:top w:val="nil"/>
              <w:left w:val="nil"/>
              <w:bottom w:val="single" w:sz="4" w:space="0" w:color="auto"/>
              <w:right w:val="single" w:sz="4" w:space="0" w:color="auto"/>
            </w:tcBorders>
            <w:shd w:val="clear" w:color="auto" w:fill="FFFF99"/>
            <w:vAlign w:val="center"/>
          </w:tcPr>
          <w:p w14:paraId="6546996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168</w:t>
            </w:r>
          </w:p>
        </w:tc>
        <w:tc>
          <w:tcPr>
            <w:tcW w:w="767" w:type="pct"/>
            <w:tcBorders>
              <w:top w:val="nil"/>
              <w:left w:val="nil"/>
              <w:bottom w:val="single" w:sz="4" w:space="0" w:color="auto"/>
              <w:right w:val="single" w:sz="4" w:space="0" w:color="auto"/>
            </w:tcBorders>
            <w:shd w:val="clear" w:color="auto" w:fill="FFFF99"/>
            <w:vAlign w:val="center"/>
          </w:tcPr>
          <w:p w14:paraId="60771D8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w:t>
            </w:r>
          </w:p>
        </w:tc>
      </w:tr>
      <w:tr w:rsidR="00EC39BD" w:rsidRPr="00AA0B4A" w14:paraId="3A927BEB"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44D6E9E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3D8596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24</w:t>
            </w:r>
          </w:p>
        </w:tc>
        <w:tc>
          <w:tcPr>
            <w:tcW w:w="739" w:type="pct"/>
            <w:tcBorders>
              <w:top w:val="nil"/>
              <w:left w:val="nil"/>
              <w:bottom w:val="single" w:sz="4" w:space="0" w:color="auto"/>
              <w:right w:val="single" w:sz="4" w:space="0" w:color="auto"/>
            </w:tcBorders>
            <w:shd w:val="clear" w:color="auto" w:fill="FFFF99"/>
            <w:noWrap/>
            <w:vAlign w:val="bottom"/>
          </w:tcPr>
          <w:p w14:paraId="1DE9878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30</w:t>
            </w:r>
          </w:p>
        </w:tc>
        <w:tc>
          <w:tcPr>
            <w:tcW w:w="798" w:type="pct"/>
            <w:tcBorders>
              <w:top w:val="nil"/>
              <w:left w:val="nil"/>
              <w:bottom w:val="single" w:sz="4" w:space="0" w:color="auto"/>
              <w:right w:val="single" w:sz="4" w:space="0" w:color="auto"/>
            </w:tcBorders>
            <w:shd w:val="clear" w:color="auto" w:fill="FFFF99"/>
            <w:noWrap/>
            <w:vAlign w:val="bottom"/>
          </w:tcPr>
          <w:p w14:paraId="2300FCB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794" w:type="pct"/>
            <w:tcBorders>
              <w:top w:val="nil"/>
              <w:left w:val="nil"/>
              <w:bottom w:val="single" w:sz="4" w:space="0" w:color="auto"/>
              <w:right w:val="single" w:sz="4" w:space="0" w:color="auto"/>
            </w:tcBorders>
            <w:shd w:val="clear" w:color="auto" w:fill="FFFF99"/>
            <w:vAlign w:val="center"/>
          </w:tcPr>
          <w:p w14:paraId="77ECCF6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c>
          <w:tcPr>
            <w:tcW w:w="767" w:type="pct"/>
            <w:tcBorders>
              <w:top w:val="nil"/>
              <w:left w:val="nil"/>
              <w:bottom w:val="single" w:sz="4" w:space="0" w:color="auto"/>
              <w:right w:val="single" w:sz="4" w:space="0" w:color="auto"/>
            </w:tcBorders>
            <w:shd w:val="clear" w:color="auto" w:fill="FFFF99"/>
            <w:vAlign w:val="center"/>
          </w:tcPr>
          <w:p w14:paraId="52DE709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w:t>
            </w:r>
          </w:p>
        </w:tc>
      </w:tr>
      <w:tr w:rsidR="00EC39BD" w:rsidRPr="00AA0B4A" w14:paraId="32EBD116"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0A8B42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MARE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313DE1D"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2C3CBCE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798" w:type="pct"/>
            <w:tcBorders>
              <w:top w:val="nil"/>
              <w:left w:val="nil"/>
              <w:bottom w:val="single" w:sz="4" w:space="0" w:color="auto"/>
              <w:right w:val="single" w:sz="4" w:space="0" w:color="auto"/>
            </w:tcBorders>
            <w:shd w:val="clear" w:color="auto" w:fill="FFFF99"/>
            <w:noWrap/>
            <w:vAlign w:val="bottom"/>
          </w:tcPr>
          <w:p w14:paraId="3126BC03"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3</w:t>
            </w:r>
          </w:p>
        </w:tc>
        <w:tc>
          <w:tcPr>
            <w:tcW w:w="794" w:type="pct"/>
            <w:tcBorders>
              <w:top w:val="nil"/>
              <w:left w:val="nil"/>
              <w:bottom w:val="single" w:sz="4" w:space="0" w:color="auto"/>
              <w:right w:val="single" w:sz="4" w:space="0" w:color="auto"/>
            </w:tcBorders>
            <w:shd w:val="clear" w:color="auto" w:fill="FFFF99"/>
            <w:vAlign w:val="center"/>
          </w:tcPr>
          <w:p w14:paraId="3607996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767" w:type="pct"/>
            <w:tcBorders>
              <w:top w:val="nil"/>
              <w:left w:val="nil"/>
              <w:bottom w:val="single" w:sz="4" w:space="0" w:color="auto"/>
              <w:right w:val="single" w:sz="4" w:space="0" w:color="auto"/>
            </w:tcBorders>
            <w:shd w:val="clear" w:color="auto" w:fill="FFFF99"/>
            <w:vAlign w:val="center"/>
          </w:tcPr>
          <w:p w14:paraId="5C93F35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r>
      <w:tr w:rsidR="00EC39BD" w:rsidRPr="00AA0B4A" w14:paraId="2C821BD1"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BC10978"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794F73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31</w:t>
            </w:r>
          </w:p>
        </w:tc>
        <w:tc>
          <w:tcPr>
            <w:tcW w:w="739" w:type="pct"/>
            <w:tcBorders>
              <w:top w:val="nil"/>
              <w:left w:val="nil"/>
              <w:bottom w:val="single" w:sz="4" w:space="0" w:color="auto"/>
              <w:right w:val="single" w:sz="4" w:space="0" w:color="auto"/>
            </w:tcBorders>
            <w:shd w:val="clear" w:color="auto" w:fill="FFFF99"/>
            <w:noWrap/>
            <w:vAlign w:val="bottom"/>
          </w:tcPr>
          <w:p w14:paraId="08DCE2C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798" w:type="pct"/>
            <w:tcBorders>
              <w:top w:val="nil"/>
              <w:left w:val="nil"/>
              <w:bottom w:val="single" w:sz="4" w:space="0" w:color="auto"/>
              <w:right w:val="single" w:sz="4" w:space="0" w:color="auto"/>
            </w:tcBorders>
            <w:shd w:val="clear" w:color="auto" w:fill="FFFF99"/>
            <w:noWrap/>
            <w:vAlign w:val="bottom"/>
          </w:tcPr>
          <w:p w14:paraId="1CF4D86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40</w:t>
            </w:r>
          </w:p>
        </w:tc>
        <w:tc>
          <w:tcPr>
            <w:tcW w:w="794" w:type="pct"/>
            <w:tcBorders>
              <w:top w:val="nil"/>
              <w:left w:val="nil"/>
              <w:bottom w:val="single" w:sz="4" w:space="0" w:color="auto"/>
              <w:right w:val="single" w:sz="4" w:space="0" w:color="auto"/>
            </w:tcBorders>
            <w:shd w:val="clear" w:color="auto" w:fill="FFFF99"/>
            <w:vAlign w:val="center"/>
          </w:tcPr>
          <w:p w14:paraId="781F387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37</w:t>
            </w:r>
          </w:p>
        </w:tc>
        <w:tc>
          <w:tcPr>
            <w:tcW w:w="767" w:type="pct"/>
            <w:tcBorders>
              <w:top w:val="nil"/>
              <w:left w:val="nil"/>
              <w:bottom w:val="single" w:sz="4" w:space="0" w:color="auto"/>
              <w:right w:val="single" w:sz="4" w:space="0" w:color="auto"/>
            </w:tcBorders>
            <w:shd w:val="clear" w:color="auto" w:fill="FFFF99"/>
            <w:vAlign w:val="center"/>
          </w:tcPr>
          <w:p w14:paraId="60C624E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20</w:t>
            </w:r>
          </w:p>
        </w:tc>
      </w:tr>
      <w:tr w:rsidR="00EC39BD" w:rsidRPr="00AA0B4A" w14:paraId="2F4B5734" w14:textId="77777777" w:rsidTr="00E55B57">
        <w:trPr>
          <w:trHeight w:val="258"/>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671E45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A52898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3B737775"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w:t>
            </w:r>
          </w:p>
        </w:tc>
        <w:tc>
          <w:tcPr>
            <w:tcW w:w="798" w:type="pct"/>
            <w:tcBorders>
              <w:top w:val="nil"/>
              <w:left w:val="nil"/>
              <w:bottom w:val="single" w:sz="4" w:space="0" w:color="auto"/>
              <w:right w:val="single" w:sz="4" w:space="0" w:color="auto"/>
            </w:tcBorders>
            <w:shd w:val="clear" w:color="auto" w:fill="FFFF99"/>
            <w:noWrap/>
            <w:vAlign w:val="bottom"/>
          </w:tcPr>
          <w:p w14:paraId="57BA94C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19</w:t>
            </w:r>
          </w:p>
        </w:tc>
        <w:tc>
          <w:tcPr>
            <w:tcW w:w="794" w:type="pct"/>
            <w:tcBorders>
              <w:top w:val="nil"/>
              <w:left w:val="nil"/>
              <w:bottom w:val="single" w:sz="4" w:space="0" w:color="auto"/>
              <w:right w:val="single" w:sz="4" w:space="0" w:color="auto"/>
            </w:tcBorders>
            <w:shd w:val="clear" w:color="auto" w:fill="FFFF99"/>
            <w:vAlign w:val="center"/>
          </w:tcPr>
          <w:p w14:paraId="2BEB596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767" w:type="pct"/>
            <w:tcBorders>
              <w:top w:val="nil"/>
              <w:left w:val="nil"/>
              <w:bottom w:val="single" w:sz="4" w:space="0" w:color="auto"/>
              <w:right w:val="single" w:sz="4" w:space="0" w:color="auto"/>
            </w:tcBorders>
            <w:shd w:val="clear" w:color="auto" w:fill="FFFF99"/>
            <w:vAlign w:val="center"/>
          </w:tcPr>
          <w:p w14:paraId="7ED0E76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48</w:t>
            </w:r>
          </w:p>
        </w:tc>
      </w:tr>
      <w:tr w:rsidR="00EC39BD" w:rsidRPr="00AA0B4A" w14:paraId="5E55F3D1"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85D439F" w14:textId="77777777" w:rsidR="00EC39BD" w:rsidRPr="00AA0B4A" w:rsidRDefault="00EC39BD" w:rsidP="00E55B57">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OLAF</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CF833E2"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color w:val="000000"/>
                <w:sz w:val="18"/>
                <w:szCs w:val="18"/>
                <w:lang w:eastAsia="en-GB"/>
              </w:rPr>
              <w:t>1</w:t>
            </w:r>
          </w:p>
        </w:tc>
        <w:tc>
          <w:tcPr>
            <w:tcW w:w="739" w:type="pct"/>
            <w:tcBorders>
              <w:top w:val="nil"/>
              <w:left w:val="nil"/>
              <w:bottom w:val="single" w:sz="4" w:space="0" w:color="auto"/>
              <w:right w:val="single" w:sz="4" w:space="0" w:color="auto"/>
            </w:tcBorders>
            <w:shd w:val="clear" w:color="auto" w:fill="FFFF99"/>
            <w:noWrap/>
            <w:vAlign w:val="bottom"/>
          </w:tcPr>
          <w:p w14:paraId="48EB282A" w14:textId="77777777" w:rsidR="00EC39BD" w:rsidRPr="00AA0B4A" w:rsidRDefault="00EC39BD" w:rsidP="00E55B57">
            <w:pPr>
              <w:spacing w:after="0"/>
              <w:jc w:val="center"/>
              <w:rPr>
                <w:rFonts w:ascii="Times New Roman" w:hAnsi="Times New Roman"/>
                <w:bCs/>
                <w:noProof/>
                <w:sz w:val="18"/>
                <w:szCs w:val="18"/>
                <w:lang w:eastAsia="en-GB"/>
              </w:rPr>
            </w:pPr>
            <w:r w:rsidRPr="00AA0B4A">
              <w:rPr>
                <w:rFonts w:ascii="Times New Roman" w:hAnsi="Times New Roman"/>
                <w:noProof/>
                <w:sz w:val="18"/>
                <w:szCs w:val="18"/>
                <w:lang w:eastAsia="en-GB"/>
              </w:rPr>
              <w:t>0</w:t>
            </w:r>
          </w:p>
        </w:tc>
        <w:tc>
          <w:tcPr>
            <w:tcW w:w="798" w:type="pct"/>
            <w:tcBorders>
              <w:top w:val="nil"/>
              <w:left w:val="nil"/>
              <w:bottom w:val="single" w:sz="4" w:space="0" w:color="auto"/>
              <w:right w:val="single" w:sz="4" w:space="0" w:color="auto"/>
            </w:tcBorders>
            <w:shd w:val="clear" w:color="auto" w:fill="FFFF99"/>
            <w:noWrap/>
            <w:vAlign w:val="bottom"/>
          </w:tcPr>
          <w:p w14:paraId="00709C8B" w14:textId="77777777" w:rsidR="00EC39BD" w:rsidRPr="00843E0A" w:rsidRDefault="00EC39BD" w:rsidP="00E55B57">
            <w:pPr>
              <w:spacing w:after="0"/>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c>
          <w:tcPr>
            <w:tcW w:w="794" w:type="pct"/>
            <w:tcBorders>
              <w:top w:val="nil"/>
              <w:left w:val="nil"/>
              <w:bottom w:val="single" w:sz="4" w:space="0" w:color="auto"/>
              <w:right w:val="single" w:sz="4" w:space="0" w:color="auto"/>
            </w:tcBorders>
            <w:shd w:val="clear" w:color="auto" w:fill="FFFF99"/>
            <w:vAlign w:val="center"/>
          </w:tcPr>
          <w:p w14:paraId="7B322655" w14:textId="77777777" w:rsidR="00EC39BD" w:rsidRPr="00843E0A" w:rsidRDefault="00EC39BD" w:rsidP="00E55B57">
            <w:pPr>
              <w:spacing w:after="0"/>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4DF580AB" w14:textId="77777777" w:rsidR="00EC39BD" w:rsidRPr="00843E0A" w:rsidRDefault="00EC39BD" w:rsidP="00E55B57">
            <w:pPr>
              <w:spacing w:after="0"/>
              <w:jc w:val="center"/>
              <w:rPr>
                <w:rFonts w:ascii="Times New Roman" w:hAnsi="Times New Roman"/>
                <w:noProof/>
                <w:sz w:val="18"/>
                <w:szCs w:val="18"/>
                <w:lang w:eastAsia="en-GB"/>
              </w:rPr>
            </w:pPr>
            <w:r w:rsidRPr="00843E0A">
              <w:rPr>
                <w:rFonts w:ascii="Times New Roman" w:hAnsi="Times New Roman"/>
                <w:noProof/>
                <w:sz w:val="18"/>
                <w:szCs w:val="18"/>
                <w:lang w:eastAsia="en-GB"/>
              </w:rPr>
              <w:t>0</w:t>
            </w:r>
          </w:p>
        </w:tc>
      </w:tr>
      <w:tr w:rsidR="00EC39BD" w:rsidRPr="00AA0B4A" w14:paraId="751B34E4"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2776EA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REFORM</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5ADC81FD" w14:textId="77777777" w:rsidR="00EC39BD" w:rsidRDefault="00EC39BD" w:rsidP="00E55B57">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39" w:type="pct"/>
            <w:tcBorders>
              <w:top w:val="nil"/>
              <w:left w:val="nil"/>
              <w:bottom w:val="single" w:sz="4" w:space="0" w:color="auto"/>
              <w:right w:val="single" w:sz="4" w:space="0" w:color="auto"/>
            </w:tcBorders>
            <w:shd w:val="clear" w:color="auto" w:fill="FFFF99"/>
            <w:noWrap/>
            <w:vAlign w:val="bottom"/>
          </w:tcPr>
          <w:p w14:paraId="58739CC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98" w:type="pct"/>
            <w:tcBorders>
              <w:top w:val="nil"/>
              <w:left w:val="nil"/>
              <w:bottom w:val="single" w:sz="4" w:space="0" w:color="auto"/>
              <w:right w:val="single" w:sz="4" w:space="0" w:color="auto"/>
            </w:tcBorders>
            <w:shd w:val="clear" w:color="auto" w:fill="FFFF99"/>
            <w:noWrap/>
            <w:vAlign w:val="bottom"/>
          </w:tcPr>
          <w:p w14:paraId="66525E46" w14:textId="77777777" w:rsidR="00EC39BD"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94" w:type="pct"/>
            <w:tcBorders>
              <w:top w:val="nil"/>
              <w:left w:val="nil"/>
              <w:bottom w:val="single" w:sz="4" w:space="0" w:color="auto"/>
              <w:right w:val="single" w:sz="4" w:space="0" w:color="auto"/>
            </w:tcBorders>
            <w:shd w:val="clear" w:color="auto" w:fill="FFFF99"/>
            <w:vAlign w:val="center"/>
          </w:tcPr>
          <w:p w14:paraId="00F7976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3578C49B" w14:textId="77777777" w:rsidR="00EC39BD"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r>
      <w:tr w:rsidR="00EC39BD" w:rsidRPr="00AA0B4A" w14:paraId="4EE796BB"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FC8F82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BE5BF2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39" w:type="pct"/>
            <w:tcBorders>
              <w:top w:val="nil"/>
              <w:left w:val="nil"/>
              <w:bottom w:val="single" w:sz="4" w:space="0" w:color="auto"/>
              <w:right w:val="single" w:sz="4" w:space="0" w:color="auto"/>
            </w:tcBorders>
            <w:shd w:val="clear" w:color="auto" w:fill="FFFF99"/>
            <w:noWrap/>
            <w:vAlign w:val="bottom"/>
          </w:tcPr>
          <w:p w14:paraId="47E3D93E"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798" w:type="pct"/>
            <w:tcBorders>
              <w:top w:val="nil"/>
              <w:left w:val="nil"/>
              <w:bottom w:val="single" w:sz="4" w:space="0" w:color="auto"/>
              <w:right w:val="single" w:sz="4" w:space="0" w:color="auto"/>
            </w:tcBorders>
            <w:shd w:val="clear" w:color="auto" w:fill="FFFF99"/>
            <w:noWrap/>
            <w:vAlign w:val="bottom"/>
          </w:tcPr>
          <w:p w14:paraId="0B120CB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794" w:type="pct"/>
            <w:tcBorders>
              <w:top w:val="nil"/>
              <w:left w:val="nil"/>
              <w:bottom w:val="single" w:sz="4" w:space="0" w:color="auto"/>
              <w:right w:val="single" w:sz="4" w:space="0" w:color="auto"/>
            </w:tcBorders>
            <w:shd w:val="clear" w:color="auto" w:fill="FFFF99"/>
            <w:vAlign w:val="center"/>
          </w:tcPr>
          <w:p w14:paraId="4E7DD51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767" w:type="pct"/>
            <w:tcBorders>
              <w:top w:val="nil"/>
              <w:left w:val="nil"/>
              <w:bottom w:val="single" w:sz="4" w:space="0" w:color="auto"/>
              <w:right w:val="single" w:sz="4" w:space="0" w:color="auto"/>
            </w:tcBorders>
            <w:shd w:val="clear" w:color="auto" w:fill="FFFF99"/>
            <w:vAlign w:val="center"/>
          </w:tcPr>
          <w:p w14:paraId="4C64B7A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r>
      <w:tr w:rsidR="00EC39BD" w:rsidRPr="00AA0B4A" w14:paraId="02AD8C92"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258E5BD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616589F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17</w:t>
            </w:r>
          </w:p>
        </w:tc>
        <w:tc>
          <w:tcPr>
            <w:tcW w:w="739" w:type="pct"/>
            <w:tcBorders>
              <w:top w:val="nil"/>
              <w:left w:val="nil"/>
              <w:bottom w:val="single" w:sz="4" w:space="0" w:color="auto"/>
              <w:right w:val="single" w:sz="4" w:space="0" w:color="auto"/>
            </w:tcBorders>
            <w:shd w:val="clear" w:color="auto" w:fill="FFFF99"/>
            <w:noWrap/>
            <w:vAlign w:val="bottom"/>
          </w:tcPr>
          <w:p w14:paraId="0F6A9A2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798" w:type="pct"/>
            <w:tcBorders>
              <w:top w:val="nil"/>
              <w:left w:val="nil"/>
              <w:bottom w:val="single" w:sz="4" w:space="0" w:color="auto"/>
              <w:right w:val="single" w:sz="4" w:space="0" w:color="auto"/>
            </w:tcBorders>
            <w:shd w:val="clear" w:color="auto" w:fill="FFFF99"/>
            <w:noWrap/>
            <w:vAlign w:val="bottom"/>
          </w:tcPr>
          <w:p w14:paraId="07A99B3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62</w:t>
            </w:r>
          </w:p>
        </w:tc>
        <w:tc>
          <w:tcPr>
            <w:tcW w:w="794" w:type="pct"/>
            <w:tcBorders>
              <w:top w:val="nil"/>
              <w:left w:val="nil"/>
              <w:bottom w:val="single" w:sz="4" w:space="0" w:color="auto"/>
              <w:right w:val="single" w:sz="4" w:space="0" w:color="auto"/>
            </w:tcBorders>
            <w:shd w:val="clear" w:color="auto" w:fill="FFFF99"/>
            <w:vAlign w:val="center"/>
          </w:tcPr>
          <w:p w14:paraId="10B3A7C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148</w:t>
            </w:r>
          </w:p>
        </w:tc>
        <w:tc>
          <w:tcPr>
            <w:tcW w:w="767" w:type="pct"/>
            <w:tcBorders>
              <w:top w:val="nil"/>
              <w:left w:val="nil"/>
              <w:bottom w:val="single" w:sz="4" w:space="0" w:color="auto"/>
              <w:right w:val="single" w:sz="4" w:space="0" w:color="auto"/>
            </w:tcBorders>
            <w:shd w:val="clear" w:color="auto" w:fill="FFFF99"/>
            <w:vAlign w:val="center"/>
          </w:tcPr>
          <w:p w14:paraId="573761B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355</w:t>
            </w:r>
          </w:p>
        </w:tc>
      </w:tr>
      <w:tr w:rsidR="00EC39BD" w:rsidRPr="00AA0B4A" w14:paraId="0142BB34"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56F668A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619773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33</w:t>
            </w:r>
          </w:p>
        </w:tc>
        <w:tc>
          <w:tcPr>
            <w:tcW w:w="739" w:type="pct"/>
            <w:tcBorders>
              <w:top w:val="nil"/>
              <w:left w:val="nil"/>
              <w:bottom w:val="single" w:sz="4" w:space="0" w:color="auto"/>
              <w:right w:val="single" w:sz="4" w:space="0" w:color="auto"/>
            </w:tcBorders>
            <w:shd w:val="clear" w:color="auto" w:fill="FFFF99"/>
            <w:noWrap/>
            <w:vAlign w:val="bottom"/>
          </w:tcPr>
          <w:p w14:paraId="59FF00FF"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93</w:t>
            </w:r>
          </w:p>
        </w:tc>
        <w:tc>
          <w:tcPr>
            <w:tcW w:w="798" w:type="pct"/>
            <w:tcBorders>
              <w:top w:val="nil"/>
              <w:left w:val="nil"/>
              <w:bottom w:val="single" w:sz="4" w:space="0" w:color="auto"/>
              <w:right w:val="single" w:sz="4" w:space="0" w:color="auto"/>
            </w:tcBorders>
            <w:shd w:val="clear" w:color="auto" w:fill="FFFF99"/>
            <w:noWrap/>
            <w:vAlign w:val="bottom"/>
          </w:tcPr>
          <w:p w14:paraId="26D6213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95</w:t>
            </w:r>
          </w:p>
        </w:tc>
        <w:tc>
          <w:tcPr>
            <w:tcW w:w="794" w:type="pct"/>
            <w:tcBorders>
              <w:top w:val="nil"/>
              <w:left w:val="nil"/>
              <w:bottom w:val="single" w:sz="4" w:space="0" w:color="auto"/>
              <w:right w:val="single" w:sz="4" w:space="0" w:color="auto"/>
            </w:tcBorders>
            <w:shd w:val="clear" w:color="auto" w:fill="FFFF99"/>
            <w:vAlign w:val="center"/>
          </w:tcPr>
          <w:p w14:paraId="7FC3ED2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r>
              <w:rPr>
                <w:rFonts w:ascii="Times New Roman" w:hAnsi="Times New Roman"/>
                <w:noProof/>
                <w:sz w:val="18"/>
                <w:szCs w:val="18"/>
                <w:lang w:eastAsia="en-GB"/>
              </w:rPr>
              <w:t>34</w:t>
            </w:r>
          </w:p>
        </w:tc>
        <w:tc>
          <w:tcPr>
            <w:tcW w:w="767" w:type="pct"/>
            <w:tcBorders>
              <w:top w:val="nil"/>
              <w:left w:val="nil"/>
              <w:bottom w:val="single" w:sz="4" w:space="0" w:color="auto"/>
              <w:right w:val="single" w:sz="4" w:space="0" w:color="auto"/>
            </w:tcBorders>
            <w:shd w:val="clear" w:color="auto" w:fill="FFFF99"/>
            <w:vAlign w:val="center"/>
          </w:tcPr>
          <w:p w14:paraId="1A6DCC4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813</w:t>
            </w:r>
          </w:p>
        </w:tc>
      </w:tr>
      <w:tr w:rsidR="00EC39BD" w:rsidRPr="00AA0B4A" w14:paraId="23A0C971"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7814739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w:t>
            </w:r>
            <w:r>
              <w:rPr>
                <w:rFonts w:ascii="Times New Roman" w:hAnsi="Times New Roman"/>
                <w:b/>
                <w:noProof/>
                <w:color w:val="000000"/>
                <w:sz w:val="18"/>
                <w:szCs w:val="18"/>
                <w:lang w:eastAsia="en-GB"/>
              </w:rPr>
              <w:t>*</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3A3161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3</w:t>
            </w:r>
          </w:p>
        </w:tc>
        <w:tc>
          <w:tcPr>
            <w:tcW w:w="739" w:type="pct"/>
            <w:tcBorders>
              <w:top w:val="nil"/>
              <w:left w:val="nil"/>
              <w:bottom w:val="single" w:sz="4" w:space="0" w:color="auto"/>
              <w:right w:val="single" w:sz="4" w:space="0" w:color="auto"/>
            </w:tcBorders>
            <w:shd w:val="clear" w:color="auto" w:fill="FFFF99"/>
            <w:noWrap/>
            <w:vAlign w:val="bottom"/>
          </w:tcPr>
          <w:p w14:paraId="62933237"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p>
        </w:tc>
        <w:tc>
          <w:tcPr>
            <w:tcW w:w="798" w:type="pct"/>
            <w:tcBorders>
              <w:top w:val="nil"/>
              <w:left w:val="nil"/>
              <w:bottom w:val="single" w:sz="4" w:space="0" w:color="auto"/>
              <w:right w:val="single" w:sz="4" w:space="0" w:color="auto"/>
            </w:tcBorders>
            <w:shd w:val="clear" w:color="auto" w:fill="FFFF99"/>
            <w:noWrap/>
            <w:vAlign w:val="bottom"/>
          </w:tcPr>
          <w:p w14:paraId="43FA5B3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794" w:type="pct"/>
            <w:tcBorders>
              <w:top w:val="nil"/>
              <w:left w:val="nil"/>
              <w:bottom w:val="single" w:sz="4" w:space="0" w:color="auto"/>
              <w:right w:val="single" w:sz="4" w:space="0" w:color="auto"/>
            </w:tcBorders>
            <w:shd w:val="clear" w:color="auto" w:fill="FFFF99"/>
            <w:vAlign w:val="center"/>
          </w:tcPr>
          <w:p w14:paraId="768A5B1E"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9732D0">
              <w:rPr>
                <w:rFonts w:ascii="Times New Roman" w:hAnsi="Times New Roman"/>
                <w:noProof/>
                <w:sz w:val="18"/>
                <w:szCs w:val="18"/>
                <w:lang w:eastAsia="en-GB"/>
              </w:rPr>
              <w:t>10</w:t>
            </w:r>
          </w:p>
        </w:tc>
        <w:tc>
          <w:tcPr>
            <w:tcW w:w="767" w:type="pct"/>
            <w:tcBorders>
              <w:top w:val="nil"/>
              <w:left w:val="nil"/>
              <w:bottom w:val="single" w:sz="4" w:space="0" w:color="auto"/>
              <w:right w:val="single" w:sz="4" w:space="0" w:color="auto"/>
            </w:tcBorders>
            <w:shd w:val="clear" w:color="auto" w:fill="FFFF99"/>
            <w:vAlign w:val="center"/>
          </w:tcPr>
          <w:p w14:paraId="34D67DB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 xml:space="preserve">6 </w:t>
            </w:r>
          </w:p>
        </w:tc>
      </w:tr>
      <w:tr w:rsidR="00EC39BD" w:rsidRPr="00AA0B4A" w14:paraId="24E2797D"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5CBB3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287B5B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26</w:t>
            </w:r>
          </w:p>
        </w:tc>
        <w:tc>
          <w:tcPr>
            <w:tcW w:w="739" w:type="pct"/>
            <w:tcBorders>
              <w:top w:val="nil"/>
              <w:left w:val="nil"/>
              <w:bottom w:val="single" w:sz="4" w:space="0" w:color="auto"/>
              <w:right w:val="single" w:sz="4" w:space="0" w:color="auto"/>
            </w:tcBorders>
            <w:shd w:val="clear" w:color="auto" w:fill="FFFF99"/>
            <w:noWrap/>
            <w:vAlign w:val="bottom"/>
          </w:tcPr>
          <w:p w14:paraId="2B528A1E"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3</w:t>
            </w:r>
            <w:r>
              <w:rPr>
                <w:rFonts w:ascii="Times New Roman" w:hAnsi="Times New Roman"/>
                <w:noProof/>
                <w:sz w:val="18"/>
                <w:szCs w:val="18"/>
                <w:lang w:eastAsia="en-GB"/>
              </w:rPr>
              <w:t>9</w:t>
            </w:r>
          </w:p>
        </w:tc>
        <w:tc>
          <w:tcPr>
            <w:tcW w:w="798" w:type="pct"/>
            <w:tcBorders>
              <w:top w:val="nil"/>
              <w:left w:val="nil"/>
              <w:bottom w:val="single" w:sz="4" w:space="0" w:color="auto"/>
              <w:right w:val="single" w:sz="4" w:space="0" w:color="auto"/>
            </w:tcBorders>
            <w:shd w:val="clear" w:color="auto" w:fill="FFFF99"/>
            <w:noWrap/>
            <w:vAlign w:val="bottom"/>
          </w:tcPr>
          <w:p w14:paraId="18895E9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31</w:t>
            </w:r>
          </w:p>
        </w:tc>
        <w:tc>
          <w:tcPr>
            <w:tcW w:w="794" w:type="pct"/>
            <w:tcBorders>
              <w:top w:val="nil"/>
              <w:left w:val="nil"/>
              <w:bottom w:val="single" w:sz="4" w:space="0" w:color="auto"/>
              <w:right w:val="single" w:sz="4" w:space="0" w:color="auto"/>
            </w:tcBorders>
            <w:shd w:val="clear" w:color="auto" w:fill="FFFF99"/>
            <w:vAlign w:val="center"/>
          </w:tcPr>
          <w:p w14:paraId="68FDBDF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2</w:t>
            </w:r>
            <w:r>
              <w:rPr>
                <w:rFonts w:ascii="Times New Roman" w:hAnsi="Times New Roman"/>
                <w:noProof/>
                <w:sz w:val="18"/>
                <w:szCs w:val="18"/>
                <w:lang w:eastAsia="en-GB"/>
              </w:rPr>
              <w:t>3</w:t>
            </w:r>
          </w:p>
        </w:tc>
        <w:tc>
          <w:tcPr>
            <w:tcW w:w="767" w:type="pct"/>
            <w:tcBorders>
              <w:top w:val="nil"/>
              <w:left w:val="nil"/>
              <w:bottom w:val="single" w:sz="4" w:space="0" w:color="auto"/>
              <w:right w:val="single" w:sz="4" w:space="0" w:color="auto"/>
            </w:tcBorders>
            <w:shd w:val="clear" w:color="auto" w:fill="FFFF99"/>
            <w:vAlign w:val="center"/>
          </w:tcPr>
          <w:p w14:paraId="696D65A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36</w:t>
            </w:r>
          </w:p>
        </w:tc>
      </w:tr>
      <w:tr w:rsidR="00EC39BD" w:rsidRPr="00AA0B4A" w14:paraId="54EB84FF"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1F5B698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TRADE</w:t>
            </w:r>
          </w:p>
        </w:tc>
        <w:tc>
          <w:tcPr>
            <w:tcW w:w="739"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10EB637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739" w:type="pct"/>
            <w:tcBorders>
              <w:top w:val="nil"/>
              <w:left w:val="nil"/>
              <w:bottom w:val="single" w:sz="4" w:space="0" w:color="auto"/>
              <w:right w:val="single" w:sz="4" w:space="0" w:color="auto"/>
            </w:tcBorders>
            <w:shd w:val="clear" w:color="auto" w:fill="FFFF99"/>
            <w:noWrap/>
            <w:vAlign w:val="bottom"/>
          </w:tcPr>
          <w:p w14:paraId="315296E8"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8</w:t>
            </w:r>
          </w:p>
        </w:tc>
        <w:tc>
          <w:tcPr>
            <w:tcW w:w="798" w:type="pct"/>
            <w:tcBorders>
              <w:top w:val="nil"/>
              <w:left w:val="nil"/>
              <w:bottom w:val="single" w:sz="4" w:space="0" w:color="auto"/>
              <w:right w:val="single" w:sz="4" w:space="0" w:color="auto"/>
            </w:tcBorders>
            <w:shd w:val="clear" w:color="auto" w:fill="FFFF99"/>
            <w:noWrap/>
            <w:vAlign w:val="bottom"/>
          </w:tcPr>
          <w:p w14:paraId="4874063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794" w:type="pct"/>
            <w:tcBorders>
              <w:top w:val="nil"/>
              <w:left w:val="nil"/>
              <w:bottom w:val="single" w:sz="4" w:space="0" w:color="auto"/>
              <w:right w:val="single" w:sz="4" w:space="0" w:color="auto"/>
            </w:tcBorders>
            <w:shd w:val="clear" w:color="auto" w:fill="FFFF99"/>
            <w:vAlign w:val="center"/>
          </w:tcPr>
          <w:p w14:paraId="262048B3"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7</w:t>
            </w:r>
            <w:r>
              <w:rPr>
                <w:rFonts w:ascii="Times New Roman" w:hAnsi="Times New Roman"/>
                <w:noProof/>
                <w:sz w:val="18"/>
                <w:szCs w:val="18"/>
                <w:lang w:eastAsia="en-GB"/>
              </w:rPr>
              <w:t>0</w:t>
            </w:r>
          </w:p>
        </w:tc>
        <w:tc>
          <w:tcPr>
            <w:tcW w:w="767" w:type="pct"/>
            <w:tcBorders>
              <w:top w:val="nil"/>
              <w:left w:val="nil"/>
              <w:bottom w:val="single" w:sz="4" w:space="0" w:color="auto"/>
              <w:right w:val="single" w:sz="4" w:space="0" w:color="auto"/>
            </w:tcBorders>
            <w:shd w:val="clear" w:color="auto" w:fill="FFFF99"/>
            <w:vAlign w:val="center"/>
          </w:tcPr>
          <w:p w14:paraId="3F91BC2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49</w:t>
            </w:r>
          </w:p>
        </w:tc>
      </w:tr>
      <w:tr w:rsidR="00EC39BD" w:rsidRPr="00AA0B4A" w14:paraId="733CD714" w14:textId="77777777" w:rsidTr="00E55B57">
        <w:trPr>
          <w:trHeight w:val="275"/>
        </w:trPr>
        <w:tc>
          <w:tcPr>
            <w:tcW w:w="1163" w:type="pct"/>
            <w:tcBorders>
              <w:top w:val="nil"/>
              <w:left w:val="single" w:sz="4" w:space="0" w:color="auto"/>
              <w:bottom w:val="single" w:sz="4" w:space="0" w:color="auto"/>
              <w:right w:val="single" w:sz="4" w:space="0" w:color="auto"/>
            </w:tcBorders>
            <w:shd w:val="clear" w:color="auto" w:fill="FFFF99"/>
            <w:noWrap/>
            <w:vAlign w:val="bottom"/>
          </w:tcPr>
          <w:p w14:paraId="6A5A1542" w14:textId="77777777" w:rsidR="00EC39BD" w:rsidRPr="00AA0B4A" w:rsidRDefault="00EC39BD" w:rsidP="00E55B57">
            <w:pPr>
              <w:spacing w:after="0"/>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739" w:type="pct"/>
            <w:tcBorders>
              <w:top w:val="nil"/>
              <w:left w:val="nil"/>
              <w:bottom w:val="single" w:sz="4" w:space="0" w:color="auto"/>
              <w:right w:val="single" w:sz="4" w:space="0" w:color="auto"/>
            </w:tcBorders>
            <w:shd w:val="clear" w:color="auto" w:fill="FFFF99"/>
            <w:noWrap/>
            <w:vAlign w:val="bottom"/>
          </w:tcPr>
          <w:p w14:paraId="1CEE7107" w14:textId="77777777" w:rsidR="00EC39BD" w:rsidRPr="00AA0B4A"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322</w:t>
            </w:r>
          </w:p>
        </w:tc>
        <w:tc>
          <w:tcPr>
            <w:tcW w:w="739" w:type="pct"/>
            <w:tcBorders>
              <w:top w:val="nil"/>
              <w:left w:val="nil"/>
              <w:bottom w:val="single" w:sz="4" w:space="0" w:color="auto"/>
              <w:right w:val="single" w:sz="4" w:space="0" w:color="auto"/>
            </w:tcBorders>
            <w:shd w:val="clear" w:color="auto" w:fill="FFFF99"/>
            <w:noWrap/>
            <w:vAlign w:val="bottom"/>
          </w:tcPr>
          <w:p w14:paraId="0272CA2D" w14:textId="77777777" w:rsidR="00EC39BD" w:rsidRPr="00AA0B4A"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646</w:t>
            </w:r>
          </w:p>
        </w:tc>
        <w:tc>
          <w:tcPr>
            <w:tcW w:w="798" w:type="pct"/>
            <w:tcBorders>
              <w:top w:val="nil"/>
              <w:left w:val="nil"/>
              <w:bottom w:val="single" w:sz="4" w:space="0" w:color="auto"/>
              <w:right w:val="single" w:sz="4" w:space="0" w:color="auto"/>
            </w:tcBorders>
            <w:shd w:val="clear" w:color="auto" w:fill="FFFF99"/>
            <w:noWrap/>
            <w:vAlign w:val="bottom"/>
          </w:tcPr>
          <w:p w14:paraId="08C2CF68" w14:textId="77777777" w:rsidR="00EC39BD" w:rsidRPr="00AA0B4A"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673</w:t>
            </w:r>
          </w:p>
        </w:tc>
        <w:tc>
          <w:tcPr>
            <w:tcW w:w="794" w:type="pct"/>
            <w:tcBorders>
              <w:top w:val="nil"/>
              <w:left w:val="nil"/>
              <w:bottom w:val="single" w:sz="4" w:space="0" w:color="auto"/>
              <w:right w:val="single" w:sz="4" w:space="0" w:color="auto"/>
            </w:tcBorders>
            <w:shd w:val="clear" w:color="auto" w:fill="FFFF99"/>
            <w:vAlign w:val="center"/>
          </w:tcPr>
          <w:p w14:paraId="349B7EF5" w14:textId="77777777" w:rsidR="00EC39BD" w:rsidRPr="00AA0B4A"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1476</w:t>
            </w:r>
          </w:p>
        </w:tc>
        <w:tc>
          <w:tcPr>
            <w:tcW w:w="767" w:type="pct"/>
            <w:tcBorders>
              <w:top w:val="nil"/>
              <w:left w:val="nil"/>
              <w:bottom w:val="single" w:sz="4" w:space="0" w:color="auto"/>
              <w:right w:val="single" w:sz="4" w:space="0" w:color="auto"/>
            </w:tcBorders>
            <w:shd w:val="clear" w:color="auto" w:fill="FFFF99"/>
            <w:vAlign w:val="center"/>
          </w:tcPr>
          <w:p w14:paraId="4C6253FC" w14:textId="77777777" w:rsidR="00EC39BD" w:rsidRPr="00AA0B4A"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1675</w:t>
            </w:r>
          </w:p>
        </w:tc>
      </w:tr>
    </w:tbl>
    <w:p w14:paraId="00140B69" w14:textId="77777777" w:rsidR="00EC39BD" w:rsidRPr="00AA0B4A" w:rsidRDefault="00EC39BD" w:rsidP="00EC39BD">
      <w:pPr>
        <w:spacing w:before="40" w:line="240" w:lineRule="auto"/>
        <w:jc w:val="both"/>
        <w:rPr>
          <w:rFonts w:ascii="Times New Roman" w:hAnsi="Times New Roman"/>
          <w:i/>
          <w:noProof/>
          <w:sz w:val="18"/>
          <w:szCs w:val="18"/>
        </w:rPr>
      </w:pPr>
      <w:r w:rsidRPr="00AA0B4A">
        <w:rPr>
          <w:rFonts w:ascii="Times New Roman" w:hAnsi="Times New Roman"/>
          <w:i/>
          <w:noProof/>
          <w:sz w:val="18"/>
          <w:szCs w:val="18"/>
        </w:rPr>
        <w:t xml:space="preserve">* </w:t>
      </w:r>
      <w:r w:rsidRPr="00CD49CB">
        <w:rPr>
          <w:rFonts w:ascii="Times New Roman" w:hAnsi="Times New Roman"/>
          <w:i/>
          <w:noProof/>
          <w:sz w:val="18"/>
          <w:szCs w:val="18"/>
        </w:rPr>
        <w:t>Including m</w:t>
      </w:r>
      <w:r w:rsidRPr="00AA0B4A">
        <w:rPr>
          <w:rFonts w:ascii="Times New Roman" w:hAnsi="Times New Roman"/>
          <w:i/>
          <w:noProof/>
          <w:sz w:val="18"/>
          <w:szCs w:val="18"/>
        </w:rPr>
        <w:t>eetings/written procedure</w:t>
      </w:r>
      <w:r>
        <w:rPr>
          <w:rFonts w:ascii="Times New Roman" w:hAnsi="Times New Roman"/>
          <w:i/>
          <w:noProof/>
          <w:sz w:val="18"/>
          <w:szCs w:val="18"/>
        </w:rPr>
        <w:t>s</w:t>
      </w:r>
      <w:r w:rsidRPr="00AA0B4A">
        <w:rPr>
          <w:rFonts w:ascii="Times New Roman" w:hAnsi="Times New Roman"/>
          <w:i/>
          <w:noProof/>
          <w:sz w:val="18"/>
          <w:szCs w:val="18"/>
        </w:rPr>
        <w:t xml:space="preserve"> of the </w:t>
      </w:r>
      <w:r>
        <w:rPr>
          <w:rFonts w:ascii="Times New Roman" w:hAnsi="Times New Roman"/>
          <w:i/>
          <w:noProof/>
          <w:sz w:val="18"/>
          <w:szCs w:val="18"/>
        </w:rPr>
        <w:t>a</w:t>
      </w:r>
      <w:r w:rsidRPr="00AA0B4A">
        <w:rPr>
          <w:rFonts w:ascii="Times New Roman" w:hAnsi="Times New Roman"/>
          <w:i/>
          <w:noProof/>
          <w:sz w:val="18"/>
          <w:szCs w:val="18"/>
        </w:rPr>
        <w:t xml:space="preserve">ppeal </w:t>
      </w:r>
      <w:r>
        <w:rPr>
          <w:rFonts w:ascii="Times New Roman" w:hAnsi="Times New Roman"/>
          <w:i/>
          <w:noProof/>
          <w:sz w:val="18"/>
          <w:szCs w:val="18"/>
        </w:rPr>
        <w:t>c</w:t>
      </w:r>
      <w:r w:rsidRPr="00AA0B4A">
        <w:rPr>
          <w:rFonts w:ascii="Times New Roman" w:hAnsi="Times New Roman"/>
          <w:i/>
          <w:noProof/>
          <w:sz w:val="18"/>
          <w:szCs w:val="18"/>
        </w:rPr>
        <w:t>ommittee</w:t>
      </w:r>
    </w:p>
    <w:p w14:paraId="1C06796A" w14:textId="77777777" w:rsidR="00EC39BD" w:rsidRPr="0043776A" w:rsidRDefault="00EC39BD" w:rsidP="00EC39BD">
      <w:pPr>
        <w:spacing w:after="240"/>
        <w:jc w:val="both"/>
        <w:rPr>
          <w:rFonts w:ascii="Times New Roman" w:hAnsi="Times New Roman"/>
          <w:noProof/>
          <w:sz w:val="24"/>
          <w:szCs w:val="24"/>
        </w:rPr>
      </w:pPr>
      <w:r w:rsidRPr="00AA0B4A">
        <w:rPr>
          <w:rFonts w:ascii="Times New Roman" w:hAnsi="Times New Roman"/>
          <w:noProof/>
          <w:sz w:val="24"/>
          <w:szCs w:val="24"/>
        </w:rPr>
        <w:t xml:space="preserve">There were </w:t>
      </w:r>
      <w:r w:rsidRPr="00E6753F">
        <w:rPr>
          <w:rFonts w:ascii="Times New Roman" w:hAnsi="Times New Roman"/>
          <w:b/>
          <w:bCs/>
          <w:noProof/>
          <w:sz w:val="24"/>
          <w:szCs w:val="24"/>
        </w:rPr>
        <w:t>67</w:t>
      </w:r>
      <w:r>
        <w:rPr>
          <w:rFonts w:ascii="Times New Roman" w:hAnsi="Times New Roman"/>
          <w:b/>
          <w:bCs/>
          <w:noProof/>
          <w:sz w:val="24"/>
          <w:szCs w:val="24"/>
        </w:rPr>
        <w:t>3</w:t>
      </w:r>
      <w:r w:rsidRPr="00E6753F">
        <w:rPr>
          <w:rFonts w:ascii="Times New Roman" w:hAnsi="Times New Roman"/>
          <w:b/>
          <w:bCs/>
          <w:noProof/>
          <w:sz w:val="24"/>
          <w:szCs w:val="24"/>
        </w:rPr>
        <w:t xml:space="preserve"> meetings</w:t>
      </w:r>
      <w:r w:rsidRPr="0036286B">
        <w:rPr>
          <w:rFonts w:ascii="Times New Roman" w:hAnsi="Times New Roman"/>
          <w:noProof/>
          <w:sz w:val="24"/>
          <w:szCs w:val="24"/>
        </w:rPr>
        <w:t xml:space="preserve"> in 202</w:t>
      </w:r>
      <w:r>
        <w:rPr>
          <w:rFonts w:ascii="Times New Roman" w:hAnsi="Times New Roman"/>
          <w:noProof/>
          <w:sz w:val="24"/>
          <w:szCs w:val="24"/>
        </w:rPr>
        <w:t>2</w:t>
      </w:r>
      <w:r w:rsidRPr="0036286B">
        <w:rPr>
          <w:rFonts w:ascii="Times New Roman" w:hAnsi="Times New Roman"/>
          <w:noProof/>
          <w:sz w:val="24"/>
          <w:szCs w:val="24"/>
        </w:rPr>
        <w:t xml:space="preserve">, which is </w:t>
      </w:r>
      <w:r>
        <w:rPr>
          <w:rFonts w:ascii="Times New Roman" w:hAnsi="Times New Roman"/>
          <w:noProof/>
          <w:sz w:val="24"/>
          <w:szCs w:val="24"/>
        </w:rPr>
        <w:t xml:space="preserve">slightly </w:t>
      </w:r>
      <w:r w:rsidRPr="0036286B">
        <w:rPr>
          <w:rFonts w:ascii="Times New Roman" w:hAnsi="Times New Roman"/>
          <w:noProof/>
          <w:sz w:val="24"/>
          <w:szCs w:val="24"/>
        </w:rPr>
        <w:t>more than in 202</w:t>
      </w:r>
      <w:r>
        <w:rPr>
          <w:rFonts w:ascii="Times New Roman" w:hAnsi="Times New Roman"/>
          <w:noProof/>
          <w:sz w:val="24"/>
          <w:szCs w:val="24"/>
        </w:rPr>
        <w:t xml:space="preserve">1 (646), with </w:t>
      </w:r>
      <w:r w:rsidRPr="00E6753F">
        <w:rPr>
          <w:rFonts w:ascii="Times New Roman" w:hAnsi="Times New Roman"/>
          <w:b/>
          <w:bCs/>
          <w:noProof/>
          <w:sz w:val="24"/>
          <w:szCs w:val="24"/>
        </w:rPr>
        <w:t>1675 written procedures</w:t>
      </w:r>
      <w:r>
        <w:rPr>
          <w:rFonts w:ascii="Times New Roman" w:hAnsi="Times New Roman"/>
          <w:noProof/>
          <w:sz w:val="24"/>
          <w:szCs w:val="24"/>
        </w:rPr>
        <w:t xml:space="preserve">, which is also </w:t>
      </w:r>
      <w:r w:rsidRPr="0043776A">
        <w:rPr>
          <w:rFonts w:ascii="Times New Roman" w:hAnsi="Times New Roman"/>
          <w:noProof/>
          <w:sz w:val="24"/>
          <w:szCs w:val="24"/>
        </w:rPr>
        <w:t>higher than the year before</w:t>
      </w:r>
      <w:r>
        <w:rPr>
          <w:rFonts w:ascii="Times New Roman" w:hAnsi="Times New Roman"/>
          <w:noProof/>
          <w:sz w:val="24"/>
          <w:szCs w:val="24"/>
        </w:rPr>
        <w:t xml:space="preserve"> (1476)</w:t>
      </w:r>
      <w:r w:rsidRPr="0043776A">
        <w:rPr>
          <w:rFonts w:ascii="Times New Roman" w:hAnsi="Times New Roman"/>
          <w:noProof/>
          <w:sz w:val="24"/>
          <w:szCs w:val="24"/>
        </w:rPr>
        <w:t>.</w:t>
      </w:r>
    </w:p>
    <w:p w14:paraId="3F6C88D0" w14:textId="77777777" w:rsidR="00EC39BD" w:rsidRPr="00AA0B4A" w:rsidRDefault="00EC39BD" w:rsidP="00EC39BD">
      <w:pPr>
        <w:pStyle w:val="ManualHeading2"/>
        <w:spacing w:before="240"/>
        <w:ind w:left="851" w:hanging="851"/>
        <w:rPr>
          <w:noProof/>
        </w:rPr>
      </w:pPr>
      <w:r w:rsidRPr="007772AB">
        <w:rPr>
          <w:noProof/>
        </w:rPr>
        <w:t>3.3.</w:t>
      </w:r>
      <w:r w:rsidRPr="007772AB">
        <w:rPr>
          <w:noProof/>
        </w:rPr>
        <w:tab/>
      </w:r>
      <w:r w:rsidRPr="00AA0B4A">
        <w:rPr>
          <w:noProof/>
        </w:rPr>
        <w:t>Number of opinions and implementing acts</w:t>
      </w:r>
    </w:p>
    <w:p w14:paraId="41C9689B" w14:textId="77777777" w:rsidR="00EC39BD" w:rsidRPr="00AA0B4A" w:rsidRDefault="00EC39BD" w:rsidP="00EC39BD">
      <w:pPr>
        <w:spacing w:after="120"/>
        <w:jc w:val="both"/>
        <w:rPr>
          <w:rFonts w:ascii="Times New Roman" w:hAnsi="Times New Roman"/>
          <w:noProof/>
          <w:sz w:val="24"/>
          <w:szCs w:val="24"/>
        </w:rPr>
      </w:pPr>
      <w:r>
        <w:rPr>
          <w:rFonts w:ascii="Times New Roman" w:hAnsi="Times New Roman"/>
          <w:noProof/>
          <w:sz w:val="24"/>
          <w:szCs w:val="24"/>
        </w:rPr>
        <w:t>T</w:t>
      </w:r>
      <w:r w:rsidRPr="00AA0B4A">
        <w:rPr>
          <w:rFonts w:ascii="Times New Roman" w:hAnsi="Times New Roman"/>
          <w:noProof/>
          <w:sz w:val="24"/>
          <w:szCs w:val="24"/>
        </w:rPr>
        <w:t xml:space="preserve">his report </w:t>
      </w:r>
      <w:r>
        <w:rPr>
          <w:rFonts w:ascii="Times New Roman" w:hAnsi="Times New Roman"/>
          <w:noProof/>
          <w:sz w:val="24"/>
          <w:szCs w:val="24"/>
        </w:rPr>
        <w:t xml:space="preserve">also gives an indication of the tangible output of the committees, which is another important indicator of the level of activity. Table IV presents </w:t>
      </w:r>
      <w:r w:rsidRPr="00AA0B4A">
        <w:rPr>
          <w:rFonts w:ascii="Times New Roman" w:hAnsi="Times New Roman"/>
          <w:noProof/>
          <w:sz w:val="24"/>
          <w:szCs w:val="24"/>
        </w:rPr>
        <w:t xml:space="preserve">overall figures on the formal </w:t>
      </w:r>
      <w:r w:rsidRPr="00FE36B7">
        <w:rPr>
          <w:rFonts w:ascii="Times New Roman" w:hAnsi="Times New Roman"/>
          <w:iCs/>
          <w:noProof/>
          <w:sz w:val="24"/>
          <w:szCs w:val="24"/>
        </w:rPr>
        <w:t>opinions</w:t>
      </w:r>
      <w:r w:rsidRPr="00AA0B4A">
        <w:rPr>
          <w:rFonts w:ascii="Times New Roman" w:hAnsi="Times New Roman"/>
          <w:noProof/>
          <w:sz w:val="24"/>
          <w:szCs w:val="24"/>
        </w:rPr>
        <w:t xml:space="preserve"> delivered by the committees and the subsequent </w:t>
      </w:r>
      <w:r w:rsidRPr="00FE36B7">
        <w:rPr>
          <w:rFonts w:ascii="Times New Roman" w:hAnsi="Times New Roman"/>
          <w:iCs/>
          <w:noProof/>
          <w:sz w:val="24"/>
          <w:szCs w:val="24"/>
        </w:rPr>
        <w:t>implementing acts</w:t>
      </w:r>
      <w:r w:rsidRPr="00AA0B4A">
        <w:rPr>
          <w:rFonts w:ascii="Times New Roman" w:hAnsi="Times New Roman"/>
          <w:noProof/>
          <w:sz w:val="24"/>
          <w:szCs w:val="24"/>
        </w:rPr>
        <w:t xml:space="preserve"> adopted by the Commission</w:t>
      </w:r>
      <w:r w:rsidRPr="00AA0B4A">
        <w:rPr>
          <w:rFonts w:ascii="Times New Roman" w:hAnsi="Times New Roman"/>
          <w:noProof/>
          <w:sz w:val="24"/>
          <w:szCs w:val="24"/>
          <w:vertAlign w:val="superscript"/>
        </w:rPr>
        <w:footnoteReference w:id="22"/>
      </w:r>
      <w:r>
        <w:rPr>
          <w:rFonts w:ascii="Times New Roman" w:hAnsi="Times New Roman"/>
          <w:noProof/>
          <w:sz w:val="24"/>
          <w:szCs w:val="24"/>
        </w:rPr>
        <w:t>, also flagging the cases where either the European Parliament or the Council have exercised their right of scrutiny under Article 11 of the Comitology Regulation.</w:t>
      </w:r>
    </w:p>
    <w:p w14:paraId="66BEE25D" w14:textId="77777777" w:rsidR="00EC39BD" w:rsidRPr="00AA0B4A" w:rsidRDefault="00EC39BD" w:rsidP="00EC39BD">
      <w:pPr>
        <w:keepNext/>
        <w:spacing w:line="240" w:lineRule="auto"/>
        <w:rPr>
          <w:rFonts w:ascii="Times New Roman" w:hAnsi="Times New Roman"/>
          <w:b/>
          <w:smallCaps/>
          <w:noProof/>
          <w:sz w:val="24"/>
          <w:szCs w:val="24"/>
          <w:u w:val="single"/>
        </w:rPr>
      </w:pPr>
      <w:r w:rsidRPr="00AA0B4A">
        <w:rPr>
          <w:rFonts w:ascii="Times New Roman" w:hAnsi="Times New Roman"/>
          <w:b/>
          <w:noProof/>
          <w:sz w:val="24"/>
          <w:szCs w:val="24"/>
          <w:u w:val="single"/>
        </w:rPr>
        <w:t xml:space="preserve">TABLE IV — </w:t>
      </w:r>
      <w:r w:rsidRPr="00AA0B4A">
        <w:rPr>
          <w:rFonts w:ascii="Times New Roman" w:hAnsi="Times New Roman"/>
          <w:b/>
          <w:smallCaps/>
          <w:noProof/>
          <w:sz w:val="24"/>
          <w:szCs w:val="24"/>
          <w:u w:val="single"/>
        </w:rPr>
        <w:t>Number of opinions and implementing acts adopted</w:t>
      </w:r>
      <w:r>
        <w:rPr>
          <w:rStyle w:val="FootnoteReference"/>
          <w:rFonts w:ascii="Times New Roman" w:hAnsi="Times New Roman"/>
          <w:b/>
          <w:smallCaps/>
          <w:noProof/>
          <w:sz w:val="24"/>
          <w:szCs w:val="24"/>
          <w:u w:val="single"/>
        </w:rPr>
        <w:footnoteReference w:id="23"/>
      </w:r>
    </w:p>
    <w:tbl>
      <w:tblPr>
        <w:tblW w:w="4885" w:type="pct"/>
        <w:tblInd w:w="108" w:type="dxa"/>
        <w:tblLook w:val="0000" w:firstRow="0" w:lastRow="0" w:firstColumn="0" w:lastColumn="0" w:noHBand="0" w:noVBand="0"/>
      </w:tblPr>
      <w:tblGrid>
        <w:gridCol w:w="2113"/>
        <w:gridCol w:w="1272"/>
        <w:gridCol w:w="1208"/>
        <w:gridCol w:w="1219"/>
        <w:gridCol w:w="1277"/>
        <w:gridCol w:w="1983"/>
      </w:tblGrid>
      <w:tr w:rsidR="00EC39BD" w:rsidRPr="00AA0B4A" w14:paraId="66B55D6B" w14:textId="77777777" w:rsidTr="00E55B57">
        <w:trPr>
          <w:trHeight w:val="525"/>
        </w:trPr>
        <w:tc>
          <w:tcPr>
            <w:tcW w:w="1164"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43FF04BE" w14:textId="77777777" w:rsidR="00EC39BD" w:rsidRPr="00EA7E10" w:rsidRDefault="00EC39BD" w:rsidP="00E55B57">
            <w:pPr>
              <w:spacing w:after="0" w:line="240" w:lineRule="auto"/>
              <w:rPr>
                <w:rFonts w:ascii="Times New Roman" w:hAnsi="Times New Roman"/>
                <w:b/>
                <w:noProof/>
                <w:color w:val="000000"/>
                <w:sz w:val="18"/>
                <w:szCs w:val="18"/>
                <w:lang w:eastAsia="en-GB"/>
              </w:rPr>
            </w:pPr>
            <w:r w:rsidRPr="00EA7E10">
              <w:rPr>
                <w:rFonts w:ascii="Times New Roman" w:hAnsi="Times New Roman"/>
                <w:b/>
                <w:noProof/>
                <w:color w:val="000000"/>
                <w:sz w:val="18"/>
                <w:szCs w:val="18"/>
                <w:lang w:eastAsia="en-GB"/>
              </w:rPr>
              <w:t>Commission department</w:t>
            </w:r>
          </w:p>
        </w:tc>
        <w:tc>
          <w:tcPr>
            <w:tcW w:w="1367" w:type="pct"/>
            <w:gridSpan w:val="2"/>
            <w:tcBorders>
              <w:top w:val="single" w:sz="4" w:space="0" w:color="auto"/>
              <w:left w:val="nil"/>
              <w:bottom w:val="single" w:sz="4" w:space="0" w:color="auto"/>
              <w:right w:val="single" w:sz="4" w:space="0" w:color="auto"/>
            </w:tcBorders>
            <w:shd w:val="clear" w:color="auto" w:fill="FFFF99"/>
            <w:vAlign w:val="center"/>
          </w:tcPr>
          <w:p w14:paraId="2965C9A3"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Opinions</w:t>
            </w:r>
            <w:r w:rsidRPr="00AA0B4A">
              <w:rPr>
                <w:rStyle w:val="FootnoteReference"/>
                <w:rFonts w:ascii="Times New Roman" w:hAnsi="Times New Roman"/>
                <w:b/>
                <w:noProof/>
                <w:color w:val="000000"/>
                <w:sz w:val="18"/>
                <w:szCs w:val="18"/>
                <w:lang w:eastAsia="en-GB"/>
              </w:rPr>
              <w:footnoteReference w:id="24"/>
            </w:r>
          </w:p>
        </w:tc>
        <w:tc>
          <w:tcPr>
            <w:tcW w:w="1376" w:type="pct"/>
            <w:gridSpan w:val="2"/>
            <w:tcBorders>
              <w:top w:val="single" w:sz="4" w:space="0" w:color="auto"/>
              <w:left w:val="nil"/>
              <w:bottom w:val="single" w:sz="4" w:space="0" w:color="auto"/>
              <w:right w:val="single" w:sz="4" w:space="0" w:color="auto"/>
            </w:tcBorders>
            <w:shd w:val="clear" w:color="auto" w:fill="FFFF99"/>
            <w:vAlign w:val="center"/>
          </w:tcPr>
          <w:p w14:paraId="40F5392C"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Implementing </w:t>
            </w:r>
            <w:r>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cts</w:t>
            </w:r>
            <w:r w:rsidRPr="00AA0B4A">
              <w:rPr>
                <w:rFonts w:ascii="Times New Roman" w:hAnsi="Times New Roman"/>
                <w:b/>
                <w:noProof/>
                <w:color w:val="000000"/>
                <w:sz w:val="18"/>
                <w:szCs w:val="18"/>
                <w:lang w:eastAsia="en-GB"/>
              </w:rPr>
              <w:br/>
              <w:t>adopted</w:t>
            </w:r>
          </w:p>
        </w:tc>
        <w:tc>
          <w:tcPr>
            <w:tcW w:w="1093" w:type="pct"/>
            <w:tcBorders>
              <w:top w:val="single" w:sz="4" w:space="0" w:color="auto"/>
              <w:left w:val="nil"/>
              <w:bottom w:val="single" w:sz="4" w:space="0" w:color="auto"/>
              <w:right w:val="single" w:sz="4" w:space="0" w:color="auto"/>
            </w:tcBorders>
            <w:shd w:val="clear" w:color="auto" w:fill="FFFF99"/>
            <w:vAlign w:val="center"/>
          </w:tcPr>
          <w:p w14:paraId="1A9F275A"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P</w:t>
            </w:r>
            <w:r>
              <w:rPr>
                <w:rFonts w:ascii="Times New Roman" w:hAnsi="Times New Roman"/>
                <w:b/>
                <w:noProof/>
                <w:color w:val="000000"/>
                <w:sz w:val="18"/>
                <w:szCs w:val="18"/>
                <w:lang w:eastAsia="en-GB"/>
              </w:rPr>
              <w:t>arliament</w:t>
            </w:r>
            <w:r w:rsidRPr="00AA0B4A">
              <w:rPr>
                <w:rFonts w:ascii="Times New Roman" w:hAnsi="Times New Roman"/>
                <w:b/>
                <w:noProof/>
                <w:color w:val="000000"/>
                <w:sz w:val="18"/>
                <w:szCs w:val="18"/>
                <w:lang w:eastAsia="en-GB"/>
              </w:rPr>
              <w:t xml:space="preserve"> resolutions </w:t>
            </w:r>
            <w:r>
              <w:rPr>
                <w:rFonts w:ascii="Times New Roman" w:hAnsi="Times New Roman"/>
                <w:b/>
                <w:noProof/>
                <w:color w:val="000000"/>
                <w:sz w:val="18"/>
                <w:szCs w:val="18"/>
                <w:lang w:eastAsia="en-GB"/>
              </w:rPr>
              <w:t xml:space="preserve">/Council decisions </w:t>
            </w:r>
            <w:r>
              <w:rPr>
                <w:rFonts w:ascii="Times New Roman" w:hAnsi="Times New Roman"/>
                <w:b/>
                <w:noProof/>
                <w:color w:val="000000"/>
                <w:sz w:val="18"/>
                <w:szCs w:val="18"/>
                <w:lang w:eastAsia="en-GB"/>
              </w:rPr>
              <w:br/>
            </w:r>
            <w:r w:rsidRPr="00AA0B4A">
              <w:rPr>
                <w:rFonts w:ascii="Times New Roman" w:hAnsi="Times New Roman"/>
                <w:b/>
                <w:noProof/>
                <w:color w:val="000000"/>
                <w:sz w:val="18"/>
                <w:szCs w:val="18"/>
                <w:lang w:eastAsia="en-GB"/>
              </w:rPr>
              <w:t>(</w:t>
            </w:r>
            <w:r>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rt. 11)</w:t>
            </w:r>
          </w:p>
        </w:tc>
      </w:tr>
      <w:tr w:rsidR="00EC39BD" w:rsidRPr="00AA0B4A" w14:paraId="2BC97FB6"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56CDB4C6" w14:textId="77777777" w:rsidR="00EC39BD" w:rsidRPr="00AA0B4A" w:rsidRDefault="00EC39BD" w:rsidP="00E55B57">
            <w:pPr>
              <w:spacing w:after="0" w:line="240" w:lineRule="auto"/>
              <w:rPr>
                <w:rFonts w:ascii="Times New Roman" w:hAnsi="Times New Roman"/>
                <w:b/>
                <w:noProof/>
                <w:color w:val="000000"/>
                <w:sz w:val="18"/>
                <w:szCs w:val="18"/>
                <w:lang w:eastAsia="en-GB"/>
              </w:rPr>
            </w:pPr>
          </w:p>
        </w:tc>
        <w:tc>
          <w:tcPr>
            <w:tcW w:w="701" w:type="pct"/>
            <w:tcBorders>
              <w:top w:val="nil"/>
              <w:left w:val="single" w:sz="4" w:space="0" w:color="auto"/>
              <w:bottom w:val="single" w:sz="4" w:space="0" w:color="auto"/>
              <w:right w:val="single" w:sz="4" w:space="0" w:color="auto"/>
            </w:tcBorders>
            <w:shd w:val="clear" w:color="auto" w:fill="FFFF99"/>
            <w:vAlign w:val="center"/>
          </w:tcPr>
          <w:p w14:paraId="2C9D0724"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F27C98B"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c>
          <w:tcPr>
            <w:tcW w:w="672" w:type="pct"/>
            <w:tcBorders>
              <w:top w:val="nil"/>
              <w:left w:val="single" w:sz="4" w:space="0" w:color="auto"/>
              <w:bottom w:val="single" w:sz="4" w:space="0" w:color="auto"/>
              <w:right w:val="single" w:sz="4" w:space="0" w:color="auto"/>
            </w:tcBorders>
            <w:shd w:val="clear" w:color="auto" w:fill="FFFF99"/>
            <w:vAlign w:val="center"/>
          </w:tcPr>
          <w:p w14:paraId="546BAEB0"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704" w:type="pct"/>
            <w:tcBorders>
              <w:top w:val="nil"/>
              <w:left w:val="single" w:sz="4" w:space="0" w:color="auto"/>
              <w:bottom w:val="single" w:sz="4" w:space="0" w:color="auto"/>
              <w:right w:val="single" w:sz="4" w:space="0" w:color="auto"/>
            </w:tcBorders>
            <w:shd w:val="clear" w:color="auto" w:fill="FFFF99"/>
            <w:noWrap/>
            <w:vAlign w:val="center"/>
          </w:tcPr>
          <w:p w14:paraId="421983EF"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c>
          <w:tcPr>
            <w:tcW w:w="1093" w:type="pct"/>
            <w:tcBorders>
              <w:top w:val="nil"/>
              <w:left w:val="single" w:sz="4" w:space="0" w:color="auto"/>
              <w:bottom w:val="single" w:sz="4" w:space="0" w:color="auto"/>
              <w:right w:val="single" w:sz="4" w:space="0" w:color="auto"/>
            </w:tcBorders>
            <w:shd w:val="clear" w:color="auto" w:fill="FFFF99"/>
            <w:noWrap/>
            <w:vAlign w:val="center"/>
          </w:tcPr>
          <w:p w14:paraId="67E7342D"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2</w:t>
            </w:r>
          </w:p>
        </w:tc>
      </w:tr>
      <w:tr w:rsidR="00EC39BD" w:rsidRPr="00AA0B4A" w14:paraId="2EAAECBB"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C35290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E73EF6C"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10</w:t>
            </w:r>
            <w:r>
              <w:rPr>
                <w:rFonts w:ascii="Times New Roman" w:hAnsi="Times New Roman"/>
                <w:noProof/>
                <w:sz w:val="18"/>
                <w:szCs w:val="18"/>
                <w:lang w:eastAsia="en-GB"/>
              </w:rPr>
              <w:t>1</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0B4E21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6518C3A" w14:textId="77777777" w:rsidR="00EC39BD" w:rsidRPr="00AA0B4A" w:rsidRDefault="00EC39BD" w:rsidP="00E55B57">
            <w:pPr>
              <w:spacing w:after="0"/>
              <w:jc w:val="center"/>
              <w:rPr>
                <w:rFonts w:ascii="Times New Roman" w:hAnsi="Times New Roman"/>
                <w:noProof/>
                <w:sz w:val="18"/>
                <w:szCs w:val="18"/>
                <w:lang w:eastAsia="en-GB"/>
              </w:rPr>
            </w:pPr>
            <w:r w:rsidRPr="00AA0B4A">
              <w:rPr>
                <w:rFonts w:ascii="Times New Roman" w:hAnsi="Times New Roman"/>
                <w:noProof/>
                <w:sz w:val="18"/>
                <w:szCs w:val="18"/>
                <w:lang w:eastAsia="en-GB"/>
              </w:rPr>
              <w:t>100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17D760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100</w:t>
            </w:r>
          </w:p>
        </w:tc>
        <w:tc>
          <w:tcPr>
            <w:tcW w:w="1093" w:type="pct"/>
            <w:tcBorders>
              <w:top w:val="nil"/>
              <w:left w:val="single" w:sz="4" w:space="0" w:color="auto"/>
              <w:bottom w:val="single" w:sz="4" w:space="0" w:color="auto"/>
              <w:right w:val="single" w:sz="4" w:space="0" w:color="auto"/>
            </w:tcBorders>
            <w:shd w:val="clear" w:color="auto" w:fill="FFFF99"/>
            <w:noWrap/>
            <w:vAlign w:val="center"/>
          </w:tcPr>
          <w:p w14:paraId="0526703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EC39BD" w:rsidRPr="00AA0B4A" w14:paraId="6E936C0C"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E488F1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0A7027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21621E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361EE425"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A2341BF"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1093" w:type="pct"/>
            <w:tcBorders>
              <w:top w:val="nil"/>
              <w:left w:val="single" w:sz="4" w:space="0" w:color="auto"/>
              <w:bottom w:val="single" w:sz="4" w:space="0" w:color="auto"/>
              <w:right w:val="single" w:sz="4" w:space="0" w:color="auto"/>
            </w:tcBorders>
            <w:shd w:val="clear" w:color="auto" w:fill="FFFF99"/>
            <w:noWrap/>
          </w:tcPr>
          <w:p w14:paraId="159E2238"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2BDD5147"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8A500E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w:t>
            </w:r>
          </w:p>
        </w:tc>
        <w:tc>
          <w:tcPr>
            <w:tcW w:w="701" w:type="pct"/>
            <w:tcBorders>
              <w:top w:val="nil"/>
              <w:left w:val="single" w:sz="4" w:space="0" w:color="auto"/>
              <w:bottom w:val="single" w:sz="4" w:space="0" w:color="auto"/>
              <w:right w:val="single" w:sz="4" w:space="0" w:color="auto"/>
            </w:tcBorders>
            <w:shd w:val="clear" w:color="auto" w:fill="FFFF99"/>
            <w:vAlign w:val="center"/>
          </w:tcPr>
          <w:p w14:paraId="5D211B4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A1F44F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CA55B9E"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6EB8BCD3"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1093" w:type="pct"/>
            <w:tcBorders>
              <w:top w:val="nil"/>
              <w:left w:val="single" w:sz="4" w:space="0" w:color="auto"/>
              <w:bottom w:val="single" w:sz="4" w:space="0" w:color="auto"/>
              <w:right w:val="single" w:sz="4" w:space="0" w:color="auto"/>
            </w:tcBorders>
            <w:shd w:val="clear" w:color="auto" w:fill="FFFF99"/>
            <w:noWrap/>
          </w:tcPr>
          <w:p w14:paraId="4030D161"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2DC8B9D1"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483DED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209CED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43</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D506F3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31</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1C830EE"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41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809F607"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30</w:t>
            </w:r>
          </w:p>
        </w:tc>
        <w:tc>
          <w:tcPr>
            <w:tcW w:w="1093" w:type="pct"/>
            <w:tcBorders>
              <w:top w:val="nil"/>
              <w:left w:val="single" w:sz="4" w:space="0" w:color="auto"/>
              <w:bottom w:val="single" w:sz="4" w:space="0" w:color="auto"/>
              <w:right w:val="single" w:sz="4" w:space="0" w:color="auto"/>
            </w:tcBorders>
            <w:shd w:val="clear" w:color="auto" w:fill="FFFF99"/>
            <w:noWrap/>
          </w:tcPr>
          <w:p w14:paraId="01301CAD"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4D04A9E7"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088D5DC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253218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A3AEB4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161358A"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14</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94F9B0B"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16</w:t>
            </w:r>
          </w:p>
        </w:tc>
        <w:tc>
          <w:tcPr>
            <w:tcW w:w="1093" w:type="pct"/>
            <w:tcBorders>
              <w:top w:val="nil"/>
              <w:left w:val="single" w:sz="4" w:space="0" w:color="auto"/>
              <w:bottom w:val="single" w:sz="4" w:space="0" w:color="auto"/>
              <w:right w:val="single" w:sz="4" w:space="0" w:color="auto"/>
            </w:tcBorders>
            <w:shd w:val="clear" w:color="auto" w:fill="FFFF99"/>
            <w:noWrap/>
          </w:tcPr>
          <w:p w14:paraId="4DFBB968"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0EE57E74"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6F6E04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0806EA1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0C4E8C0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3C5FD4EB"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378216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1093" w:type="pct"/>
            <w:tcBorders>
              <w:top w:val="nil"/>
              <w:left w:val="single" w:sz="4" w:space="0" w:color="auto"/>
              <w:bottom w:val="single" w:sz="4" w:space="0" w:color="auto"/>
              <w:right w:val="single" w:sz="4" w:space="0" w:color="auto"/>
            </w:tcBorders>
            <w:shd w:val="clear" w:color="auto" w:fill="FFFF99"/>
            <w:noWrap/>
          </w:tcPr>
          <w:p w14:paraId="72A71535"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191DF1B0"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530E6B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00F7AE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CEBD9B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672" w:type="pct"/>
            <w:tcBorders>
              <w:top w:val="nil"/>
              <w:left w:val="single" w:sz="4" w:space="0" w:color="auto"/>
              <w:bottom w:val="single" w:sz="4" w:space="0" w:color="auto"/>
              <w:right w:val="single" w:sz="4" w:space="0" w:color="auto"/>
            </w:tcBorders>
            <w:shd w:val="clear" w:color="auto" w:fill="FFFF99"/>
            <w:vAlign w:val="bottom"/>
          </w:tcPr>
          <w:p w14:paraId="3F0D53B2"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7D50AF4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1093" w:type="pct"/>
            <w:tcBorders>
              <w:top w:val="nil"/>
              <w:left w:val="single" w:sz="4" w:space="0" w:color="auto"/>
              <w:bottom w:val="single" w:sz="4" w:space="0" w:color="auto"/>
              <w:right w:val="single" w:sz="4" w:space="0" w:color="auto"/>
            </w:tcBorders>
            <w:shd w:val="clear" w:color="auto" w:fill="FFFF99"/>
            <w:noWrap/>
          </w:tcPr>
          <w:p w14:paraId="1B61FC6F"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0692E9AA"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CCDABB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w:t>
            </w:r>
          </w:p>
        </w:tc>
        <w:tc>
          <w:tcPr>
            <w:tcW w:w="701" w:type="pct"/>
            <w:tcBorders>
              <w:top w:val="nil"/>
              <w:left w:val="single" w:sz="4" w:space="0" w:color="auto"/>
              <w:bottom w:val="single" w:sz="4" w:space="0" w:color="auto"/>
              <w:right w:val="single" w:sz="4" w:space="0" w:color="auto"/>
            </w:tcBorders>
            <w:shd w:val="clear" w:color="auto" w:fill="FFFF99"/>
            <w:vAlign w:val="center"/>
          </w:tcPr>
          <w:p w14:paraId="6941E0A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1F54379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val="fr-BE" w:eastAsia="en-GB"/>
              </w:rPr>
              <w:t>17</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CE57C49" w14:textId="77777777" w:rsidR="00EC39BD" w:rsidRPr="00AA0B4A" w:rsidRDefault="00EC39BD" w:rsidP="00E55B57">
            <w:pPr>
              <w:spacing w:after="0"/>
              <w:jc w:val="center"/>
              <w:rPr>
                <w:rFonts w:ascii="Times New Roman" w:hAnsi="Times New Roman"/>
                <w:noProof/>
                <w:sz w:val="18"/>
                <w:szCs w:val="18"/>
                <w:lang w:eastAsia="en-GB"/>
              </w:rPr>
            </w:pPr>
            <w:r w:rsidRPr="00AA0B4A">
              <w:rPr>
                <w:rFonts w:ascii="Times New Roman" w:hAnsi="Times New Roman"/>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ADDF3F5" w14:textId="77777777" w:rsidR="00EC39BD" w:rsidRPr="00AA0B4A" w:rsidRDefault="00EC39BD" w:rsidP="00E55B57">
            <w:pPr>
              <w:spacing w:after="0"/>
              <w:jc w:val="center"/>
              <w:rPr>
                <w:rFonts w:ascii="Times New Roman" w:hAnsi="Times New Roman"/>
                <w:noProof/>
                <w:sz w:val="18"/>
                <w:szCs w:val="18"/>
                <w:lang w:eastAsia="en-GB"/>
              </w:rPr>
            </w:pPr>
            <w:r w:rsidRPr="00F75F31">
              <w:rPr>
                <w:rFonts w:ascii="Times New Roman" w:hAnsi="Times New Roman"/>
                <w:noProof/>
                <w:sz w:val="18"/>
                <w:szCs w:val="18"/>
                <w:lang w:eastAsia="en-GB"/>
              </w:rPr>
              <w:t>1</w:t>
            </w:r>
            <w:r>
              <w:rPr>
                <w:rFonts w:ascii="Times New Roman" w:hAnsi="Times New Roman"/>
                <w:noProof/>
                <w:sz w:val="18"/>
                <w:szCs w:val="18"/>
                <w:lang w:eastAsia="en-GB"/>
              </w:rPr>
              <w:t>7</w:t>
            </w:r>
          </w:p>
        </w:tc>
        <w:tc>
          <w:tcPr>
            <w:tcW w:w="1093" w:type="pct"/>
            <w:tcBorders>
              <w:top w:val="nil"/>
              <w:left w:val="single" w:sz="4" w:space="0" w:color="auto"/>
              <w:bottom w:val="single" w:sz="4" w:space="0" w:color="auto"/>
              <w:right w:val="single" w:sz="4" w:space="0" w:color="auto"/>
            </w:tcBorders>
            <w:shd w:val="clear" w:color="auto" w:fill="FFFF99"/>
            <w:noWrap/>
          </w:tcPr>
          <w:p w14:paraId="7FE4C628"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25B26B71"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D1ADF6C"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AFA02B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8</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446B6B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7DD5A76"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71E4269F"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1093" w:type="pct"/>
            <w:tcBorders>
              <w:top w:val="nil"/>
              <w:left w:val="single" w:sz="4" w:space="0" w:color="auto"/>
              <w:bottom w:val="single" w:sz="4" w:space="0" w:color="auto"/>
              <w:right w:val="single" w:sz="4" w:space="0" w:color="auto"/>
            </w:tcBorders>
            <w:shd w:val="clear" w:color="auto" w:fill="FFFF99"/>
            <w:noWrap/>
          </w:tcPr>
          <w:p w14:paraId="58AAA615"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361EA8BC"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8D0928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w:t>
            </w:r>
          </w:p>
        </w:tc>
        <w:tc>
          <w:tcPr>
            <w:tcW w:w="701" w:type="pct"/>
            <w:tcBorders>
              <w:top w:val="nil"/>
              <w:left w:val="single" w:sz="4" w:space="0" w:color="auto"/>
              <w:bottom w:val="single" w:sz="4" w:space="0" w:color="auto"/>
              <w:right w:val="single" w:sz="4" w:space="0" w:color="auto"/>
            </w:tcBorders>
            <w:shd w:val="clear" w:color="auto" w:fill="FFFF99"/>
            <w:vAlign w:val="center"/>
          </w:tcPr>
          <w:p w14:paraId="04926C5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053D00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color w:val="000000"/>
                <w:sz w:val="18"/>
                <w:szCs w:val="18"/>
                <w:lang w:eastAsia="en-GB"/>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A615944"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73AA57A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1093" w:type="pct"/>
            <w:tcBorders>
              <w:top w:val="nil"/>
              <w:left w:val="single" w:sz="4" w:space="0" w:color="auto"/>
              <w:bottom w:val="single" w:sz="4" w:space="0" w:color="auto"/>
              <w:right w:val="single" w:sz="4" w:space="0" w:color="auto"/>
            </w:tcBorders>
            <w:shd w:val="clear" w:color="auto" w:fill="FFFF99"/>
            <w:noWrap/>
          </w:tcPr>
          <w:p w14:paraId="68F26522"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62D7ABBC"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513C16E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w:t>
            </w:r>
          </w:p>
        </w:tc>
        <w:tc>
          <w:tcPr>
            <w:tcW w:w="701" w:type="pct"/>
            <w:tcBorders>
              <w:top w:val="nil"/>
              <w:left w:val="single" w:sz="4" w:space="0" w:color="auto"/>
              <w:bottom w:val="single" w:sz="4" w:space="0" w:color="auto"/>
              <w:right w:val="single" w:sz="4" w:space="0" w:color="auto"/>
            </w:tcBorders>
            <w:shd w:val="clear" w:color="auto" w:fill="FFFF99"/>
            <w:vAlign w:val="center"/>
          </w:tcPr>
          <w:p w14:paraId="0947774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5B6E29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41E8202"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16E5C72"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21</w:t>
            </w:r>
          </w:p>
        </w:tc>
        <w:tc>
          <w:tcPr>
            <w:tcW w:w="1093" w:type="pct"/>
            <w:tcBorders>
              <w:top w:val="nil"/>
              <w:left w:val="single" w:sz="4" w:space="0" w:color="auto"/>
              <w:bottom w:val="single" w:sz="4" w:space="0" w:color="auto"/>
              <w:right w:val="single" w:sz="4" w:space="0" w:color="auto"/>
            </w:tcBorders>
            <w:shd w:val="clear" w:color="auto" w:fill="FFFF99"/>
            <w:noWrap/>
          </w:tcPr>
          <w:p w14:paraId="41DD537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5567F588"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06E42B4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ENV</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A5D36C7"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24</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50B776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3EFFDFD" w14:textId="77777777" w:rsidR="00EC39BD" w:rsidRPr="00AA0B4A" w:rsidRDefault="00EC39BD" w:rsidP="00E55B57">
            <w:pPr>
              <w:spacing w:after="0"/>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 xml:space="preserve">5 </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28EF9167"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22</w:t>
            </w:r>
          </w:p>
        </w:tc>
        <w:tc>
          <w:tcPr>
            <w:tcW w:w="1093" w:type="pct"/>
            <w:tcBorders>
              <w:top w:val="nil"/>
              <w:left w:val="single" w:sz="4" w:space="0" w:color="auto"/>
              <w:bottom w:val="single" w:sz="4" w:space="0" w:color="auto"/>
              <w:right w:val="single" w:sz="4" w:space="0" w:color="auto"/>
            </w:tcBorders>
            <w:shd w:val="clear" w:color="auto" w:fill="FFFF99"/>
            <w:noWrap/>
          </w:tcPr>
          <w:p w14:paraId="09A9E2A1"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18E1751B"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0434158"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F2E85C3"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6</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6CE7DE8"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AC0EEB2" w14:textId="77777777" w:rsidR="00EC39BD" w:rsidRPr="00AA0B4A" w:rsidRDefault="00EC39BD" w:rsidP="00E55B57">
            <w:pPr>
              <w:spacing w:after="0"/>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5</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691EC18"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1093" w:type="pct"/>
            <w:tcBorders>
              <w:top w:val="nil"/>
              <w:left w:val="single" w:sz="4" w:space="0" w:color="auto"/>
              <w:bottom w:val="single" w:sz="4" w:space="0" w:color="auto"/>
              <w:right w:val="single" w:sz="4" w:space="0" w:color="auto"/>
            </w:tcBorders>
            <w:shd w:val="clear" w:color="auto" w:fill="FFFF99"/>
            <w:noWrap/>
          </w:tcPr>
          <w:p w14:paraId="671B2EDB"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17964B8D"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C5655B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FISMA</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7231D3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592437E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D821F04" w14:textId="77777777" w:rsidR="00EC39BD" w:rsidRPr="00AA0B4A" w:rsidRDefault="00EC39BD" w:rsidP="00E55B57">
            <w:pPr>
              <w:spacing w:after="0"/>
              <w:rPr>
                <w:rFonts w:ascii="Times New Roman" w:hAnsi="Times New Roman"/>
                <w:noProof/>
                <w:sz w:val="18"/>
                <w:szCs w:val="18"/>
                <w:lang w:eastAsia="en-GB"/>
              </w:rPr>
            </w:pPr>
            <w:r>
              <w:rPr>
                <w:rFonts w:ascii="Times New Roman" w:hAnsi="Times New Roman"/>
                <w:noProof/>
                <w:sz w:val="18"/>
                <w:szCs w:val="18"/>
                <w:lang w:eastAsia="en-GB"/>
              </w:rPr>
              <w:t xml:space="preserve">         18</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63ECC4D4"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22</w:t>
            </w:r>
          </w:p>
        </w:tc>
        <w:tc>
          <w:tcPr>
            <w:tcW w:w="1093" w:type="pct"/>
            <w:tcBorders>
              <w:top w:val="nil"/>
              <w:left w:val="single" w:sz="4" w:space="0" w:color="auto"/>
              <w:bottom w:val="single" w:sz="4" w:space="0" w:color="auto"/>
              <w:right w:val="single" w:sz="4" w:space="0" w:color="auto"/>
            </w:tcBorders>
            <w:shd w:val="clear" w:color="auto" w:fill="FFFF99"/>
            <w:noWrap/>
          </w:tcPr>
          <w:p w14:paraId="0D47D3D5"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7BE70699"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BDD2A6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w:t>
            </w:r>
          </w:p>
        </w:tc>
        <w:tc>
          <w:tcPr>
            <w:tcW w:w="701" w:type="pct"/>
            <w:tcBorders>
              <w:top w:val="nil"/>
              <w:left w:val="single" w:sz="4" w:space="0" w:color="auto"/>
              <w:bottom w:val="single" w:sz="4" w:space="0" w:color="auto"/>
              <w:right w:val="single" w:sz="4" w:space="0" w:color="auto"/>
            </w:tcBorders>
            <w:shd w:val="clear" w:color="auto" w:fill="FFFF99"/>
            <w:vAlign w:val="center"/>
          </w:tcPr>
          <w:p w14:paraId="6EB0848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4D8805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0C1437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1469B68"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 xml:space="preserve"> 4</w:t>
            </w:r>
          </w:p>
        </w:tc>
        <w:tc>
          <w:tcPr>
            <w:tcW w:w="1093" w:type="pct"/>
            <w:tcBorders>
              <w:top w:val="nil"/>
              <w:left w:val="single" w:sz="4" w:space="0" w:color="auto"/>
              <w:bottom w:val="single" w:sz="4" w:space="0" w:color="auto"/>
              <w:right w:val="single" w:sz="4" w:space="0" w:color="auto"/>
            </w:tcBorders>
            <w:shd w:val="clear" w:color="auto" w:fill="FFFF99"/>
            <w:noWrap/>
          </w:tcPr>
          <w:p w14:paraId="5CC49077"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31B6AA94"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8F50A2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B943E1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6</w:t>
            </w:r>
            <w:r>
              <w:rPr>
                <w:rFonts w:ascii="Times New Roman" w:hAnsi="Times New Roman"/>
                <w:noProof/>
                <w:sz w:val="18"/>
                <w:szCs w:val="18"/>
                <w:lang w:eastAsia="en-GB"/>
              </w:rPr>
              <w:t>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211E8E6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C492EE1"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31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E982916"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73</w:t>
            </w:r>
          </w:p>
        </w:tc>
        <w:tc>
          <w:tcPr>
            <w:tcW w:w="1093" w:type="pct"/>
            <w:tcBorders>
              <w:top w:val="nil"/>
              <w:left w:val="single" w:sz="4" w:space="0" w:color="auto"/>
              <w:bottom w:val="single" w:sz="4" w:space="0" w:color="auto"/>
              <w:right w:val="single" w:sz="4" w:space="0" w:color="auto"/>
            </w:tcBorders>
            <w:shd w:val="clear" w:color="auto" w:fill="FFFF99"/>
            <w:noWrap/>
          </w:tcPr>
          <w:p w14:paraId="7E6CDF1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EC39BD" w:rsidRPr="00AA0B4A" w14:paraId="630C92C2"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47BABF1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6242A31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67</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1775DE2"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58</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B59673D"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36</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FDA7B95"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49</w:t>
            </w:r>
          </w:p>
        </w:tc>
        <w:tc>
          <w:tcPr>
            <w:tcW w:w="1093" w:type="pct"/>
            <w:tcBorders>
              <w:top w:val="nil"/>
              <w:left w:val="single" w:sz="4" w:space="0" w:color="auto"/>
              <w:bottom w:val="single" w:sz="4" w:space="0" w:color="auto"/>
              <w:right w:val="single" w:sz="4" w:space="0" w:color="auto"/>
            </w:tcBorders>
            <w:shd w:val="clear" w:color="auto" w:fill="FFFF99"/>
            <w:noWrap/>
          </w:tcPr>
          <w:p w14:paraId="3BC3D699"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10AA86F3"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466FAE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INTPA</w:t>
            </w:r>
          </w:p>
        </w:tc>
        <w:tc>
          <w:tcPr>
            <w:tcW w:w="701" w:type="pct"/>
            <w:tcBorders>
              <w:top w:val="nil"/>
              <w:left w:val="single" w:sz="4" w:space="0" w:color="auto"/>
              <w:bottom w:val="single" w:sz="4" w:space="0" w:color="auto"/>
              <w:right w:val="single" w:sz="4" w:space="0" w:color="auto"/>
            </w:tcBorders>
            <w:shd w:val="clear" w:color="auto" w:fill="FFFF99"/>
            <w:vAlign w:val="center"/>
          </w:tcPr>
          <w:p w14:paraId="2DB3AB3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16</w:t>
            </w:r>
            <w:r w:rsidRPr="00AA0B4A">
              <w:rPr>
                <w:rFonts w:ascii="Times New Roman" w:hAnsi="Times New Roman"/>
                <w:noProof/>
                <w:sz w:val="18"/>
                <w:szCs w:val="18"/>
                <w:lang w:eastAsia="en-GB"/>
              </w:rPr>
              <w:t>8</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0BBFAE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106</w:t>
            </w:r>
          </w:p>
        </w:tc>
        <w:tc>
          <w:tcPr>
            <w:tcW w:w="672" w:type="pct"/>
            <w:tcBorders>
              <w:top w:val="nil"/>
              <w:left w:val="single" w:sz="4" w:space="0" w:color="auto"/>
              <w:bottom w:val="single" w:sz="4" w:space="0" w:color="auto"/>
              <w:right w:val="single" w:sz="4" w:space="0" w:color="auto"/>
            </w:tcBorders>
            <w:shd w:val="clear" w:color="auto" w:fill="FFFF99"/>
            <w:vAlign w:val="bottom"/>
          </w:tcPr>
          <w:p w14:paraId="26944F6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 xml:space="preserve">167 </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22B7B93A"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104</w:t>
            </w:r>
          </w:p>
        </w:tc>
        <w:tc>
          <w:tcPr>
            <w:tcW w:w="1093" w:type="pct"/>
            <w:tcBorders>
              <w:top w:val="nil"/>
              <w:left w:val="single" w:sz="4" w:space="0" w:color="auto"/>
              <w:bottom w:val="single" w:sz="4" w:space="0" w:color="auto"/>
              <w:right w:val="single" w:sz="4" w:space="0" w:color="auto"/>
            </w:tcBorders>
            <w:shd w:val="clear" w:color="auto" w:fill="FFFF99"/>
            <w:noWrap/>
          </w:tcPr>
          <w:p w14:paraId="7D49BB7C"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4D4A66A6"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907D85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D03670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4695823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0B0602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8</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966780A"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1093" w:type="pct"/>
            <w:tcBorders>
              <w:top w:val="nil"/>
              <w:left w:val="single" w:sz="4" w:space="0" w:color="auto"/>
              <w:bottom w:val="single" w:sz="4" w:space="0" w:color="auto"/>
              <w:right w:val="single" w:sz="4" w:space="0" w:color="auto"/>
            </w:tcBorders>
            <w:shd w:val="clear" w:color="auto" w:fill="FFFF99"/>
            <w:noWrap/>
          </w:tcPr>
          <w:p w14:paraId="2B17DB72"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5B38D0F5"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A50DE06"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MARE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B625F5A"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1</w:t>
            </w:r>
            <w:r>
              <w:rPr>
                <w:rFonts w:ascii="Times New Roman" w:hAnsi="Times New Roman"/>
                <w:noProof/>
                <w:sz w:val="18"/>
                <w:szCs w:val="18"/>
                <w:lang w:eastAsia="en-GB"/>
              </w:rPr>
              <w:t>6</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7F0CB0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BA88789"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9</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B643FA6"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19</w:t>
            </w:r>
          </w:p>
        </w:tc>
        <w:tc>
          <w:tcPr>
            <w:tcW w:w="1093" w:type="pct"/>
            <w:tcBorders>
              <w:top w:val="nil"/>
              <w:left w:val="single" w:sz="4" w:space="0" w:color="auto"/>
              <w:bottom w:val="single" w:sz="4" w:space="0" w:color="auto"/>
              <w:right w:val="single" w:sz="4" w:space="0" w:color="auto"/>
            </w:tcBorders>
            <w:shd w:val="clear" w:color="auto" w:fill="FFFF99"/>
            <w:noWrap/>
          </w:tcPr>
          <w:p w14:paraId="2FEABBF1"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2D7A095D"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DB540F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D8AF8A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64</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7772418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48</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54A06CE"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61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3F3F06B"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55</w:t>
            </w:r>
          </w:p>
        </w:tc>
        <w:tc>
          <w:tcPr>
            <w:tcW w:w="1093" w:type="pct"/>
            <w:tcBorders>
              <w:top w:val="nil"/>
              <w:left w:val="single" w:sz="4" w:space="0" w:color="auto"/>
              <w:bottom w:val="single" w:sz="4" w:space="0" w:color="auto"/>
              <w:right w:val="single" w:sz="4" w:space="0" w:color="auto"/>
            </w:tcBorders>
            <w:shd w:val="clear" w:color="auto" w:fill="FFFF99"/>
            <w:noWrap/>
          </w:tcPr>
          <w:p w14:paraId="305AFBC9"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1EA2BAF4" w14:textId="77777777" w:rsidTr="00E55B57">
        <w:trPr>
          <w:trHeight w:val="247"/>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DC6093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15CEB1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4B46060"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 xml:space="preserve">110 </w:t>
            </w:r>
          </w:p>
        </w:tc>
        <w:tc>
          <w:tcPr>
            <w:tcW w:w="672" w:type="pct"/>
            <w:tcBorders>
              <w:top w:val="nil"/>
              <w:left w:val="single" w:sz="4" w:space="0" w:color="auto"/>
              <w:bottom w:val="single" w:sz="4" w:space="0" w:color="auto"/>
              <w:right w:val="single" w:sz="4" w:space="0" w:color="auto"/>
            </w:tcBorders>
            <w:shd w:val="clear" w:color="auto" w:fill="FFFF99"/>
            <w:vAlign w:val="bottom"/>
          </w:tcPr>
          <w:p w14:paraId="66E1F633"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40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05AEECA1"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108</w:t>
            </w:r>
          </w:p>
        </w:tc>
        <w:tc>
          <w:tcPr>
            <w:tcW w:w="1093" w:type="pct"/>
            <w:tcBorders>
              <w:top w:val="nil"/>
              <w:left w:val="single" w:sz="4" w:space="0" w:color="auto"/>
              <w:bottom w:val="single" w:sz="4" w:space="0" w:color="auto"/>
              <w:right w:val="single" w:sz="4" w:space="0" w:color="auto"/>
            </w:tcBorders>
            <w:shd w:val="clear" w:color="auto" w:fill="FFFF99"/>
            <w:noWrap/>
          </w:tcPr>
          <w:p w14:paraId="22B897C2"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593211BD"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63EAF56F" w14:textId="77777777" w:rsidR="00EC39BD" w:rsidRPr="00AA0B4A" w:rsidRDefault="00EC39BD" w:rsidP="00E55B57">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OLAF</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7D69883" w14:textId="77777777" w:rsidR="00EC39BD" w:rsidRPr="00AA0B4A" w:rsidRDefault="00EC39BD" w:rsidP="00E55B57">
            <w:pPr>
              <w:spacing w:after="0" w:line="240" w:lineRule="auto"/>
              <w:jc w:val="center"/>
              <w:rPr>
                <w:rFonts w:ascii="Times New Roman" w:hAnsi="Times New Roman"/>
                <w:bCs/>
                <w:noProof/>
                <w:sz w:val="18"/>
                <w:szCs w:val="18"/>
                <w:lang w:eastAsia="en-GB"/>
              </w:rPr>
            </w:pPr>
            <w:r w:rsidRPr="00AA0B4A">
              <w:rPr>
                <w:rFonts w:ascii="Times New Roman" w:hAnsi="Times New Roman"/>
                <w:noProof/>
                <w:sz w:val="18"/>
                <w:szCs w:val="18"/>
                <w:lang w:eastAsia="en-GB"/>
              </w:rPr>
              <w:t>0</w:t>
            </w:r>
          </w:p>
        </w:tc>
        <w:tc>
          <w:tcPr>
            <w:tcW w:w="666" w:type="pct"/>
            <w:tcBorders>
              <w:top w:val="nil"/>
              <w:left w:val="single" w:sz="4" w:space="0" w:color="auto"/>
              <w:bottom w:val="single" w:sz="4" w:space="0" w:color="auto"/>
              <w:right w:val="single" w:sz="4" w:space="0" w:color="auto"/>
            </w:tcBorders>
            <w:shd w:val="clear" w:color="auto" w:fill="FFFF99"/>
            <w:noWrap/>
            <w:vAlign w:val="bottom"/>
          </w:tcPr>
          <w:p w14:paraId="0EA5B6B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72" w:type="pct"/>
            <w:tcBorders>
              <w:top w:val="nil"/>
              <w:left w:val="single" w:sz="4" w:space="0" w:color="auto"/>
              <w:bottom w:val="single" w:sz="4" w:space="0" w:color="auto"/>
              <w:right w:val="single" w:sz="4" w:space="0" w:color="auto"/>
            </w:tcBorders>
            <w:shd w:val="clear" w:color="auto" w:fill="FFFF99"/>
            <w:vAlign w:val="bottom"/>
          </w:tcPr>
          <w:p w14:paraId="065FCEF2" w14:textId="77777777" w:rsidR="00EC39BD" w:rsidRPr="00AA0B4A" w:rsidRDefault="00EC39BD" w:rsidP="00E55B57">
            <w:pPr>
              <w:spacing w:after="0" w:line="240" w:lineRule="auto"/>
              <w:jc w:val="center"/>
              <w:rPr>
                <w:rFonts w:ascii="Times New Roman" w:hAnsi="Times New Roman"/>
                <w:bCs/>
                <w:noProof/>
                <w:sz w:val="18"/>
                <w:szCs w:val="18"/>
                <w:lang w:eastAsia="en-GB"/>
              </w:rPr>
            </w:pPr>
            <w:r w:rsidRPr="00AA0B4A">
              <w:rPr>
                <w:rFonts w:ascii="Times New Roman" w:hAnsi="Times New Roman"/>
                <w:bCs/>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2492D76F"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1093" w:type="pct"/>
            <w:tcBorders>
              <w:top w:val="nil"/>
              <w:left w:val="single" w:sz="4" w:space="0" w:color="auto"/>
              <w:bottom w:val="single" w:sz="4" w:space="0" w:color="auto"/>
              <w:right w:val="single" w:sz="4" w:space="0" w:color="auto"/>
            </w:tcBorders>
            <w:shd w:val="clear" w:color="auto" w:fill="FFFF99"/>
            <w:noWrap/>
          </w:tcPr>
          <w:p w14:paraId="305F75AC" w14:textId="77777777" w:rsidR="00EC39BD" w:rsidRPr="00AA0B4A" w:rsidRDefault="00EC39BD" w:rsidP="00E55B57">
            <w:pPr>
              <w:spacing w:after="0" w:line="240" w:lineRule="auto"/>
              <w:jc w:val="center"/>
              <w:rPr>
                <w:rFonts w:ascii="Times New Roman" w:hAnsi="Times New Roman"/>
                <w:bCs/>
                <w:noProof/>
                <w:sz w:val="18"/>
                <w:szCs w:val="18"/>
                <w:lang w:eastAsia="en-GB"/>
              </w:rPr>
            </w:pPr>
            <w:r w:rsidRPr="006E7441">
              <w:rPr>
                <w:rFonts w:ascii="Times New Roman" w:hAnsi="Times New Roman"/>
                <w:noProof/>
                <w:sz w:val="18"/>
                <w:szCs w:val="18"/>
                <w:lang w:eastAsia="en-GB"/>
              </w:rPr>
              <w:t>0</w:t>
            </w:r>
          </w:p>
        </w:tc>
      </w:tr>
      <w:tr w:rsidR="00EC39BD" w:rsidRPr="00AA0B4A" w14:paraId="21B9DD95"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0DF59B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REFORM</w:t>
            </w:r>
          </w:p>
        </w:tc>
        <w:tc>
          <w:tcPr>
            <w:tcW w:w="701" w:type="pct"/>
            <w:tcBorders>
              <w:top w:val="nil"/>
              <w:left w:val="single" w:sz="4" w:space="0" w:color="auto"/>
              <w:bottom w:val="single" w:sz="4" w:space="0" w:color="auto"/>
              <w:right w:val="single" w:sz="4" w:space="0" w:color="auto"/>
            </w:tcBorders>
            <w:shd w:val="clear" w:color="auto" w:fill="FFFF99"/>
            <w:vAlign w:val="center"/>
          </w:tcPr>
          <w:p w14:paraId="4381F4C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B98901E" w14:textId="77777777" w:rsidR="00EC39BD"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6DDCB94"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5D7D033"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w:t>
            </w:r>
          </w:p>
        </w:tc>
        <w:tc>
          <w:tcPr>
            <w:tcW w:w="1093" w:type="pct"/>
            <w:tcBorders>
              <w:top w:val="nil"/>
              <w:left w:val="single" w:sz="4" w:space="0" w:color="auto"/>
              <w:bottom w:val="single" w:sz="4" w:space="0" w:color="auto"/>
              <w:right w:val="single" w:sz="4" w:space="0" w:color="auto"/>
            </w:tcBorders>
            <w:shd w:val="clear" w:color="auto" w:fill="FFFF99"/>
            <w:noWrap/>
          </w:tcPr>
          <w:p w14:paraId="135AE96E" w14:textId="77777777" w:rsidR="00EC39BD" w:rsidRPr="006E7441"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0</w:t>
            </w:r>
          </w:p>
        </w:tc>
      </w:tr>
      <w:tr w:rsidR="00EC39BD" w:rsidRPr="00AA0B4A" w14:paraId="6AD66A94"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72764E9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w:t>
            </w:r>
          </w:p>
        </w:tc>
        <w:tc>
          <w:tcPr>
            <w:tcW w:w="701" w:type="pct"/>
            <w:tcBorders>
              <w:top w:val="nil"/>
              <w:left w:val="single" w:sz="4" w:space="0" w:color="auto"/>
              <w:bottom w:val="single" w:sz="4" w:space="0" w:color="auto"/>
              <w:right w:val="single" w:sz="4" w:space="0" w:color="auto"/>
            </w:tcBorders>
            <w:shd w:val="clear" w:color="auto" w:fill="FFFF99"/>
            <w:vAlign w:val="center"/>
          </w:tcPr>
          <w:p w14:paraId="3FB17F79"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7741A9A"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C2D510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18A2D2B"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5</w:t>
            </w:r>
          </w:p>
        </w:tc>
        <w:tc>
          <w:tcPr>
            <w:tcW w:w="1093" w:type="pct"/>
            <w:tcBorders>
              <w:top w:val="nil"/>
              <w:left w:val="single" w:sz="4" w:space="0" w:color="auto"/>
              <w:bottom w:val="single" w:sz="4" w:space="0" w:color="auto"/>
              <w:right w:val="single" w:sz="4" w:space="0" w:color="auto"/>
            </w:tcBorders>
            <w:shd w:val="clear" w:color="auto" w:fill="FFFF99"/>
            <w:noWrap/>
          </w:tcPr>
          <w:p w14:paraId="3CF3AA3B"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3865074A"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EC3A51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2A1C1A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149</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428F943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354</w:t>
            </w:r>
          </w:p>
        </w:tc>
        <w:tc>
          <w:tcPr>
            <w:tcW w:w="672" w:type="pct"/>
            <w:tcBorders>
              <w:top w:val="nil"/>
              <w:left w:val="single" w:sz="4" w:space="0" w:color="auto"/>
              <w:bottom w:val="single" w:sz="4" w:space="0" w:color="auto"/>
              <w:right w:val="single" w:sz="4" w:space="0" w:color="auto"/>
            </w:tcBorders>
            <w:shd w:val="clear" w:color="auto" w:fill="FFFF99"/>
            <w:vAlign w:val="bottom"/>
          </w:tcPr>
          <w:p w14:paraId="1934D1FA" w14:textId="77777777" w:rsidR="00EC39BD" w:rsidRPr="00AA0B4A" w:rsidRDefault="00EC39BD" w:rsidP="00E55B57">
            <w:pPr>
              <w:spacing w:after="0"/>
              <w:jc w:val="center"/>
              <w:rPr>
                <w:rFonts w:ascii="Times New Roman" w:hAnsi="Times New Roman"/>
                <w:noProof/>
                <w:sz w:val="18"/>
                <w:szCs w:val="18"/>
                <w:lang w:eastAsia="en-GB"/>
              </w:rPr>
            </w:pPr>
            <w:r w:rsidRPr="00AA0B4A">
              <w:rPr>
                <w:rFonts w:ascii="Times New Roman" w:hAnsi="Times New Roman"/>
                <w:noProof/>
                <w:sz w:val="18"/>
                <w:szCs w:val="18"/>
                <w:lang w:eastAsia="en-GB"/>
              </w:rPr>
              <w:t>11</w:t>
            </w:r>
            <w:r>
              <w:rPr>
                <w:rFonts w:ascii="Times New Roman" w:hAnsi="Times New Roman"/>
                <w:noProof/>
                <w:sz w:val="18"/>
                <w:szCs w:val="18"/>
                <w:lang w:eastAsia="en-GB"/>
              </w:rPr>
              <w:t>0</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A6823D0"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333</w:t>
            </w:r>
          </w:p>
        </w:tc>
        <w:tc>
          <w:tcPr>
            <w:tcW w:w="1093" w:type="pct"/>
            <w:tcBorders>
              <w:top w:val="nil"/>
              <w:left w:val="single" w:sz="4" w:space="0" w:color="auto"/>
              <w:bottom w:val="single" w:sz="4" w:space="0" w:color="auto"/>
              <w:right w:val="single" w:sz="4" w:space="0" w:color="auto"/>
            </w:tcBorders>
            <w:shd w:val="clear" w:color="auto" w:fill="FFFF99"/>
            <w:noWrap/>
          </w:tcPr>
          <w:p w14:paraId="28329AB0"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2A6D3855"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6D561F3" w14:textId="77777777" w:rsidR="00EC39BD" w:rsidRPr="00AA0B4A" w:rsidRDefault="00EC39BD" w:rsidP="00E55B57">
            <w:pPr>
              <w:spacing w:after="0" w:line="36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131B665F"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818</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1D32FBB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819</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7F06876" w14:textId="77777777" w:rsidR="00EC39BD" w:rsidRPr="00B83A9D" w:rsidRDefault="00EC39BD" w:rsidP="00E55B57">
            <w:pPr>
              <w:spacing w:after="0" w:line="360" w:lineRule="auto"/>
              <w:jc w:val="center"/>
              <w:rPr>
                <w:rFonts w:ascii="Times New Roman" w:hAnsi="Times New Roman"/>
                <w:noProof/>
                <w:sz w:val="18"/>
                <w:szCs w:val="18"/>
                <w:lang w:eastAsia="en-GB"/>
              </w:rPr>
            </w:pPr>
            <w:r w:rsidRPr="00B004F1">
              <w:rPr>
                <w:rFonts w:ascii="Times New Roman" w:hAnsi="Times New Roman"/>
                <w:noProof/>
                <w:sz w:val="18"/>
                <w:szCs w:val="18"/>
                <w:lang w:eastAsia="en-GB"/>
              </w:rPr>
              <w:t>775</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6CE458CC" w14:textId="77777777" w:rsidR="00EC39BD" w:rsidRPr="00AA0B4A" w:rsidRDefault="00EC39BD" w:rsidP="00E55B57">
            <w:pPr>
              <w:spacing w:after="0" w:line="360" w:lineRule="auto"/>
              <w:jc w:val="center"/>
              <w:rPr>
                <w:rFonts w:ascii="Times New Roman" w:hAnsi="Times New Roman"/>
                <w:noProof/>
                <w:sz w:val="18"/>
                <w:szCs w:val="18"/>
                <w:lang w:eastAsia="en-GB"/>
              </w:rPr>
            </w:pPr>
            <w:r>
              <w:rPr>
                <w:rFonts w:ascii="Times New Roman" w:hAnsi="Times New Roman"/>
                <w:noProof/>
                <w:sz w:val="18"/>
                <w:szCs w:val="18"/>
                <w:lang w:eastAsia="en-GB"/>
              </w:rPr>
              <w:t>907</w:t>
            </w:r>
          </w:p>
        </w:tc>
        <w:tc>
          <w:tcPr>
            <w:tcW w:w="1093" w:type="pct"/>
            <w:tcBorders>
              <w:top w:val="nil"/>
              <w:left w:val="single" w:sz="4" w:space="0" w:color="auto"/>
              <w:bottom w:val="single" w:sz="4" w:space="0" w:color="auto"/>
              <w:right w:val="single" w:sz="4" w:space="0" w:color="auto"/>
            </w:tcBorders>
            <w:shd w:val="clear" w:color="auto" w:fill="FFFF99"/>
            <w:noWrap/>
          </w:tcPr>
          <w:p w14:paraId="0F2F7376"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r w:rsidRPr="006E7441">
              <w:rPr>
                <w:rFonts w:ascii="Times New Roman" w:hAnsi="Times New Roman"/>
                <w:noProof/>
                <w:sz w:val="18"/>
                <w:szCs w:val="18"/>
                <w:lang w:eastAsia="en-GB"/>
              </w:rPr>
              <w:t>0</w:t>
            </w:r>
            <w:r>
              <w:rPr>
                <w:rFonts w:ascii="Times New Roman" w:hAnsi="Times New Roman"/>
                <w:noProof/>
                <w:sz w:val="18"/>
                <w:szCs w:val="18"/>
                <w:lang w:eastAsia="en-GB"/>
              </w:rPr>
              <w:t xml:space="preserve"> </w:t>
            </w:r>
            <w:r>
              <w:rPr>
                <w:rFonts w:ascii="Times New Roman" w:hAnsi="Times New Roman"/>
                <w:noProof/>
                <w:sz w:val="18"/>
                <w:szCs w:val="18"/>
                <w:lang w:eastAsia="en-GB"/>
              </w:rPr>
              <w:br/>
              <w:t>(European Parliament)</w:t>
            </w:r>
          </w:p>
        </w:tc>
      </w:tr>
      <w:tr w:rsidR="00EC39BD" w:rsidRPr="00AA0B4A" w14:paraId="6CEB91FC"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3B16CCC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w:t>
            </w:r>
            <w:r w:rsidRPr="00AA0B4A">
              <w:rPr>
                <w:rFonts w:ascii="Times New Roman" w:hAnsi="Times New Roman"/>
                <w:noProof/>
                <w:color w:val="000000"/>
                <w:sz w:val="18"/>
                <w:szCs w:val="18"/>
                <w:lang w:eastAsia="en-GB"/>
              </w:rPr>
              <w:t>*</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4BAB519"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39C272DF" w14:textId="77777777" w:rsidR="00EC39BD" w:rsidRPr="008177E2"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73BDB956" w14:textId="77777777" w:rsidR="00EC39BD" w:rsidRPr="008177E2"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2</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507C20C3" w14:textId="77777777" w:rsidR="00EC39BD" w:rsidRPr="008177E2"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0</w:t>
            </w:r>
          </w:p>
        </w:tc>
        <w:tc>
          <w:tcPr>
            <w:tcW w:w="1093" w:type="pct"/>
            <w:tcBorders>
              <w:top w:val="nil"/>
              <w:left w:val="single" w:sz="4" w:space="0" w:color="auto"/>
              <w:bottom w:val="single" w:sz="4" w:space="0" w:color="auto"/>
              <w:right w:val="single" w:sz="4" w:space="0" w:color="auto"/>
            </w:tcBorders>
            <w:shd w:val="clear" w:color="auto" w:fill="FFFF99"/>
            <w:noWrap/>
          </w:tcPr>
          <w:p w14:paraId="4501B0E1"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768023E8"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44C601E"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w:t>
            </w:r>
          </w:p>
        </w:tc>
        <w:tc>
          <w:tcPr>
            <w:tcW w:w="701" w:type="pct"/>
            <w:tcBorders>
              <w:top w:val="nil"/>
              <w:left w:val="single" w:sz="4" w:space="0" w:color="auto"/>
              <w:bottom w:val="single" w:sz="4" w:space="0" w:color="auto"/>
              <w:right w:val="single" w:sz="4" w:space="0" w:color="auto"/>
            </w:tcBorders>
            <w:shd w:val="clear" w:color="auto" w:fill="FFFF99"/>
            <w:vAlign w:val="center"/>
          </w:tcPr>
          <w:p w14:paraId="2110243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AA0B4A">
              <w:rPr>
                <w:rFonts w:ascii="Times New Roman" w:hAnsi="Times New Roman"/>
                <w:noProof/>
                <w:sz w:val="18"/>
                <w:szCs w:val="18"/>
                <w:lang w:eastAsia="en-GB"/>
              </w:rPr>
              <w:t>5</w:t>
            </w:r>
            <w:r>
              <w:rPr>
                <w:rFonts w:ascii="Times New Roman" w:hAnsi="Times New Roman"/>
                <w:noProof/>
                <w:sz w:val="18"/>
                <w:szCs w:val="18"/>
                <w:lang w:eastAsia="en-GB"/>
              </w:rPr>
              <w:t>0</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0349DFC5"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43</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41A4C3A" w14:textId="77777777" w:rsidR="00EC39BD" w:rsidRPr="00B83A9D"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47</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3FEB27BC"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40</w:t>
            </w:r>
          </w:p>
        </w:tc>
        <w:tc>
          <w:tcPr>
            <w:tcW w:w="1093" w:type="pct"/>
            <w:tcBorders>
              <w:top w:val="nil"/>
              <w:left w:val="single" w:sz="4" w:space="0" w:color="auto"/>
              <w:bottom w:val="single" w:sz="4" w:space="0" w:color="auto"/>
              <w:right w:val="single" w:sz="4" w:space="0" w:color="auto"/>
            </w:tcBorders>
            <w:shd w:val="clear" w:color="auto" w:fill="FFFF99"/>
            <w:noWrap/>
          </w:tcPr>
          <w:p w14:paraId="3B603FE6"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11738F6D" w14:textId="77777777" w:rsidTr="00E55B57">
        <w:trPr>
          <w:trHeight w:val="262"/>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2CEE74D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TRADE</w:t>
            </w:r>
          </w:p>
        </w:tc>
        <w:tc>
          <w:tcPr>
            <w:tcW w:w="701" w:type="pct"/>
            <w:tcBorders>
              <w:top w:val="nil"/>
              <w:left w:val="single" w:sz="4" w:space="0" w:color="auto"/>
              <w:bottom w:val="single" w:sz="4" w:space="0" w:color="auto"/>
              <w:right w:val="single" w:sz="4" w:space="0" w:color="auto"/>
            </w:tcBorders>
            <w:shd w:val="clear" w:color="auto" w:fill="FFFF99"/>
            <w:vAlign w:val="center"/>
          </w:tcPr>
          <w:p w14:paraId="53044161"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76</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654CFCB4"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85</w:t>
            </w:r>
          </w:p>
        </w:tc>
        <w:tc>
          <w:tcPr>
            <w:tcW w:w="672" w:type="pct"/>
            <w:tcBorders>
              <w:top w:val="nil"/>
              <w:left w:val="single" w:sz="4" w:space="0" w:color="auto"/>
              <w:bottom w:val="single" w:sz="4" w:space="0" w:color="auto"/>
              <w:right w:val="single" w:sz="4" w:space="0" w:color="auto"/>
            </w:tcBorders>
            <w:shd w:val="clear" w:color="auto" w:fill="FFFF99"/>
            <w:vAlign w:val="bottom"/>
          </w:tcPr>
          <w:p w14:paraId="558776C2" w14:textId="77777777" w:rsidR="00EC39BD" w:rsidRPr="00B83A9D"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7</w:t>
            </w:r>
            <w:r w:rsidRPr="00B83A9D">
              <w:rPr>
                <w:rFonts w:ascii="Times New Roman" w:hAnsi="Times New Roman"/>
                <w:noProof/>
                <w:sz w:val="18"/>
                <w:szCs w:val="18"/>
                <w:lang w:eastAsia="en-GB"/>
              </w:rPr>
              <w:t>1</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48E3C37F" w14:textId="77777777" w:rsidR="00EC39BD" w:rsidRPr="00AA0B4A" w:rsidRDefault="00EC39BD" w:rsidP="00E55B57">
            <w:pPr>
              <w:spacing w:after="0"/>
              <w:jc w:val="center"/>
              <w:rPr>
                <w:rFonts w:ascii="Times New Roman" w:hAnsi="Times New Roman"/>
                <w:noProof/>
                <w:sz w:val="18"/>
                <w:szCs w:val="18"/>
                <w:lang w:eastAsia="en-GB"/>
              </w:rPr>
            </w:pPr>
            <w:r>
              <w:rPr>
                <w:rFonts w:ascii="Times New Roman" w:hAnsi="Times New Roman"/>
                <w:noProof/>
                <w:sz w:val="18"/>
                <w:szCs w:val="18"/>
                <w:lang w:eastAsia="en-GB"/>
              </w:rPr>
              <w:t>86</w:t>
            </w:r>
          </w:p>
        </w:tc>
        <w:tc>
          <w:tcPr>
            <w:tcW w:w="1093" w:type="pct"/>
            <w:tcBorders>
              <w:top w:val="nil"/>
              <w:left w:val="single" w:sz="4" w:space="0" w:color="auto"/>
              <w:bottom w:val="single" w:sz="4" w:space="0" w:color="auto"/>
              <w:right w:val="single" w:sz="4" w:space="0" w:color="auto"/>
            </w:tcBorders>
            <w:shd w:val="clear" w:color="auto" w:fill="FFFF99"/>
            <w:noWrap/>
          </w:tcPr>
          <w:p w14:paraId="64CFC2DD"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6E7441">
              <w:rPr>
                <w:rFonts w:ascii="Times New Roman" w:hAnsi="Times New Roman"/>
                <w:noProof/>
                <w:sz w:val="18"/>
                <w:szCs w:val="18"/>
                <w:lang w:eastAsia="en-GB"/>
              </w:rPr>
              <w:t>0</w:t>
            </w:r>
          </w:p>
        </w:tc>
      </w:tr>
      <w:tr w:rsidR="00EC39BD" w:rsidRPr="00AA0B4A" w14:paraId="2F24410F" w14:textId="77777777" w:rsidTr="00E55B57">
        <w:trPr>
          <w:trHeight w:val="251"/>
        </w:trPr>
        <w:tc>
          <w:tcPr>
            <w:tcW w:w="1164" w:type="pct"/>
            <w:tcBorders>
              <w:top w:val="nil"/>
              <w:left w:val="single" w:sz="4" w:space="0" w:color="auto"/>
              <w:bottom w:val="single" w:sz="4" w:space="0" w:color="auto"/>
              <w:right w:val="single" w:sz="4" w:space="0" w:color="auto"/>
            </w:tcBorders>
            <w:shd w:val="clear" w:color="auto" w:fill="FFFF99"/>
            <w:noWrap/>
            <w:vAlign w:val="bottom"/>
          </w:tcPr>
          <w:p w14:paraId="1951F4BC" w14:textId="77777777" w:rsidR="00EC39BD" w:rsidRPr="00AA0B4A" w:rsidRDefault="00EC39BD" w:rsidP="00E55B57">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701" w:type="pct"/>
            <w:tcBorders>
              <w:top w:val="nil"/>
              <w:left w:val="single" w:sz="4" w:space="0" w:color="auto"/>
              <w:bottom w:val="single" w:sz="4" w:space="0" w:color="auto"/>
              <w:right w:val="single" w:sz="4" w:space="0" w:color="auto"/>
            </w:tcBorders>
            <w:shd w:val="clear" w:color="auto" w:fill="FFFF99"/>
            <w:vAlign w:val="center"/>
          </w:tcPr>
          <w:p w14:paraId="7826833F"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1782</w:t>
            </w:r>
          </w:p>
        </w:tc>
        <w:tc>
          <w:tcPr>
            <w:tcW w:w="666" w:type="pct"/>
            <w:tcBorders>
              <w:top w:val="nil"/>
              <w:left w:val="single" w:sz="4" w:space="0" w:color="auto"/>
              <w:bottom w:val="single" w:sz="4" w:space="0" w:color="auto"/>
              <w:right w:val="single" w:sz="4" w:space="0" w:color="auto"/>
            </w:tcBorders>
            <w:shd w:val="clear" w:color="auto" w:fill="FFFF99"/>
            <w:noWrap/>
            <w:vAlign w:val="center"/>
          </w:tcPr>
          <w:p w14:paraId="7885F581"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2048</w:t>
            </w:r>
          </w:p>
        </w:tc>
        <w:tc>
          <w:tcPr>
            <w:tcW w:w="672" w:type="pct"/>
            <w:tcBorders>
              <w:top w:val="nil"/>
              <w:left w:val="single" w:sz="4" w:space="0" w:color="auto"/>
              <w:bottom w:val="single" w:sz="4" w:space="0" w:color="auto"/>
              <w:right w:val="single" w:sz="4" w:space="0" w:color="auto"/>
            </w:tcBorders>
            <w:shd w:val="clear" w:color="auto" w:fill="FFFF99"/>
            <w:vAlign w:val="bottom"/>
          </w:tcPr>
          <w:p w14:paraId="46284C2D" w14:textId="77777777" w:rsidR="00EC39BD" w:rsidRPr="00B83A9D"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1592</w:t>
            </w:r>
          </w:p>
        </w:tc>
        <w:tc>
          <w:tcPr>
            <w:tcW w:w="704" w:type="pct"/>
            <w:tcBorders>
              <w:top w:val="nil"/>
              <w:left w:val="single" w:sz="4" w:space="0" w:color="auto"/>
              <w:bottom w:val="single" w:sz="4" w:space="0" w:color="auto"/>
              <w:right w:val="single" w:sz="4" w:space="0" w:color="auto"/>
            </w:tcBorders>
            <w:shd w:val="clear" w:color="auto" w:fill="FFFF99"/>
            <w:noWrap/>
            <w:vAlign w:val="bottom"/>
          </w:tcPr>
          <w:p w14:paraId="12FF2CFF" w14:textId="77777777" w:rsidR="00EC39BD" w:rsidRPr="00AA0B4A" w:rsidRDefault="00EC39BD" w:rsidP="00E55B57">
            <w:pPr>
              <w:spacing w:after="0"/>
              <w:jc w:val="center"/>
              <w:rPr>
                <w:rFonts w:ascii="Times New Roman" w:hAnsi="Times New Roman"/>
                <w:b/>
                <w:bCs/>
                <w:noProof/>
                <w:sz w:val="18"/>
                <w:szCs w:val="18"/>
                <w:lang w:eastAsia="en-GB"/>
              </w:rPr>
            </w:pPr>
            <w:r>
              <w:rPr>
                <w:rFonts w:ascii="Times New Roman" w:hAnsi="Times New Roman"/>
                <w:b/>
                <w:bCs/>
                <w:noProof/>
                <w:sz w:val="18"/>
                <w:szCs w:val="18"/>
                <w:lang w:eastAsia="en-GB"/>
              </w:rPr>
              <w:t>2072</w:t>
            </w:r>
          </w:p>
        </w:tc>
        <w:tc>
          <w:tcPr>
            <w:tcW w:w="1093" w:type="pct"/>
            <w:tcBorders>
              <w:top w:val="nil"/>
              <w:left w:val="single" w:sz="4" w:space="0" w:color="auto"/>
              <w:bottom w:val="single" w:sz="4" w:space="0" w:color="auto"/>
              <w:right w:val="single" w:sz="4" w:space="0" w:color="auto"/>
            </w:tcBorders>
            <w:shd w:val="clear" w:color="auto" w:fill="FFFF99"/>
            <w:noWrap/>
            <w:vAlign w:val="center"/>
          </w:tcPr>
          <w:p w14:paraId="626DF386"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10</w:t>
            </w:r>
          </w:p>
        </w:tc>
      </w:tr>
    </w:tbl>
    <w:p w14:paraId="1CE0AD13" w14:textId="77777777" w:rsidR="00EC39BD" w:rsidRPr="00AA0B4A" w:rsidRDefault="00EC39BD" w:rsidP="00EC39BD">
      <w:pPr>
        <w:spacing w:before="40" w:line="240" w:lineRule="auto"/>
        <w:jc w:val="both"/>
        <w:rPr>
          <w:rFonts w:ascii="Times New Roman" w:hAnsi="Times New Roman"/>
          <w:i/>
          <w:noProof/>
          <w:sz w:val="18"/>
          <w:szCs w:val="18"/>
        </w:rPr>
      </w:pPr>
      <w:r w:rsidRPr="00AA0B4A">
        <w:rPr>
          <w:rFonts w:ascii="Times New Roman" w:hAnsi="Times New Roman"/>
          <w:i/>
          <w:noProof/>
          <w:sz w:val="18"/>
          <w:szCs w:val="18"/>
        </w:rPr>
        <w:t>*</w:t>
      </w:r>
      <w:r>
        <w:rPr>
          <w:rFonts w:ascii="Times New Roman" w:hAnsi="Times New Roman"/>
          <w:i/>
          <w:noProof/>
          <w:sz w:val="18"/>
          <w:szCs w:val="18"/>
        </w:rPr>
        <w:t xml:space="preserve">Including opinions delivered by the </w:t>
      </w:r>
      <w:r w:rsidRPr="00A97514">
        <w:rPr>
          <w:rFonts w:ascii="Times New Roman" w:hAnsi="Times New Roman"/>
          <w:i/>
          <w:noProof/>
          <w:sz w:val="18"/>
          <w:szCs w:val="18"/>
        </w:rPr>
        <w:t>appeal committee</w:t>
      </w:r>
      <w:r>
        <w:rPr>
          <w:rFonts w:ascii="Times New Roman" w:hAnsi="Times New Roman"/>
          <w:i/>
          <w:noProof/>
          <w:sz w:val="18"/>
          <w:szCs w:val="18"/>
        </w:rPr>
        <w:t xml:space="preserve">. To avoid double-counting, adopted implementing acts passing through the appeal committee are counted towards the first-level committees in the respective policy areas. </w:t>
      </w:r>
      <w:r>
        <w:rPr>
          <w:rFonts w:ascii="Times New Roman" w:hAnsi="Times New Roman"/>
          <w:i/>
          <w:noProof/>
          <w:sz w:val="18"/>
          <w:szCs w:val="18"/>
        </w:rPr>
        <w:br/>
        <w:t>Detailed information on the work of the appeal committee is provided in Table V.</w:t>
      </w:r>
    </w:p>
    <w:p w14:paraId="725C7676" w14:textId="77777777" w:rsidR="00EC39BD" w:rsidRDefault="00EC39BD" w:rsidP="00EC39BD">
      <w:pPr>
        <w:jc w:val="both"/>
        <w:rPr>
          <w:rFonts w:ascii="Times New Roman" w:hAnsi="Times New Roman"/>
          <w:noProof/>
          <w:sz w:val="24"/>
          <w:szCs w:val="24"/>
        </w:rPr>
      </w:pPr>
      <w:r w:rsidRPr="00DA3883">
        <w:rPr>
          <w:rFonts w:ascii="Times New Roman" w:hAnsi="Times New Roman"/>
          <w:noProof/>
          <w:sz w:val="24"/>
          <w:szCs w:val="24"/>
        </w:rPr>
        <w:t xml:space="preserve">The committees delivered </w:t>
      </w:r>
      <w:r>
        <w:rPr>
          <w:rFonts w:ascii="Times New Roman" w:hAnsi="Times New Roman"/>
          <w:b/>
          <w:bCs/>
          <w:noProof/>
          <w:sz w:val="24"/>
          <w:szCs w:val="24"/>
        </w:rPr>
        <w:t xml:space="preserve">2048 </w:t>
      </w:r>
      <w:r w:rsidRPr="000F2FE7">
        <w:rPr>
          <w:rFonts w:ascii="Times New Roman" w:hAnsi="Times New Roman"/>
          <w:b/>
          <w:bCs/>
          <w:noProof/>
          <w:sz w:val="24"/>
          <w:szCs w:val="24"/>
        </w:rPr>
        <w:t>opinions</w:t>
      </w:r>
      <w:r>
        <w:rPr>
          <w:rStyle w:val="FootnoteReference"/>
          <w:rFonts w:ascii="Times New Roman" w:hAnsi="Times New Roman"/>
          <w:noProof/>
          <w:sz w:val="24"/>
          <w:szCs w:val="24"/>
        </w:rPr>
        <w:footnoteReference w:id="25"/>
      </w:r>
      <w:r w:rsidRPr="00DA3883">
        <w:rPr>
          <w:rFonts w:ascii="Times New Roman" w:hAnsi="Times New Roman"/>
          <w:noProof/>
          <w:sz w:val="24"/>
          <w:szCs w:val="24"/>
        </w:rPr>
        <w:t xml:space="preserve"> in 2022, w</w:t>
      </w:r>
      <w:r>
        <w:rPr>
          <w:rFonts w:ascii="Times New Roman" w:hAnsi="Times New Roman"/>
          <w:noProof/>
          <w:sz w:val="24"/>
          <w:szCs w:val="24"/>
        </w:rPr>
        <w:t>hich is</w:t>
      </w:r>
      <w:r w:rsidRPr="00DA3883">
        <w:rPr>
          <w:rFonts w:ascii="Times New Roman" w:hAnsi="Times New Roman"/>
          <w:noProof/>
          <w:sz w:val="24"/>
          <w:szCs w:val="24"/>
        </w:rPr>
        <w:t xml:space="preserve"> a</w:t>
      </w:r>
      <w:r>
        <w:rPr>
          <w:rFonts w:ascii="Times New Roman" w:hAnsi="Times New Roman"/>
          <w:noProof/>
          <w:sz w:val="24"/>
          <w:szCs w:val="24"/>
        </w:rPr>
        <w:t>n</w:t>
      </w:r>
      <w:r w:rsidRPr="00DA3883">
        <w:rPr>
          <w:rFonts w:ascii="Times New Roman" w:hAnsi="Times New Roman"/>
          <w:noProof/>
          <w:sz w:val="24"/>
          <w:szCs w:val="24"/>
        </w:rPr>
        <w:t xml:space="preserve"> </w:t>
      </w:r>
      <w:r>
        <w:rPr>
          <w:rFonts w:ascii="Times New Roman" w:hAnsi="Times New Roman"/>
          <w:noProof/>
          <w:sz w:val="24"/>
          <w:szCs w:val="24"/>
        </w:rPr>
        <w:t>increase</w:t>
      </w:r>
      <w:r w:rsidRPr="00DA3883">
        <w:rPr>
          <w:rFonts w:ascii="Times New Roman" w:hAnsi="Times New Roman"/>
          <w:noProof/>
          <w:sz w:val="24"/>
          <w:szCs w:val="24"/>
        </w:rPr>
        <w:t xml:space="preserve"> compared to 2021 (1782)</w:t>
      </w:r>
      <w:r>
        <w:rPr>
          <w:rFonts w:ascii="Times New Roman" w:hAnsi="Times New Roman"/>
          <w:noProof/>
          <w:sz w:val="24"/>
          <w:szCs w:val="24"/>
        </w:rPr>
        <w:t>, indicating a higher workload</w:t>
      </w:r>
      <w:r w:rsidRPr="00DA3883">
        <w:rPr>
          <w:rFonts w:ascii="Times New Roman" w:hAnsi="Times New Roman"/>
          <w:noProof/>
          <w:sz w:val="24"/>
          <w:szCs w:val="24"/>
        </w:rPr>
        <w:t xml:space="preserve">. </w:t>
      </w:r>
      <w:r>
        <w:rPr>
          <w:rFonts w:ascii="Times New Roman" w:hAnsi="Times New Roman"/>
          <w:noProof/>
          <w:sz w:val="24"/>
          <w:szCs w:val="24"/>
        </w:rPr>
        <w:t>Similarly, t</w:t>
      </w:r>
      <w:r w:rsidRPr="00DA3883">
        <w:rPr>
          <w:rFonts w:ascii="Times New Roman" w:hAnsi="Times New Roman"/>
          <w:noProof/>
          <w:sz w:val="24"/>
          <w:szCs w:val="24"/>
        </w:rPr>
        <w:t xml:space="preserve">he number of </w:t>
      </w:r>
      <w:r>
        <w:rPr>
          <w:rFonts w:ascii="Times New Roman" w:hAnsi="Times New Roman"/>
          <w:b/>
          <w:bCs/>
          <w:noProof/>
          <w:sz w:val="24"/>
          <w:szCs w:val="24"/>
        </w:rPr>
        <w:t xml:space="preserve">2072 </w:t>
      </w:r>
      <w:r w:rsidRPr="000F2FE7">
        <w:rPr>
          <w:rFonts w:ascii="Times New Roman" w:hAnsi="Times New Roman"/>
          <w:b/>
          <w:bCs/>
          <w:noProof/>
          <w:sz w:val="24"/>
          <w:szCs w:val="24"/>
        </w:rPr>
        <w:t>implementing acts</w:t>
      </w:r>
      <w:r w:rsidRPr="00DA3883">
        <w:rPr>
          <w:rFonts w:ascii="Times New Roman" w:hAnsi="Times New Roman"/>
          <w:noProof/>
          <w:sz w:val="24"/>
          <w:szCs w:val="24"/>
        </w:rPr>
        <w:t xml:space="preserve"> adopted following a committee procedure</w:t>
      </w:r>
      <w:r>
        <w:rPr>
          <w:rFonts w:ascii="Times New Roman" w:hAnsi="Times New Roman"/>
          <w:noProof/>
          <w:sz w:val="24"/>
          <w:szCs w:val="24"/>
        </w:rPr>
        <w:t xml:space="preserve"> </w:t>
      </w:r>
      <w:r w:rsidRPr="00DA3883">
        <w:rPr>
          <w:rFonts w:ascii="Times New Roman" w:hAnsi="Times New Roman"/>
          <w:noProof/>
          <w:sz w:val="24"/>
          <w:szCs w:val="24"/>
        </w:rPr>
        <w:t>was also considerably higher than in the previous year (159</w:t>
      </w:r>
      <w:r>
        <w:rPr>
          <w:rFonts w:ascii="Times New Roman" w:hAnsi="Times New Roman"/>
          <w:noProof/>
          <w:sz w:val="24"/>
          <w:szCs w:val="24"/>
        </w:rPr>
        <w:t>2</w:t>
      </w:r>
      <w:r w:rsidRPr="00DA3883">
        <w:rPr>
          <w:rFonts w:ascii="Times New Roman" w:hAnsi="Times New Roman"/>
          <w:noProof/>
          <w:sz w:val="24"/>
          <w:szCs w:val="24"/>
        </w:rPr>
        <w:t>).</w:t>
      </w:r>
      <w:r w:rsidRPr="00F41EF5">
        <w:rPr>
          <w:rFonts w:ascii="Times New Roman" w:hAnsi="Times New Roman"/>
          <w:noProof/>
          <w:sz w:val="24"/>
          <w:szCs w:val="24"/>
        </w:rPr>
        <w:t xml:space="preserve"> </w:t>
      </w:r>
    </w:p>
    <w:p w14:paraId="60396E6C" w14:textId="77777777" w:rsidR="00EC39BD" w:rsidRDefault="00EC39BD" w:rsidP="00EC39BD">
      <w:pPr>
        <w:jc w:val="both"/>
        <w:rPr>
          <w:rFonts w:ascii="Times New Roman" w:hAnsi="Times New Roman"/>
          <w:noProof/>
          <w:sz w:val="24"/>
          <w:szCs w:val="24"/>
        </w:rPr>
      </w:pPr>
    </w:p>
    <w:p w14:paraId="164E1242" w14:textId="77777777" w:rsidR="00EC39BD" w:rsidRPr="002F1882" w:rsidRDefault="00EC39BD" w:rsidP="00EC39BD">
      <w:pPr>
        <w:jc w:val="both"/>
        <w:rPr>
          <w:rFonts w:ascii="Times New Roman" w:hAnsi="Times New Roman"/>
          <w:noProof/>
          <w:sz w:val="24"/>
          <w:szCs w:val="24"/>
        </w:rPr>
      </w:pPr>
      <w:r w:rsidRPr="00F671DE" w:rsidDel="00424AB9">
        <w:rPr>
          <w:rFonts w:ascii="Times New Roman" w:hAnsi="Times New Roman"/>
          <w:noProof/>
          <w:sz w:val="24"/>
          <w:szCs w:val="24"/>
        </w:rPr>
        <w:t>The European Parliament and the Council have a right of scrutiny under Article 11 of th</w:t>
      </w:r>
      <w:r>
        <w:rPr>
          <w:rFonts w:ascii="Times New Roman" w:hAnsi="Times New Roman"/>
          <w:noProof/>
          <w:sz w:val="24"/>
          <w:szCs w:val="24"/>
        </w:rPr>
        <w:t xml:space="preserve">e Comitology Regulation. In </w:t>
      </w:r>
      <w:r w:rsidRPr="00434DB2">
        <w:rPr>
          <w:rFonts w:ascii="Times New Roman" w:hAnsi="Times New Roman"/>
          <w:noProof/>
          <w:sz w:val="24"/>
          <w:szCs w:val="24"/>
        </w:rPr>
        <w:t>202</w:t>
      </w:r>
      <w:r>
        <w:rPr>
          <w:rFonts w:ascii="Times New Roman" w:hAnsi="Times New Roman"/>
          <w:noProof/>
          <w:sz w:val="24"/>
          <w:szCs w:val="24"/>
        </w:rPr>
        <w:t>2</w:t>
      </w:r>
      <w:r w:rsidRPr="00434DB2" w:rsidDel="00424AB9">
        <w:rPr>
          <w:rFonts w:ascii="Times New Roman" w:hAnsi="Times New Roman"/>
          <w:noProof/>
          <w:sz w:val="24"/>
          <w:szCs w:val="24"/>
        </w:rPr>
        <w:t>,</w:t>
      </w:r>
      <w:r w:rsidRPr="00F671DE" w:rsidDel="00424AB9">
        <w:rPr>
          <w:rFonts w:ascii="Times New Roman" w:hAnsi="Times New Roman"/>
          <w:noProof/>
          <w:sz w:val="24"/>
          <w:szCs w:val="24"/>
        </w:rPr>
        <w:t xml:space="preserve"> the European Parliament adopted </w:t>
      </w:r>
      <w:r>
        <w:rPr>
          <w:rFonts w:ascii="Times New Roman" w:hAnsi="Times New Roman"/>
          <w:noProof/>
          <w:sz w:val="24"/>
          <w:szCs w:val="24"/>
        </w:rPr>
        <w:t xml:space="preserve">10 </w:t>
      </w:r>
      <w:r w:rsidRPr="00F671DE" w:rsidDel="00424AB9">
        <w:rPr>
          <w:rFonts w:ascii="Times New Roman" w:hAnsi="Times New Roman"/>
          <w:noProof/>
          <w:sz w:val="24"/>
          <w:szCs w:val="24"/>
        </w:rPr>
        <w:t>resolutions on the basis of Article 11 of the Comitology Regulation</w:t>
      </w:r>
      <w:r>
        <w:rPr>
          <w:rFonts w:ascii="Times New Roman" w:hAnsi="Times New Roman"/>
          <w:noProof/>
          <w:sz w:val="24"/>
          <w:szCs w:val="24"/>
        </w:rPr>
        <w:t xml:space="preserve">, all of which concerned acts of DG SANTE. </w:t>
      </w:r>
      <w:r>
        <w:rPr>
          <w:rFonts w:ascii="Times New Roman" w:hAnsi="Times New Roman"/>
          <w:noProof/>
          <w:sz w:val="24"/>
          <w:szCs w:val="24"/>
        </w:rPr>
        <w:br/>
        <w:t>T</w:t>
      </w:r>
      <w:r w:rsidRPr="00F671DE" w:rsidDel="00424AB9">
        <w:rPr>
          <w:rFonts w:ascii="Times New Roman" w:hAnsi="Times New Roman"/>
          <w:noProof/>
          <w:sz w:val="24"/>
          <w:szCs w:val="24"/>
        </w:rPr>
        <w:t xml:space="preserve">he Council </w:t>
      </w:r>
      <w:r>
        <w:rPr>
          <w:rFonts w:ascii="Times New Roman" w:hAnsi="Times New Roman"/>
          <w:noProof/>
          <w:sz w:val="24"/>
          <w:szCs w:val="24"/>
        </w:rPr>
        <w:t xml:space="preserve">did not </w:t>
      </w:r>
      <w:r w:rsidRPr="009D4037">
        <w:rPr>
          <w:rFonts w:ascii="Times New Roman" w:hAnsi="Times New Roman"/>
          <w:noProof/>
          <w:sz w:val="24"/>
          <w:szCs w:val="24"/>
        </w:rPr>
        <w:t>exercise</w:t>
      </w:r>
      <w:r>
        <w:rPr>
          <w:rFonts w:ascii="Times New Roman" w:hAnsi="Times New Roman"/>
          <w:noProof/>
          <w:sz w:val="24"/>
          <w:szCs w:val="24"/>
        </w:rPr>
        <w:t xml:space="preserve"> its</w:t>
      </w:r>
      <w:r w:rsidRPr="009D4037">
        <w:rPr>
          <w:rFonts w:ascii="Times New Roman" w:hAnsi="Times New Roman"/>
          <w:noProof/>
          <w:sz w:val="24"/>
          <w:szCs w:val="24"/>
        </w:rPr>
        <w:t xml:space="preserve"> </w:t>
      </w:r>
      <w:r>
        <w:rPr>
          <w:rFonts w:ascii="Times New Roman" w:hAnsi="Times New Roman"/>
          <w:noProof/>
          <w:sz w:val="24"/>
          <w:szCs w:val="24"/>
        </w:rPr>
        <w:t xml:space="preserve">right </w:t>
      </w:r>
      <w:r w:rsidRPr="009D4037">
        <w:rPr>
          <w:rFonts w:ascii="Times New Roman" w:hAnsi="Times New Roman"/>
          <w:noProof/>
          <w:sz w:val="24"/>
          <w:szCs w:val="24"/>
        </w:rPr>
        <w:t xml:space="preserve">to </w:t>
      </w:r>
      <w:r>
        <w:rPr>
          <w:rFonts w:ascii="Times New Roman" w:hAnsi="Times New Roman"/>
          <w:noProof/>
          <w:sz w:val="24"/>
          <w:szCs w:val="24"/>
        </w:rPr>
        <w:t>oppose a draft measure under this provision in 2022.</w:t>
      </w:r>
    </w:p>
    <w:p w14:paraId="4C1F2C77" w14:textId="77777777" w:rsidR="00EC39BD" w:rsidRPr="005610E6" w:rsidRDefault="00EC39BD" w:rsidP="00EC39BD">
      <w:pPr>
        <w:pStyle w:val="ManualHeading2"/>
        <w:spacing w:before="360" w:after="240"/>
        <w:ind w:left="851" w:hanging="851"/>
        <w:rPr>
          <w:noProof/>
        </w:rPr>
      </w:pPr>
      <w:r w:rsidRPr="007772AB">
        <w:rPr>
          <w:noProof/>
        </w:rPr>
        <w:t>3.4.</w:t>
      </w:r>
      <w:r w:rsidRPr="007772AB">
        <w:rPr>
          <w:noProof/>
        </w:rPr>
        <w:tab/>
      </w:r>
      <w:r w:rsidRPr="00AA0B4A">
        <w:rPr>
          <w:noProof/>
        </w:rPr>
        <w:t xml:space="preserve">Meetings of the </w:t>
      </w:r>
      <w:r>
        <w:rPr>
          <w:noProof/>
        </w:rPr>
        <w:t>a</w:t>
      </w:r>
      <w:r w:rsidRPr="00AA0B4A">
        <w:rPr>
          <w:noProof/>
        </w:rPr>
        <w:t xml:space="preserve">ppeal </w:t>
      </w:r>
      <w:r>
        <w:rPr>
          <w:noProof/>
        </w:rPr>
        <w:t>c</w:t>
      </w:r>
      <w:r w:rsidRPr="00AA0B4A">
        <w:rPr>
          <w:noProof/>
        </w:rPr>
        <w:t>ommittee</w:t>
      </w:r>
    </w:p>
    <w:p w14:paraId="62F9BDCD" w14:textId="77777777" w:rsidR="00EC39BD" w:rsidRDefault="00EC39BD" w:rsidP="00EC39BD">
      <w:pPr>
        <w:jc w:val="both"/>
        <w:rPr>
          <w:rFonts w:ascii="Times New Roman" w:hAnsi="Times New Roman"/>
          <w:noProof/>
          <w:sz w:val="24"/>
          <w:szCs w:val="24"/>
        </w:rPr>
      </w:pPr>
      <w:r>
        <w:rPr>
          <w:rFonts w:ascii="Times New Roman" w:hAnsi="Times New Roman"/>
          <w:noProof/>
          <w:sz w:val="24"/>
          <w:szCs w:val="24"/>
        </w:rPr>
        <w:t>As indicated in Table V below, t</w:t>
      </w:r>
      <w:r w:rsidRPr="00AA0B4A">
        <w:rPr>
          <w:rFonts w:ascii="Times New Roman" w:hAnsi="Times New Roman"/>
          <w:noProof/>
          <w:sz w:val="24"/>
          <w:szCs w:val="24"/>
        </w:rPr>
        <w:t xml:space="preserve">he </w:t>
      </w:r>
      <w:r>
        <w:rPr>
          <w:rFonts w:ascii="Times New Roman" w:hAnsi="Times New Roman"/>
          <w:noProof/>
          <w:sz w:val="24"/>
          <w:szCs w:val="24"/>
        </w:rPr>
        <w:t>a</w:t>
      </w:r>
      <w:r w:rsidRPr="00AA0B4A">
        <w:rPr>
          <w:rFonts w:ascii="Times New Roman" w:hAnsi="Times New Roman"/>
          <w:noProof/>
          <w:sz w:val="24"/>
          <w:szCs w:val="24"/>
        </w:rPr>
        <w:t xml:space="preserve">ppeal </w:t>
      </w:r>
      <w:r>
        <w:rPr>
          <w:rFonts w:ascii="Times New Roman" w:hAnsi="Times New Roman"/>
          <w:noProof/>
          <w:sz w:val="24"/>
          <w:szCs w:val="24"/>
        </w:rPr>
        <w:t>c</w:t>
      </w:r>
      <w:r w:rsidRPr="00AA0B4A">
        <w:rPr>
          <w:rFonts w:ascii="Times New Roman" w:hAnsi="Times New Roman"/>
          <w:noProof/>
          <w:sz w:val="24"/>
          <w:szCs w:val="24"/>
        </w:rPr>
        <w:t xml:space="preserve">ommittee met </w:t>
      </w:r>
      <w:r>
        <w:rPr>
          <w:rFonts w:ascii="Times New Roman" w:hAnsi="Times New Roman"/>
          <w:noProof/>
          <w:sz w:val="24"/>
          <w:szCs w:val="24"/>
        </w:rPr>
        <w:t xml:space="preserve">11 </w:t>
      </w:r>
      <w:r w:rsidRPr="005343F0">
        <w:rPr>
          <w:rFonts w:ascii="Times New Roman" w:hAnsi="Times New Roman"/>
          <w:noProof/>
          <w:sz w:val="24"/>
          <w:szCs w:val="24"/>
        </w:rPr>
        <w:t>times during 202</w:t>
      </w:r>
      <w:r>
        <w:rPr>
          <w:rFonts w:ascii="Times New Roman" w:hAnsi="Times New Roman"/>
          <w:noProof/>
          <w:sz w:val="24"/>
          <w:szCs w:val="24"/>
        </w:rPr>
        <w:t>2</w:t>
      </w:r>
      <w:r w:rsidRPr="005343F0">
        <w:rPr>
          <w:rFonts w:ascii="Times New Roman" w:hAnsi="Times New Roman"/>
          <w:noProof/>
          <w:sz w:val="24"/>
          <w:szCs w:val="24"/>
        </w:rPr>
        <w:t xml:space="preserve">, and discussed </w:t>
      </w:r>
      <w:r>
        <w:rPr>
          <w:rFonts w:ascii="Times New Roman" w:hAnsi="Times New Roman"/>
          <w:noProof/>
          <w:sz w:val="24"/>
          <w:szCs w:val="24"/>
        </w:rPr>
        <w:t xml:space="preserve">13 </w:t>
      </w:r>
      <w:r w:rsidRPr="005343F0">
        <w:rPr>
          <w:rFonts w:ascii="Times New Roman" w:hAnsi="Times New Roman"/>
          <w:noProof/>
          <w:sz w:val="24"/>
          <w:szCs w:val="24"/>
        </w:rPr>
        <w:t>draft implementing acts which the Commission</w:t>
      </w:r>
      <w:r>
        <w:rPr>
          <w:rFonts w:ascii="Times New Roman" w:hAnsi="Times New Roman"/>
          <w:noProof/>
          <w:sz w:val="24"/>
          <w:szCs w:val="24"/>
        </w:rPr>
        <w:t xml:space="preserve"> referred to it</w:t>
      </w:r>
      <w:r w:rsidRPr="005343F0">
        <w:rPr>
          <w:rFonts w:ascii="Times New Roman" w:hAnsi="Times New Roman"/>
          <w:noProof/>
          <w:sz w:val="24"/>
          <w:szCs w:val="24"/>
        </w:rPr>
        <w:t xml:space="preserve">. </w:t>
      </w:r>
      <w:r>
        <w:rPr>
          <w:rFonts w:ascii="Times New Roman" w:hAnsi="Times New Roman"/>
          <w:noProof/>
          <w:sz w:val="24"/>
          <w:szCs w:val="24"/>
        </w:rPr>
        <w:t>U</w:t>
      </w:r>
      <w:r w:rsidRPr="00D9066D">
        <w:rPr>
          <w:rFonts w:ascii="Times New Roman" w:hAnsi="Times New Roman"/>
          <w:noProof/>
          <w:sz w:val="24"/>
          <w:szCs w:val="24"/>
        </w:rPr>
        <w:t xml:space="preserve">sing written consultations </w:t>
      </w:r>
      <w:r>
        <w:rPr>
          <w:rFonts w:ascii="Times New Roman" w:hAnsi="Times New Roman"/>
          <w:noProof/>
          <w:sz w:val="24"/>
          <w:szCs w:val="24"/>
        </w:rPr>
        <w:t>for 6 draft acts and voting in a meeting on 7</w:t>
      </w:r>
      <w:r>
        <w:rPr>
          <w:noProof/>
        </w:rPr>
        <w:t>,</w:t>
      </w:r>
      <w:r w:rsidRPr="00D9066D">
        <w:rPr>
          <w:noProof/>
        </w:rPr>
        <w:t xml:space="preserve"> </w:t>
      </w:r>
      <w:r w:rsidRPr="00656031">
        <w:rPr>
          <w:rFonts w:ascii="Times New Roman" w:hAnsi="Times New Roman"/>
          <w:noProof/>
          <w:sz w:val="24"/>
          <w:szCs w:val="24"/>
        </w:rPr>
        <w:t xml:space="preserve">it </w:t>
      </w:r>
      <w:r w:rsidRPr="005343F0">
        <w:rPr>
          <w:rFonts w:ascii="Times New Roman" w:hAnsi="Times New Roman"/>
          <w:noProof/>
          <w:sz w:val="24"/>
          <w:szCs w:val="24"/>
        </w:rPr>
        <w:t xml:space="preserve">delivered </w:t>
      </w:r>
      <w:r>
        <w:rPr>
          <w:rFonts w:ascii="Times New Roman" w:hAnsi="Times New Roman"/>
          <w:noProof/>
          <w:sz w:val="24"/>
          <w:szCs w:val="24"/>
        </w:rPr>
        <w:t>a ‘</w:t>
      </w:r>
      <w:r w:rsidRPr="005343F0">
        <w:rPr>
          <w:rFonts w:ascii="Times New Roman" w:hAnsi="Times New Roman"/>
          <w:noProof/>
          <w:sz w:val="24"/>
          <w:szCs w:val="24"/>
        </w:rPr>
        <w:t>no opinion</w:t>
      </w:r>
      <w:r>
        <w:rPr>
          <w:rFonts w:ascii="Times New Roman" w:hAnsi="Times New Roman"/>
          <w:noProof/>
          <w:sz w:val="24"/>
          <w:szCs w:val="24"/>
        </w:rPr>
        <w:t>’</w:t>
      </w:r>
      <w:r w:rsidRPr="005343F0">
        <w:rPr>
          <w:rFonts w:ascii="Times New Roman" w:hAnsi="Times New Roman"/>
          <w:noProof/>
          <w:sz w:val="24"/>
          <w:szCs w:val="24"/>
        </w:rPr>
        <w:t xml:space="preserve"> in </w:t>
      </w:r>
      <w:r>
        <w:rPr>
          <w:rFonts w:ascii="Times New Roman" w:hAnsi="Times New Roman"/>
          <w:noProof/>
          <w:sz w:val="24"/>
          <w:szCs w:val="24"/>
        </w:rPr>
        <w:t xml:space="preserve">all 13 </w:t>
      </w:r>
      <w:r w:rsidRPr="005343F0">
        <w:rPr>
          <w:rFonts w:ascii="Times New Roman" w:hAnsi="Times New Roman"/>
          <w:noProof/>
          <w:sz w:val="24"/>
          <w:szCs w:val="24"/>
        </w:rPr>
        <w:t>cases</w:t>
      </w:r>
      <w:r w:rsidRPr="00733851">
        <w:rPr>
          <w:rStyle w:val="FootnoteReference"/>
          <w:rFonts w:ascii="Times New Roman" w:hAnsi="Times New Roman"/>
          <w:noProof/>
          <w:sz w:val="24"/>
          <w:szCs w:val="24"/>
        </w:rPr>
        <w:footnoteReference w:id="26"/>
      </w:r>
      <w:r w:rsidRPr="00733851">
        <w:rPr>
          <w:rFonts w:ascii="Times New Roman" w:hAnsi="Times New Roman"/>
          <w:noProof/>
          <w:sz w:val="24"/>
          <w:szCs w:val="24"/>
        </w:rPr>
        <w:t>. The Commission adopt</w:t>
      </w:r>
      <w:r>
        <w:rPr>
          <w:rFonts w:ascii="Times New Roman" w:hAnsi="Times New Roman"/>
          <w:noProof/>
          <w:sz w:val="24"/>
          <w:szCs w:val="24"/>
        </w:rPr>
        <w:t>ed all</w:t>
      </w:r>
      <w:r w:rsidRPr="00733851">
        <w:rPr>
          <w:rFonts w:ascii="Times New Roman" w:hAnsi="Times New Roman"/>
          <w:noProof/>
          <w:sz w:val="24"/>
          <w:szCs w:val="24"/>
        </w:rPr>
        <w:t xml:space="preserve"> </w:t>
      </w:r>
      <w:r>
        <w:rPr>
          <w:rFonts w:ascii="Times New Roman" w:hAnsi="Times New Roman"/>
          <w:noProof/>
          <w:sz w:val="24"/>
          <w:szCs w:val="24"/>
        </w:rPr>
        <w:t xml:space="preserve">13 </w:t>
      </w:r>
      <w:r w:rsidRPr="00733851">
        <w:rPr>
          <w:rFonts w:ascii="Times New Roman" w:hAnsi="Times New Roman"/>
          <w:noProof/>
          <w:sz w:val="24"/>
          <w:szCs w:val="24"/>
        </w:rPr>
        <w:t xml:space="preserve">implementing acts following </w:t>
      </w:r>
      <w:r>
        <w:rPr>
          <w:rFonts w:ascii="Times New Roman" w:hAnsi="Times New Roman"/>
          <w:noProof/>
          <w:sz w:val="24"/>
          <w:szCs w:val="24"/>
        </w:rPr>
        <w:t xml:space="preserve">the appeal committee vote, but 2 of these adoptions fell into 2023. </w:t>
      </w:r>
    </w:p>
    <w:p w14:paraId="21F342E2" w14:textId="77777777" w:rsidR="00EC39BD" w:rsidRDefault="00EC39BD" w:rsidP="00EC39BD">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 xml:space="preserve">TABLE </w:t>
      </w:r>
      <w:r w:rsidRPr="00AA0B4A">
        <w:rPr>
          <w:rFonts w:ascii="Times New Roman" w:hAnsi="Times New Roman"/>
          <w:b/>
          <w:noProof/>
          <w:sz w:val="24"/>
          <w:szCs w:val="24"/>
          <w:u w:val="single"/>
        </w:rPr>
        <w:t xml:space="preserve">V — </w:t>
      </w:r>
      <w:r>
        <w:rPr>
          <w:rFonts w:ascii="Times New Roman" w:hAnsi="Times New Roman"/>
          <w:b/>
          <w:smallCaps/>
          <w:noProof/>
          <w:sz w:val="24"/>
          <w:szCs w:val="24"/>
          <w:u w:val="single"/>
        </w:rPr>
        <w:t>activity of the appeal committee</w:t>
      </w:r>
    </w:p>
    <w:tbl>
      <w:tblPr>
        <w:tblW w:w="4942" w:type="pct"/>
        <w:tblInd w:w="108" w:type="dxa"/>
        <w:tblLook w:val="0000" w:firstRow="0" w:lastRow="0" w:firstColumn="0" w:lastColumn="0" w:noHBand="0" w:noVBand="0"/>
      </w:tblPr>
      <w:tblGrid>
        <w:gridCol w:w="2111"/>
        <w:gridCol w:w="2000"/>
        <w:gridCol w:w="1557"/>
        <w:gridCol w:w="1278"/>
        <w:gridCol w:w="850"/>
        <w:gridCol w:w="806"/>
        <w:gridCol w:w="576"/>
      </w:tblGrid>
      <w:tr w:rsidR="00EC39BD" w:rsidRPr="00AA0B4A" w14:paraId="3C84A2A9" w14:textId="77777777" w:rsidTr="00E55B57">
        <w:trPr>
          <w:trHeight w:val="510"/>
        </w:trPr>
        <w:tc>
          <w:tcPr>
            <w:tcW w:w="1150"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0C5990AD" w14:textId="77777777" w:rsidR="00EC39BD" w:rsidRPr="00EA7E10" w:rsidRDefault="00EC39BD" w:rsidP="00E55B57">
            <w:pPr>
              <w:spacing w:after="0" w:line="240" w:lineRule="auto"/>
              <w:rPr>
                <w:rFonts w:ascii="Times New Roman" w:hAnsi="Times New Roman"/>
                <w:b/>
                <w:noProof/>
                <w:color w:val="000000"/>
                <w:sz w:val="18"/>
                <w:szCs w:val="18"/>
                <w:lang w:eastAsia="en-GB"/>
              </w:rPr>
            </w:pPr>
            <w:r w:rsidRPr="00EA7E10">
              <w:rPr>
                <w:rFonts w:ascii="Times New Roman" w:hAnsi="Times New Roman"/>
                <w:b/>
                <w:noProof/>
                <w:color w:val="000000"/>
                <w:sz w:val="18"/>
                <w:szCs w:val="18"/>
                <w:lang w:eastAsia="en-GB"/>
              </w:rPr>
              <w:t>Commission department</w:t>
            </w:r>
          </w:p>
        </w:tc>
        <w:tc>
          <w:tcPr>
            <w:tcW w:w="1938" w:type="pct"/>
            <w:gridSpan w:val="2"/>
            <w:tcBorders>
              <w:top w:val="single" w:sz="4" w:space="0" w:color="auto"/>
              <w:left w:val="nil"/>
              <w:bottom w:val="single" w:sz="4" w:space="0" w:color="auto"/>
              <w:right w:val="single" w:sz="4" w:space="0" w:color="auto"/>
            </w:tcBorders>
            <w:shd w:val="clear" w:color="auto" w:fill="FFFF99"/>
          </w:tcPr>
          <w:p w14:paraId="630FF5A4"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Number of meetings</w:t>
            </w:r>
            <w:r>
              <w:rPr>
                <w:rFonts w:ascii="Times New Roman" w:hAnsi="Times New Roman"/>
                <w:b/>
                <w:noProof/>
                <w:color w:val="000000"/>
                <w:sz w:val="18"/>
                <w:szCs w:val="18"/>
                <w:lang w:eastAsia="en-GB"/>
              </w:rPr>
              <w:t>/written consultations</w:t>
            </w:r>
            <w:r w:rsidRPr="00AA0B4A">
              <w:rPr>
                <w:rFonts w:ascii="Times New Roman" w:hAnsi="Times New Roman"/>
                <w:b/>
                <w:noProof/>
                <w:color w:val="000000"/>
                <w:sz w:val="18"/>
                <w:szCs w:val="18"/>
                <w:lang w:eastAsia="en-GB"/>
              </w:rPr>
              <w:t xml:space="preserve"> of the </w:t>
            </w:r>
            <w:r>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 xml:space="preserve">ppeal </w:t>
            </w:r>
            <w:r>
              <w:rPr>
                <w:rFonts w:ascii="Times New Roman" w:hAnsi="Times New Roman"/>
                <w:b/>
                <w:noProof/>
                <w:color w:val="000000"/>
                <w:sz w:val="18"/>
                <w:szCs w:val="18"/>
                <w:lang w:eastAsia="en-GB"/>
              </w:rPr>
              <w:t>c</w:t>
            </w:r>
            <w:r w:rsidRPr="00AA0B4A">
              <w:rPr>
                <w:rFonts w:ascii="Times New Roman" w:hAnsi="Times New Roman"/>
                <w:b/>
                <w:noProof/>
                <w:color w:val="000000"/>
                <w:sz w:val="18"/>
                <w:szCs w:val="18"/>
                <w:lang w:eastAsia="en-GB"/>
              </w:rPr>
              <w:t>ommittee</w:t>
            </w:r>
          </w:p>
        </w:tc>
        <w:tc>
          <w:tcPr>
            <w:tcW w:w="1159" w:type="pct"/>
            <w:gridSpan w:val="2"/>
            <w:tcBorders>
              <w:top w:val="single" w:sz="4" w:space="0" w:color="auto"/>
              <w:left w:val="nil"/>
              <w:bottom w:val="single" w:sz="4" w:space="0" w:color="auto"/>
              <w:right w:val="single" w:sz="4" w:space="0" w:color="auto"/>
            </w:tcBorders>
            <w:shd w:val="clear" w:color="auto" w:fill="FFFF99"/>
          </w:tcPr>
          <w:p w14:paraId="764F88A4" w14:textId="77777777" w:rsidR="00EC39BD" w:rsidRDefault="00EC39BD" w:rsidP="00E55B57">
            <w:pPr>
              <w:spacing w:after="0" w:line="240" w:lineRule="auto"/>
              <w:jc w:val="center"/>
              <w:rPr>
                <w:rFonts w:ascii="Times New Roman" w:hAnsi="Times New Roman"/>
                <w:b/>
                <w:noProof/>
                <w:color w:val="000000"/>
                <w:sz w:val="18"/>
                <w:szCs w:val="18"/>
                <w:lang w:eastAsia="en-GB"/>
              </w:rPr>
            </w:pPr>
          </w:p>
          <w:p w14:paraId="6439E347"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Number of opinions</w:t>
            </w:r>
            <w:r>
              <w:rPr>
                <w:rStyle w:val="FootnoteReference"/>
                <w:rFonts w:ascii="Times New Roman" w:hAnsi="Times New Roman"/>
                <w:b/>
                <w:noProof/>
                <w:color w:val="000000"/>
                <w:sz w:val="18"/>
                <w:szCs w:val="18"/>
                <w:lang w:eastAsia="en-GB"/>
              </w:rPr>
              <w:footnoteReference w:id="27"/>
            </w:r>
            <w:r w:rsidRPr="00AA0B4A">
              <w:rPr>
                <w:rFonts w:ascii="Times New Roman" w:hAnsi="Times New Roman"/>
                <w:b/>
                <w:noProof/>
                <w:color w:val="000000"/>
                <w:sz w:val="18"/>
                <w:szCs w:val="18"/>
                <w:lang w:eastAsia="en-GB"/>
              </w:rPr>
              <w:t xml:space="preserve"> of the </w:t>
            </w:r>
            <w:r>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 xml:space="preserve">ppeal </w:t>
            </w:r>
            <w:r>
              <w:rPr>
                <w:rFonts w:ascii="Times New Roman" w:hAnsi="Times New Roman"/>
                <w:b/>
                <w:noProof/>
                <w:color w:val="000000"/>
                <w:sz w:val="18"/>
                <w:szCs w:val="18"/>
                <w:lang w:eastAsia="en-GB"/>
              </w:rPr>
              <w:t>c</w:t>
            </w:r>
            <w:r w:rsidRPr="00AA0B4A">
              <w:rPr>
                <w:rFonts w:ascii="Times New Roman" w:hAnsi="Times New Roman"/>
                <w:b/>
                <w:noProof/>
                <w:color w:val="000000"/>
                <w:sz w:val="18"/>
                <w:szCs w:val="18"/>
                <w:lang w:eastAsia="en-GB"/>
              </w:rPr>
              <w:t>ommittee</w:t>
            </w:r>
          </w:p>
        </w:tc>
        <w:tc>
          <w:tcPr>
            <w:tcW w:w="752" w:type="pct"/>
            <w:gridSpan w:val="2"/>
            <w:tcBorders>
              <w:top w:val="single" w:sz="4" w:space="0" w:color="auto"/>
              <w:left w:val="nil"/>
              <w:bottom w:val="single" w:sz="4" w:space="0" w:color="auto"/>
              <w:right w:val="single" w:sz="4" w:space="0" w:color="auto"/>
            </w:tcBorders>
            <w:shd w:val="clear" w:color="auto" w:fill="FFFF99"/>
            <w:vAlign w:val="center"/>
          </w:tcPr>
          <w:p w14:paraId="1BD1039F"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Number of acts adopted following an opinion of the </w:t>
            </w:r>
            <w:r>
              <w:rPr>
                <w:rFonts w:ascii="Times New Roman" w:hAnsi="Times New Roman"/>
                <w:b/>
                <w:noProof/>
                <w:color w:val="000000"/>
                <w:sz w:val="18"/>
                <w:szCs w:val="18"/>
                <w:lang w:eastAsia="en-GB"/>
              </w:rPr>
              <w:t>a</w:t>
            </w:r>
            <w:r w:rsidRPr="00AA0B4A">
              <w:rPr>
                <w:rFonts w:ascii="Times New Roman" w:hAnsi="Times New Roman"/>
                <w:b/>
                <w:noProof/>
                <w:color w:val="000000"/>
                <w:sz w:val="18"/>
                <w:szCs w:val="18"/>
                <w:lang w:eastAsia="en-GB"/>
              </w:rPr>
              <w:t xml:space="preserve">ppeal </w:t>
            </w:r>
            <w:r>
              <w:rPr>
                <w:rFonts w:ascii="Times New Roman" w:hAnsi="Times New Roman"/>
                <w:b/>
                <w:noProof/>
                <w:color w:val="000000"/>
                <w:sz w:val="18"/>
                <w:szCs w:val="18"/>
                <w:lang w:eastAsia="en-GB"/>
              </w:rPr>
              <w:t>c</w:t>
            </w:r>
            <w:r w:rsidRPr="00AA0B4A">
              <w:rPr>
                <w:rFonts w:ascii="Times New Roman" w:hAnsi="Times New Roman"/>
                <w:b/>
                <w:noProof/>
                <w:color w:val="000000"/>
                <w:sz w:val="18"/>
                <w:szCs w:val="18"/>
                <w:lang w:eastAsia="en-GB"/>
              </w:rPr>
              <w:t>ommittee</w:t>
            </w:r>
          </w:p>
        </w:tc>
      </w:tr>
      <w:tr w:rsidR="00EC39BD" w:rsidRPr="00AA0B4A" w14:paraId="6D34A54E" w14:textId="77777777" w:rsidTr="00E55B57">
        <w:trPr>
          <w:trHeight w:val="240"/>
        </w:trPr>
        <w:tc>
          <w:tcPr>
            <w:tcW w:w="1150" w:type="pct"/>
            <w:tcBorders>
              <w:top w:val="nil"/>
              <w:left w:val="single" w:sz="4" w:space="0" w:color="auto"/>
              <w:bottom w:val="single" w:sz="4" w:space="0" w:color="auto"/>
              <w:right w:val="single" w:sz="4" w:space="0" w:color="auto"/>
            </w:tcBorders>
            <w:shd w:val="clear" w:color="auto" w:fill="FFFF99"/>
            <w:noWrap/>
            <w:vAlign w:val="bottom"/>
          </w:tcPr>
          <w:p w14:paraId="4760F434" w14:textId="77777777" w:rsidR="00EC39BD" w:rsidRPr="00AA0B4A" w:rsidRDefault="00EC39BD" w:rsidP="00E55B57">
            <w:pPr>
              <w:spacing w:after="0" w:line="240" w:lineRule="auto"/>
              <w:rPr>
                <w:rFonts w:ascii="Times New Roman" w:hAnsi="Times New Roman"/>
                <w:b/>
                <w:noProof/>
                <w:color w:val="000000"/>
                <w:sz w:val="18"/>
                <w:szCs w:val="18"/>
                <w:lang w:eastAsia="en-GB"/>
              </w:rPr>
            </w:pPr>
          </w:p>
        </w:tc>
        <w:tc>
          <w:tcPr>
            <w:tcW w:w="1090" w:type="pct"/>
            <w:tcBorders>
              <w:top w:val="nil"/>
              <w:left w:val="single" w:sz="4" w:space="0" w:color="auto"/>
              <w:bottom w:val="single" w:sz="4" w:space="0" w:color="auto"/>
              <w:right w:val="single" w:sz="4" w:space="0" w:color="auto"/>
            </w:tcBorders>
            <w:shd w:val="clear" w:color="auto" w:fill="FFFF99"/>
          </w:tcPr>
          <w:p w14:paraId="6D853B51"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849" w:type="pct"/>
            <w:tcBorders>
              <w:top w:val="nil"/>
              <w:left w:val="single" w:sz="4" w:space="0" w:color="auto"/>
              <w:bottom w:val="single" w:sz="4" w:space="0" w:color="auto"/>
              <w:right w:val="single" w:sz="4" w:space="0" w:color="auto"/>
            </w:tcBorders>
            <w:shd w:val="clear" w:color="auto" w:fill="FFFF99"/>
            <w:vAlign w:val="center"/>
          </w:tcPr>
          <w:p w14:paraId="2B4176C2"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c>
          <w:tcPr>
            <w:tcW w:w="696" w:type="pct"/>
            <w:tcBorders>
              <w:top w:val="nil"/>
              <w:left w:val="single" w:sz="4" w:space="0" w:color="auto"/>
              <w:bottom w:val="single" w:sz="4" w:space="0" w:color="auto"/>
              <w:right w:val="single" w:sz="4" w:space="0" w:color="auto"/>
            </w:tcBorders>
            <w:shd w:val="clear" w:color="auto" w:fill="FFFF99"/>
          </w:tcPr>
          <w:p w14:paraId="0975AC59"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463" w:type="pct"/>
            <w:tcBorders>
              <w:top w:val="nil"/>
              <w:left w:val="single" w:sz="4" w:space="0" w:color="auto"/>
              <w:bottom w:val="single" w:sz="4" w:space="0" w:color="auto"/>
              <w:right w:val="single" w:sz="4" w:space="0" w:color="auto"/>
            </w:tcBorders>
            <w:shd w:val="clear" w:color="auto" w:fill="FFFF99"/>
            <w:vAlign w:val="center"/>
          </w:tcPr>
          <w:p w14:paraId="02618AD5"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c>
          <w:tcPr>
            <w:tcW w:w="439" w:type="pct"/>
            <w:tcBorders>
              <w:top w:val="nil"/>
              <w:left w:val="single" w:sz="4" w:space="0" w:color="auto"/>
              <w:bottom w:val="single" w:sz="4" w:space="0" w:color="auto"/>
              <w:right w:val="single" w:sz="4" w:space="0" w:color="auto"/>
            </w:tcBorders>
            <w:shd w:val="clear" w:color="auto" w:fill="FFFF99"/>
            <w:noWrap/>
            <w:vAlign w:val="center"/>
          </w:tcPr>
          <w:p w14:paraId="7317BF34"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202</w:t>
            </w:r>
            <w:r>
              <w:rPr>
                <w:rFonts w:ascii="Times New Roman" w:hAnsi="Times New Roman"/>
                <w:b/>
                <w:noProof/>
                <w:color w:val="000000"/>
                <w:sz w:val="18"/>
                <w:szCs w:val="18"/>
                <w:lang w:eastAsia="en-GB"/>
              </w:rPr>
              <w:t>1</w:t>
            </w:r>
          </w:p>
        </w:tc>
        <w:tc>
          <w:tcPr>
            <w:tcW w:w="314" w:type="pct"/>
            <w:tcBorders>
              <w:top w:val="nil"/>
              <w:left w:val="single" w:sz="4" w:space="0" w:color="auto"/>
              <w:bottom w:val="single" w:sz="4" w:space="0" w:color="auto"/>
              <w:right w:val="single" w:sz="4" w:space="0" w:color="auto"/>
            </w:tcBorders>
            <w:shd w:val="clear" w:color="auto" w:fill="FFFF99"/>
          </w:tcPr>
          <w:p w14:paraId="710F2613"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2022</w:t>
            </w:r>
          </w:p>
        </w:tc>
      </w:tr>
      <w:tr w:rsidR="00EC39BD" w:rsidRPr="00AA0B4A" w14:paraId="63F88655" w14:textId="77777777" w:rsidTr="00E55B57">
        <w:trPr>
          <w:trHeight w:val="240"/>
        </w:trPr>
        <w:tc>
          <w:tcPr>
            <w:tcW w:w="1150" w:type="pct"/>
            <w:tcBorders>
              <w:top w:val="nil"/>
              <w:left w:val="single" w:sz="4" w:space="0" w:color="auto"/>
              <w:bottom w:val="single" w:sz="4" w:space="0" w:color="auto"/>
              <w:right w:val="single" w:sz="4" w:space="0" w:color="auto"/>
            </w:tcBorders>
            <w:shd w:val="clear" w:color="auto" w:fill="FFFF99"/>
            <w:noWrap/>
            <w:vAlign w:val="bottom"/>
          </w:tcPr>
          <w:p w14:paraId="17B68BA9" w14:textId="77777777" w:rsidR="00EC39BD" w:rsidRPr="00111891" w:rsidRDefault="00EC39BD" w:rsidP="00E55B57">
            <w:pPr>
              <w:spacing w:after="0" w:line="240" w:lineRule="auto"/>
              <w:rPr>
                <w:rFonts w:ascii="Times New Roman" w:hAnsi="Times New Roman"/>
                <w:b/>
                <w:noProof/>
                <w:color w:val="000000"/>
                <w:sz w:val="18"/>
                <w:szCs w:val="18"/>
                <w:lang w:eastAsia="en-GB"/>
              </w:rPr>
            </w:pPr>
            <w:r w:rsidRPr="00111891">
              <w:rPr>
                <w:rFonts w:ascii="Times New Roman" w:hAnsi="Times New Roman"/>
                <w:b/>
                <w:noProof/>
                <w:color w:val="000000"/>
                <w:sz w:val="18"/>
                <w:szCs w:val="18"/>
                <w:lang w:eastAsia="en-GB"/>
              </w:rPr>
              <w:t>MOVE</w:t>
            </w:r>
          </w:p>
        </w:tc>
        <w:tc>
          <w:tcPr>
            <w:tcW w:w="1090" w:type="pct"/>
            <w:tcBorders>
              <w:top w:val="nil"/>
              <w:left w:val="single" w:sz="4" w:space="0" w:color="auto"/>
              <w:bottom w:val="single" w:sz="4" w:space="0" w:color="auto"/>
              <w:right w:val="single" w:sz="4" w:space="0" w:color="auto"/>
            </w:tcBorders>
            <w:shd w:val="clear" w:color="auto" w:fill="FFFF99"/>
          </w:tcPr>
          <w:p w14:paraId="5118A2A4" w14:textId="77777777" w:rsidR="00EC39BD" w:rsidRPr="003A0E03" w:rsidRDefault="00EC39BD" w:rsidP="00E55B57">
            <w:pPr>
              <w:spacing w:after="0" w:line="240" w:lineRule="auto"/>
              <w:jc w:val="center"/>
              <w:rPr>
                <w:rFonts w:ascii="Times New Roman" w:hAnsi="Times New Roman"/>
                <w:bCs/>
                <w:noProof/>
                <w:color w:val="000000"/>
                <w:sz w:val="18"/>
                <w:szCs w:val="18"/>
                <w:lang w:eastAsia="en-GB"/>
              </w:rPr>
            </w:pPr>
            <w:r w:rsidRPr="003A0E03">
              <w:rPr>
                <w:rFonts w:ascii="Times New Roman" w:hAnsi="Times New Roman"/>
                <w:bCs/>
                <w:noProof/>
                <w:color w:val="000000"/>
                <w:sz w:val="18"/>
                <w:szCs w:val="18"/>
                <w:lang w:eastAsia="en-GB"/>
              </w:rPr>
              <w:t>1/0</w:t>
            </w:r>
          </w:p>
        </w:tc>
        <w:tc>
          <w:tcPr>
            <w:tcW w:w="849" w:type="pct"/>
            <w:tcBorders>
              <w:top w:val="nil"/>
              <w:left w:val="single" w:sz="4" w:space="0" w:color="auto"/>
              <w:bottom w:val="single" w:sz="4" w:space="0" w:color="auto"/>
              <w:right w:val="single" w:sz="4" w:space="0" w:color="auto"/>
            </w:tcBorders>
            <w:shd w:val="clear" w:color="auto" w:fill="FFFF99"/>
            <w:vAlign w:val="center"/>
          </w:tcPr>
          <w:p w14:paraId="39245C06" w14:textId="77777777" w:rsidR="00EC39BD" w:rsidRPr="003A0E03" w:rsidRDefault="00EC39BD" w:rsidP="00E55B57">
            <w:pPr>
              <w:spacing w:after="0" w:line="240" w:lineRule="auto"/>
              <w:jc w:val="center"/>
              <w:rPr>
                <w:rFonts w:ascii="Times New Roman" w:hAnsi="Times New Roman"/>
                <w:bCs/>
                <w:noProof/>
                <w:color w:val="000000"/>
                <w:sz w:val="18"/>
                <w:szCs w:val="18"/>
                <w:lang w:eastAsia="en-GB"/>
              </w:rPr>
            </w:pPr>
            <w:r w:rsidRPr="003A0E03">
              <w:rPr>
                <w:rFonts w:ascii="Times New Roman" w:hAnsi="Times New Roman"/>
                <w:bCs/>
                <w:noProof/>
                <w:color w:val="000000"/>
                <w:sz w:val="18"/>
                <w:szCs w:val="18"/>
                <w:lang w:eastAsia="en-GB"/>
              </w:rPr>
              <w:t>0/0</w:t>
            </w:r>
          </w:p>
        </w:tc>
        <w:tc>
          <w:tcPr>
            <w:tcW w:w="696" w:type="pct"/>
            <w:tcBorders>
              <w:top w:val="nil"/>
              <w:left w:val="single" w:sz="4" w:space="0" w:color="auto"/>
              <w:bottom w:val="single" w:sz="4" w:space="0" w:color="auto"/>
              <w:right w:val="single" w:sz="4" w:space="0" w:color="auto"/>
            </w:tcBorders>
            <w:shd w:val="clear" w:color="auto" w:fill="FFFF99"/>
          </w:tcPr>
          <w:p w14:paraId="42EB21FA" w14:textId="77777777" w:rsidR="00EC39BD" w:rsidRPr="003A0E03" w:rsidRDefault="00EC39BD" w:rsidP="00E55B57">
            <w:pPr>
              <w:spacing w:after="0" w:line="240" w:lineRule="auto"/>
              <w:jc w:val="center"/>
              <w:rPr>
                <w:rFonts w:ascii="Times New Roman" w:hAnsi="Times New Roman"/>
                <w:bCs/>
                <w:noProof/>
                <w:color w:val="000000"/>
                <w:sz w:val="18"/>
                <w:szCs w:val="18"/>
                <w:lang w:eastAsia="en-GB"/>
              </w:rPr>
            </w:pPr>
            <w:r w:rsidRPr="003A0E03">
              <w:rPr>
                <w:rFonts w:ascii="Times New Roman" w:hAnsi="Times New Roman"/>
                <w:bCs/>
                <w:noProof/>
                <w:color w:val="000000"/>
                <w:sz w:val="18"/>
                <w:szCs w:val="18"/>
                <w:lang w:eastAsia="en-GB"/>
              </w:rPr>
              <w:t>1 (0)</w:t>
            </w:r>
          </w:p>
        </w:tc>
        <w:tc>
          <w:tcPr>
            <w:tcW w:w="463" w:type="pct"/>
            <w:tcBorders>
              <w:top w:val="nil"/>
              <w:left w:val="single" w:sz="4" w:space="0" w:color="auto"/>
              <w:bottom w:val="single" w:sz="4" w:space="0" w:color="auto"/>
              <w:right w:val="single" w:sz="4" w:space="0" w:color="auto"/>
            </w:tcBorders>
            <w:shd w:val="clear" w:color="auto" w:fill="FFFF99"/>
            <w:vAlign w:val="center"/>
          </w:tcPr>
          <w:p w14:paraId="51835ED1" w14:textId="77777777" w:rsidR="00EC39BD" w:rsidRPr="003A0E03" w:rsidRDefault="00EC39BD" w:rsidP="00E55B57">
            <w:pPr>
              <w:spacing w:after="0" w:line="240" w:lineRule="auto"/>
              <w:jc w:val="center"/>
              <w:rPr>
                <w:rFonts w:ascii="Times New Roman" w:hAnsi="Times New Roman"/>
                <w:bCs/>
                <w:noProof/>
                <w:color w:val="000000"/>
                <w:sz w:val="18"/>
                <w:szCs w:val="18"/>
                <w:lang w:eastAsia="en-GB"/>
              </w:rPr>
            </w:pPr>
            <w:r w:rsidRPr="003A0E03">
              <w:rPr>
                <w:rFonts w:ascii="Times New Roman" w:hAnsi="Times New Roman"/>
                <w:bCs/>
                <w:noProof/>
                <w:color w:val="000000"/>
                <w:sz w:val="18"/>
                <w:szCs w:val="18"/>
                <w:lang w:eastAsia="en-GB"/>
              </w:rPr>
              <w:t>0 (0)</w:t>
            </w:r>
          </w:p>
        </w:tc>
        <w:tc>
          <w:tcPr>
            <w:tcW w:w="439" w:type="pct"/>
            <w:tcBorders>
              <w:top w:val="nil"/>
              <w:left w:val="single" w:sz="4" w:space="0" w:color="auto"/>
              <w:bottom w:val="single" w:sz="4" w:space="0" w:color="auto"/>
              <w:right w:val="single" w:sz="4" w:space="0" w:color="auto"/>
            </w:tcBorders>
            <w:shd w:val="clear" w:color="auto" w:fill="FFFF99"/>
            <w:noWrap/>
            <w:vAlign w:val="center"/>
          </w:tcPr>
          <w:p w14:paraId="37D96074" w14:textId="77777777" w:rsidR="00EC39BD" w:rsidRPr="003A0E03" w:rsidRDefault="00EC39BD" w:rsidP="00E55B57">
            <w:pPr>
              <w:spacing w:after="0" w:line="240" w:lineRule="auto"/>
              <w:jc w:val="center"/>
              <w:rPr>
                <w:rFonts w:ascii="Times New Roman" w:hAnsi="Times New Roman"/>
                <w:bCs/>
                <w:noProof/>
                <w:color w:val="000000"/>
                <w:sz w:val="18"/>
                <w:szCs w:val="18"/>
                <w:lang w:eastAsia="en-GB"/>
              </w:rPr>
            </w:pPr>
            <w:r w:rsidRPr="003A0E03">
              <w:rPr>
                <w:rFonts w:ascii="Times New Roman" w:hAnsi="Times New Roman"/>
                <w:bCs/>
                <w:noProof/>
                <w:color w:val="000000"/>
                <w:sz w:val="18"/>
                <w:szCs w:val="18"/>
                <w:lang w:eastAsia="en-GB"/>
              </w:rPr>
              <w:t>1</w:t>
            </w:r>
          </w:p>
        </w:tc>
        <w:tc>
          <w:tcPr>
            <w:tcW w:w="314" w:type="pct"/>
            <w:tcBorders>
              <w:top w:val="nil"/>
              <w:left w:val="single" w:sz="4" w:space="0" w:color="auto"/>
              <w:bottom w:val="single" w:sz="4" w:space="0" w:color="auto"/>
              <w:right w:val="single" w:sz="4" w:space="0" w:color="auto"/>
            </w:tcBorders>
            <w:shd w:val="clear" w:color="auto" w:fill="FFFF99"/>
          </w:tcPr>
          <w:p w14:paraId="29560487" w14:textId="77777777" w:rsidR="00EC39BD" w:rsidRPr="003A0E03" w:rsidRDefault="00EC39BD" w:rsidP="00E55B57">
            <w:pPr>
              <w:spacing w:after="0" w:line="240" w:lineRule="auto"/>
              <w:jc w:val="center"/>
              <w:rPr>
                <w:rFonts w:ascii="Times New Roman" w:hAnsi="Times New Roman"/>
                <w:bCs/>
                <w:noProof/>
                <w:color w:val="000000"/>
                <w:sz w:val="18"/>
                <w:szCs w:val="18"/>
                <w:lang w:eastAsia="en-GB"/>
              </w:rPr>
            </w:pPr>
            <w:r w:rsidRPr="003A0E03">
              <w:rPr>
                <w:rFonts w:ascii="Times New Roman" w:hAnsi="Times New Roman"/>
                <w:bCs/>
                <w:noProof/>
                <w:color w:val="000000"/>
                <w:sz w:val="18"/>
                <w:szCs w:val="18"/>
                <w:lang w:eastAsia="en-GB"/>
              </w:rPr>
              <w:t>0</w:t>
            </w:r>
          </w:p>
        </w:tc>
      </w:tr>
      <w:tr w:rsidR="00EC39BD" w:rsidRPr="00AA0B4A" w14:paraId="3C5F55A2" w14:textId="77777777" w:rsidTr="00E55B57">
        <w:trPr>
          <w:trHeight w:val="255"/>
        </w:trPr>
        <w:tc>
          <w:tcPr>
            <w:tcW w:w="1150" w:type="pct"/>
            <w:tcBorders>
              <w:top w:val="nil"/>
              <w:left w:val="single" w:sz="4" w:space="0" w:color="auto"/>
              <w:bottom w:val="single" w:sz="4" w:space="0" w:color="auto"/>
              <w:right w:val="single" w:sz="4" w:space="0" w:color="auto"/>
            </w:tcBorders>
            <w:shd w:val="clear" w:color="auto" w:fill="FFFF99"/>
            <w:noWrap/>
            <w:vAlign w:val="bottom"/>
          </w:tcPr>
          <w:p w14:paraId="50465C2B" w14:textId="77777777" w:rsidR="00EC39BD" w:rsidRPr="00D9066D" w:rsidRDefault="00EC39BD" w:rsidP="00E55B57">
            <w:pPr>
              <w:spacing w:after="0" w:line="240" w:lineRule="auto"/>
              <w:rPr>
                <w:rFonts w:ascii="Times New Roman" w:hAnsi="Times New Roman"/>
                <w:b/>
                <w:noProof/>
                <w:color w:val="000000"/>
                <w:sz w:val="18"/>
                <w:szCs w:val="18"/>
                <w:lang w:eastAsia="en-GB"/>
              </w:rPr>
            </w:pPr>
            <w:r w:rsidRPr="00D9066D">
              <w:rPr>
                <w:rFonts w:ascii="Times New Roman" w:hAnsi="Times New Roman"/>
                <w:b/>
                <w:noProof/>
                <w:color w:val="000000"/>
                <w:sz w:val="18"/>
                <w:szCs w:val="18"/>
                <w:lang w:eastAsia="en-GB"/>
              </w:rPr>
              <w:t>SANTE</w:t>
            </w:r>
          </w:p>
        </w:tc>
        <w:tc>
          <w:tcPr>
            <w:tcW w:w="1090" w:type="pct"/>
            <w:tcBorders>
              <w:top w:val="nil"/>
              <w:left w:val="single" w:sz="4" w:space="0" w:color="auto"/>
              <w:bottom w:val="single" w:sz="4" w:space="0" w:color="auto"/>
              <w:right w:val="single" w:sz="4" w:space="0" w:color="auto"/>
            </w:tcBorders>
            <w:shd w:val="clear" w:color="auto" w:fill="FFFF99"/>
            <w:vAlign w:val="center"/>
          </w:tcPr>
          <w:p w14:paraId="364AD00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 xml:space="preserve">  4 /10</w:t>
            </w:r>
          </w:p>
        </w:tc>
        <w:tc>
          <w:tcPr>
            <w:tcW w:w="849" w:type="pct"/>
            <w:tcBorders>
              <w:top w:val="nil"/>
              <w:left w:val="single" w:sz="4" w:space="0" w:color="auto"/>
              <w:bottom w:val="single" w:sz="4" w:space="0" w:color="auto"/>
              <w:right w:val="single" w:sz="4" w:space="0" w:color="auto"/>
            </w:tcBorders>
            <w:shd w:val="clear" w:color="auto" w:fill="FFFF99"/>
            <w:vAlign w:val="center"/>
          </w:tcPr>
          <w:p w14:paraId="6F1BD11E"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r w:rsidRPr="00B664DD">
              <w:rPr>
                <w:rFonts w:ascii="Times New Roman" w:hAnsi="Times New Roman"/>
                <w:noProof/>
                <w:sz w:val="18"/>
                <w:szCs w:val="18"/>
                <w:lang w:eastAsia="en-GB"/>
              </w:rPr>
              <w:t xml:space="preserve">6 </w:t>
            </w:r>
          </w:p>
        </w:tc>
        <w:tc>
          <w:tcPr>
            <w:tcW w:w="696" w:type="pct"/>
            <w:tcBorders>
              <w:top w:val="nil"/>
              <w:left w:val="single" w:sz="4" w:space="0" w:color="auto"/>
              <w:bottom w:val="single" w:sz="4" w:space="0" w:color="auto"/>
              <w:right w:val="single" w:sz="4" w:space="0" w:color="auto"/>
            </w:tcBorders>
            <w:shd w:val="clear" w:color="auto" w:fill="FFFF99"/>
            <w:vAlign w:val="bottom"/>
          </w:tcPr>
          <w:p w14:paraId="193262AA"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 (10)</w:t>
            </w:r>
          </w:p>
        </w:tc>
        <w:tc>
          <w:tcPr>
            <w:tcW w:w="463" w:type="pct"/>
            <w:tcBorders>
              <w:top w:val="nil"/>
              <w:left w:val="single" w:sz="4" w:space="0" w:color="auto"/>
              <w:bottom w:val="single" w:sz="4" w:space="0" w:color="auto"/>
              <w:right w:val="single" w:sz="4" w:space="0" w:color="auto"/>
            </w:tcBorders>
            <w:shd w:val="clear" w:color="auto" w:fill="FFFF99"/>
            <w:vAlign w:val="bottom"/>
          </w:tcPr>
          <w:p w14:paraId="3CFFC37D"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12 (12)</w:t>
            </w:r>
          </w:p>
        </w:tc>
        <w:tc>
          <w:tcPr>
            <w:tcW w:w="439" w:type="pct"/>
            <w:tcBorders>
              <w:top w:val="nil"/>
              <w:left w:val="single" w:sz="4" w:space="0" w:color="auto"/>
              <w:bottom w:val="single" w:sz="4" w:space="0" w:color="auto"/>
              <w:right w:val="single" w:sz="4" w:space="0" w:color="auto"/>
            </w:tcBorders>
            <w:shd w:val="clear" w:color="auto" w:fill="FFFF99"/>
            <w:noWrap/>
          </w:tcPr>
          <w:p w14:paraId="3AFB60F0"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c>
          <w:tcPr>
            <w:tcW w:w="314" w:type="pct"/>
            <w:tcBorders>
              <w:top w:val="nil"/>
              <w:left w:val="single" w:sz="4" w:space="0" w:color="auto"/>
              <w:bottom w:val="single" w:sz="4" w:space="0" w:color="auto"/>
              <w:right w:val="single" w:sz="4" w:space="0" w:color="auto"/>
            </w:tcBorders>
            <w:shd w:val="clear" w:color="auto" w:fill="FFFF99"/>
            <w:vAlign w:val="center"/>
          </w:tcPr>
          <w:p w14:paraId="58C29873"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10</w:t>
            </w:r>
          </w:p>
        </w:tc>
      </w:tr>
      <w:tr w:rsidR="00EC39BD" w:rsidRPr="00AA0B4A" w14:paraId="1C39F129" w14:textId="77777777" w:rsidTr="00E55B57">
        <w:trPr>
          <w:trHeight w:val="255"/>
        </w:trPr>
        <w:tc>
          <w:tcPr>
            <w:tcW w:w="1150" w:type="pct"/>
            <w:tcBorders>
              <w:top w:val="nil"/>
              <w:left w:val="single" w:sz="4" w:space="0" w:color="auto"/>
              <w:bottom w:val="single" w:sz="4" w:space="0" w:color="auto"/>
              <w:right w:val="single" w:sz="4" w:space="0" w:color="auto"/>
            </w:tcBorders>
            <w:shd w:val="clear" w:color="auto" w:fill="FFFF99"/>
            <w:noWrap/>
            <w:vAlign w:val="bottom"/>
          </w:tcPr>
          <w:p w14:paraId="30650A3C" w14:textId="77777777" w:rsidR="00EC39BD" w:rsidRPr="00D9066D" w:rsidRDefault="00EC39BD" w:rsidP="00E55B57">
            <w:pPr>
              <w:spacing w:after="0" w:line="240" w:lineRule="auto"/>
              <w:rPr>
                <w:rFonts w:ascii="Times New Roman" w:hAnsi="Times New Roman"/>
                <w:b/>
                <w:noProof/>
                <w:color w:val="000000"/>
                <w:sz w:val="18"/>
                <w:szCs w:val="18"/>
                <w:lang w:eastAsia="en-GB"/>
              </w:rPr>
            </w:pPr>
            <w:r w:rsidRPr="00D9066D">
              <w:rPr>
                <w:rFonts w:ascii="Times New Roman" w:hAnsi="Times New Roman"/>
                <w:b/>
                <w:noProof/>
                <w:color w:val="000000"/>
                <w:sz w:val="18"/>
                <w:szCs w:val="18"/>
                <w:lang w:eastAsia="en-GB"/>
              </w:rPr>
              <w:t>TRADE</w:t>
            </w:r>
          </w:p>
        </w:tc>
        <w:tc>
          <w:tcPr>
            <w:tcW w:w="1090" w:type="pct"/>
            <w:tcBorders>
              <w:top w:val="nil"/>
              <w:left w:val="single" w:sz="4" w:space="0" w:color="auto"/>
              <w:bottom w:val="single" w:sz="4" w:space="0" w:color="auto"/>
              <w:right w:val="single" w:sz="4" w:space="0" w:color="auto"/>
            </w:tcBorders>
            <w:shd w:val="clear" w:color="auto" w:fill="FFFF99"/>
            <w:vAlign w:val="center"/>
          </w:tcPr>
          <w:p w14:paraId="2F46663B"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 0</w:t>
            </w:r>
          </w:p>
        </w:tc>
        <w:tc>
          <w:tcPr>
            <w:tcW w:w="849" w:type="pct"/>
            <w:tcBorders>
              <w:top w:val="nil"/>
              <w:left w:val="single" w:sz="4" w:space="0" w:color="auto"/>
              <w:bottom w:val="single" w:sz="4" w:space="0" w:color="auto"/>
              <w:right w:val="single" w:sz="4" w:space="0" w:color="auto"/>
            </w:tcBorders>
            <w:shd w:val="clear" w:color="auto" w:fill="FFFF99"/>
            <w:vAlign w:val="center"/>
          </w:tcPr>
          <w:p w14:paraId="3ACCB562" w14:textId="77777777" w:rsidR="00EC39BD" w:rsidRPr="00AA0B4A" w:rsidRDefault="00EC39BD" w:rsidP="00E55B57">
            <w:pPr>
              <w:spacing w:after="0" w:line="240" w:lineRule="auto"/>
              <w:jc w:val="center"/>
              <w:rPr>
                <w:rFonts w:ascii="Times New Roman" w:hAnsi="Times New Roman"/>
                <w:bCs/>
                <w:noProof/>
                <w:sz w:val="18"/>
                <w:szCs w:val="18"/>
                <w:lang w:eastAsia="en-GB"/>
              </w:rPr>
            </w:pPr>
            <w:r>
              <w:rPr>
                <w:rFonts w:ascii="Times New Roman" w:hAnsi="Times New Roman"/>
                <w:bCs/>
                <w:noProof/>
                <w:sz w:val="18"/>
                <w:szCs w:val="18"/>
                <w:lang w:eastAsia="en-GB"/>
              </w:rPr>
              <w:t>1/0</w:t>
            </w:r>
          </w:p>
        </w:tc>
        <w:tc>
          <w:tcPr>
            <w:tcW w:w="696" w:type="pct"/>
            <w:tcBorders>
              <w:top w:val="nil"/>
              <w:left w:val="single" w:sz="4" w:space="0" w:color="auto"/>
              <w:bottom w:val="single" w:sz="4" w:space="0" w:color="auto"/>
              <w:right w:val="single" w:sz="4" w:space="0" w:color="auto"/>
            </w:tcBorders>
            <w:shd w:val="clear" w:color="auto" w:fill="FFFF99"/>
            <w:vAlign w:val="bottom"/>
          </w:tcPr>
          <w:p w14:paraId="5A57432C"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 (1)</w:t>
            </w:r>
          </w:p>
        </w:tc>
        <w:tc>
          <w:tcPr>
            <w:tcW w:w="463" w:type="pct"/>
            <w:tcBorders>
              <w:top w:val="nil"/>
              <w:left w:val="single" w:sz="4" w:space="0" w:color="auto"/>
              <w:bottom w:val="single" w:sz="4" w:space="0" w:color="auto"/>
              <w:right w:val="single" w:sz="4" w:space="0" w:color="auto"/>
            </w:tcBorders>
            <w:shd w:val="clear" w:color="auto" w:fill="FFFF99"/>
            <w:vAlign w:val="bottom"/>
          </w:tcPr>
          <w:p w14:paraId="60B8CF4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 xml:space="preserve">1 </w:t>
            </w:r>
            <w:r w:rsidRPr="00FD7B22">
              <w:rPr>
                <w:rFonts w:ascii="Times New Roman" w:hAnsi="Times New Roman"/>
                <w:noProof/>
                <w:sz w:val="18"/>
                <w:szCs w:val="18"/>
                <w:lang w:eastAsia="en-GB"/>
              </w:rPr>
              <w:t>(1)</w:t>
            </w:r>
          </w:p>
        </w:tc>
        <w:tc>
          <w:tcPr>
            <w:tcW w:w="439" w:type="pct"/>
            <w:tcBorders>
              <w:top w:val="nil"/>
              <w:left w:val="single" w:sz="4" w:space="0" w:color="auto"/>
              <w:bottom w:val="single" w:sz="4" w:space="0" w:color="auto"/>
              <w:right w:val="single" w:sz="4" w:space="0" w:color="auto"/>
            </w:tcBorders>
            <w:shd w:val="clear" w:color="auto" w:fill="FFFF99"/>
            <w:noWrap/>
          </w:tcPr>
          <w:p w14:paraId="2CF44D34" w14:textId="77777777" w:rsidR="00EC39BD" w:rsidRPr="00AA0B4A" w:rsidRDefault="00EC39BD" w:rsidP="00E55B57">
            <w:pPr>
              <w:spacing w:after="0" w:line="240" w:lineRule="auto"/>
              <w:jc w:val="center"/>
              <w:rPr>
                <w:rFonts w:ascii="Times New Roman" w:hAnsi="Times New Roman"/>
                <w:noProof/>
                <w:sz w:val="18"/>
                <w:szCs w:val="18"/>
                <w:lang w:eastAsia="en-GB"/>
              </w:rPr>
            </w:pPr>
            <w:r w:rsidRPr="00D9066D">
              <w:rPr>
                <w:rFonts w:ascii="Times New Roman" w:hAnsi="Times New Roman"/>
                <w:noProof/>
                <w:sz w:val="18"/>
                <w:szCs w:val="18"/>
                <w:lang w:eastAsia="en-GB"/>
              </w:rPr>
              <w:t>1</w:t>
            </w:r>
          </w:p>
        </w:tc>
        <w:tc>
          <w:tcPr>
            <w:tcW w:w="314" w:type="pct"/>
            <w:tcBorders>
              <w:top w:val="nil"/>
              <w:left w:val="single" w:sz="4" w:space="0" w:color="auto"/>
              <w:bottom w:val="single" w:sz="4" w:space="0" w:color="auto"/>
              <w:right w:val="single" w:sz="4" w:space="0" w:color="auto"/>
            </w:tcBorders>
            <w:shd w:val="clear" w:color="auto" w:fill="FFFF99"/>
            <w:vAlign w:val="center"/>
          </w:tcPr>
          <w:p w14:paraId="33429424" w14:textId="77777777" w:rsidR="00EC39BD" w:rsidRPr="00AA0B4A" w:rsidRDefault="00EC39BD" w:rsidP="00E55B57">
            <w:pPr>
              <w:spacing w:after="0" w:line="240" w:lineRule="auto"/>
              <w:jc w:val="center"/>
              <w:rPr>
                <w:rFonts w:ascii="Times New Roman" w:hAnsi="Times New Roman"/>
                <w:noProof/>
                <w:sz w:val="18"/>
                <w:szCs w:val="18"/>
                <w:lang w:eastAsia="en-GB"/>
              </w:rPr>
            </w:pPr>
            <w:r>
              <w:rPr>
                <w:rFonts w:ascii="Times New Roman" w:hAnsi="Times New Roman"/>
                <w:noProof/>
                <w:sz w:val="18"/>
                <w:szCs w:val="18"/>
                <w:lang w:eastAsia="en-GB"/>
              </w:rPr>
              <w:t>1</w:t>
            </w:r>
          </w:p>
        </w:tc>
      </w:tr>
      <w:tr w:rsidR="00EC39BD" w:rsidRPr="00AA0B4A" w14:paraId="7D147033" w14:textId="77777777" w:rsidTr="00E55B57">
        <w:trPr>
          <w:trHeight w:val="74"/>
        </w:trPr>
        <w:tc>
          <w:tcPr>
            <w:tcW w:w="1150" w:type="pct"/>
            <w:tcBorders>
              <w:top w:val="nil"/>
              <w:left w:val="single" w:sz="4" w:space="0" w:color="auto"/>
              <w:bottom w:val="single" w:sz="4" w:space="0" w:color="auto"/>
              <w:right w:val="single" w:sz="4" w:space="0" w:color="auto"/>
            </w:tcBorders>
            <w:shd w:val="clear" w:color="auto" w:fill="FFFF99"/>
            <w:noWrap/>
            <w:vAlign w:val="bottom"/>
          </w:tcPr>
          <w:p w14:paraId="75E581B1" w14:textId="77777777" w:rsidR="00EC39BD" w:rsidRPr="00AA0B4A" w:rsidRDefault="00EC39BD" w:rsidP="00E55B57">
            <w:pPr>
              <w:spacing w:after="0" w:line="240" w:lineRule="auto"/>
              <w:rPr>
                <w:rFonts w:ascii="Times New Roman" w:hAnsi="Times New Roman"/>
                <w:b/>
                <w:bCs/>
                <w:noProof/>
                <w:color w:val="000000"/>
                <w:sz w:val="18"/>
                <w:szCs w:val="18"/>
                <w:lang w:eastAsia="en-GB"/>
              </w:rPr>
            </w:pPr>
            <w:r w:rsidRPr="00AA0B4A">
              <w:rPr>
                <w:rFonts w:ascii="Times New Roman" w:hAnsi="Times New Roman"/>
                <w:b/>
                <w:noProof/>
                <w:color w:val="000000"/>
                <w:sz w:val="18"/>
                <w:szCs w:val="18"/>
                <w:lang w:eastAsia="en-GB"/>
              </w:rPr>
              <w:t>TOTAL:</w:t>
            </w:r>
          </w:p>
        </w:tc>
        <w:tc>
          <w:tcPr>
            <w:tcW w:w="1090" w:type="pct"/>
            <w:tcBorders>
              <w:top w:val="nil"/>
              <w:left w:val="single" w:sz="4" w:space="0" w:color="auto"/>
              <w:bottom w:val="single" w:sz="4" w:space="0" w:color="auto"/>
              <w:right w:val="single" w:sz="4" w:space="0" w:color="auto"/>
            </w:tcBorders>
            <w:shd w:val="clear" w:color="auto" w:fill="FFFF99"/>
            <w:vAlign w:val="center"/>
          </w:tcPr>
          <w:p w14:paraId="00AD4E4D"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6/10</w:t>
            </w:r>
          </w:p>
        </w:tc>
        <w:tc>
          <w:tcPr>
            <w:tcW w:w="849" w:type="pct"/>
            <w:tcBorders>
              <w:top w:val="nil"/>
              <w:left w:val="single" w:sz="4" w:space="0" w:color="auto"/>
              <w:bottom w:val="single" w:sz="4" w:space="0" w:color="auto"/>
              <w:right w:val="single" w:sz="4" w:space="0" w:color="auto"/>
            </w:tcBorders>
            <w:shd w:val="clear" w:color="auto" w:fill="FFFF99"/>
            <w:vAlign w:val="center"/>
          </w:tcPr>
          <w:p w14:paraId="13A1A223"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11/6</w:t>
            </w:r>
          </w:p>
        </w:tc>
        <w:tc>
          <w:tcPr>
            <w:tcW w:w="696" w:type="pct"/>
            <w:tcBorders>
              <w:top w:val="nil"/>
              <w:left w:val="single" w:sz="4" w:space="0" w:color="auto"/>
              <w:bottom w:val="single" w:sz="4" w:space="0" w:color="auto"/>
              <w:right w:val="single" w:sz="4" w:space="0" w:color="auto"/>
            </w:tcBorders>
            <w:shd w:val="clear" w:color="auto" w:fill="FFFF99"/>
            <w:vAlign w:val="bottom"/>
          </w:tcPr>
          <w:p w14:paraId="3AD5DB1A"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12</w:t>
            </w:r>
          </w:p>
        </w:tc>
        <w:tc>
          <w:tcPr>
            <w:tcW w:w="463" w:type="pct"/>
            <w:tcBorders>
              <w:top w:val="nil"/>
              <w:left w:val="single" w:sz="4" w:space="0" w:color="auto"/>
              <w:bottom w:val="single" w:sz="4" w:space="0" w:color="auto"/>
              <w:right w:val="single" w:sz="4" w:space="0" w:color="auto"/>
            </w:tcBorders>
            <w:shd w:val="clear" w:color="auto" w:fill="FFFF99"/>
            <w:vAlign w:val="bottom"/>
          </w:tcPr>
          <w:p w14:paraId="3943573D"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13 (13)</w:t>
            </w:r>
          </w:p>
        </w:tc>
        <w:tc>
          <w:tcPr>
            <w:tcW w:w="439" w:type="pct"/>
            <w:tcBorders>
              <w:top w:val="nil"/>
              <w:left w:val="single" w:sz="4" w:space="0" w:color="auto"/>
              <w:bottom w:val="single" w:sz="4" w:space="0" w:color="auto"/>
              <w:right w:val="single" w:sz="4" w:space="0" w:color="auto"/>
            </w:tcBorders>
            <w:shd w:val="clear" w:color="auto" w:fill="FFFF99"/>
            <w:noWrap/>
          </w:tcPr>
          <w:p w14:paraId="677698C6"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12</w:t>
            </w:r>
          </w:p>
        </w:tc>
        <w:tc>
          <w:tcPr>
            <w:tcW w:w="314" w:type="pct"/>
            <w:tcBorders>
              <w:top w:val="nil"/>
              <w:left w:val="single" w:sz="4" w:space="0" w:color="auto"/>
              <w:bottom w:val="single" w:sz="4" w:space="0" w:color="auto"/>
              <w:right w:val="single" w:sz="4" w:space="0" w:color="auto"/>
            </w:tcBorders>
            <w:shd w:val="clear" w:color="auto" w:fill="FFFF99"/>
            <w:vAlign w:val="center"/>
          </w:tcPr>
          <w:p w14:paraId="4BCFC70F" w14:textId="77777777" w:rsidR="00EC39BD" w:rsidRPr="00AA0B4A" w:rsidRDefault="00EC39BD" w:rsidP="00E55B57">
            <w:pPr>
              <w:spacing w:after="0" w:line="240" w:lineRule="auto"/>
              <w:jc w:val="center"/>
              <w:rPr>
                <w:rFonts w:ascii="Times New Roman" w:hAnsi="Times New Roman"/>
                <w:b/>
                <w:bCs/>
                <w:noProof/>
                <w:sz w:val="18"/>
                <w:szCs w:val="18"/>
                <w:lang w:eastAsia="en-GB"/>
              </w:rPr>
            </w:pPr>
            <w:r>
              <w:rPr>
                <w:rFonts w:ascii="Times New Roman" w:hAnsi="Times New Roman"/>
                <w:b/>
                <w:bCs/>
                <w:noProof/>
                <w:sz w:val="18"/>
                <w:szCs w:val="18"/>
                <w:lang w:eastAsia="en-GB"/>
              </w:rPr>
              <w:t>11</w:t>
            </w:r>
          </w:p>
        </w:tc>
      </w:tr>
    </w:tbl>
    <w:p w14:paraId="142147FF" w14:textId="77777777" w:rsidR="00EC39BD" w:rsidRPr="00AA0B4A" w:rsidRDefault="00EC39BD" w:rsidP="00EC39BD">
      <w:pPr>
        <w:pStyle w:val="ManualHeading2"/>
        <w:spacing w:before="360" w:after="240"/>
        <w:ind w:left="851" w:hanging="851"/>
        <w:rPr>
          <w:noProof/>
        </w:rPr>
      </w:pPr>
      <w:r w:rsidRPr="007772AB">
        <w:rPr>
          <w:noProof/>
        </w:rPr>
        <w:t>3.5.</w:t>
      </w:r>
      <w:r w:rsidRPr="007772AB">
        <w:rPr>
          <w:noProof/>
        </w:rPr>
        <w:tab/>
      </w:r>
      <w:r w:rsidRPr="00AA0B4A">
        <w:rPr>
          <w:noProof/>
        </w:rPr>
        <w:t xml:space="preserve">Use of the regulatory procedure with scrutiny </w:t>
      </w:r>
    </w:p>
    <w:p w14:paraId="5BD3B1AA" w14:textId="77777777" w:rsidR="00EC39BD" w:rsidRDefault="00EC39BD" w:rsidP="00EC39BD">
      <w:pPr>
        <w:jc w:val="both"/>
        <w:rPr>
          <w:rFonts w:ascii="Times New Roman" w:hAnsi="Times New Roman"/>
          <w:noProof/>
          <w:sz w:val="24"/>
          <w:szCs w:val="24"/>
        </w:rPr>
      </w:pPr>
      <w:r w:rsidRPr="00AA0B4A">
        <w:rPr>
          <w:rFonts w:ascii="Times New Roman" w:hAnsi="Times New Roman"/>
          <w:noProof/>
          <w:sz w:val="24"/>
          <w:szCs w:val="24"/>
        </w:rPr>
        <w:t>The Comitology Regulation maintained the effects of the regulatory procedure with scrutiny for the purposes of existing basic acts refer</w:t>
      </w:r>
      <w:r>
        <w:rPr>
          <w:rFonts w:ascii="Times New Roman" w:hAnsi="Times New Roman"/>
          <w:noProof/>
          <w:sz w:val="24"/>
          <w:szCs w:val="24"/>
        </w:rPr>
        <w:t>ing</w:t>
      </w:r>
      <w:r w:rsidRPr="00AA0B4A">
        <w:rPr>
          <w:rFonts w:ascii="Times New Roman" w:hAnsi="Times New Roman"/>
          <w:noProof/>
          <w:sz w:val="24"/>
          <w:szCs w:val="24"/>
        </w:rPr>
        <w:t xml:space="preserve"> to it</w:t>
      </w:r>
      <w:r w:rsidRPr="00E90724">
        <w:rPr>
          <w:rStyle w:val="FootnoteReference"/>
          <w:rFonts w:ascii="Times New Roman" w:hAnsi="Times New Roman"/>
          <w:noProof/>
          <w:sz w:val="24"/>
          <w:szCs w:val="24"/>
        </w:rPr>
        <w:footnoteReference w:id="28"/>
      </w:r>
      <w:r w:rsidRPr="00AA0B4A">
        <w:rPr>
          <w:rFonts w:ascii="Times New Roman" w:hAnsi="Times New Roman"/>
          <w:noProof/>
          <w:sz w:val="24"/>
          <w:szCs w:val="24"/>
        </w:rPr>
        <w:t xml:space="preserve">. This procedure can no longer be </w:t>
      </w:r>
      <w:r>
        <w:rPr>
          <w:rFonts w:ascii="Times New Roman" w:hAnsi="Times New Roman"/>
          <w:noProof/>
          <w:sz w:val="24"/>
          <w:szCs w:val="24"/>
        </w:rPr>
        <w:t xml:space="preserve">introduced </w:t>
      </w:r>
      <w:r w:rsidRPr="00AA0B4A">
        <w:rPr>
          <w:rFonts w:ascii="Times New Roman" w:hAnsi="Times New Roman"/>
          <w:noProof/>
          <w:sz w:val="24"/>
          <w:szCs w:val="24"/>
        </w:rPr>
        <w:t>in</w:t>
      </w:r>
      <w:r>
        <w:rPr>
          <w:rFonts w:ascii="Times New Roman" w:hAnsi="Times New Roman"/>
          <w:noProof/>
          <w:sz w:val="24"/>
          <w:szCs w:val="24"/>
        </w:rPr>
        <w:t>to</w:t>
      </w:r>
      <w:r w:rsidRPr="00AA0B4A">
        <w:rPr>
          <w:rFonts w:ascii="Times New Roman" w:hAnsi="Times New Roman"/>
          <w:noProof/>
          <w:sz w:val="24"/>
          <w:szCs w:val="24"/>
        </w:rPr>
        <w:t xml:space="preserve"> new legislation, but it still appears in many existing basic acts and will continue to apply under those acts until the respective empowerments </w:t>
      </w:r>
      <w:r>
        <w:rPr>
          <w:rFonts w:ascii="Times New Roman" w:hAnsi="Times New Roman"/>
          <w:noProof/>
          <w:sz w:val="24"/>
          <w:szCs w:val="24"/>
        </w:rPr>
        <w:t>have been</w:t>
      </w:r>
      <w:r w:rsidRPr="00AA0B4A">
        <w:rPr>
          <w:rFonts w:ascii="Times New Roman" w:hAnsi="Times New Roman"/>
          <w:noProof/>
          <w:sz w:val="24"/>
          <w:szCs w:val="24"/>
        </w:rPr>
        <w:t xml:space="preserve"> aligned to empowerments for either delegated or implementing acts</w:t>
      </w:r>
      <w:r>
        <w:rPr>
          <w:rFonts w:ascii="Times New Roman" w:hAnsi="Times New Roman"/>
          <w:noProof/>
          <w:sz w:val="24"/>
          <w:szCs w:val="24"/>
        </w:rPr>
        <w:t xml:space="preserve"> (as indicated in Section 2.1)</w:t>
      </w:r>
      <w:r w:rsidRPr="00AA0B4A">
        <w:rPr>
          <w:rFonts w:ascii="Times New Roman" w:hAnsi="Times New Roman"/>
          <w:noProof/>
          <w:sz w:val="24"/>
          <w:szCs w:val="24"/>
        </w:rPr>
        <w:t xml:space="preserve">. </w:t>
      </w:r>
    </w:p>
    <w:p w14:paraId="6353B127" w14:textId="77777777" w:rsidR="00EC39BD" w:rsidRDefault="00EC39BD" w:rsidP="00EC39BD">
      <w:pPr>
        <w:jc w:val="both"/>
        <w:rPr>
          <w:rFonts w:ascii="Times New Roman" w:hAnsi="Times New Roman"/>
          <w:noProof/>
          <w:sz w:val="24"/>
          <w:szCs w:val="24"/>
        </w:rPr>
      </w:pPr>
      <w:r w:rsidRPr="00AA0B4A">
        <w:rPr>
          <w:rFonts w:ascii="Times New Roman" w:hAnsi="Times New Roman"/>
          <w:noProof/>
          <w:sz w:val="24"/>
          <w:szCs w:val="24"/>
        </w:rPr>
        <w:t xml:space="preserve">In </w:t>
      </w:r>
      <w:r w:rsidRPr="00F2138A">
        <w:rPr>
          <w:rFonts w:ascii="Times New Roman" w:hAnsi="Times New Roman"/>
          <w:noProof/>
          <w:sz w:val="24"/>
          <w:szCs w:val="24"/>
        </w:rPr>
        <w:t>202</w:t>
      </w:r>
      <w:r>
        <w:rPr>
          <w:rFonts w:ascii="Times New Roman" w:hAnsi="Times New Roman"/>
          <w:noProof/>
          <w:sz w:val="24"/>
          <w:szCs w:val="24"/>
        </w:rPr>
        <w:t>2</w:t>
      </w:r>
      <w:r w:rsidRPr="00AA0B4A">
        <w:rPr>
          <w:rFonts w:ascii="Times New Roman" w:hAnsi="Times New Roman"/>
          <w:noProof/>
          <w:sz w:val="24"/>
          <w:szCs w:val="24"/>
        </w:rPr>
        <w:t xml:space="preserve">, </w:t>
      </w:r>
      <w:r>
        <w:rPr>
          <w:rFonts w:ascii="Times New Roman" w:hAnsi="Times New Roman"/>
          <w:noProof/>
          <w:sz w:val="24"/>
          <w:szCs w:val="24"/>
        </w:rPr>
        <w:t>68</w:t>
      </w:r>
      <w:r w:rsidRPr="009860BE">
        <w:rPr>
          <w:rFonts w:ascii="Times New Roman" w:hAnsi="Times New Roman"/>
          <w:noProof/>
          <w:sz w:val="24"/>
          <w:szCs w:val="24"/>
        </w:rPr>
        <w:t xml:space="preserve"> measures</w:t>
      </w:r>
      <w:r w:rsidRPr="00AA0B4A">
        <w:rPr>
          <w:rFonts w:ascii="Times New Roman" w:hAnsi="Times New Roman"/>
          <w:noProof/>
          <w:sz w:val="24"/>
          <w:szCs w:val="24"/>
        </w:rPr>
        <w:t xml:space="preserve"> were adopted according to the regulatory procedure with scrutiny (see Table V</w:t>
      </w:r>
      <w:r>
        <w:rPr>
          <w:rFonts w:ascii="Times New Roman" w:hAnsi="Times New Roman"/>
          <w:noProof/>
          <w:sz w:val="24"/>
          <w:szCs w:val="24"/>
        </w:rPr>
        <w:t>I below</w:t>
      </w:r>
      <w:r w:rsidRPr="00AA0B4A">
        <w:rPr>
          <w:rFonts w:ascii="Times New Roman" w:hAnsi="Times New Roman"/>
          <w:noProof/>
          <w:sz w:val="24"/>
          <w:szCs w:val="24"/>
        </w:rPr>
        <w:t xml:space="preserve">), </w:t>
      </w:r>
      <w:r>
        <w:rPr>
          <w:rFonts w:ascii="Times New Roman" w:hAnsi="Times New Roman"/>
          <w:noProof/>
          <w:sz w:val="24"/>
          <w:szCs w:val="24"/>
        </w:rPr>
        <w:t xml:space="preserve">which is identical to the figure in </w:t>
      </w:r>
      <w:r w:rsidRPr="00586C18">
        <w:rPr>
          <w:rFonts w:ascii="Times New Roman" w:hAnsi="Times New Roman"/>
          <w:noProof/>
          <w:sz w:val="24"/>
          <w:szCs w:val="24"/>
        </w:rPr>
        <w:t>202</w:t>
      </w:r>
      <w:r>
        <w:rPr>
          <w:rFonts w:ascii="Times New Roman" w:hAnsi="Times New Roman"/>
          <w:noProof/>
          <w:sz w:val="24"/>
          <w:szCs w:val="24"/>
        </w:rPr>
        <w:t>1 (68)</w:t>
      </w:r>
      <w:r w:rsidRPr="00AA0B4A">
        <w:rPr>
          <w:rFonts w:ascii="Times New Roman" w:hAnsi="Times New Roman"/>
          <w:noProof/>
          <w:sz w:val="24"/>
          <w:szCs w:val="24"/>
        </w:rPr>
        <w:t>.</w:t>
      </w:r>
      <w:r>
        <w:rPr>
          <w:rFonts w:ascii="Times New Roman" w:hAnsi="Times New Roman"/>
          <w:noProof/>
          <w:sz w:val="24"/>
          <w:szCs w:val="24"/>
        </w:rPr>
        <w:t xml:space="preserve"> </w:t>
      </w:r>
    </w:p>
    <w:p w14:paraId="1CC022AD" w14:textId="77777777" w:rsidR="00EC39BD" w:rsidRDefault="00EC39BD" w:rsidP="00EC39BD">
      <w:pPr>
        <w:jc w:val="both"/>
        <w:rPr>
          <w:rFonts w:ascii="Times New Roman" w:hAnsi="Times New Roman"/>
          <w:b/>
          <w:noProof/>
          <w:sz w:val="24"/>
          <w:szCs w:val="24"/>
          <w:u w:val="single"/>
        </w:rPr>
      </w:pPr>
      <w:r w:rsidRPr="00F2138A">
        <w:rPr>
          <w:rFonts w:ascii="Times New Roman" w:hAnsi="Times New Roman"/>
          <w:noProof/>
          <w:sz w:val="24"/>
          <w:szCs w:val="24"/>
        </w:rPr>
        <w:t>The right to oppose</w:t>
      </w:r>
      <w:r>
        <w:rPr>
          <w:rFonts w:ascii="Times New Roman" w:hAnsi="Times New Roman"/>
          <w:noProof/>
          <w:sz w:val="24"/>
          <w:szCs w:val="24"/>
        </w:rPr>
        <w:t xml:space="preserve"> acts under the regulatory procedure with scrutiny </w:t>
      </w:r>
      <w:r w:rsidRPr="00F2138A">
        <w:rPr>
          <w:rFonts w:ascii="Times New Roman" w:hAnsi="Times New Roman"/>
          <w:noProof/>
          <w:sz w:val="24"/>
          <w:szCs w:val="24"/>
        </w:rPr>
        <w:t>was</w:t>
      </w:r>
      <w:r>
        <w:rPr>
          <w:rFonts w:ascii="Times New Roman" w:hAnsi="Times New Roman"/>
          <w:noProof/>
          <w:sz w:val="24"/>
          <w:szCs w:val="24"/>
        </w:rPr>
        <w:t xml:space="preserve"> not</w:t>
      </w:r>
      <w:r w:rsidRPr="00F2138A">
        <w:rPr>
          <w:rFonts w:ascii="Times New Roman" w:hAnsi="Times New Roman"/>
          <w:noProof/>
          <w:sz w:val="24"/>
          <w:szCs w:val="24"/>
        </w:rPr>
        <w:t xml:space="preserve"> used in 202</w:t>
      </w:r>
      <w:r>
        <w:rPr>
          <w:rFonts w:ascii="Times New Roman" w:hAnsi="Times New Roman"/>
          <w:noProof/>
          <w:sz w:val="24"/>
          <w:szCs w:val="24"/>
        </w:rPr>
        <w:t>2</w:t>
      </w:r>
      <w:r w:rsidRPr="00F2138A">
        <w:rPr>
          <w:rFonts w:ascii="Times New Roman" w:hAnsi="Times New Roman"/>
          <w:noProof/>
          <w:sz w:val="24"/>
          <w:szCs w:val="24"/>
        </w:rPr>
        <w:t xml:space="preserve"> by </w:t>
      </w:r>
      <w:r>
        <w:rPr>
          <w:rFonts w:ascii="Times New Roman" w:hAnsi="Times New Roman"/>
          <w:noProof/>
          <w:sz w:val="24"/>
          <w:szCs w:val="24"/>
        </w:rPr>
        <w:t>either of the co-legislators</w:t>
      </w:r>
      <w:r w:rsidRPr="00F2138A">
        <w:rPr>
          <w:rFonts w:ascii="Times New Roman" w:hAnsi="Times New Roman"/>
          <w:noProof/>
          <w:sz w:val="24"/>
          <w:szCs w:val="24"/>
        </w:rPr>
        <w:t xml:space="preserve">. </w:t>
      </w:r>
      <w:r>
        <w:rPr>
          <w:rFonts w:ascii="Times New Roman" w:hAnsi="Times New Roman"/>
          <w:noProof/>
          <w:sz w:val="24"/>
          <w:szCs w:val="24"/>
        </w:rPr>
        <w:t>For comparison, i</w:t>
      </w:r>
      <w:r w:rsidRPr="00F2138A">
        <w:rPr>
          <w:rFonts w:ascii="Times New Roman" w:hAnsi="Times New Roman"/>
          <w:noProof/>
          <w:sz w:val="24"/>
          <w:szCs w:val="24"/>
        </w:rPr>
        <w:t>n 202</w:t>
      </w:r>
      <w:r>
        <w:rPr>
          <w:rFonts w:ascii="Times New Roman" w:hAnsi="Times New Roman"/>
          <w:noProof/>
          <w:sz w:val="24"/>
          <w:szCs w:val="24"/>
        </w:rPr>
        <w:t xml:space="preserve">1, </w:t>
      </w:r>
      <w:r w:rsidRPr="00F2138A">
        <w:rPr>
          <w:rFonts w:ascii="Times New Roman" w:hAnsi="Times New Roman"/>
          <w:noProof/>
          <w:sz w:val="24"/>
          <w:szCs w:val="24"/>
        </w:rPr>
        <w:t xml:space="preserve">the European Parliament opposed </w:t>
      </w:r>
      <w:r>
        <w:rPr>
          <w:rFonts w:ascii="Times New Roman" w:hAnsi="Times New Roman"/>
          <w:noProof/>
          <w:sz w:val="24"/>
          <w:szCs w:val="24"/>
        </w:rPr>
        <w:t xml:space="preserve">twice </w:t>
      </w:r>
      <w:r w:rsidRPr="00F67B62">
        <w:rPr>
          <w:rStyle w:val="FootnoteReference"/>
          <w:rFonts w:ascii="Times New Roman" w:hAnsi="Times New Roman"/>
          <w:noProof/>
          <w:sz w:val="24"/>
          <w:szCs w:val="24"/>
        </w:rPr>
        <w:footnoteReference w:id="29"/>
      </w:r>
      <w:r w:rsidRPr="00F2138A">
        <w:rPr>
          <w:rFonts w:ascii="Times New Roman" w:hAnsi="Times New Roman"/>
          <w:noProof/>
          <w:sz w:val="24"/>
          <w:szCs w:val="24"/>
        </w:rPr>
        <w:t xml:space="preserve">, </w:t>
      </w:r>
      <w:r>
        <w:rPr>
          <w:rFonts w:ascii="Times New Roman" w:hAnsi="Times New Roman"/>
          <w:noProof/>
          <w:sz w:val="24"/>
          <w:szCs w:val="24"/>
        </w:rPr>
        <w:t>whereas</w:t>
      </w:r>
      <w:r w:rsidRPr="00F2138A">
        <w:rPr>
          <w:rFonts w:ascii="Times New Roman" w:hAnsi="Times New Roman"/>
          <w:noProof/>
          <w:sz w:val="24"/>
          <w:szCs w:val="24"/>
        </w:rPr>
        <w:t xml:space="preserve"> the Council </w:t>
      </w:r>
      <w:r>
        <w:rPr>
          <w:rFonts w:ascii="Times New Roman" w:hAnsi="Times New Roman"/>
          <w:noProof/>
          <w:sz w:val="24"/>
          <w:szCs w:val="24"/>
        </w:rPr>
        <w:t>did</w:t>
      </w:r>
      <w:r w:rsidRPr="00F2138A">
        <w:rPr>
          <w:rFonts w:ascii="Times New Roman" w:hAnsi="Times New Roman"/>
          <w:noProof/>
          <w:sz w:val="24"/>
          <w:szCs w:val="24"/>
        </w:rPr>
        <w:t xml:space="preserve"> not use this right</w:t>
      </w:r>
      <w:r>
        <w:rPr>
          <w:rFonts w:ascii="Times New Roman" w:hAnsi="Times New Roman"/>
          <w:noProof/>
          <w:sz w:val="24"/>
          <w:szCs w:val="24"/>
        </w:rPr>
        <w:t xml:space="preserve"> at all</w:t>
      </w:r>
      <w:r w:rsidRPr="00F2138A">
        <w:rPr>
          <w:rFonts w:ascii="Times New Roman" w:hAnsi="Times New Roman"/>
          <w:noProof/>
          <w:sz w:val="24"/>
          <w:szCs w:val="24"/>
        </w:rPr>
        <w:t>.</w:t>
      </w:r>
      <w:r>
        <w:rPr>
          <w:rFonts w:ascii="Times New Roman" w:hAnsi="Times New Roman"/>
          <w:b/>
          <w:noProof/>
          <w:sz w:val="24"/>
          <w:szCs w:val="24"/>
          <w:u w:val="single"/>
        </w:rPr>
        <w:br w:type="page"/>
      </w:r>
    </w:p>
    <w:p w14:paraId="11FF03D8" w14:textId="77777777" w:rsidR="00EC39BD" w:rsidRPr="00AA0B4A" w:rsidRDefault="00EC39BD" w:rsidP="00EC39BD">
      <w:pPr>
        <w:keepNext/>
        <w:spacing w:line="240" w:lineRule="auto"/>
        <w:jc w:val="both"/>
        <w:rPr>
          <w:rFonts w:ascii="Times New Roman" w:hAnsi="Times New Roman"/>
          <w:b/>
          <w:smallCaps/>
          <w:noProof/>
          <w:sz w:val="24"/>
          <w:szCs w:val="24"/>
          <w:u w:val="single"/>
        </w:rPr>
      </w:pPr>
      <w:r w:rsidRPr="00AA0B4A">
        <w:rPr>
          <w:rFonts w:ascii="Times New Roman" w:hAnsi="Times New Roman"/>
          <w:b/>
          <w:noProof/>
          <w:sz w:val="24"/>
          <w:szCs w:val="24"/>
          <w:u w:val="single"/>
        </w:rPr>
        <w:t>TABLE V</w:t>
      </w:r>
      <w:r>
        <w:rPr>
          <w:rFonts w:ascii="Times New Roman" w:hAnsi="Times New Roman"/>
          <w:b/>
          <w:noProof/>
          <w:sz w:val="24"/>
          <w:szCs w:val="24"/>
          <w:u w:val="single"/>
        </w:rPr>
        <w:t>I</w:t>
      </w:r>
      <w:r w:rsidRPr="00AA0B4A">
        <w:rPr>
          <w:rFonts w:ascii="Times New Roman" w:hAnsi="Times New Roman"/>
          <w:b/>
          <w:noProof/>
          <w:sz w:val="24"/>
          <w:szCs w:val="24"/>
          <w:u w:val="single"/>
        </w:rPr>
        <w:t xml:space="preserve"> — </w:t>
      </w:r>
      <w:r w:rsidRPr="00AA0B4A">
        <w:rPr>
          <w:rFonts w:ascii="Times New Roman" w:hAnsi="Times New Roman"/>
          <w:b/>
          <w:smallCaps/>
          <w:noProof/>
          <w:sz w:val="24"/>
          <w:szCs w:val="24"/>
          <w:u w:val="single"/>
        </w:rPr>
        <w:t xml:space="preserve">Number of measures adopted according to the regulatory procedure with scrutiny </w:t>
      </w:r>
    </w:p>
    <w:tbl>
      <w:tblPr>
        <w:tblW w:w="4106" w:type="pct"/>
        <w:tblInd w:w="708" w:type="dxa"/>
        <w:tblLook w:val="0000" w:firstRow="0" w:lastRow="0" w:firstColumn="0" w:lastColumn="0" w:noHBand="0" w:noVBand="0"/>
      </w:tblPr>
      <w:tblGrid>
        <w:gridCol w:w="2111"/>
        <w:gridCol w:w="2059"/>
        <w:gridCol w:w="1682"/>
        <w:gridCol w:w="1774"/>
      </w:tblGrid>
      <w:tr w:rsidR="00EC39BD" w:rsidRPr="00AA0B4A" w14:paraId="6863D8F6" w14:textId="77777777" w:rsidTr="00E55B57">
        <w:trPr>
          <w:trHeight w:val="664"/>
        </w:trPr>
        <w:tc>
          <w:tcPr>
            <w:tcW w:w="123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7F432365" w14:textId="77777777" w:rsidR="00EC39BD" w:rsidRPr="00B51F30" w:rsidRDefault="00EC39BD" w:rsidP="00E55B57">
            <w:pPr>
              <w:spacing w:after="0" w:line="360" w:lineRule="auto"/>
              <w:rPr>
                <w:rFonts w:ascii="Times New Roman" w:hAnsi="Times New Roman"/>
                <w:b/>
                <w:noProof/>
                <w:color w:val="000000"/>
                <w:sz w:val="18"/>
                <w:szCs w:val="18"/>
                <w:lang w:eastAsia="en-GB"/>
              </w:rPr>
            </w:pPr>
            <w:r w:rsidRPr="00B51F30">
              <w:rPr>
                <w:rFonts w:ascii="Times New Roman" w:hAnsi="Times New Roman"/>
                <w:b/>
                <w:noProof/>
                <w:color w:val="000000"/>
                <w:sz w:val="18"/>
                <w:szCs w:val="18"/>
                <w:lang w:eastAsia="en-GB"/>
              </w:rPr>
              <w:t>Commission department</w:t>
            </w:r>
          </w:p>
        </w:tc>
        <w:tc>
          <w:tcPr>
            <w:tcW w:w="1401" w:type="pct"/>
            <w:tcBorders>
              <w:top w:val="single" w:sz="4" w:space="0" w:color="auto"/>
              <w:left w:val="nil"/>
              <w:bottom w:val="single" w:sz="4" w:space="0" w:color="auto"/>
              <w:right w:val="single" w:sz="4" w:space="0" w:color="auto"/>
            </w:tcBorders>
            <w:shd w:val="clear" w:color="auto" w:fill="FFFF99"/>
            <w:vAlign w:val="bottom"/>
          </w:tcPr>
          <w:p w14:paraId="4DB1E728"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Regulatory procedure with scrutiny - measures</w:t>
            </w:r>
            <w:r w:rsidRPr="00AA0B4A">
              <w:rPr>
                <w:rFonts w:ascii="Times New Roman" w:hAnsi="Times New Roman"/>
                <w:b/>
                <w:noProof/>
                <w:color w:val="000000"/>
                <w:sz w:val="18"/>
                <w:szCs w:val="18"/>
                <w:lang w:eastAsia="en-GB"/>
              </w:rPr>
              <w:br/>
              <w:t>adopted</w:t>
            </w:r>
          </w:p>
        </w:tc>
        <w:tc>
          <w:tcPr>
            <w:tcW w:w="1154" w:type="pct"/>
            <w:tcBorders>
              <w:top w:val="single" w:sz="4" w:space="0" w:color="auto"/>
              <w:left w:val="nil"/>
              <w:bottom w:val="single" w:sz="4" w:space="0" w:color="auto"/>
              <w:right w:val="single" w:sz="4" w:space="0" w:color="auto"/>
            </w:tcBorders>
            <w:shd w:val="clear" w:color="auto" w:fill="FFFF99"/>
            <w:vAlign w:val="bottom"/>
          </w:tcPr>
          <w:p w14:paraId="3CFDC0F9"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European Parliament opposed adoption of draft measures </w:t>
            </w:r>
          </w:p>
        </w:tc>
        <w:tc>
          <w:tcPr>
            <w:tcW w:w="1214" w:type="pct"/>
            <w:tcBorders>
              <w:top w:val="single" w:sz="4" w:space="0" w:color="auto"/>
              <w:left w:val="nil"/>
              <w:bottom w:val="single" w:sz="4" w:space="0" w:color="auto"/>
              <w:right w:val="single" w:sz="4" w:space="0" w:color="auto"/>
            </w:tcBorders>
            <w:shd w:val="clear" w:color="auto" w:fill="FFFF99"/>
            <w:vAlign w:val="center"/>
          </w:tcPr>
          <w:p w14:paraId="6DE0E952" w14:textId="77777777" w:rsidR="00EC39BD" w:rsidRPr="00AA0B4A" w:rsidRDefault="00EC39BD" w:rsidP="00E55B57">
            <w:pPr>
              <w:spacing w:after="0" w:line="240" w:lineRule="auto"/>
              <w:jc w:val="center"/>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 xml:space="preserve">Council opposed adoption of draft measures </w:t>
            </w:r>
          </w:p>
        </w:tc>
      </w:tr>
      <w:tr w:rsidR="00EC39BD" w:rsidRPr="00AA0B4A" w14:paraId="3536BF2E"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59873E0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AGRI</w:t>
            </w:r>
          </w:p>
        </w:tc>
        <w:tc>
          <w:tcPr>
            <w:tcW w:w="1401" w:type="pct"/>
            <w:tcBorders>
              <w:top w:val="nil"/>
              <w:left w:val="nil"/>
              <w:bottom w:val="single" w:sz="4" w:space="0" w:color="auto"/>
              <w:right w:val="single" w:sz="4" w:space="0" w:color="auto"/>
            </w:tcBorders>
            <w:shd w:val="clear" w:color="auto" w:fill="FFFF99"/>
            <w:noWrap/>
            <w:vAlign w:val="center"/>
          </w:tcPr>
          <w:p w14:paraId="3463FC52"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vAlign w:val="bottom"/>
          </w:tcPr>
          <w:p w14:paraId="7AD3A4D6"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246797C9"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31FB858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1051144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BUDG</w:t>
            </w:r>
          </w:p>
        </w:tc>
        <w:tc>
          <w:tcPr>
            <w:tcW w:w="1401" w:type="pct"/>
            <w:tcBorders>
              <w:top w:val="nil"/>
              <w:left w:val="nil"/>
              <w:bottom w:val="single" w:sz="4" w:space="0" w:color="auto"/>
              <w:right w:val="single" w:sz="4" w:space="0" w:color="auto"/>
            </w:tcBorders>
            <w:shd w:val="clear" w:color="auto" w:fill="FFFF99"/>
            <w:noWrap/>
            <w:vAlign w:val="center"/>
          </w:tcPr>
          <w:p w14:paraId="118426CA"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15D0C6F0"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56C9778"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067E0E61"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193D4E1A"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CLIMA</w:t>
            </w:r>
          </w:p>
        </w:tc>
        <w:tc>
          <w:tcPr>
            <w:tcW w:w="1401" w:type="pct"/>
            <w:tcBorders>
              <w:top w:val="nil"/>
              <w:left w:val="nil"/>
              <w:bottom w:val="single" w:sz="4" w:space="0" w:color="auto"/>
              <w:right w:val="single" w:sz="4" w:space="0" w:color="auto"/>
            </w:tcBorders>
            <w:shd w:val="clear" w:color="auto" w:fill="FFFF99"/>
            <w:noWrap/>
            <w:vAlign w:val="center"/>
          </w:tcPr>
          <w:p w14:paraId="5FEA03AD"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2F9BE196"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A29F3E3"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2251CCEC"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CFA5A9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CNECT</w:t>
            </w:r>
          </w:p>
        </w:tc>
        <w:tc>
          <w:tcPr>
            <w:tcW w:w="1401" w:type="pct"/>
            <w:tcBorders>
              <w:top w:val="nil"/>
              <w:left w:val="nil"/>
              <w:bottom w:val="single" w:sz="4" w:space="0" w:color="auto"/>
              <w:right w:val="single" w:sz="4" w:space="0" w:color="auto"/>
            </w:tcBorders>
            <w:shd w:val="clear" w:color="auto" w:fill="FFFF99"/>
            <w:noWrap/>
            <w:vAlign w:val="center"/>
          </w:tcPr>
          <w:p w14:paraId="1B71DA93"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79DB0813"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62D1B677"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r>
      <w:tr w:rsidR="00EC39BD" w:rsidRPr="00AA0B4A" w14:paraId="191F80DC"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72F3D78"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DEFIS</w:t>
            </w:r>
          </w:p>
        </w:tc>
        <w:tc>
          <w:tcPr>
            <w:tcW w:w="1401" w:type="pct"/>
            <w:tcBorders>
              <w:top w:val="nil"/>
              <w:left w:val="nil"/>
              <w:bottom w:val="single" w:sz="4" w:space="0" w:color="auto"/>
              <w:right w:val="single" w:sz="4" w:space="0" w:color="auto"/>
            </w:tcBorders>
            <w:shd w:val="clear" w:color="auto" w:fill="FFFF99"/>
            <w:noWrap/>
            <w:vAlign w:val="center"/>
          </w:tcPr>
          <w:p w14:paraId="2A56063A"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4139AC8C"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5C9D49A7"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r>
      <w:tr w:rsidR="00EC39BD" w:rsidRPr="00AA0B4A" w14:paraId="6821CB3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89F2EB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DIGIT</w:t>
            </w:r>
          </w:p>
        </w:tc>
        <w:tc>
          <w:tcPr>
            <w:tcW w:w="1401" w:type="pct"/>
            <w:tcBorders>
              <w:top w:val="nil"/>
              <w:left w:val="nil"/>
              <w:bottom w:val="single" w:sz="4" w:space="0" w:color="auto"/>
              <w:right w:val="single" w:sz="4" w:space="0" w:color="auto"/>
            </w:tcBorders>
            <w:shd w:val="clear" w:color="auto" w:fill="FFFF99"/>
            <w:noWrap/>
            <w:vAlign w:val="center"/>
          </w:tcPr>
          <w:p w14:paraId="3DCF3409"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510C2126"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59608D83"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r>
      <w:tr w:rsidR="00EC39BD" w:rsidRPr="00AA0B4A" w14:paraId="7D8AA449"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37D8A5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EAC</w:t>
            </w:r>
          </w:p>
        </w:tc>
        <w:tc>
          <w:tcPr>
            <w:tcW w:w="1401" w:type="pct"/>
            <w:tcBorders>
              <w:top w:val="nil"/>
              <w:left w:val="nil"/>
              <w:bottom w:val="single" w:sz="4" w:space="0" w:color="auto"/>
              <w:right w:val="single" w:sz="4" w:space="0" w:color="auto"/>
            </w:tcBorders>
            <w:shd w:val="clear" w:color="auto" w:fill="FFFF99"/>
            <w:noWrap/>
            <w:vAlign w:val="center"/>
          </w:tcPr>
          <w:p w14:paraId="32302C01"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7D14EF76"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27337E8D"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r>
      <w:tr w:rsidR="00EC39BD" w:rsidRPr="00AA0B4A" w14:paraId="32ACB527"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4ACD862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ECFIN</w:t>
            </w:r>
          </w:p>
        </w:tc>
        <w:tc>
          <w:tcPr>
            <w:tcW w:w="1401" w:type="pct"/>
            <w:tcBorders>
              <w:top w:val="nil"/>
              <w:left w:val="nil"/>
              <w:bottom w:val="single" w:sz="4" w:space="0" w:color="auto"/>
              <w:right w:val="single" w:sz="4" w:space="0" w:color="auto"/>
            </w:tcBorders>
            <w:shd w:val="clear" w:color="auto" w:fill="FFFF99"/>
            <w:noWrap/>
            <w:vAlign w:val="center"/>
          </w:tcPr>
          <w:p w14:paraId="49A01C92"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1E74F2CB"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79322DA"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0502F3A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6AE563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ECHO</w:t>
            </w:r>
          </w:p>
        </w:tc>
        <w:tc>
          <w:tcPr>
            <w:tcW w:w="1401" w:type="pct"/>
            <w:tcBorders>
              <w:top w:val="nil"/>
              <w:left w:val="nil"/>
              <w:bottom w:val="single" w:sz="4" w:space="0" w:color="auto"/>
              <w:right w:val="single" w:sz="4" w:space="0" w:color="auto"/>
            </w:tcBorders>
            <w:shd w:val="clear" w:color="auto" w:fill="FFFF99"/>
            <w:noWrap/>
            <w:vAlign w:val="center"/>
          </w:tcPr>
          <w:p w14:paraId="092F1710"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6E947D6D"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519CBCC7"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0078F619"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5D4989C8"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EMPL</w:t>
            </w:r>
          </w:p>
        </w:tc>
        <w:tc>
          <w:tcPr>
            <w:tcW w:w="1401" w:type="pct"/>
            <w:tcBorders>
              <w:top w:val="nil"/>
              <w:left w:val="nil"/>
              <w:bottom w:val="single" w:sz="4" w:space="0" w:color="auto"/>
              <w:right w:val="single" w:sz="4" w:space="0" w:color="auto"/>
            </w:tcBorders>
            <w:shd w:val="clear" w:color="auto" w:fill="FFFF99"/>
            <w:noWrap/>
            <w:vAlign w:val="center"/>
          </w:tcPr>
          <w:p w14:paraId="6937A821"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1739D81A"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21241651"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169FC3B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B85DA4D"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ENER</w:t>
            </w:r>
          </w:p>
        </w:tc>
        <w:tc>
          <w:tcPr>
            <w:tcW w:w="1401" w:type="pct"/>
            <w:tcBorders>
              <w:top w:val="nil"/>
              <w:left w:val="nil"/>
              <w:bottom w:val="single" w:sz="4" w:space="0" w:color="auto"/>
              <w:right w:val="single" w:sz="4" w:space="0" w:color="auto"/>
            </w:tcBorders>
            <w:shd w:val="clear" w:color="auto" w:fill="FFFF99"/>
            <w:noWrap/>
            <w:vAlign w:val="center"/>
          </w:tcPr>
          <w:p w14:paraId="19147ED0"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4251B167"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530F8CF7"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r>
      <w:tr w:rsidR="00EC39BD" w:rsidRPr="00AA0B4A" w14:paraId="7CAE2168"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0A22F64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ENV</w:t>
            </w:r>
          </w:p>
        </w:tc>
        <w:tc>
          <w:tcPr>
            <w:tcW w:w="1401" w:type="pct"/>
            <w:tcBorders>
              <w:top w:val="nil"/>
              <w:left w:val="nil"/>
              <w:bottom w:val="single" w:sz="4" w:space="0" w:color="auto"/>
              <w:right w:val="single" w:sz="4" w:space="0" w:color="auto"/>
            </w:tcBorders>
            <w:shd w:val="clear" w:color="auto" w:fill="FFFF99"/>
            <w:noWrap/>
            <w:vAlign w:val="center"/>
          </w:tcPr>
          <w:p w14:paraId="7A4DE1BE"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2</w:t>
            </w:r>
          </w:p>
        </w:tc>
        <w:tc>
          <w:tcPr>
            <w:tcW w:w="1154" w:type="pct"/>
            <w:tcBorders>
              <w:top w:val="nil"/>
              <w:left w:val="nil"/>
              <w:bottom w:val="single" w:sz="4" w:space="0" w:color="auto"/>
              <w:right w:val="single" w:sz="4" w:space="0" w:color="auto"/>
            </w:tcBorders>
            <w:shd w:val="clear" w:color="auto" w:fill="FFFF99"/>
            <w:noWrap/>
          </w:tcPr>
          <w:p w14:paraId="18DA36D4"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6761FC9"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7870FDFA"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F44863F"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ESTAT</w:t>
            </w:r>
          </w:p>
        </w:tc>
        <w:tc>
          <w:tcPr>
            <w:tcW w:w="1401" w:type="pct"/>
            <w:tcBorders>
              <w:top w:val="nil"/>
              <w:left w:val="nil"/>
              <w:bottom w:val="single" w:sz="4" w:space="0" w:color="auto"/>
              <w:right w:val="single" w:sz="4" w:space="0" w:color="auto"/>
            </w:tcBorders>
            <w:shd w:val="clear" w:color="auto" w:fill="FFFF99"/>
            <w:noWrap/>
            <w:vAlign w:val="center"/>
          </w:tcPr>
          <w:p w14:paraId="42DEF547"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2</w:t>
            </w:r>
          </w:p>
        </w:tc>
        <w:tc>
          <w:tcPr>
            <w:tcW w:w="1154" w:type="pct"/>
            <w:tcBorders>
              <w:top w:val="nil"/>
              <w:left w:val="nil"/>
              <w:right w:val="single" w:sz="4" w:space="0" w:color="auto"/>
            </w:tcBorders>
            <w:shd w:val="clear" w:color="auto" w:fill="FFFF99"/>
            <w:noWrap/>
          </w:tcPr>
          <w:p w14:paraId="7E748F30"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c>
          <w:tcPr>
            <w:tcW w:w="1214" w:type="pct"/>
            <w:tcBorders>
              <w:top w:val="nil"/>
              <w:left w:val="nil"/>
              <w:right w:val="single" w:sz="4" w:space="0" w:color="auto"/>
            </w:tcBorders>
            <w:shd w:val="clear" w:color="auto" w:fill="FFFF99"/>
            <w:noWrap/>
          </w:tcPr>
          <w:p w14:paraId="58A621F1" w14:textId="77777777" w:rsidR="00EC39BD" w:rsidRPr="00EB35BE" w:rsidRDefault="00EC39BD" w:rsidP="00E55B57">
            <w:pPr>
              <w:spacing w:after="0" w:line="240" w:lineRule="auto"/>
              <w:jc w:val="center"/>
              <w:rPr>
                <w:rFonts w:ascii="Times New Roman" w:hAnsi="Times New Roman"/>
                <w:bCs/>
                <w:noProof/>
                <w:color w:val="000000"/>
                <w:sz w:val="18"/>
                <w:szCs w:val="18"/>
                <w:lang w:eastAsia="en-GB"/>
              </w:rPr>
            </w:pPr>
            <w:r w:rsidRPr="00EB35BE">
              <w:rPr>
                <w:rFonts w:ascii="Times New Roman" w:hAnsi="Times New Roman"/>
                <w:bCs/>
                <w:noProof/>
                <w:color w:val="000000"/>
                <w:sz w:val="18"/>
                <w:szCs w:val="18"/>
                <w:lang w:eastAsia="en-GB"/>
              </w:rPr>
              <w:t>0</w:t>
            </w:r>
          </w:p>
        </w:tc>
      </w:tr>
      <w:tr w:rsidR="00EC39BD" w:rsidRPr="00AA0B4A" w14:paraId="0B19BA0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1CC6173"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FISMA</w:t>
            </w:r>
          </w:p>
        </w:tc>
        <w:tc>
          <w:tcPr>
            <w:tcW w:w="1401" w:type="pct"/>
            <w:tcBorders>
              <w:top w:val="nil"/>
              <w:left w:val="nil"/>
              <w:bottom w:val="single" w:sz="4" w:space="0" w:color="auto"/>
              <w:right w:val="single" w:sz="4" w:space="0" w:color="auto"/>
            </w:tcBorders>
            <w:shd w:val="clear" w:color="auto" w:fill="FFFF99"/>
            <w:noWrap/>
            <w:vAlign w:val="center"/>
          </w:tcPr>
          <w:p w14:paraId="38C3358C"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2</w:t>
            </w:r>
          </w:p>
        </w:tc>
        <w:tc>
          <w:tcPr>
            <w:tcW w:w="1154" w:type="pct"/>
            <w:tcBorders>
              <w:top w:val="single" w:sz="4" w:space="0" w:color="auto"/>
              <w:left w:val="nil"/>
              <w:bottom w:val="single" w:sz="4" w:space="0" w:color="auto"/>
              <w:right w:val="single" w:sz="4" w:space="0" w:color="auto"/>
            </w:tcBorders>
            <w:shd w:val="clear" w:color="auto" w:fill="FFFF99"/>
            <w:noWrap/>
          </w:tcPr>
          <w:p w14:paraId="33E9FB40"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single" w:sz="4" w:space="0" w:color="auto"/>
              <w:left w:val="nil"/>
              <w:bottom w:val="single" w:sz="4" w:space="0" w:color="auto"/>
              <w:right w:val="single" w:sz="4" w:space="0" w:color="auto"/>
            </w:tcBorders>
            <w:shd w:val="clear" w:color="auto" w:fill="FFFF99"/>
            <w:noWrap/>
          </w:tcPr>
          <w:p w14:paraId="3258935A"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3945940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501E88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FPI</w:t>
            </w:r>
          </w:p>
        </w:tc>
        <w:tc>
          <w:tcPr>
            <w:tcW w:w="1401" w:type="pct"/>
            <w:tcBorders>
              <w:top w:val="nil"/>
              <w:left w:val="nil"/>
              <w:bottom w:val="single" w:sz="4" w:space="0" w:color="auto"/>
              <w:right w:val="single" w:sz="4" w:space="0" w:color="auto"/>
            </w:tcBorders>
            <w:shd w:val="clear" w:color="auto" w:fill="FFFF99"/>
            <w:noWrap/>
            <w:vAlign w:val="center"/>
          </w:tcPr>
          <w:p w14:paraId="65421194"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32A93DE6"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21B85FF2"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35251596"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D4C33C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GROW</w:t>
            </w:r>
          </w:p>
        </w:tc>
        <w:tc>
          <w:tcPr>
            <w:tcW w:w="1401" w:type="pct"/>
            <w:tcBorders>
              <w:top w:val="nil"/>
              <w:left w:val="nil"/>
              <w:bottom w:val="single" w:sz="4" w:space="0" w:color="auto"/>
              <w:right w:val="single" w:sz="4" w:space="0" w:color="auto"/>
            </w:tcBorders>
            <w:shd w:val="clear" w:color="auto" w:fill="FFFF99"/>
            <w:noWrap/>
            <w:vAlign w:val="center"/>
          </w:tcPr>
          <w:p w14:paraId="2F6AEFFF"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7</w:t>
            </w:r>
          </w:p>
        </w:tc>
        <w:tc>
          <w:tcPr>
            <w:tcW w:w="1154" w:type="pct"/>
            <w:tcBorders>
              <w:top w:val="nil"/>
              <w:left w:val="nil"/>
              <w:bottom w:val="single" w:sz="4" w:space="0" w:color="auto"/>
              <w:right w:val="single" w:sz="4" w:space="0" w:color="auto"/>
            </w:tcBorders>
            <w:shd w:val="clear" w:color="auto" w:fill="FFFF99"/>
            <w:noWrap/>
          </w:tcPr>
          <w:p w14:paraId="3485E4E7"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FAB2E8A"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534B31D3"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AB9F0D5"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HOME</w:t>
            </w:r>
          </w:p>
        </w:tc>
        <w:tc>
          <w:tcPr>
            <w:tcW w:w="1401" w:type="pct"/>
            <w:tcBorders>
              <w:top w:val="nil"/>
              <w:left w:val="nil"/>
              <w:bottom w:val="single" w:sz="4" w:space="0" w:color="auto"/>
              <w:right w:val="single" w:sz="4" w:space="0" w:color="auto"/>
            </w:tcBorders>
            <w:shd w:val="clear" w:color="auto" w:fill="FFFF99"/>
            <w:noWrap/>
            <w:vAlign w:val="center"/>
          </w:tcPr>
          <w:p w14:paraId="7A59174F"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46E01C2C"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1EA5A22C"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3F8D6ACF"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06C33C34"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INTPA</w:t>
            </w:r>
          </w:p>
        </w:tc>
        <w:tc>
          <w:tcPr>
            <w:tcW w:w="1401" w:type="pct"/>
            <w:tcBorders>
              <w:top w:val="nil"/>
              <w:left w:val="nil"/>
              <w:bottom w:val="single" w:sz="4" w:space="0" w:color="auto"/>
              <w:right w:val="single" w:sz="4" w:space="0" w:color="auto"/>
            </w:tcBorders>
            <w:shd w:val="clear" w:color="auto" w:fill="FFFF99"/>
            <w:noWrap/>
            <w:vAlign w:val="center"/>
          </w:tcPr>
          <w:p w14:paraId="0AE9547C"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345AD85D"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1C2B2DEC"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372D084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F476A4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JUST</w:t>
            </w:r>
          </w:p>
        </w:tc>
        <w:tc>
          <w:tcPr>
            <w:tcW w:w="1401" w:type="pct"/>
            <w:tcBorders>
              <w:top w:val="nil"/>
              <w:left w:val="nil"/>
              <w:bottom w:val="single" w:sz="4" w:space="0" w:color="auto"/>
              <w:right w:val="single" w:sz="4" w:space="0" w:color="auto"/>
            </w:tcBorders>
            <w:shd w:val="clear" w:color="auto" w:fill="FFFF99"/>
            <w:noWrap/>
            <w:vAlign w:val="center"/>
          </w:tcPr>
          <w:p w14:paraId="61C41E65"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3BCF0047"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F4A79BD"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0D1FE530"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55A248C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MARE</w:t>
            </w:r>
          </w:p>
        </w:tc>
        <w:tc>
          <w:tcPr>
            <w:tcW w:w="1401" w:type="pct"/>
            <w:tcBorders>
              <w:top w:val="nil"/>
              <w:left w:val="nil"/>
              <w:bottom w:val="single" w:sz="4" w:space="0" w:color="auto"/>
              <w:right w:val="single" w:sz="4" w:space="0" w:color="auto"/>
            </w:tcBorders>
            <w:shd w:val="clear" w:color="auto" w:fill="FFFF99"/>
            <w:noWrap/>
            <w:vAlign w:val="center"/>
          </w:tcPr>
          <w:p w14:paraId="4DCDF538"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71454EC4"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0AEBA4DA"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2F26E315"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1BA81970"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MOVE</w:t>
            </w:r>
          </w:p>
        </w:tc>
        <w:tc>
          <w:tcPr>
            <w:tcW w:w="1401" w:type="pct"/>
            <w:tcBorders>
              <w:top w:val="nil"/>
              <w:left w:val="nil"/>
              <w:bottom w:val="single" w:sz="4" w:space="0" w:color="auto"/>
              <w:right w:val="single" w:sz="4" w:space="0" w:color="auto"/>
            </w:tcBorders>
            <w:shd w:val="clear" w:color="auto" w:fill="FFFF99"/>
            <w:noWrap/>
            <w:vAlign w:val="center"/>
          </w:tcPr>
          <w:p w14:paraId="1AE49D9B"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4F7EF476"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547532B3"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0F8EFA94" w14:textId="77777777" w:rsidTr="00E55B57">
        <w:trPr>
          <w:trHeight w:val="267"/>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01E25F3F"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NEAR</w:t>
            </w:r>
          </w:p>
        </w:tc>
        <w:tc>
          <w:tcPr>
            <w:tcW w:w="1401" w:type="pct"/>
            <w:tcBorders>
              <w:top w:val="nil"/>
              <w:left w:val="nil"/>
              <w:bottom w:val="single" w:sz="4" w:space="0" w:color="auto"/>
              <w:right w:val="single" w:sz="4" w:space="0" w:color="auto"/>
            </w:tcBorders>
            <w:shd w:val="clear" w:color="auto" w:fill="FFFF99"/>
            <w:noWrap/>
            <w:vAlign w:val="center"/>
          </w:tcPr>
          <w:p w14:paraId="646C935B"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345DEEFE"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12A64418"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4379F4F6"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B2FB988" w14:textId="77777777" w:rsidR="00EC39BD" w:rsidRPr="009A41C3"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OLAF</w:t>
            </w:r>
          </w:p>
        </w:tc>
        <w:tc>
          <w:tcPr>
            <w:tcW w:w="1401" w:type="pct"/>
            <w:tcBorders>
              <w:top w:val="nil"/>
              <w:left w:val="nil"/>
              <w:bottom w:val="single" w:sz="4" w:space="0" w:color="auto"/>
              <w:right w:val="single" w:sz="4" w:space="0" w:color="auto"/>
            </w:tcBorders>
            <w:shd w:val="clear" w:color="auto" w:fill="FFFF99"/>
            <w:noWrap/>
            <w:vAlign w:val="center"/>
          </w:tcPr>
          <w:p w14:paraId="70ED9854"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65F9CD84"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3B4E3CA9"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6C55BBD4"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8B76BD7"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REGIO</w:t>
            </w:r>
          </w:p>
        </w:tc>
        <w:tc>
          <w:tcPr>
            <w:tcW w:w="1401" w:type="pct"/>
            <w:tcBorders>
              <w:top w:val="nil"/>
              <w:left w:val="nil"/>
              <w:bottom w:val="single" w:sz="4" w:space="0" w:color="auto"/>
              <w:right w:val="single" w:sz="4" w:space="0" w:color="auto"/>
            </w:tcBorders>
            <w:shd w:val="clear" w:color="auto" w:fill="FFFF99"/>
            <w:noWrap/>
            <w:vAlign w:val="center"/>
          </w:tcPr>
          <w:p w14:paraId="6FB0F536"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72BC1E36"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35DFF8BA"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40890A4E"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3013A010" w14:textId="77777777" w:rsidR="00EC39BD" w:rsidRPr="00AA0B4A" w:rsidRDefault="00EC39BD" w:rsidP="00E55B57">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REFORM</w:t>
            </w:r>
          </w:p>
        </w:tc>
        <w:tc>
          <w:tcPr>
            <w:tcW w:w="1401" w:type="pct"/>
            <w:tcBorders>
              <w:top w:val="nil"/>
              <w:left w:val="nil"/>
              <w:bottom w:val="single" w:sz="4" w:space="0" w:color="auto"/>
              <w:right w:val="single" w:sz="4" w:space="0" w:color="auto"/>
            </w:tcBorders>
            <w:shd w:val="clear" w:color="auto" w:fill="FFFF99"/>
            <w:noWrap/>
            <w:vAlign w:val="center"/>
          </w:tcPr>
          <w:p w14:paraId="7BF05CF3"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4F2ADFFF"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3AE00E15"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r>
      <w:tr w:rsidR="00EC39BD" w:rsidRPr="00AA0B4A" w14:paraId="3414040A"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45D2189"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RTD</w:t>
            </w:r>
          </w:p>
        </w:tc>
        <w:tc>
          <w:tcPr>
            <w:tcW w:w="1401" w:type="pct"/>
            <w:tcBorders>
              <w:top w:val="nil"/>
              <w:left w:val="nil"/>
              <w:bottom w:val="single" w:sz="4" w:space="0" w:color="auto"/>
              <w:right w:val="single" w:sz="4" w:space="0" w:color="auto"/>
            </w:tcBorders>
            <w:shd w:val="clear" w:color="auto" w:fill="FFFF99"/>
            <w:noWrap/>
            <w:vAlign w:val="center"/>
          </w:tcPr>
          <w:p w14:paraId="63DC5E62"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181DB8BC"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4744C3B0"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18E19D2F"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7EEBC9F2"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SANTE</w:t>
            </w:r>
          </w:p>
        </w:tc>
        <w:tc>
          <w:tcPr>
            <w:tcW w:w="1401" w:type="pct"/>
            <w:tcBorders>
              <w:top w:val="nil"/>
              <w:left w:val="nil"/>
              <w:bottom w:val="single" w:sz="4" w:space="0" w:color="auto"/>
              <w:right w:val="single" w:sz="4" w:space="0" w:color="auto"/>
            </w:tcBorders>
            <w:shd w:val="clear" w:color="auto" w:fill="FFFF99"/>
            <w:noWrap/>
            <w:vAlign w:val="center"/>
          </w:tcPr>
          <w:p w14:paraId="36AF52B5"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55</w:t>
            </w:r>
          </w:p>
        </w:tc>
        <w:tc>
          <w:tcPr>
            <w:tcW w:w="1154" w:type="pct"/>
            <w:tcBorders>
              <w:top w:val="nil"/>
              <w:left w:val="nil"/>
              <w:bottom w:val="single" w:sz="4" w:space="0" w:color="auto"/>
              <w:right w:val="single" w:sz="4" w:space="0" w:color="auto"/>
            </w:tcBorders>
            <w:shd w:val="clear" w:color="auto" w:fill="FFFF99"/>
            <w:noWrap/>
          </w:tcPr>
          <w:p w14:paraId="7F04C517"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7509ED4D" w14:textId="77777777" w:rsidR="00EC39BD" w:rsidRPr="003F750F" w:rsidRDefault="00EC39BD" w:rsidP="00E55B57">
            <w:pPr>
              <w:spacing w:after="0" w:line="240" w:lineRule="auto"/>
              <w:jc w:val="center"/>
              <w:rPr>
                <w:rFonts w:ascii="Times New Roman" w:hAnsi="Times New Roman"/>
                <w:bCs/>
                <w:noProof/>
                <w:color w:val="000000"/>
                <w:sz w:val="18"/>
                <w:szCs w:val="18"/>
                <w:lang w:eastAsia="en-GB"/>
              </w:rPr>
            </w:pPr>
            <w:r w:rsidRPr="003F750F">
              <w:rPr>
                <w:rFonts w:ascii="Times New Roman" w:hAnsi="Times New Roman"/>
                <w:bCs/>
                <w:noProof/>
                <w:color w:val="000000"/>
                <w:sz w:val="18"/>
                <w:szCs w:val="18"/>
                <w:lang w:eastAsia="en-GB"/>
              </w:rPr>
              <w:t>0</w:t>
            </w:r>
          </w:p>
        </w:tc>
      </w:tr>
      <w:tr w:rsidR="00EC39BD" w:rsidRPr="00AA0B4A" w14:paraId="56570084"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257D171"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SG</w:t>
            </w:r>
          </w:p>
        </w:tc>
        <w:tc>
          <w:tcPr>
            <w:tcW w:w="1401" w:type="pct"/>
            <w:tcBorders>
              <w:top w:val="nil"/>
              <w:left w:val="nil"/>
              <w:bottom w:val="single" w:sz="4" w:space="0" w:color="auto"/>
              <w:right w:val="single" w:sz="4" w:space="0" w:color="auto"/>
            </w:tcBorders>
            <w:shd w:val="clear" w:color="auto" w:fill="FFFF99"/>
            <w:noWrap/>
            <w:vAlign w:val="center"/>
          </w:tcPr>
          <w:p w14:paraId="1E0AACD3"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1A94ED27"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5E5AA41E"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309AEB47"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62BBBE30"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TAXUD</w:t>
            </w:r>
          </w:p>
        </w:tc>
        <w:tc>
          <w:tcPr>
            <w:tcW w:w="1401" w:type="pct"/>
            <w:tcBorders>
              <w:top w:val="nil"/>
              <w:left w:val="nil"/>
              <w:bottom w:val="single" w:sz="4" w:space="0" w:color="auto"/>
              <w:right w:val="single" w:sz="4" w:space="0" w:color="auto"/>
            </w:tcBorders>
            <w:shd w:val="clear" w:color="auto" w:fill="FFFF99"/>
            <w:noWrap/>
            <w:vAlign w:val="center"/>
          </w:tcPr>
          <w:p w14:paraId="577C2967"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514D38D2"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1A89B96B"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612D94FA"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4240DF7B" w14:textId="77777777" w:rsidR="00EC39BD" w:rsidRPr="00AA0B4A"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TRADE</w:t>
            </w:r>
          </w:p>
        </w:tc>
        <w:tc>
          <w:tcPr>
            <w:tcW w:w="1401" w:type="pct"/>
            <w:tcBorders>
              <w:top w:val="nil"/>
              <w:left w:val="nil"/>
              <w:bottom w:val="single" w:sz="4" w:space="0" w:color="auto"/>
              <w:right w:val="single" w:sz="4" w:space="0" w:color="auto"/>
            </w:tcBorders>
            <w:shd w:val="clear" w:color="auto" w:fill="FFFF99"/>
            <w:noWrap/>
            <w:vAlign w:val="center"/>
          </w:tcPr>
          <w:p w14:paraId="4DCA3F9C"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154" w:type="pct"/>
            <w:tcBorders>
              <w:top w:val="nil"/>
              <w:left w:val="nil"/>
              <w:bottom w:val="single" w:sz="4" w:space="0" w:color="auto"/>
              <w:right w:val="single" w:sz="4" w:space="0" w:color="auto"/>
            </w:tcBorders>
            <w:shd w:val="clear" w:color="auto" w:fill="FFFF99"/>
            <w:noWrap/>
          </w:tcPr>
          <w:p w14:paraId="62F719EA"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tcPr>
          <w:p w14:paraId="3CAA0278" w14:textId="77777777" w:rsidR="00EC39BD" w:rsidRPr="008B29CF" w:rsidRDefault="00EC39BD" w:rsidP="00E55B57">
            <w:pPr>
              <w:spacing w:after="0" w:line="240" w:lineRule="auto"/>
              <w:jc w:val="center"/>
              <w:rPr>
                <w:rFonts w:ascii="Times New Roman" w:hAnsi="Times New Roman"/>
                <w:bCs/>
                <w:noProof/>
                <w:color w:val="000000"/>
                <w:sz w:val="18"/>
                <w:szCs w:val="18"/>
                <w:lang w:eastAsia="en-GB"/>
              </w:rPr>
            </w:pPr>
            <w:r w:rsidRPr="008B29CF">
              <w:rPr>
                <w:rFonts w:ascii="Times New Roman" w:hAnsi="Times New Roman"/>
                <w:bCs/>
                <w:noProof/>
                <w:color w:val="000000"/>
                <w:sz w:val="18"/>
                <w:szCs w:val="18"/>
                <w:lang w:eastAsia="en-GB"/>
              </w:rPr>
              <w:t>0</w:t>
            </w:r>
          </w:p>
        </w:tc>
      </w:tr>
      <w:tr w:rsidR="00EC39BD" w:rsidRPr="00AA0B4A" w14:paraId="63E099D7" w14:textId="77777777" w:rsidTr="00E55B57">
        <w:trPr>
          <w:trHeight w:val="283"/>
        </w:trPr>
        <w:tc>
          <w:tcPr>
            <w:tcW w:w="1231" w:type="pct"/>
            <w:tcBorders>
              <w:top w:val="nil"/>
              <w:left w:val="single" w:sz="4" w:space="0" w:color="auto"/>
              <w:bottom w:val="single" w:sz="4" w:space="0" w:color="auto"/>
              <w:right w:val="single" w:sz="4" w:space="0" w:color="auto"/>
            </w:tcBorders>
            <w:shd w:val="clear" w:color="auto" w:fill="FFFF99"/>
            <w:noWrap/>
            <w:vAlign w:val="bottom"/>
          </w:tcPr>
          <w:p w14:paraId="2CB91D6D" w14:textId="77777777" w:rsidR="00EC39BD" w:rsidRPr="009A41C3" w:rsidRDefault="00EC39BD" w:rsidP="00E55B57">
            <w:pPr>
              <w:spacing w:after="0" w:line="240" w:lineRule="auto"/>
              <w:rPr>
                <w:rFonts w:ascii="Times New Roman" w:hAnsi="Times New Roman"/>
                <w:b/>
                <w:noProof/>
                <w:color w:val="000000"/>
                <w:sz w:val="18"/>
                <w:szCs w:val="18"/>
                <w:lang w:eastAsia="en-GB"/>
              </w:rPr>
            </w:pPr>
            <w:r w:rsidRPr="00AA0B4A">
              <w:rPr>
                <w:rFonts w:ascii="Times New Roman" w:hAnsi="Times New Roman"/>
                <w:b/>
                <w:noProof/>
                <w:color w:val="000000"/>
                <w:sz w:val="18"/>
                <w:szCs w:val="18"/>
                <w:lang w:eastAsia="en-GB"/>
              </w:rPr>
              <w:t>TOTAL:</w:t>
            </w:r>
          </w:p>
        </w:tc>
        <w:tc>
          <w:tcPr>
            <w:tcW w:w="1401" w:type="pct"/>
            <w:tcBorders>
              <w:top w:val="nil"/>
              <w:left w:val="nil"/>
              <w:bottom w:val="single" w:sz="4" w:space="0" w:color="auto"/>
              <w:right w:val="single" w:sz="4" w:space="0" w:color="auto"/>
            </w:tcBorders>
            <w:shd w:val="clear" w:color="auto" w:fill="FFFF99"/>
            <w:noWrap/>
            <w:vAlign w:val="center"/>
          </w:tcPr>
          <w:p w14:paraId="54AAB9EF" w14:textId="77777777" w:rsidR="00EC39BD" w:rsidRPr="009A41C3" w:rsidRDefault="00EC39BD" w:rsidP="00E55B57">
            <w:pPr>
              <w:spacing w:after="0" w:line="240" w:lineRule="auto"/>
              <w:jc w:val="center"/>
              <w:rPr>
                <w:rFonts w:ascii="Times New Roman" w:hAnsi="Times New Roman"/>
                <w:b/>
                <w:noProof/>
                <w:color w:val="000000"/>
                <w:sz w:val="18"/>
                <w:szCs w:val="18"/>
                <w:lang w:eastAsia="en-GB"/>
              </w:rPr>
            </w:pPr>
            <w:r w:rsidRPr="009A41C3">
              <w:rPr>
                <w:rFonts w:ascii="Times New Roman" w:hAnsi="Times New Roman"/>
                <w:b/>
                <w:noProof/>
                <w:color w:val="000000"/>
                <w:sz w:val="18"/>
                <w:szCs w:val="18"/>
                <w:lang w:eastAsia="en-GB"/>
              </w:rPr>
              <w:t>6</w:t>
            </w:r>
            <w:r>
              <w:rPr>
                <w:rFonts w:ascii="Times New Roman" w:hAnsi="Times New Roman"/>
                <w:b/>
                <w:noProof/>
                <w:color w:val="000000"/>
                <w:sz w:val="18"/>
                <w:szCs w:val="18"/>
                <w:lang w:eastAsia="en-GB"/>
              </w:rPr>
              <w:t>8</w:t>
            </w:r>
          </w:p>
        </w:tc>
        <w:tc>
          <w:tcPr>
            <w:tcW w:w="1154" w:type="pct"/>
            <w:tcBorders>
              <w:top w:val="nil"/>
              <w:left w:val="nil"/>
              <w:bottom w:val="single" w:sz="4" w:space="0" w:color="auto"/>
              <w:right w:val="single" w:sz="4" w:space="0" w:color="auto"/>
            </w:tcBorders>
            <w:shd w:val="clear" w:color="auto" w:fill="FFFF99"/>
            <w:noWrap/>
            <w:vAlign w:val="bottom"/>
          </w:tcPr>
          <w:p w14:paraId="34ABEFC6" w14:textId="77777777" w:rsidR="00EC39BD" w:rsidRPr="009A41C3" w:rsidRDefault="00EC39BD" w:rsidP="00E55B57">
            <w:pPr>
              <w:spacing w:after="0" w:line="240" w:lineRule="auto"/>
              <w:jc w:val="center"/>
              <w:rPr>
                <w:rFonts w:ascii="Times New Roman" w:hAnsi="Times New Roman"/>
                <w:b/>
                <w:noProof/>
                <w:color w:val="000000"/>
                <w:sz w:val="18"/>
                <w:szCs w:val="18"/>
                <w:lang w:eastAsia="en-GB"/>
              </w:rPr>
            </w:pPr>
            <w:r w:rsidRPr="009A41C3">
              <w:rPr>
                <w:rFonts w:ascii="Times New Roman" w:hAnsi="Times New Roman"/>
                <w:b/>
                <w:noProof/>
                <w:color w:val="000000"/>
                <w:sz w:val="18"/>
                <w:szCs w:val="18"/>
                <w:lang w:eastAsia="en-GB"/>
              </w:rPr>
              <w:t>0</w:t>
            </w:r>
          </w:p>
        </w:tc>
        <w:tc>
          <w:tcPr>
            <w:tcW w:w="1214" w:type="pct"/>
            <w:tcBorders>
              <w:top w:val="nil"/>
              <w:left w:val="nil"/>
              <w:bottom w:val="single" w:sz="4" w:space="0" w:color="auto"/>
              <w:right w:val="single" w:sz="4" w:space="0" w:color="auto"/>
            </w:tcBorders>
            <w:shd w:val="clear" w:color="auto" w:fill="FFFF99"/>
            <w:noWrap/>
            <w:vAlign w:val="bottom"/>
          </w:tcPr>
          <w:p w14:paraId="431A52A0" w14:textId="77777777" w:rsidR="00EC39BD" w:rsidRPr="009A41C3" w:rsidRDefault="00EC39BD" w:rsidP="00E55B57">
            <w:pPr>
              <w:spacing w:after="0" w:line="240" w:lineRule="auto"/>
              <w:jc w:val="center"/>
              <w:rPr>
                <w:rFonts w:ascii="Times New Roman" w:hAnsi="Times New Roman"/>
                <w:b/>
                <w:noProof/>
                <w:color w:val="000000"/>
                <w:sz w:val="18"/>
                <w:szCs w:val="18"/>
                <w:lang w:eastAsia="en-GB"/>
              </w:rPr>
            </w:pPr>
            <w:r w:rsidRPr="009A41C3">
              <w:rPr>
                <w:rFonts w:ascii="Times New Roman" w:hAnsi="Times New Roman"/>
                <w:b/>
                <w:noProof/>
                <w:color w:val="000000"/>
                <w:sz w:val="18"/>
                <w:szCs w:val="18"/>
                <w:lang w:eastAsia="en-GB"/>
              </w:rPr>
              <w:t>0</w:t>
            </w:r>
          </w:p>
        </w:tc>
      </w:tr>
    </w:tbl>
    <w:p w14:paraId="3A7AC584" w14:textId="77777777" w:rsidR="00EC39BD" w:rsidRPr="00E12DAC" w:rsidRDefault="00EC39BD" w:rsidP="00EC39BD">
      <w:pPr>
        <w:pStyle w:val="Text1"/>
        <w:ind w:left="0"/>
        <w:rPr>
          <w:noProof/>
        </w:rPr>
      </w:pPr>
    </w:p>
    <w:p w14:paraId="12F82ED3" w14:textId="77777777" w:rsidR="00EC39BD" w:rsidRDefault="00EC39BD" w:rsidP="00EC39BD">
      <w:pPr>
        <w:pStyle w:val="ManualHeading1"/>
        <w:spacing w:after="240"/>
        <w:ind w:left="851" w:hanging="851"/>
        <w:rPr>
          <w:noProof/>
        </w:rPr>
      </w:pPr>
      <w:r w:rsidRPr="007772AB">
        <w:rPr>
          <w:noProof/>
        </w:rPr>
        <w:t>4.</w:t>
      </w:r>
      <w:r w:rsidRPr="007772AB">
        <w:rPr>
          <w:noProof/>
        </w:rPr>
        <w:tab/>
      </w:r>
      <w:r w:rsidRPr="00AA0B4A">
        <w:rPr>
          <w:noProof/>
        </w:rPr>
        <w:t>Conclusion</w:t>
      </w:r>
    </w:p>
    <w:p w14:paraId="56290E45" w14:textId="77777777" w:rsidR="00EC39BD" w:rsidRDefault="00EC39BD" w:rsidP="00EC39BD">
      <w:pPr>
        <w:jc w:val="both"/>
        <w:rPr>
          <w:rFonts w:ascii="Times New Roman" w:hAnsi="Times New Roman"/>
          <w:noProof/>
          <w:sz w:val="24"/>
          <w:szCs w:val="24"/>
        </w:rPr>
      </w:pPr>
      <w:r>
        <w:rPr>
          <w:rFonts w:ascii="Times New Roman" w:hAnsi="Times New Roman"/>
          <w:noProof/>
          <w:sz w:val="24"/>
          <w:szCs w:val="24"/>
        </w:rPr>
        <w:t>T</w:t>
      </w:r>
      <w:r w:rsidRPr="0090435E">
        <w:rPr>
          <w:rFonts w:ascii="Times New Roman" w:hAnsi="Times New Roman"/>
          <w:noProof/>
          <w:sz w:val="24"/>
          <w:szCs w:val="24"/>
        </w:rPr>
        <w:t>he activit</w:t>
      </w:r>
      <w:r>
        <w:rPr>
          <w:rFonts w:ascii="Times New Roman" w:hAnsi="Times New Roman"/>
          <w:noProof/>
          <w:sz w:val="24"/>
          <w:szCs w:val="24"/>
        </w:rPr>
        <w:t>y</w:t>
      </w:r>
      <w:r w:rsidRPr="0090435E">
        <w:rPr>
          <w:rFonts w:ascii="Times New Roman" w:hAnsi="Times New Roman"/>
          <w:noProof/>
          <w:sz w:val="24"/>
          <w:szCs w:val="24"/>
        </w:rPr>
        <w:t xml:space="preserve"> of committees continued </w:t>
      </w:r>
      <w:r>
        <w:rPr>
          <w:rFonts w:ascii="Times New Roman" w:hAnsi="Times New Roman"/>
          <w:noProof/>
          <w:sz w:val="24"/>
          <w:szCs w:val="24"/>
        </w:rPr>
        <w:t xml:space="preserve">in 2022 with increased intensity. Overall there </w:t>
      </w:r>
      <w:r w:rsidRPr="0090435E">
        <w:rPr>
          <w:rFonts w:ascii="Times New Roman" w:hAnsi="Times New Roman"/>
          <w:noProof/>
          <w:sz w:val="24"/>
          <w:szCs w:val="24"/>
        </w:rPr>
        <w:t xml:space="preserve">were </w:t>
      </w:r>
      <w:r>
        <w:rPr>
          <w:rFonts w:ascii="Times New Roman" w:hAnsi="Times New Roman"/>
          <w:noProof/>
          <w:sz w:val="24"/>
          <w:szCs w:val="24"/>
        </w:rPr>
        <w:t xml:space="preserve">322 </w:t>
      </w:r>
      <w:r w:rsidRPr="0090435E">
        <w:rPr>
          <w:rFonts w:ascii="Times New Roman" w:hAnsi="Times New Roman"/>
          <w:noProof/>
          <w:sz w:val="24"/>
          <w:szCs w:val="24"/>
        </w:rPr>
        <w:t>committees</w:t>
      </w:r>
      <w:r>
        <w:rPr>
          <w:rFonts w:ascii="Times New Roman" w:hAnsi="Times New Roman"/>
          <w:noProof/>
          <w:sz w:val="24"/>
          <w:szCs w:val="24"/>
        </w:rPr>
        <w:t xml:space="preserve"> at work</w:t>
      </w:r>
      <w:r w:rsidRPr="0090435E">
        <w:rPr>
          <w:rFonts w:ascii="Times New Roman" w:hAnsi="Times New Roman"/>
          <w:noProof/>
          <w:sz w:val="24"/>
          <w:szCs w:val="24"/>
        </w:rPr>
        <w:t xml:space="preserve">, which held </w:t>
      </w:r>
      <w:r>
        <w:rPr>
          <w:rFonts w:ascii="Times New Roman" w:hAnsi="Times New Roman"/>
          <w:noProof/>
          <w:sz w:val="24"/>
          <w:szCs w:val="24"/>
        </w:rPr>
        <w:t xml:space="preserve">673 </w:t>
      </w:r>
      <w:r w:rsidRPr="0090435E">
        <w:rPr>
          <w:rFonts w:ascii="Times New Roman" w:hAnsi="Times New Roman"/>
          <w:noProof/>
          <w:sz w:val="24"/>
          <w:szCs w:val="24"/>
        </w:rPr>
        <w:t xml:space="preserve">meetings, carried out </w:t>
      </w:r>
      <w:r>
        <w:rPr>
          <w:rFonts w:ascii="Times New Roman" w:hAnsi="Times New Roman"/>
          <w:noProof/>
          <w:sz w:val="24"/>
          <w:szCs w:val="24"/>
        </w:rPr>
        <w:t>1675</w:t>
      </w:r>
      <w:r w:rsidRPr="00296C90">
        <w:rPr>
          <w:rFonts w:ascii="Times New Roman" w:hAnsi="Times New Roman"/>
          <w:noProof/>
          <w:sz w:val="24"/>
          <w:szCs w:val="24"/>
        </w:rPr>
        <w:t xml:space="preserve"> written procedures</w:t>
      </w:r>
      <w:r w:rsidRPr="0090435E">
        <w:rPr>
          <w:rFonts w:ascii="Times New Roman" w:hAnsi="Times New Roman"/>
          <w:noProof/>
          <w:sz w:val="24"/>
          <w:szCs w:val="24"/>
        </w:rPr>
        <w:t xml:space="preserve"> and delivered </w:t>
      </w:r>
      <w:r>
        <w:rPr>
          <w:rFonts w:ascii="Times New Roman" w:hAnsi="Times New Roman"/>
          <w:noProof/>
          <w:sz w:val="24"/>
          <w:szCs w:val="24"/>
        </w:rPr>
        <w:t xml:space="preserve">2048 </w:t>
      </w:r>
      <w:r w:rsidRPr="0090435E">
        <w:rPr>
          <w:rFonts w:ascii="Times New Roman" w:hAnsi="Times New Roman"/>
          <w:noProof/>
          <w:sz w:val="24"/>
          <w:szCs w:val="24"/>
        </w:rPr>
        <w:t>opinions.</w:t>
      </w:r>
      <w:r w:rsidRPr="00AA0B4A">
        <w:rPr>
          <w:rFonts w:ascii="Times New Roman" w:hAnsi="Times New Roman"/>
          <w:noProof/>
          <w:sz w:val="24"/>
          <w:szCs w:val="24"/>
        </w:rPr>
        <w:t xml:space="preserve"> </w:t>
      </w:r>
      <w:r>
        <w:rPr>
          <w:rFonts w:ascii="Times New Roman" w:hAnsi="Times New Roman"/>
          <w:noProof/>
          <w:sz w:val="24"/>
          <w:szCs w:val="24"/>
        </w:rPr>
        <w:t>Enabling Member States to exercise their control powers in accordance with the Comitology Regulation, t</w:t>
      </w:r>
      <w:r w:rsidRPr="008C7B06">
        <w:rPr>
          <w:rFonts w:ascii="Times New Roman" w:hAnsi="Times New Roman"/>
          <w:noProof/>
          <w:sz w:val="24"/>
          <w:szCs w:val="24"/>
        </w:rPr>
        <w:t>he</w:t>
      </w:r>
      <w:r>
        <w:rPr>
          <w:rFonts w:ascii="Times New Roman" w:hAnsi="Times New Roman"/>
          <w:noProof/>
          <w:sz w:val="24"/>
          <w:szCs w:val="24"/>
        </w:rPr>
        <w:t xml:space="preserve"> committees</w:t>
      </w:r>
      <w:r w:rsidRPr="008C7B06">
        <w:rPr>
          <w:rFonts w:ascii="Times New Roman" w:hAnsi="Times New Roman"/>
          <w:noProof/>
          <w:sz w:val="24"/>
          <w:szCs w:val="24"/>
        </w:rPr>
        <w:t xml:space="preserve"> provide valuable assistance to the Commission </w:t>
      </w:r>
      <w:r>
        <w:rPr>
          <w:rFonts w:ascii="Times New Roman" w:hAnsi="Times New Roman"/>
          <w:noProof/>
          <w:sz w:val="24"/>
          <w:szCs w:val="24"/>
        </w:rPr>
        <w:t xml:space="preserve">in </w:t>
      </w:r>
      <w:r w:rsidRPr="008C7B06">
        <w:rPr>
          <w:rFonts w:ascii="Times New Roman" w:hAnsi="Times New Roman"/>
          <w:noProof/>
          <w:sz w:val="24"/>
          <w:szCs w:val="24"/>
        </w:rPr>
        <w:t xml:space="preserve"> exercising the implementing powers conferred on it by the co-legislators</w:t>
      </w:r>
      <w:r>
        <w:rPr>
          <w:rFonts w:ascii="Times New Roman" w:hAnsi="Times New Roman"/>
          <w:noProof/>
          <w:sz w:val="24"/>
          <w:szCs w:val="24"/>
        </w:rPr>
        <w:t>.</w:t>
      </w:r>
    </w:p>
    <w:p w14:paraId="1B81A3F6" w14:textId="1680E7D2" w:rsidR="00E12DAC" w:rsidRPr="00EC39BD" w:rsidRDefault="00EC39BD" w:rsidP="00367F2E">
      <w:pPr>
        <w:jc w:val="both"/>
        <w:rPr>
          <w:noProof/>
        </w:rPr>
      </w:pPr>
      <w:r w:rsidRPr="00AA0B4A">
        <w:rPr>
          <w:rFonts w:ascii="Times New Roman" w:hAnsi="Times New Roman"/>
          <w:noProof/>
          <w:sz w:val="24"/>
          <w:szCs w:val="24"/>
        </w:rPr>
        <w:t xml:space="preserve">The European Parliament and the Council are invited to take note of this </w:t>
      </w:r>
      <w:r>
        <w:rPr>
          <w:rFonts w:ascii="Times New Roman" w:hAnsi="Times New Roman"/>
          <w:noProof/>
          <w:sz w:val="24"/>
          <w:szCs w:val="24"/>
        </w:rPr>
        <w:t>r</w:t>
      </w:r>
      <w:r w:rsidRPr="00AA0B4A">
        <w:rPr>
          <w:rFonts w:ascii="Times New Roman" w:hAnsi="Times New Roman"/>
          <w:noProof/>
          <w:sz w:val="24"/>
          <w:szCs w:val="24"/>
        </w:rPr>
        <w:t>eport.</w:t>
      </w:r>
    </w:p>
    <w:sectPr w:rsidR="00E12DAC" w:rsidRPr="00EC39BD" w:rsidSect="00BD53E7">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418" w:header="567" w:footer="567"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7872" w14:textId="77777777" w:rsidR="00966FFE" w:rsidRDefault="00966FFE" w:rsidP="008B67AE">
      <w:pPr>
        <w:spacing w:after="0" w:line="240" w:lineRule="auto"/>
      </w:pPr>
      <w:r>
        <w:separator/>
      </w:r>
    </w:p>
  </w:endnote>
  <w:endnote w:type="continuationSeparator" w:id="0">
    <w:p w14:paraId="51BD1EF1" w14:textId="77777777" w:rsidR="00966FFE" w:rsidRDefault="00966FFE" w:rsidP="008B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0682" w14:textId="129C38B6" w:rsidR="00AE2BDD" w:rsidRPr="009E751A" w:rsidRDefault="00AE2BDD" w:rsidP="009E7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AE46" w14:textId="08185028" w:rsidR="00AE2BDD" w:rsidRPr="009E751A" w:rsidRDefault="009E751A" w:rsidP="009E751A">
    <w:pPr>
      <w:pStyle w:val="FooterCoverPage"/>
      <w:rPr>
        <w:rFonts w:ascii="Arial" w:hAnsi="Arial" w:cs="Arial"/>
        <w:b/>
        <w:sz w:val="48"/>
      </w:rPr>
    </w:pPr>
    <w:r w:rsidRPr="009E751A">
      <w:rPr>
        <w:rFonts w:ascii="Arial" w:hAnsi="Arial" w:cs="Arial"/>
        <w:b/>
        <w:sz w:val="48"/>
      </w:rPr>
      <w:t>EN</w:t>
    </w:r>
    <w:r w:rsidRPr="009E751A">
      <w:rPr>
        <w:rFonts w:ascii="Arial" w:hAnsi="Arial" w:cs="Arial"/>
        <w:b/>
        <w:sz w:val="48"/>
      </w:rPr>
      <w:tab/>
    </w:r>
    <w:r w:rsidRPr="009E751A">
      <w:rPr>
        <w:rFonts w:ascii="Arial" w:hAnsi="Arial" w:cs="Arial"/>
        <w:b/>
        <w:sz w:val="48"/>
      </w:rPr>
      <w:tab/>
    </w:r>
    <w:r w:rsidRPr="009E751A">
      <w:tab/>
    </w:r>
    <w:r w:rsidRPr="009E751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BDBC" w14:textId="77777777" w:rsidR="009E751A" w:rsidRPr="009E751A" w:rsidRDefault="009E751A" w:rsidP="009E751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7079" w14:textId="77777777" w:rsidR="00AB44E1" w:rsidRDefault="00AB44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65C2" w14:textId="7EFB40E6" w:rsidR="00AB44E1" w:rsidRDefault="00AB44E1">
    <w:pPr>
      <w:pStyle w:val="Footer"/>
      <w:jc w:val="center"/>
    </w:pPr>
    <w:r>
      <w:fldChar w:fldCharType="begin"/>
    </w:r>
    <w:r>
      <w:instrText xml:space="preserve"> PAGE   \* MERGEFORMAT </w:instrText>
    </w:r>
    <w:r>
      <w:fldChar w:fldCharType="separate"/>
    </w:r>
    <w:r w:rsidR="009E751A">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CE04" w14:textId="77777777" w:rsidR="00AB44E1" w:rsidRDefault="00AB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23BC0" w14:textId="77777777" w:rsidR="00966FFE" w:rsidRDefault="00966FFE" w:rsidP="008B67AE">
      <w:pPr>
        <w:spacing w:after="0" w:line="240" w:lineRule="auto"/>
      </w:pPr>
      <w:r>
        <w:separator/>
      </w:r>
    </w:p>
  </w:footnote>
  <w:footnote w:type="continuationSeparator" w:id="0">
    <w:p w14:paraId="4C9FE3AF" w14:textId="77777777" w:rsidR="00966FFE" w:rsidRDefault="00966FFE" w:rsidP="008B67AE">
      <w:pPr>
        <w:spacing w:after="0" w:line="240" w:lineRule="auto"/>
      </w:pPr>
      <w:r>
        <w:continuationSeparator/>
      </w:r>
    </w:p>
  </w:footnote>
  <w:footnote w:type="continuationNotice" w:id="1">
    <w:p w14:paraId="5965B1F8" w14:textId="77777777" w:rsidR="00966FFE" w:rsidRDefault="00966FFE">
      <w:pPr>
        <w:spacing w:after="0" w:line="240" w:lineRule="auto"/>
      </w:pPr>
    </w:p>
  </w:footnote>
  <w:footnote w:id="2">
    <w:p w14:paraId="60F8DCDF" w14:textId="77777777" w:rsidR="00EC39BD" w:rsidRPr="00DE380D" w:rsidRDefault="00EC39BD" w:rsidP="00EC39BD">
      <w:pPr>
        <w:pStyle w:val="FootnoteText"/>
        <w:ind w:left="426" w:hanging="426"/>
        <w:rPr>
          <w:sz w:val="18"/>
          <w:szCs w:val="18"/>
        </w:rPr>
      </w:pPr>
      <w:r>
        <w:rPr>
          <w:rStyle w:val="FootnoteReference"/>
        </w:rPr>
        <w:footnoteRef/>
      </w:r>
      <w:r>
        <w:tab/>
      </w:r>
      <w:r w:rsidRPr="00DE380D">
        <w:t>OJ L 55, 28.2.2011, p. 13.</w:t>
      </w:r>
    </w:p>
  </w:footnote>
  <w:footnote w:id="3">
    <w:p w14:paraId="463E4289" w14:textId="77777777" w:rsidR="00EC39BD" w:rsidRPr="00656031" w:rsidRDefault="00EC39BD" w:rsidP="00EC39BD">
      <w:pPr>
        <w:pStyle w:val="FootnoteText"/>
        <w:tabs>
          <w:tab w:val="left" w:pos="426"/>
        </w:tabs>
        <w:rPr>
          <w:lang w:val="en-IE"/>
        </w:rPr>
      </w:pPr>
      <w:r>
        <w:rPr>
          <w:rStyle w:val="FootnoteReference"/>
        </w:rPr>
        <w:footnoteRef/>
      </w:r>
      <w:r>
        <w:t xml:space="preserve"> </w:t>
      </w:r>
      <w:r>
        <w:tab/>
      </w:r>
      <w:r w:rsidRPr="00656031">
        <w:rPr>
          <w:lang w:val="en-IE"/>
        </w:rPr>
        <w:t>A</w:t>
      </w:r>
      <w:r>
        <w:rPr>
          <w:lang w:val="en-IE"/>
        </w:rPr>
        <w:t>s covered by the Commission departments dealing with the respective policy areas.</w:t>
      </w:r>
    </w:p>
  </w:footnote>
  <w:footnote w:id="4">
    <w:p w14:paraId="5D8B4E58" w14:textId="77777777" w:rsidR="00EC39BD" w:rsidRPr="006C3A11" w:rsidRDefault="00EC39BD" w:rsidP="00EC39BD">
      <w:pPr>
        <w:pStyle w:val="FootnoteText"/>
        <w:ind w:left="426" w:hanging="426"/>
      </w:pPr>
      <w:r>
        <w:rPr>
          <w:rStyle w:val="FootnoteReference"/>
        </w:rPr>
        <w:footnoteRef/>
      </w:r>
      <w:r>
        <w:t xml:space="preserve"> </w:t>
      </w:r>
      <w:r>
        <w:tab/>
        <w:t>Council Decision 1999/468/EC of 28 June 1999 laying down the procedures for the exercise of implementing powers conferred on the Commission (OJ L 184, 17.7.1999, p. 23).</w:t>
      </w:r>
    </w:p>
  </w:footnote>
  <w:footnote w:id="5">
    <w:p w14:paraId="4449783C" w14:textId="77777777" w:rsidR="00EC39BD" w:rsidRDefault="00EC39BD" w:rsidP="00EC39BD">
      <w:pPr>
        <w:pStyle w:val="FootnoteText"/>
        <w:tabs>
          <w:tab w:val="left" w:pos="426"/>
        </w:tabs>
      </w:pPr>
      <w:r w:rsidRPr="009821BE">
        <w:rPr>
          <w:rStyle w:val="FootnoteReference"/>
        </w:rPr>
        <w:footnoteRef/>
      </w:r>
      <w:r w:rsidRPr="009821BE">
        <w:rPr>
          <w:rStyle w:val="FootnoteReference"/>
        </w:rPr>
        <w:t xml:space="preserve">       </w:t>
      </w:r>
      <w:r>
        <w:rPr>
          <w:rStyle w:val="FootnoteReference"/>
        </w:rPr>
        <w:tab/>
      </w:r>
      <w:hyperlink r:id="rId1" w:history="1">
        <w:r w:rsidRPr="0050393A">
          <w:rPr>
            <w:rStyle w:val="Hyperlink"/>
          </w:rPr>
          <w:t>https://ec.europa.eu/transparency/comitology-register/screen/home</w:t>
        </w:r>
      </w:hyperlink>
    </w:p>
    <w:p w14:paraId="51966FB6" w14:textId="77777777" w:rsidR="00EC39BD" w:rsidRPr="009821BE" w:rsidRDefault="00EC39BD" w:rsidP="00EC39BD">
      <w:pPr>
        <w:pStyle w:val="FootnoteText"/>
        <w:tabs>
          <w:tab w:val="left" w:pos="426"/>
        </w:tabs>
      </w:pPr>
    </w:p>
  </w:footnote>
  <w:footnote w:id="6">
    <w:p w14:paraId="134871C3" w14:textId="77777777" w:rsidR="00EC39BD" w:rsidRPr="00A56F02" w:rsidRDefault="00EC39BD" w:rsidP="00EC39BD">
      <w:pPr>
        <w:pStyle w:val="FootnoteText"/>
        <w:ind w:left="426" w:hanging="426"/>
      </w:pPr>
      <w:r>
        <w:rPr>
          <w:rStyle w:val="FootnoteReference"/>
        </w:rPr>
        <w:footnoteRef/>
      </w:r>
      <w:r>
        <w:t xml:space="preserve">  </w:t>
      </w:r>
      <w:r>
        <w:tab/>
      </w:r>
      <w:r w:rsidRPr="00832662">
        <w:t>Interinstitutional Agreement between the European Parliament, the Council of the European Union and the European Commission on Better Law-Making of 13 April 2016 (OJ L 123, 12.5.2016, p. 1)</w:t>
      </w:r>
      <w:r>
        <w:t>, see point 27.</w:t>
      </w:r>
    </w:p>
  </w:footnote>
  <w:footnote w:id="7">
    <w:p w14:paraId="5D40F4BE" w14:textId="77777777" w:rsidR="00EC39BD" w:rsidRPr="00A57D9E" w:rsidRDefault="00EC39BD" w:rsidP="00EC39BD">
      <w:pPr>
        <w:pStyle w:val="FootnoteText"/>
        <w:ind w:left="426" w:hanging="426"/>
      </w:pPr>
      <w:r>
        <w:rPr>
          <w:rStyle w:val="FootnoteReference"/>
        </w:rPr>
        <w:footnoteRef/>
      </w:r>
      <w:r>
        <w:t xml:space="preserve"> </w:t>
      </w:r>
      <w:r>
        <w:tab/>
        <w:t>Proposal for a Regulation of the European Parliament and of the Council adapting a number of legal acts providing for the use of the regulatory procedure with scrutiny to Articles 290 and 291 of the Treaty on the Functioning of the European Union, COM (2016) 799 final.</w:t>
      </w:r>
    </w:p>
  </w:footnote>
  <w:footnote w:id="8">
    <w:p w14:paraId="1FFA11FD" w14:textId="77777777" w:rsidR="00EC39BD" w:rsidRPr="00F302F0" w:rsidRDefault="00EC39BD" w:rsidP="00EC39BD">
      <w:pPr>
        <w:pStyle w:val="FootnoteText"/>
        <w:ind w:left="426" w:hanging="426"/>
      </w:pPr>
      <w:r w:rsidRPr="00F302F0">
        <w:rPr>
          <w:rStyle w:val="FootnoteReference"/>
        </w:rPr>
        <w:footnoteRef/>
      </w:r>
      <w:r>
        <w:tab/>
      </w:r>
      <w:r w:rsidRPr="00F302F0">
        <w:t>Proposal for a R</w:t>
      </w:r>
      <w:r>
        <w:t>egulation of the</w:t>
      </w:r>
      <w:r w:rsidRPr="00F302F0">
        <w:t xml:space="preserve"> E</w:t>
      </w:r>
      <w:r>
        <w:t>uropean</w:t>
      </w:r>
      <w:r w:rsidRPr="00F302F0">
        <w:t xml:space="preserve"> P</w:t>
      </w:r>
      <w:r>
        <w:t>arliament</w:t>
      </w:r>
      <w:r w:rsidRPr="00F302F0">
        <w:t xml:space="preserve"> </w:t>
      </w:r>
      <w:r>
        <w:t xml:space="preserve">and of the </w:t>
      </w:r>
      <w:r w:rsidRPr="00F302F0">
        <w:t>C</w:t>
      </w:r>
      <w:r>
        <w:t>ouncil</w:t>
      </w:r>
      <w:r w:rsidRPr="00F302F0">
        <w:t xml:space="preserve"> adapting a number of legal acts in the area of Justice providing for the use of the regulatory procedure with scrutiny to Article 290 of the Treaty on the Functioning of the European Union (COM</w:t>
      </w:r>
      <w:r>
        <w:t xml:space="preserve"> </w:t>
      </w:r>
      <w:r w:rsidRPr="00F302F0">
        <w:t>(2016)</w:t>
      </w:r>
      <w:r>
        <w:t xml:space="preserve"> </w:t>
      </w:r>
      <w:r w:rsidRPr="00F302F0">
        <w:t>798)</w:t>
      </w:r>
      <w:r>
        <w:t>.</w:t>
      </w:r>
    </w:p>
  </w:footnote>
  <w:footnote w:id="9">
    <w:p w14:paraId="5790DF24" w14:textId="77777777" w:rsidR="00EC39BD" w:rsidRPr="009E5FA0" w:rsidRDefault="00EC39BD" w:rsidP="00EC39BD">
      <w:pPr>
        <w:pStyle w:val="FootnoteText"/>
        <w:rPr>
          <w:lang w:val="pl-PL"/>
        </w:rPr>
      </w:pPr>
      <w:r>
        <w:rPr>
          <w:rStyle w:val="FootnoteReference"/>
        </w:rPr>
        <w:footnoteRef/>
      </w:r>
      <w:r w:rsidRPr="009E5FA0">
        <w:rPr>
          <w:lang w:val="pl-PL"/>
        </w:rPr>
        <w:t xml:space="preserve">       OJ L275, 25.10.2022, p30.  </w:t>
      </w:r>
      <w:hyperlink r:id="rId2" w:history="1">
        <w:r w:rsidRPr="009E5FA0">
          <w:rPr>
            <w:rStyle w:val="Hyperlink"/>
            <w:lang w:val="pl-PL"/>
          </w:rPr>
          <w:t>https://eur-lex.europa.eu/legal-content/EN/TXT/?uri=OJ:L:2022:275:TOC</w:t>
        </w:r>
      </w:hyperlink>
    </w:p>
  </w:footnote>
  <w:footnote w:id="10">
    <w:p w14:paraId="6BCD45D0" w14:textId="77777777" w:rsidR="00EC39BD" w:rsidRPr="00AF625E" w:rsidRDefault="00EC39BD" w:rsidP="00EC39BD">
      <w:pPr>
        <w:pStyle w:val="FootnoteText"/>
        <w:ind w:left="426" w:hanging="426"/>
      </w:pPr>
      <w:r>
        <w:rPr>
          <w:rStyle w:val="FootnoteReference"/>
        </w:rPr>
        <w:footnoteRef/>
      </w:r>
      <w:r>
        <w:t xml:space="preserve"> </w:t>
      </w:r>
      <w:r>
        <w:tab/>
        <w:t xml:space="preserve">The </w:t>
      </w:r>
      <w:r w:rsidRPr="00AF625E">
        <w:t>only provision in the Regulation providing for the use of the regulatory procedure with scrutiny was amended to provide for the use of delegated acts</w:t>
      </w:r>
      <w:r>
        <w:t>,</w:t>
      </w:r>
      <w:r w:rsidRPr="00AF625E">
        <w:t> to amend the annexes to update the standard forms.</w:t>
      </w:r>
    </w:p>
  </w:footnote>
  <w:footnote w:id="11">
    <w:p w14:paraId="3CFC1F52" w14:textId="77777777" w:rsidR="00EC39BD" w:rsidRPr="00B04D62" w:rsidRDefault="00EC39BD" w:rsidP="00EC39BD">
      <w:pPr>
        <w:pStyle w:val="FootnoteText"/>
        <w:ind w:left="426" w:hanging="426"/>
      </w:pPr>
      <w:r>
        <w:rPr>
          <w:rStyle w:val="FootnoteReference"/>
        </w:rPr>
        <w:footnoteRef/>
      </w:r>
      <w:r>
        <w:t xml:space="preserve"> </w:t>
      </w:r>
      <w:r>
        <w:tab/>
        <w:t>Proposal for a Regulation of the European Parliament and of the Council amending Regulation (EU) No 182/2011 laying down the rules and general principles concerning mechanisms for control by Member States of the Commission’s exercise of implementing powers (COM (2017) 085 final).</w:t>
      </w:r>
    </w:p>
  </w:footnote>
  <w:footnote w:id="12">
    <w:p w14:paraId="2F4A4FDA" w14:textId="77777777" w:rsidR="00EC39BD" w:rsidRPr="008A5366" w:rsidRDefault="00EC39BD" w:rsidP="00EC39BD">
      <w:pPr>
        <w:pStyle w:val="FootnoteText"/>
        <w:tabs>
          <w:tab w:val="left" w:pos="426"/>
        </w:tabs>
        <w:ind w:left="426" w:hanging="426"/>
      </w:pPr>
      <w:r>
        <w:rPr>
          <w:rStyle w:val="FootnoteReference"/>
        </w:rPr>
        <w:footnoteRef/>
      </w:r>
      <w:r>
        <w:t xml:space="preserve"> </w:t>
      </w:r>
      <w:r>
        <w:tab/>
        <w:t>The Commission has proposed targeted amendments to the Comitology Regulation to avoid the occurrence of a situation where it is legally obliged to take an authorisation decision in the absence of a qualified majority of the Member States taking a position (either in favour or against) in the committee/appeal committee. Such a 'no opinion' situation is in the Commission’s view particularly problematic when it concerns politically sensitive matters of direct impact on citizens and businesses, for instance in the field of health and safety of humans, animals or plants.</w:t>
      </w:r>
    </w:p>
  </w:footnote>
  <w:footnote w:id="13">
    <w:p w14:paraId="50E62779" w14:textId="77777777" w:rsidR="00EC39BD" w:rsidRPr="008B673C" w:rsidRDefault="00EC39BD" w:rsidP="00EC39BD">
      <w:pPr>
        <w:pStyle w:val="FootnoteText"/>
        <w:ind w:left="426" w:hanging="426"/>
      </w:pPr>
      <w:r>
        <w:rPr>
          <w:rStyle w:val="FootnoteReference"/>
        </w:rPr>
        <w:footnoteRef/>
      </w:r>
      <w:r w:rsidRPr="008B673C">
        <w:t xml:space="preserve"> </w:t>
      </w:r>
      <w:r w:rsidRPr="008B673C">
        <w:tab/>
      </w:r>
      <w:hyperlink r:id="rId3" w:history="1">
        <w:r w:rsidRPr="008B673C">
          <w:rPr>
            <w:rStyle w:val="Hyperlink"/>
          </w:rPr>
          <w:t>https://ec.europa.eu/info/law/better-regulation/have-your-say_en</w:t>
        </w:r>
      </w:hyperlink>
      <w:r w:rsidRPr="008B673C">
        <w:t xml:space="preserve"> </w:t>
      </w:r>
    </w:p>
  </w:footnote>
  <w:footnote w:id="14">
    <w:p w14:paraId="28853F86" w14:textId="77777777" w:rsidR="00EC39BD" w:rsidRPr="009038FC" w:rsidRDefault="00EC39BD" w:rsidP="00EC39BD">
      <w:pPr>
        <w:pStyle w:val="FootnoteText"/>
        <w:ind w:left="426" w:hanging="426"/>
      </w:pPr>
      <w:r>
        <w:rPr>
          <w:rStyle w:val="FootnoteReference"/>
        </w:rPr>
        <w:footnoteRef/>
      </w:r>
      <w:r>
        <w:t xml:space="preserve"> </w:t>
      </w:r>
      <w:r>
        <w:tab/>
        <w:t xml:space="preserve">C-207/21 P, </w:t>
      </w:r>
      <w:r w:rsidRPr="001F6373">
        <w:rPr>
          <w:i/>
          <w:iCs/>
        </w:rPr>
        <w:t>European Commission</w:t>
      </w:r>
      <w:r>
        <w:t xml:space="preserve"> v </w:t>
      </w:r>
      <w:r w:rsidRPr="001F6373">
        <w:rPr>
          <w:i/>
          <w:iCs/>
        </w:rPr>
        <w:t>Republic of Poland</w:t>
      </w:r>
      <w:r>
        <w:t xml:space="preserve">, </w:t>
      </w:r>
      <w:r w:rsidRPr="004951C5">
        <w:t>ECLI:EU:C:2022:560</w:t>
      </w:r>
      <w:r>
        <w:t>.</w:t>
      </w:r>
    </w:p>
  </w:footnote>
  <w:footnote w:id="15">
    <w:p w14:paraId="1AE2C71B" w14:textId="77777777" w:rsidR="00EC39BD" w:rsidRPr="001F6C98" w:rsidRDefault="00EC39BD" w:rsidP="00EC39BD">
      <w:pPr>
        <w:pStyle w:val="FootnoteText"/>
        <w:tabs>
          <w:tab w:val="left" w:pos="426"/>
        </w:tabs>
        <w:ind w:left="851" w:hanging="851"/>
        <w:rPr>
          <w:lang w:val="fr-BE"/>
        </w:rPr>
      </w:pPr>
      <w:r>
        <w:rPr>
          <w:rStyle w:val="FootnoteReference"/>
        </w:rPr>
        <w:footnoteRef/>
      </w:r>
      <w:r w:rsidRPr="001F6C98">
        <w:rPr>
          <w:lang w:val="fr-BE"/>
        </w:rPr>
        <w:t xml:space="preserve"> </w:t>
      </w:r>
      <w:r w:rsidRPr="001F6C98">
        <w:rPr>
          <w:lang w:val="fr-BE"/>
        </w:rPr>
        <w:tab/>
        <w:t>T-371/20 and T-554/20</w:t>
      </w:r>
      <w:r>
        <w:rPr>
          <w:lang w:val="fr-BE"/>
        </w:rPr>
        <w:t>,</w:t>
      </w:r>
      <w:r w:rsidRPr="001F6C98">
        <w:rPr>
          <w:lang w:val="fr-BE"/>
        </w:rPr>
        <w:t xml:space="preserve"> </w:t>
      </w:r>
      <w:r w:rsidRPr="001F6373">
        <w:rPr>
          <w:i/>
          <w:iCs/>
          <w:lang w:val="fr-BE"/>
        </w:rPr>
        <w:t>Pollinis France</w:t>
      </w:r>
      <w:r w:rsidRPr="001F6C98">
        <w:rPr>
          <w:lang w:val="fr-BE"/>
        </w:rPr>
        <w:t xml:space="preserve"> v </w:t>
      </w:r>
      <w:r w:rsidRPr="001F6373">
        <w:rPr>
          <w:i/>
          <w:iCs/>
          <w:lang w:val="fr-BE"/>
        </w:rPr>
        <w:t>Commission</w:t>
      </w:r>
      <w:r w:rsidRPr="001F6C98">
        <w:rPr>
          <w:lang w:val="fr-BE"/>
        </w:rPr>
        <w:t>, ECLI:EU:T:2022:556.</w:t>
      </w:r>
    </w:p>
  </w:footnote>
  <w:footnote w:id="16">
    <w:p w14:paraId="08FD1EF8" w14:textId="77777777" w:rsidR="00EC39BD" w:rsidRPr="0015439D" w:rsidRDefault="00EC39BD" w:rsidP="00EC39BD">
      <w:pPr>
        <w:pStyle w:val="FootnoteText"/>
        <w:ind w:left="426" w:hanging="426"/>
      </w:pPr>
      <w:r>
        <w:rPr>
          <w:rStyle w:val="FootnoteReference"/>
        </w:rPr>
        <w:footnoteRef/>
      </w:r>
      <w:r>
        <w:t xml:space="preserve"> </w:t>
      </w:r>
      <w:r>
        <w:tab/>
      </w:r>
      <w:r w:rsidRPr="0015439D">
        <w:t>Regulation (EC) No 1049/2001 of the European Parliament and of the Council of 30 May 2001 regarding public access to European Parliament, Council and Commission documents, OJ L 145, 31.5.2001, p. 43.</w:t>
      </w:r>
    </w:p>
  </w:footnote>
  <w:footnote w:id="17">
    <w:p w14:paraId="7199C07F" w14:textId="77777777" w:rsidR="00EC39BD" w:rsidRPr="00E239CF" w:rsidRDefault="00EC39BD" w:rsidP="00EC39BD">
      <w:pPr>
        <w:pStyle w:val="FootnoteText"/>
        <w:ind w:left="426" w:hanging="426"/>
      </w:pPr>
      <w:r>
        <w:rPr>
          <w:rStyle w:val="FootnoteReference"/>
        </w:rPr>
        <w:footnoteRef/>
      </w:r>
      <w:r>
        <w:t xml:space="preserve"> </w:t>
      </w:r>
      <w:r>
        <w:tab/>
      </w:r>
      <w:r w:rsidRPr="00E239CF">
        <w:t xml:space="preserve">The </w:t>
      </w:r>
      <w:r>
        <w:t>a</w:t>
      </w:r>
      <w:r w:rsidRPr="00E239CF">
        <w:t xml:space="preserve">ppeal </w:t>
      </w:r>
      <w:r>
        <w:t>c</w:t>
      </w:r>
      <w:r w:rsidRPr="00E239CF">
        <w:t>ommittee is registered in the Comitology Register as a committee under the responsibility of the Secretariat-General</w:t>
      </w:r>
      <w:r>
        <w:t>.</w:t>
      </w:r>
      <w:r w:rsidRPr="00E239CF">
        <w:t xml:space="preserve"> </w:t>
      </w:r>
      <w:r>
        <w:t>I</w:t>
      </w:r>
      <w:r w:rsidRPr="00E239CF">
        <w:t xml:space="preserve">n practice, however, it is managed by </w:t>
      </w:r>
      <w:r>
        <w:t>the</w:t>
      </w:r>
      <w:r w:rsidRPr="00E239CF">
        <w:t xml:space="preserve"> </w:t>
      </w:r>
      <w:r>
        <w:t>department</w:t>
      </w:r>
      <w:r w:rsidRPr="00E239CF">
        <w:t>s concerned.</w:t>
      </w:r>
    </w:p>
  </w:footnote>
  <w:footnote w:id="18">
    <w:p w14:paraId="327AAF04" w14:textId="77777777" w:rsidR="00EC39BD" w:rsidRPr="00342D47" w:rsidRDefault="00EC39BD" w:rsidP="00EC39BD">
      <w:pPr>
        <w:pStyle w:val="FootnoteText"/>
        <w:ind w:left="426" w:hanging="426"/>
      </w:pPr>
      <w:r w:rsidRPr="00342D47">
        <w:rPr>
          <w:rStyle w:val="FootnoteReference"/>
        </w:rPr>
        <w:footnoteRef/>
      </w:r>
      <w:r w:rsidRPr="00342D47">
        <w:t xml:space="preserve"> </w:t>
      </w:r>
      <w:r w:rsidRPr="00342D47">
        <w:tab/>
        <w:t>In a few basic acts the legislator has provided for specific configurations of the committee.</w:t>
      </w:r>
    </w:p>
  </w:footnote>
  <w:footnote w:id="19">
    <w:p w14:paraId="2798EF11" w14:textId="77777777" w:rsidR="00EC39BD" w:rsidRPr="00C650CB" w:rsidRDefault="00EC39BD" w:rsidP="00EC39BD">
      <w:pPr>
        <w:pStyle w:val="FootnoteText"/>
        <w:tabs>
          <w:tab w:val="left" w:pos="426"/>
        </w:tabs>
        <w:ind w:left="426" w:hanging="426"/>
      </w:pPr>
      <w:r>
        <w:rPr>
          <w:rStyle w:val="FootnoteReference"/>
        </w:rPr>
        <w:footnoteRef/>
      </w:r>
      <w:r>
        <w:t xml:space="preserve"> </w:t>
      </w:r>
      <w:r w:rsidRPr="00D06312">
        <w:rPr>
          <w:lang w:val="en-IE"/>
        </w:rPr>
        <w:tab/>
      </w:r>
      <w:r>
        <w:t>These</w:t>
      </w:r>
      <w:r w:rsidRPr="00D06312">
        <w:t xml:space="preserve"> were </w:t>
      </w:r>
      <w:r>
        <w:t xml:space="preserve">phased out during </w:t>
      </w:r>
      <w:r w:rsidRPr="00D06312">
        <w:t>2021,</w:t>
      </w:r>
      <w:r>
        <w:t xml:space="preserve"> in parallel to the emergence of </w:t>
      </w:r>
      <w:r w:rsidRPr="00D06312">
        <w:t xml:space="preserve">‘new’ committees </w:t>
      </w:r>
      <w:r>
        <w:t>created under</w:t>
      </w:r>
      <w:r w:rsidRPr="00D06312">
        <w:t xml:space="preserve"> the new generation of MFF programmes and fund</w:t>
      </w:r>
      <w:r>
        <w:t>s (2021-2027).</w:t>
      </w:r>
    </w:p>
  </w:footnote>
  <w:footnote w:id="20">
    <w:p w14:paraId="31182503" w14:textId="77777777" w:rsidR="00EC39BD" w:rsidRPr="00E82192" w:rsidRDefault="00EC39BD" w:rsidP="00EC39BD">
      <w:pPr>
        <w:pStyle w:val="FootnoteText"/>
        <w:ind w:left="426" w:hanging="426"/>
      </w:pPr>
      <w:r>
        <w:rPr>
          <w:rStyle w:val="FootnoteReference"/>
        </w:rPr>
        <w:footnoteRef/>
      </w:r>
      <w:r>
        <w:t xml:space="preserve"> </w:t>
      </w:r>
      <w:r>
        <w:tab/>
        <w:t>2019: 318, 2020: 320</w:t>
      </w:r>
    </w:p>
  </w:footnote>
  <w:footnote w:id="21">
    <w:p w14:paraId="0650A2A9" w14:textId="77777777" w:rsidR="00EC39BD" w:rsidRPr="00DC7EB8" w:rsidRDefault="00EC39BD" w:rsidP="00EC39BD">
      <w:pPr>
        <w:pStyle w:val="FootnoteText"/>
        <w:ind w:left="426" w:hanging="426"/>
      </w:pPr>
      <w:r>
        <w:rPr>
          <w:rStyle w:val="FootnoteReference"/>
        </w:rPr>
        <w:footnoteRef/>
      </w:r>
      <w:r>
        <w:t xml:space="preserve"> </w:t>
      </w:r>
      <w:r>
        <w:tab/>
        <w:t>Committee voting can take place at a regular committee meeting or, in duly justified cases, by written procedure, in line with Article 3(5) of the Comitology Regulation.</w:t>
      </w:r>
    </w:p>
  </w:footnote>
  <w:footnote w:id="22">
    <w:p w14:paraId="5E7CD435" w14:textId="77777777" w:rsidR="00EC39BD" w:rsidRDefault="00EC39BD" w:rsidP="00EC39BD">
      <w:pPr>
        <w:pStyle w:val="FootnoteText"/>
        <w:ind w:left="426" w:hanging="426"/>
      </w:pPr>
      <w:r>
        <w:rPr>
          <w:rStyle w:val="FootnoteReference"/>
        </w:rPr>
        <w:footnoteRef/>
      </w:r>
      <w:r>
        <w:tab/>
        <w:t>The number of opinions and implementing acts/measures in any given year can differ; the reasons for this are explained in the introduction to the accompanying staff working document.</w:t>
      </w:r>
    </w:p>
  </w:footnote>
  <w:footnote w:id="23">
    <w:p w14:paraId="75E5D289" w14:textId="77777777" w:rsidR="00EC39BD" w:rsidRPr="00FD0BC2" w:rsidRDefault="00EC39BD" w:rsidP="00EC39BD">
      <w:pPr>
        <w:pStyle w:val="FootnoteText"/>
        <w:ind w:left="426" w:hanging="426"/>
      </w:pPr>
      <w:r>
        <w:rPr>
          <w:rStyle w:val="FootnoteReference"/>
        </w:rPr>
        <w:footnoteRef/>
      </w:r>
      <w:r>
        <w:t xml:space="preserve"> </w:t>
      </w:r>
      <w:r>
        <w:tab/>
        <w:t>As regards adopted implementing acts, the indication of Commission services (policy areas) means that the acts in question were prepared (discussed and/or voted on) in a committee managed by this Commission service; in some cases the actual adoption of the act was formally ensured by another Commission service.</w:t>
      </w:r>
    </w:p>
  </w:footnote>
  <w:footnote w:id="24">
    <w:p w14:paraId="0CCAD772" w14:textId="77777777" w:rsidR="00EC39BD" w:rsidRPr="0094569D" w:rsidRDefault="00EC39BD" w:rsidP="00EC39BD">
      <w:pPr>
        <w:pStyle w:val="FootnoteText"/>
        <w:ind w:left="426" w:hanging="426"/>
      </w:pPr>
      <w:r>
        <w:rPr>
          <w:rStyle w:val="FootnoteReference"/>
        </w:rPr>
        <w:footnoteRef/>
      </w:r>
      <w:r>
        <w:t xml:space="preserve"> </w:t>
      </w:r>
      <w:r w:rsidRPr="0094569D">
        <w:tab/>
      </w:r>
      <w:r w:rsidRPr="002A2B45">
        <w:rPr>
          <w:color w:val="000000"/>
        </w:rPr>
        <w:t xml:space="preserve">A vote resulting in </w:t>
      </w:r>
      <w:r>
        <w:rPr>
          <w:color w:val="000000"/>
        </w:rPr>
        <w:t>‘</w:t>
      </w:r>
      <w:r w:rsidRPr="002A2B45">
        <w:rPr>
          <w:color w:val="000000"/>
        </w:rPr>
        <w:t>no opinion</w:t>
      </w:r>
      <w:r>
        <w:rPr>
          <w:color w:val="000000"/>
        </w:rPr>
        <w:t>’</w:t>
      </w:r>
      <w:r w:rsidRPr="002A2B45">
        <w:rPr>
          <w:color w:val="000000"/>
        </w:rPr>
        <w:t xml:space="preserve"> is counted </w:t>
      </w:r>
      <w:r>
        <w:rPr>
          <w:color w:val="000000"/>
        </w:rPr>
        <w:t>in</w:t>
      </w:r>
      <w:r w:rsidRPr="002A2B45">
        <w:rPr>
          <w:color w:val="000000"/>
        </w:rPr>
        <w:t xml:space="preserve"> the total number of opinions</w:t>
      </w:r>
      <w:r>
        <w:rPr>
          <w:color w:val="000000"/>
        </w:rPr>
        <w:t xml:space="preserve"> as this is one of the possible outcomes of the vote in the committee.</w:t>
      </w:r>
    </w:p>
  </w:footnote>
  <w:footnote w:id="25">
    <w:p w14:paraId="5CB7E5B0" w14:textId="77777777" w:rsidR="00EC39BD" w:rsidRPr="001A259C" w:rsidRDefault="00EC39BD" w:rsidP="00EC39BD">
      <w:pPr>
        <w:pStyle w:val="FootnoteText"/>
        <w:ind w:left="426" w:hanging="426"/>
      </w:pPr>
      <w:r>
        <w:rPr>
          <w:rStyle w:val="FootnoteReference"/>
        </w:rPr>
        <w:footnoteRef/>
      </w:r>
      <w:r>
        <w:t xml:space="preserve"> </w:t>
      </w:r>
      <w:r>
        <w:tab/>
        <w:t>The overwhelming majority of the votes was positive, whereas a ‘no opinion’ was delivered in 33 cases (excluding those at the level of the appeal committee). There were no instances of a negative vote.</w:t>
      </w:r>
    </w:p>
  </w:footnote>
  <w:footnote w:id="26">
    <w:p w14:paraId="15F37066" w14:textId="77777777" w:rsidR="00EC39BD" w:rsidRPr="0037644F" w:rsidRDefault="00EC39BD" w:rsidP="00EC39BD">
      <w:pPr>
        <w:pStyle w:val="FootnoteText"/>
        <w:tabs>
          <w:tab w:val="left" w:pos="426"/>
        </w:tabs>
        <w:ind w:left="426" w:hanging="426"/>
      </w:pPr>
      <w:r>
        <w:rPr>
          <w:rStyle w:val="FootnoteReference"/>
        </w:rPr>
        <w:footnoteRef/>
      </w:r>
      <w:r>
        <w:t xml:space="preserve"> </w:t>
      </w:r>
      <w:r>
        <w:tab/>
        <w:t>Further details are available in the accompanying staff working document.</w:t>
      </w:r>
    </w:p>
  </w:footnote>
  <w:footnote w:id="27">
    <w:p w14:paraId="372BBC44" w14:textId="77777777" w:rsidR="00EC39BD" w:rsidRPr="00382EDF" w:rsidRDefault="00EC39BD" w:rsidP="00EC39BD">
      <w:pPr>
        <w:pStyle w:val="FootnoteText"/>
        <w:ind w:left="426" w:hanging="426"/>
      </w:pPr>
      <w:r>
        <w:rPr>
          <w:rStyle w:val="FootnoteReference"/>
        </w:rPr>
        <w:footnoteRef/>
      </w:r>
      <w:r>
        <w:t xml:space="preserve"> </w:t>
      </w:r>
      <w:r>
        <w:tab/>
        <w:t>The term ‘opinion’ also includes the scenario where the formal outcome is a ‘no opinion’ meaning that there is no required majority in either sense. The number of ‘no opinions’ is indicated in parentheses.</w:t>
      </w:r>
    </w:p>
  </w:footnote>
  <w:footnote w:id="28">
    <w:p w14:paraId="23E253EC" w14:textId="77777777" w:rsidR="00EC39BD" w:rsidRDefault="00EC39BD" w:rsidP="00EC39BD">
      <w:pPr>
        <w:pStyle w:val="FootnoteText"/>
        <w:ind w:left="426" w:hanging="426"/>
      </w:pPr>
      <w:r>
        <w:rPr>
          <w:rStyle w:val="FootnoteReference"/>
        </w:rPr>
        <w:footnoteRef/>
      </w:r>
      <w:r>
        <w:t xml:space="preserve"> </w:t>
      </w:r>
      <w:r>
        <w:tab/>
        <w:t>Article 12, second paragraph of the Comitology Regulation.</w:t>
      </w:r>
    </w:p>
  </w:footnote>
  <w:footnote w:id="29">
    <w:p w14:paraId="3CBA48B2" w14:textId="77777777" w:rsidR="00EC39BD" w:rsidRPr="001A259C" w:rsidRDefault="00EC39BD" w:rsidP="00EC39BD">
      <w:pPr>
        <w:pStyle w:val="FootnoteText"/>
        <w:tabs>
          <w:tab w:val="left" w:pos="426"/>
        </w:tabs>
        <w:ind w:left="993" w:hanging="993"/>
        <w:rPr>
          <w:lang w:val="en-IE"/>
        </w:rPr>
      </w:pPr>
      <w:r>
        <w:rPr>
          <w:rStyle w:val="FootnoteReference"/>
        </w:rPr>
        <w:footnoteRef/>
      </w:r>
      <w:r>
        <w:t xml:space="preserve"> </w:t>
      </w:r>
      <w:r>
        <w:tab/>
      </w:r>
      <w:r w:rsidRPr="001A259C">
        <w:rPr>
          <w:lang w:val="en-IE"/>
        </w:rPr>
        <w:t>See details in SWD(2022)279, p.</w:t>
      </w:r>
      <w:r>
        <w:rPr>
          <w:lang w:val="en-IE"/>
        </w:rPr>
        <w:t>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BEB6" w14:textId="77777777" w:rsidR="009E751A" w:rsidRPr="009E751A" w:rsidRDefault="009E751A" w:rsidP="009E7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D7D4B" w14:textId="77777777" w:rsidR="009E751A" w:rsidRPr="009E751A" w:rsidRDefault="009E751A" w:rsidP="009E751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5B87" w14:textId="77777777" w:rsidR="009E751A" w:rsidRPr="009E751A" w:rsidRDefault="009E751A" w:rsidP="009E751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2996" w14:textId="77777777" w:rsidR="00AB44E1" w:rsidRDefault="00AB44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9048" w14:textId="77777777" w:rsidR="00AB44E1" w:rsidRDefault="00AB44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C1EC" w14:textId="77777777" w:rsidR="00AB44E1" w:rsidRDefault="00AB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15:restartNumberingAfterBreak="0">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15:restartNumberingAfterBreak="0">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15:restartNumberingAfterBreak="0">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15:restartNumberingAfterBreak="0">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15:restartNumberingAfterBreak="0">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15:restartNumberingAfterBreak="0">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15:restartNumberingAfterBreak="0">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15:restartNumberingAfterBreak="0">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15:restartNumberingAfterBreak="0">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647C28DF"/>
    <w:multiLevelType w:val="hybridMultilevel"/>
    <w:tmpl w:val="1632E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1"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2" w15:restartNumberingAfterBreak="0">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C26F71"/>
    <w:multiLevelType w:val="multilevel"/>
    <w:tmpl w:val="8FF2E258"/>
    <w:name w:val="Bullet 0"/>
    <w:lvl w:ilvl="0">
      <w:start w:val="1"/>
      <w:numFmt w:val="decimal"/>
      <w:pStyle w:val="Heading1"/>
      <w:lvlText w:val="%1."/>
      <w:lvlJc w:val="left"/>
      <w:pPr>
        <w:tabs>
          <w:tab w:val="num" w:pos="850"/>
        </w:tabs>
        <w:ind w:left="850" w:hanging="850"/>
      </w:pPr>
      <w:rPr>
        <w:color w:val="auto"/>
      </w:r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6" w15:restartNumberingAfterBreak="0">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9" w15:restartNumberingAfterBreak="0">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9"/>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20"/>
    <w:lvlOverride w:ilvl="0">
      <w:startOverride w:val="1"/>
    </w:lvlOverride>
  </w:num>
  <w:num w:numId="23">
    <w:abstractNumId w:val="21"/>
  </w:num>
  <w:num w:numId="24">
    <w:abstractNumId w:val="9"/>
  </w:num>
  <w:num w:numId="25">
    <w:abstractNumId w:val="18"/>
  </w:num>
  <w:num w:numId="26">
    <w:abstractNumId w:val="13"/>
  </w:num>
  <w:num w:numId="27">
    <w:abstractNumId w:val="25"/>
  </w:num>
  <w:num w:numId="28">
    <w:abstractNumId w:val="28"/>
  </w:num>
  <w:num w:numId="29">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55E89B-489C-4387-ACD1-9B8DA41C09BC"/>
    <w:docVar w:name="LW_COVERPAGE_TYPE" w:val="1"/>
    <w:docVar w:name="LW_CROSSREFERENCE" w:val="{SWD(2023) 340 final}"/>
    <w:docVar w:name="LW_DocType" w:val="NORMAL"/>
    <w:docVar w:name="LW_EMISSION" w:val="26.10.2023"/>
    <w:docVar w:name="LW_EMISSION_ISODATE" w:val="2023-10-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6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working of committees in 2022"/>
    <w:docVar w:name="LW_TYPE.DOC.CP" w:val="REPORT FROM THE COMMISSION TO THE EUROPEAN PARLIAMENT AND THE COUNCIL"/>
    <w:docVar w:name="LwApiVersions" w:val="LW4CoDe 1.23.2.0; LW 8.0, Build 20211117"/>
  </w:docVars>
  <w:rsids>
    <w:rsidRoot w:val="008B67AE"/>
    <w:rsid w:val="00001916"/>
    <w:rsid w:val="00001C24"/>
    <w:rsid w:val="00001DF5"/>
    <w:rsid w:val="00002066"/>
    <w:rsid w:val="00002634"/>
    <w:rsid w:val="000031F1"/>
    <w:rsid w:val="000033BD"/>
    <w:rsid w:val="00003423"/>
    <w:rsid w:val="00003717"/>
    <w:rsid w:val="00003A98"/>
    <w:rsid w:val="00003D25"/>
    <w:rsid w:val="000041D8"/>
    <w:rsid w:val="0000423A"/>
    <w:rsid w:val="000044BB"/>
    <w:rsid w:val="0000493E"/>
    <w:rsid w:val="00005B2B"/>
    <w:rsid w:val="00006323"/>
    <w:rsid w:val="00006345"/>
    <w:rsid w:val="000063C8"/>
    <w:rsid w:val="000068CC"/>
    <w:rsid w:val="000077C8"/>
    <w:rsid w:val="00007B58"/>
    <w:rsid w:val="00007F66"/>
    <w:rsid w:val="00011124"/>
    <w:rsid w:val="0001117D"/>
    <w:rsid w:val="000115B2"/>
    <w:rsid w:val="000116F8"/>
    <w:rsid w:val="00011889"/>
    <w:rsid w:val="000122F6"/>
    <w:rsid w:val="00012459"/>
    <w:rsid w:val="00012C7F"/>
    <w:rsid w:val="00012D3B"/>
    <w:rsid w:val="00012DB1"/>
    <w:rsid w:val="0001394B"/>
    <w:rsid w:val="00014605"/>
    <w:rsid w:val="00014A45"/>
    <w:rsid w:val="00014DCD"/>
    <w:rsid w:val="0001504C"/>
    <w:rsid w:val="00015FE7"/>
    <w:rsid w:val="000160D1"/>
    <w:rsid w:val="00016B6E"/>
    <w:rsid w:val="00017C4A"/>
    <w:rsid w:val="00017E31"/>
    <w:rsid w:val="00020271"/>
    <w:rsid w:val="000205AF"/>
    <w:rsid w:val="00020803"/>
    <w:rsid w:val="000208F8"/>
    <w:rsid w:val="00020EF7"/>
    <w:rsid w:val="0002128B"/>
    <w:rsid w:val="000214EF"/>
    <w:rsid w:val="000217FC"/>
    <w:rsid w:val="00021B36"/>
    <w:rsid w:val="00021B86"/>
    <w:rsid w:val="0002218C"/>
    <w:rsid w:val="0002257D"/>
    <w:rsid w:val="00022783"/>
    <w:rsid w:val="00022A4F"/>
    <w:rsid w:val="00022E31"/>
    <w:rsid w:val="00023098"/>
    <w:rsid w:val="00023313"/>
    <w:rsid w:val="00023F09"/>
    <w:rsid w:val="0002489D"/>
    <w:rsid w:val="000249AC"/>
    <w:rsid w:val="00024C7D"/>
    <w:rsid w:val="00025252"/>
    <w:rsid w:val="000260C4"/>
    <w:rsid w:val="000262F6"/>
    <w:rsid w:val="000266DA"/>
    <w:rsid w:val="00026F43"/>
    <w:rsid w:val="0002769F"/>
    <w:rsid w:val="00027773"/>
    <w:rsid w:val="0002778C"/>
    <w:rsid w:val="000307A5"/>
    <w:rsid w:val="00032B36"/>
    <w:rsid w:val="00033441"/>
    <w:rsid w:val="000335EB"/>
    <w:rsid w:val="0003376B"/>
    <w:rsid w:val="000349C5"/>
    <w:rsid w:val="00034C58"/>
    <w:rsid w:val="0003501A"/>
    <w:rsid w:val="00035644"/>
    <w:rsid w:val="00035805"/>
    <w:rsid w:val="0003655B"/>
    <w:rsid w:val="00036FF9"/>
    <w:rsid w:val="00037DEA"/>
    <w:rsid w:val="0004081B"/>
    <w:rsid w:val="00040A91"/>
    <w:rsid w:val="00042253"/>
    <w:rsid w:val="000425D8"/>
    <w:rsid w:val="00042871"/>
    <w:rsid w:val="00042DFD"/>
    <w:rsid w:val="00043CDD"/>
    <w:rsid w:val="0004403C"/>
    <w:rsid w:val="00044101"/>
    <w:rsid w:val="00044428"/>
    <w:rsid w:val="00044FAB"/>
    <w:rsid w:val="00044FB5"/>
    <w:rsid w:val="00045635"/>
    <w:rsid w:val="00046266"/>
    <w:rsid w:val="000462E0"/>
    <w:rsid w:val="000472DD"/>
    <w:rsid w:val="000478F6"/>
    <w:rsid w:val="00047B0F"/>
    <w:rsid w:val="00047BE0"/>
    <w:rsid w:val="00047CE0"/>
    <w:rsid w:val="00047D44"/>
    <w:rsid w:val="00047DB7"/>
    <w:rsid w:val="000503B9"/>
    <w:rsid w:val="00050689"/>
    <w:rsid w:val="000512E7"/>
    <w:rsid w:val="00051569"/>
    <w:rsid w:val="00051CA4"/>
    <w:rsid w:val="00052130"/>
    <w:rsid w:val="00052185"/>
    <w:rsid w:val="000523A5"/>
    <w:rsid w:val="0005282D"/>
    <w:rsid w:val="00052B78"/>
    <w:rsid w:val="00052BDD"/>
    <w:rsid w:val="00052E4B"/>
    <w:rsid w:val="00052FBB"/>
    <w:rsid w:val="00053701"/>
    <w:rsid w:val="0005374A"/>
    <w:rsid w:val="00053D0C"/>
    <w:rsid w:val="00054471"/>
    <w:rsid w:val="000549DB"/>
    <w:rsid w:val="00054E45"/>
    <w:rsid w:val="00055DD4"/>
    <w:rsid w:val="000563A0"/>
    <w:rsid w:val="00060BD1"/>
    <w:rsid w:val="00061A23"/>
    <w:rsid w:val="00061B7B"/>
    <w:rsid w:val="000625C2"/>
    <w:rsid w:val="00062C90"/>
    <w:rsid w:val="000631B9"/>
    <w:rsid w:val="00063CE4"/>
    <w:rsid w:val="00064530"/>
    <w:rsid w:val="000648B4"/>
    <w:rsid w:val="00064FF2"/>
    <w:rsid w:val="0006532A"/>
    <w:rsid w:val="0006540E"/>
    <w:rsid w:val="00065BB3"/>
    <w:rsid w:val="00065BF8"/>
    <w:rsid w:val="000666E8"/>
    <w:rsid w:val="00066EB5"/>
    <w:rsid w:val="000670DA"/>
    <w:rsid w:val="0006735F"/>
    <w:rsid w:val="00067BB0"/>
    <w:rsid w:val="00067F03"/>
    <w:rsid w:val="000703F1"/>
    <w:rsid w:val="000708EB"/>
    <w:rsid w:val="000711E2"/>
    <w:rsid w:val="000719CB"/>
    <w:rsid w:val="00071C0A"/>
    <w:rsid w:val="00071E67"/>
    <w:rsid w:val="00072AB8"/>
    <w:rsid w:val="000733E1"/>
    <w:rsid w:val="000735DF"/>
    <w:rsid w:val="0007404F"/>
    <w:rsid w:val="00074EAC"/>
    <w:rsid w:val="000757B6"/>
    <w:rsid w:val="00075DBB"/>
    <w:rsid w:val="00076B0B"/>
    <w:rsid w:val="00076F85"/>
    <w:rsid w:val="00077938"/>
    <w:rsid w:val="00077A5D"/>
    <w:rsid w:val="00080AB7"/>
    <w:rsid w:val="000810C6"/>
    <w:rsid w:val="00081149"/>
    <w:rsid w:val="0008240D"/>
    <w:rsid w:val="0008248C"/>
    <w:rsid w:val="00082562"/>
    <w:rsid w:val="0008257B"/>
    <w:rsid w:val="00082B27"/>
    <w:rsid w:val="00082C3E"/>
    <w:rsid w:val="00082F9B"/>
    <w:rsid w:val="000832B4"/>
    <w:rsid w:val="000837A7"/>
    <w:rsid w:val="00084EDA"/>
    <w:rsid w:val="00085BC0"/>
    <w:rsid w:val="0008756D"/>
    <w:rsid w:val="000879A8"/>
    <w:rsid w:val="000879B0"/>
    <w:rsid w:val="00087CBE"/>
    <w:rsid w:val="00091487"/>
    <w:rsid w:val="00092705"/>
    <w:rsid w:val="0009299B"/>
    <w:rsid w:val="00092AC3"/>
    <w:rsid w:val="000930B8"/>
    <w:rsid w:val="00093C54"/>
    <w:rsid w:val="00094237"/>
    <w:rsid w:val="0009467E"/>
    <w:rsid w:val="000946A9"/>
    <w:rsid w:val="000954D0"/>
    <w:rsid w:val="00095A6E"/>
    <w:rsid w:val="0009600C"/>
    <w:rsid w:val="00096B87"/>
    <w:rsid w:val="00096C45"/>
    <w:rsid w:val="0009704D"/>
    <w:rsid w:val="00097B7D"/>
    <w:rsid w:val="00097C84"/>
    <w:rsid w:val="000A02F1"/>
    <w:rsid w:val="000A0775"/>
    <w:rsid w:val="000A0817"/>
    <w:rsid w:val="000A1479"/>
    <w:rsid w:val="000A15F0"/>
    <w:rsid w:val="000A1FB9"/>
    <w:rsid w:val="000A280A"/>
    <w:rsid w:val="000A2A3B"/>
    <w:rsid w:val="000A3708"/>
    <w:rsid w:val="000A39FC"/>
    <w:rsid w:val="000A3EE3"/>
    <w:rsid w:val="000A41A5"/>
    <w:rsid w:val="000A455C"/>
    <w:rsid w:val="000A4789"/>
    <w:rsid w:val="000A58F9"/>
    <w:rsid w:val="000A5A93"/>
    <w:rsid w:val="000A697B"/>
    <w:rsid w:val="000A6C73"/>
    <w:rsid w:val="000A6F2B"/>
    <w:rsid w:val="000A7122"/>
    <w:rsid w:val="000B076F"/>
    <w:rsid w:val="000B096C"/>
    <w:rsid w:val="000B09E5"/>
    <w:rsid w:val="000B0A09"/>
    <w:rsid w:val="000B0BD3"/>
    <w:rsid w:val="000B0F7A"/>
    <w:rsid w:val="000B1936"/>
    <w:rsid w:val="000B1DFF"/>
    <w:rsid w:val="000B1F0D"/>
    <w:rsid w:val="000B20B7"/>
    <w:rsid w:val="000B3462"/>
    <w:rsid w:val="000B3B84"/>
    <w:rsid w:val="000B4A7D"/>
    <w:rsid w:val="000B5341"/>
    <w:rsid w:val="000B5C83"/>
    <w:rsid w:val="000B5F94"/>
    <w:rsid w:val="000B5FF8"/>
    <w:rsid w:val="000B65F9"/>
    <w:rsid w:val="000B6605"/>
    <w:rsid w:val="000B6E9E"/>
    <w:rsid w:val="000B7EFA"/>
    <w:rsid w:val="000C01A5"/>
    <w:rsid w:val="000C033C"/>
    <w:rsid w:val="000C0A60"/>
    <w:rsid w:val="000C0F2B"/>
    <w:rsid w:val="000C125B"/>
    <w:rsid w:val="000C1AE1"/>
    <w:rsid w:val="000C29FD"/>
    <w:rsid w:val="000C3BAE"/>
    <w:rsid w:val="000C3F66"/>
    <w:rsid w:val="000C468C"/>
    <w:rsid w:val="000C4C95"/>
    <w:rsid w:val="000C4E2F"/>
    <w:rsid w:val="000C4F4A"/>
    <w:rsid w:val="000C50F8"/>
    <w:rsid w:val="000C531B"/>
    <w:rsid w:val="000C5371"/>
    <w:rsid w:val="000C541D"/>
    <w:rsid w:val="000C71CD"/>
    <w:rsid w:val="000C7AD7"/>
    <w:rsid w:val="000D071D"/>
    <w:rsid w:val="000D124D"/>
    <w:rsid w:val="000D2557"/>
    <w:rsid w:val="000D3330"/>
    <w:rsid w:val="000D3341"/>
    <w:rsid w:val="000D34A3"/>
    <w:rsid w:val="000D39DA"/>
    <w:rsid w:val="000D3A32"/>
    <w:rsid w:val="000D3FC9"/>
    <w:rsid w:val="000D552A"/>
    <w:rsid w:val="000D588B"/>
    <w:rsid w:val="000D59D5"/>
    <w:rsid w:val="000D6099"/>
    <w:rsid w:val="000D70E5"/>
    <w:rsid w:val="000E0277"/>
    <w:rsid w:val="000E02F3"/>
    <w:rsid w:val="000E08F6"/>
    <w:rsid w:val="000E09B4"/>
    <w:rsid w:val="000E0B7B"/>
    <w:rsid w:val="000E1A37"/>
    <w:rsid w:val="000E1A70"/>
    <w:rsid w:val="000E2198"/>
    <w:rsid w:val="000E22D9"/>
    <w:rsid w:val="000E38CB"/>
    <w:rsid w:val="000E3D87"/>
    <w:rsid w:val="000E3E7B"/>
    <w:rsid w:val="000E4389"/>
    <w:rsid w:val="000E4443"/>
    <w:rsid w:val="000E4B59"/>
    <w:rsid w:val="000E4EE8"/>
    <w:rsid w:val="000E5242"/>
    <w:rsid w:val="000E52D3"/>
    <w:rsid w:val="000E56EF"/>
    <w:rsid w:val="000E5BF7"/>
    <w:rsid w:val="000E6EC5"/>
    <w:rsid w:val="000F0119"/>
    <w:rsid w:val="000F0F0A"/>
    <w:rsid w:val="000F0F5D"/>
    <w:rsid w:val="000F2130"/>
    <w:rsid w:val="000F2FE7"/>
    <w:rsid w:val="000F3462"/>
    <w:rsid w:val="000F3936"/>
    <w:rsid w:val="000F3C5A"/>
    <w:rsid w:val="000F3E3D"/>
    <w:rsid w:val="000F418D"/>
    <w:rsid w:val="000F4B23"/>
    <w:rsid w:val="000F4BE2"/>
    <w:rsid w:val="000F5785"/>
    <w:rsid w:val="000F6722"/>
    <w:rsid w:val="000F7142"/>
    <w:rsid w:val="000F7731"/>
    <w:rsid w:val="000F777B"/>
    <w:rsid w:val="000F7F7B"/>
    <w:rsid w:val="000F7FE9"/>
    <w:rsid w:val="00101248"/>
    <w:rsid w:val="00101D2D"/>
    <w:rsid w:val="00101D31"/>
    <w:rsid w:val="00102068"/>
    <w:rsid w:val="001022AC"/>
    <w:rsid w:val="00102B22"/>
    <w:rsid w:val="00104181"/>
    <w:rsid w:val="00104254"/>
    <w:rsid w:val="001042B3"/>
    <w:rsid w:val="0010446F"/>
    <w:rsid w:val="00104BD3"/>
    <w:rsid w:val="00105547"/>
    <w:rsid w:val="00105576"/>
    <w:rsid w:val="001062D6"/>
    <w:rsid w:val="001069F7"/>
    <w:rsid w:val="00106E8E"/>
    <w:rsid w:val="00107B1D"/>
    <w:rsid w:val="00107C42"/>
    <w:rsid w:val="001106DE"/>
    <w:rsid w:val="00110B0A"/>
    <w:rsid w:val="00110E42"/>
    <w:rsid w:val="0011134D"/>
    <w:rsid w:val="0011140C"/>
    <w:rsid w:val="00111891"/>
    <w:rsid w:val="0011254B"/>
    <w:rsid w:val="00112A88"/>
    <w:rsid w:val="00112EFD"/>
    <w:rsid w:val="00113266"/>
    <w:rsid w:val="00113424"/>
    <w:rsid w:val="00113A4E"/>
    <w:rsid w:val="00114600"/>
    <w:rsid w:val="00116060"/>
    <w:rsid w:val="001169E8"/>
    <w:rsid w:val="00116AC6"/>
    <w:rsid w:val="00116DEA"/>
    <w:rsid w:val="00116F43"/>
    <w:rsid w:val="001174C5"/>
    <w:rsid w:val="00117B78"/>
    <w:rsid w:val="00117F4B"/>
    <w:rsid w:val="00120153"/>
    <w:rsid w:val="00120417"/>
    <w:rsid w:val="00120656"/>
    <w:rsid w:val="001209FC"/>
    <w:rsid w:val="00120AD7"/>
    <w:rsid w:val="00120CA1"/>
    <w:rsid w:val="00121187"/>
    <w:rsid w:val="00122102"/>
    <w:rsid w:val="00122215"/>
    <w:rsid w:val="00122718"/>
    <w:rsid w:val="001232D1"/>
    <w:rsid w:val="001233F6"/>
    <w:rsid w:val="0012384A"/>
    <w:rsid w:val="00123860"/>
    <w:rsid w:val="001246F5"/>
    <w:rsid w:val="001248EF"/>
    <w:rsid w:val="00124E2F"/>
    <w:rsid w:val="001253A9"/>
    <w:rsid w:val="001253B3"/>
    <w:rsid w:val="001254C9"/>
    <w:rsid w:val="00125843"/>
    <w:rsid w:val="00126570"/>
    <w:rsid w:val="00126C7E"/>
    <w:rsid w:val="00126FD2"/>
    <w:rsid w:val="001272D8"/>
    <w:rsid w:val="00127558"/>
    <w:rsid w:val="00127EE5"/>
    <w:rsid w:val="0013064F"/>
    <w:rsid w:val="00130C05"/>
    <w:rsid w:val="00131031"/>
    <w:rsid w:val="0013155B"/>
    <w:rsid w:val="00132495"/>
    <w:rsid w:val="001328A6"/>
    <w:rsid w:val="00132F48"/>
    <w:rsid w:val="0013304A"/>
    <w:rsid w:val="001341BF"/>
    <w:rsid w:val="001344F7"/>
    <w:rsid w:val="001349BE"/>
    <w:rsid w:val="00134A39"/>
    <w:rsid w:val="001350F8"/>
    <w:rsid w:val="0013537D"/>
    <w:rsid w:val="00135EAE"/>
    <w:rsid w:val="001360A7"/>
    <w:rsid w:val="001365A7"/>
    <w:rsid w:val="00136D79"/>
    <w:rsid w:val="00136D92"/>
    <w:rsid w:val="0013712E"/>
    <w:rsid w:val="0013714D"/>
    <w:rsid w:val="001372F9"/>
    <w:rsid w:val="00137648"/>
    <w:rsid w:val="001408EC"/>
    <w:rsid w:val="001409D0"/>
    <w:rsid w:val="00140D4A"/>
    <w:rsid w:val="00140E45"/>
    <w:rsid w:val="001421A9"/>
    <w:rsid w:val="001427C5"/>
    <w:rsid w:val="00142D76"/>
    <w:rsid w:val="00143204"/>
    <w:rsid w:val="001432DF"/>
    <w:rsid w:val="00143477"/>
    <w:rsid w:val="001436B2"/>
    <w:rsid w:val="00143E22"/>
    <w:rsid w:val="00143EB2"/>
    <w:rsid w:val="00144126"/>
    <w:rsid w:val="00144240"/>
    <w:rsid w:val="00144DE0"/>
    <w:rsid w:val="0014546C"/>
    <w:rsid w:val="00145792"/>
    <w:rsid w:val="00145AC4"/>
    <w:rsid w:val="00145C68"/>
    <w:rsid w:val="00145D24"/>
    <w:rsid w:val="0014745B"/>
    <w:rsid w:val="001475E3"/>
    <w:rsid w:val="001478EF"/>
    <w:rsid w:val="00147EFD"/>
    <w:rsid w:val="001503CB"/>
    <w:rsid w:val="0015176D"/>
    <w:rsid w:val="001517E7"/>
    <w:rsid w:val="001518FD"/>
    <w:rsid w:val="00151A0A"/>
    <w:rsid w:val="00152377"/>
    <w:rsid w:val="00152B4F"/>
    <w:rsid w:val="00153014"/>
    <w:rsid w:val="001534D1"/>
    <w:rsid w:val="00153E49"/>
    <w:rsid w:val="0015439D"/>
    <w:rsid w:val="0015490C"/>
    <w:rsid w:val="00154BF1"/>
    <w:rsid w:val="00155046"/>
    <w:rsid w:val="001555C7"/>
    <w:rsid w:val="00155794"/>
    <w:rsid w:val="00155BA6"/>
    <w:rsid w:val="00155CC2"/>
    <w:rsid w:val="00156172"/>
    <w:rsid w:val="00156488"/>
    <w:rsid w:val="001565BC"/>
    <w:rsid w:val="00156654"/>
    <w:rsid w:val="001568AB"/>
    <w:rsid w:val="00156C30"/>
    <w:rsid w:val="0015747E"/>
    <w:rsid w:val="00160466"/>
    <w:rsid w:val="00160960"/>
    <w:rsid w:val="00161674"/>
    <w:rsid w:val="001616D8"/>
    <w:rsid w:val="001617C1"/>
    <w:rsid w:val="00163F27"/>
    <w:rsid w:val="00163F4A"/>
    <w:rsid w:val="00164BD7"/>
    <w:rsid w:val="00164CAC"/>
    <w:rsid w:val="00164EE7"/>
    <w:rsid w:val="0016523A"/>
    <w:rsid w:val="0016556C"/>
    <w:rsid w:val="00166112"/>
    <w:rsid w:val="00166276"/>
    <w:rsid w:val="001677AD"/>
    <w:rsid w:val="00167DE2"/>
    <w:rsid w:val="00167E15"/>
    <w:rsid w:val="00170312"/>
    <w:rsid w:val="001705E3"/>
    <w:rsid w:val="0017061F"/>
    <w:rsid w:val="001706EC"/>
    <w:rsid w:val="00171499"/>
    <w:rsid w:val="00171A1C"/>
    <w:rsid w:val="00172E7F"/>
    <w:rsid w:val="00173E70"/>
    <w:rsid w:val="00174658"/>
    <w:rsid w:val="00174A15"/>
    <w:rsid w:val="00174F89"/>
    <w:rsid w:val="00175115"/>
    <w:rsid w:val="001753B4"/>
    <w:rsid w:val="001753BC"/>
    <w:rsid w:val="0017566E"/>
    <w:rsid w:val="001757CE"/>
    <w:rsid w:val="001766BF"/>
    <w:rsid w:val="00176966"/>
    <w:rsid w:val="00176E4F"/>
    <w:rsid w:val="00177337"/>
    <w:rsid w:val="00177719"/>
    <w:rsid w:val="001808BD"/>
    <w:rsid w:val="00181204"/>
    <w:rsid w:val="00181992"/>
    <w:rsid w:val="00182070"/>
    <w:rsid w:val="001823CB"/>
    <w:rsid w:val="00182EB0"/>
    <w:rsid w:val="0018399F"/>
    <w:rsid w:val="00183DBF"/>
    <w:rsid w:val="00184734"/>
    <w:rsid w:val="00185155"/>
    <w:rsid w:val="001859C2"/>
    <w:rsid w:val="00185CDB"/>
    <w:rsid w:val="00186669"/>
    <w:rsid w:val="00186919"/>
    <w:rsid w:val="001875E1"/>
    <w:rsid w:val="001875F8"/>
    <w:rsid w:val="00187D8F"/>
    <w:rsid w:val="00187E0C"/>
    <w:rsid w:val="00187F93"/>
    <w:rsid w:val="00191059"/>
    <w:rsid w:val="00191626"/>
    <w:rsid w:val="001917E6"/>
    <w:rsid w:val="00191846"/>
    <w:rsid w:val="00191D0A"/>
    <w:rsid w:val="0019230D"/>
    <w:rsid w:val="001923E4"/>
    <w:rsid w:val="0019258D"/>
    <w:rsid w:val="0019372A"/>
    <w:rsid w:val="0019380C"/>
    <w:rsid w:val="00193FFD"/>
    <w:rsid w:val="0019401B"/>
    <w:rsid w:val="00194077"/>
    <w:rsid w:val="00194938"/>
    <w:rsid w:val="00194EC9"/>
    <w:rsid w:val="00195386"/>
    <w:rsid w:val="00195610"/>
    <w:rsid w:val="00195CAC"/>
    <w:rsid w:val="00195F47"/>
    <w:rsid w:val="00196098"/>
    <w:rsid w:val="001966BF"/>
    <w:rsid w:val="00196BF2"/>
    <w:rsid w:val="00196BF4"/>
    <w:rsid w:val="00196C64"/>
    <w:rsid w:val="0019729B"/>
    <w:rsid w:val="001977BB"/>
    <w:rsid w:val="00197946"/>
    <w:rsid w:val="001A09DB"/>
    <w:rsid w:val="001A0F2F"/>
    <w:rsid w:val="001A0F6A"/>
    <w:rsid w:val="001A1662"/>
    <w:rsid w:val="001A1731"/>
    <w:rsid w:val="001A1B8F"/>
    <w:rsid w:val="001A1ED1"/>
    <w:rsid w:val="001A259C"/>
    <w:rsid w:val="001A538E"/>
    <w:rsid w:val="001A6120"/>
    <w:rsid w:val="001A62E7"/>
    <w:rsid w:val="001A6678"/>
    <w:rsid w:val="001A6E24"/>
    <w:rsid w:val="001A74C7"/>
    <w:rsid w:val="001A76E1"/>
    <w:rsid w:val="001A7DFC"/>
    <w:rsid w:val="001B0787"/>
    <w:rsid w:val="001B116F"/>
    <w:rsid w:val="001B1C5B"/>
    <w:rsid w:val="001B2264"/>
    <w:rsid w:val="001B2850"/>
    <w:rsid w:val="001B2924"/>
    <w:rsid w:val="001B2C00"/>
    <w:rsid w:val="001B2CFB"/>
    <w:rsid w:val="001B30F9"/>
    <w:rsid w:val="001B3A19"/>
    <w:rsid w:val="001B3DA8"/>
    <w:rsid w:val="001B40B8"/>
    <w:rsid w:val="001B454A"/>
    <w:rsid w:val="001B4E85"/>
    <w:rsid w:val="001B534D"/>
    <w:rsid w:val="001B5528"/>
    <w:rsid w:val="001B5C53"/>
    <w:rsid w:val="001B5F85"/>
    <w:rsid w:val="001B61A9"/>
    <w:rsid w:val="001B66DD"/>
    <w:rsid w:val="001B7574"/>
    <w:rsid w:val="001B7639"/>
    <w:rsid w:val="001C028D"/>
    <w:rsid w:val="001C0DB1"/>
    <w:rsid w:val="001C1220"/>
    <w:rsid w:val="001C1353"/>
    <w:rsid w:val="001C1A8C"/>
    <w:rsid w:val="001C3680"/>
    <w:rsid w:val="001C3B29"/>
    <w:rsid w:val="001C470D"/>
    <w:rsid w:val="001C4D9D"/>
    <w:rsid w:val="001C4FB8"/>
    <w:rsid w:val="001C5203"/>
    <w:rsid w:val="001C5529"/>
    <w:rsid w:val="001C5DAB"/>
    <w:rsid w:val="001C690B"/>
    <w:rsid w:val="001C6D86"/>
    <w:rsid w:val="001C6D88"/>
    <w:rsid w:val="001C6FB1"/>
    <w:rsid w:val="001C71B5"/>
    <w:rsid w:val="001C7DE5"/>
    <w:rsid w:val="001D0E14"/>
    <w:rsid w:val="001D0E7F"/>
    <w:rsid w:val="001D1078"/>
    <w:rsid w:val="001D109A"/>
    <w:rsid w:val="001D1633"/>
    <w:rsid w:val="001D1F7F"/>
    <w:rsid w:val="001D4938"/>
    <w:rsid w:val="001D4A09"/>
    <w:rsid w:val="001D4CC7"/>
    <w:rsid w:val="001D56BF"/>
    <w:rsid w:val="001D5B46"/>
    <w:rsid w:val="001D5ECF"/>
    <w:rsid w:val="001D6020"/>
    <w:rsid w:val="001D6046"/>
    <w:rsid w:val="001D6868"/>
    <w:rsid w:val="001D6903"/>
    <w:rsid w:val="001D6BE1"/>
    <w:rsid w:val="001D70BB"/>
    <w:rsid w:val="001D74A8"/>
    <w:rsid w:val="001D75E2"/>
    <w:rsid w:val="001D7C0F"/>
    <w:rsid w:val="001D7C85"/>
    <w:rsid w:val="001D7DDC"/>
    <w:rsid w:val="001E077F"/>
    <w:rsid w:val="001E0FDC"/>
    <w:rsid w:val="001E1B7C"/>
    <w:rsid w:val="001E1CC9"/>
    <w:rsid w:val="001E24AB"/>
    <w:rsid w:val="001E259C"/>
    <w:rsid w:val="001E28DF"/>
    <w:rsid w:val="001E329F"/>
    <w:rsid w:val="001E330F"/>
    <w:rsid w:val="001E3938"/>
    <w:rsid w:val="001E3EBD"/>
    <w:rsid w:val="001E3F60"/>
    <w:rsid w:val="001E3F87"/>
    <w:rsid w:val="001E4136"/>
    <w:rsid w:val="001E41E6"/>
    <w:rsid w:val="001E43EE"/>
    <w:rsid w:val="001E4B12"/>
    <w:rsid w:val="001E5608"/>
    <w:rsid w:val="001E5654"/>
    <w:rsid w:val="001E6003"/>
    <w:rsid w:val="001E6311"/>
    <w:rsid w:val="001E63CB"/>
    <w:rsid w:val="001E6A10"/>
    <w:rsid w:val="001E71AA"/>
    <w:rsid w:val="001E722E"/>
    <w:rsid w:val="001E7BCA"/>
    <w:rsid w:val="001F0061"/>
    <w:rsid w:val="001F01A8"/>
    <w:rsid w:val="001F0564"/>
    <w:rsid w:val="001F0B1C"/>
    <w:rsid w:val="001F0D3A"/>
    <w:rsid w:val="001F1617"/>
    <w:rsid w:val="001F1C8F"/>
    <w:rsid w:val="001F2205"/>
    <w:rsid w:val="001F26EA"/>
    <w:rsid w:val="001F2B3D"/>
    <w:rsid w:val="001F398C"/>
    <w:rsid w:val="001F3AC5"/>
    <w:rsid w:val="001F3C35"/>
    <w:rsid w:val="001F445A"/>
    <w:rsid w:val="001F4B08"/>
    <w:rsid w:val="001F4FAC"/>
    <w:rsid w:val="001F506A"/>
    <w:rsid w:val="001F581B"/>
    <w:rsid w:val="001F6194"/>
    <w:rsid w:val="001F6373"/>
    <w:rsid w:val="001F6C98"/>
    <w:rsid w:val="001F6F7A"/>
    <w:rsid w:val="001F73A3"/>
    <w:rsid w:val="0020015D"/>
    <w:rsid w:val="002006B0"/>
    <w:rsid w:val="002010D5"/>
    <w:rsid w:val="0020173D"/>
    <w:rsid w:val="00201D7A"/>
    <w:rsid w:val="00202490"/>
    <w:rsid w:val="00202500"/>
    <w:rsid w:val="00202FCA"/>
    <w:rsid w:val="00203088"/>
    <w:rsid w:val="00203AE6"/>
    <w:rsid w:val="00203B5F"/>
    <w:rsid w:val="00204064"/>
    <w:rsid w:val="0020457D"/>
    <w:rsid w:val="002045FB"/>
    <w:rsid w:val="00204BDB"/>
    <w:rsid w:val="00204BDE"/>
    <w:rsid w:val="002053FA"/>
    <w:rsid w:val="00205479"/>
    <w:rsid w:val="00205595"/>
    <w:rsid w:val="002055D3"/>
    <w:rsid w:val="00205C4C"/>
    <w:rsid w:val="00205DE2"/>
    <w:rsid w:val="00206BAC"/>
    <w:rsid w:val="00207A44"/>
    <w:rsid w:val="00210325"/>
    <w:rsid w:val="00210649"/>
    <w:rsid w:val="00211319"/>
    <w:rsid w:val="002115FB"/>
    <w:rsid w:val="002116C0"/>
    <w:rsid w:val="00211907"/>
    <w:rsid w:val="002119E8"/>
    <w:rsid w:val="00212008"/>
    <w:rsid w:val="002121A0"/>
    <w:rsid w:val="002122F7"/>
    <w:rsid w:val="00212403"/>
    <w:rsid w:val="00212863"/>
    <w:rsid w:val="002129BA"/>
    <w:rsid w:val="00212D3F"/>
    <w:rsid w:val="002130EA"/>
    <w:rsid w:val="00213405"/>
    <w:rsid w:val="00213461"/>
    <w:rsid w:val="00214855"/>
    <w:rsid w:val="002153CD"/>
    <w:rsid w:val="002157BB"/>
    <w:rsid w:val="00215AD4"/>
    <w:rsid w:val="002161BC"/>
    <w:rsid w:val="00216A71"/>
    <w:rsid w:val="00216B39"/>
    <w:rsid w:val="00216C6E"/>
    <w:rsid w:val="002172DB"/>
    <w:rsid w:val="00217408"/>
    <w:rsid w:val="002175B2"/>
    <w:rsid w:val="00217F67"/>
    <w:rsid w:val="0022024C"/>
    <w:rsid w:val="00220BFF"/>
    <w:rsid w:val="00221221"/>
    <w:rsid w:val="00221E55"/>
    <w:rsid w:val="00222372"/>
    <w:rsid w:val="0022350F"/>
    <w:rsid w:val="002236C7"/>
    <w:rsid w:val="00223C22"/>
    <w:rsid w:val="00224C8E"/>
    <w:rsid w:val="00224CCA"/>
    <w:rsid w:val="002252C3"/>
    <w:rsid w:val="0022580A"/>
    <w:rsid w:val="00225DB3"/>
    <w:rsid w:val="00226B42"/>
    <w:rsid w:val="00226B9A"/>
    <w:rsid w:val="00227263"/>
    <w:rsid w:val="002278BE"/>
    <w:rsid w:val="00227A6A"/>
    <w:rsid w:val="002304EC"/>
    <w:rsid w:val="002305DC"/>
    <w:rsid w:val="002309AA"/>
    <w:rsid w:val="002309FB"/>
    <w:rsid w:val="00231A9E"/>
    <w:rsid w:val="00231AAE"/>
    <w:rsid w:val="00232C66"/>
    <w:rsid w:val="00232C80"/>
    <w:rsid w:val="002330CE"/>
    <w:rsid w:val="002333CF"/>
    <w:rsid w:val="00233F70"/>
    <w:rsid w:val="0023437D"/>
    <w:rsid w:val="0023516E"/>
    <w:rsid w:val="00235EBD"/>
    <w:rsid w:val="00236045"/>
    <w:rsid w:val="002362F7"/>
    <w:rsid w:val="0023677C"/>
    <w:rsid w:val="002369E9"/>
    <w:rsid w:val="00237240"/>
    <w:rsid w:val="0024021B"/>
    <w:rsid w:val="00241077"/>
    <w:rsid w:val="00241186"/>
    <w:rsid w:val="00241936"/>
    <w:rsid w:val="00241988"/>
    <w:rsid w:val="0024294B"/>
    <w:rsid w:val="00243492"/>
    <w:rsid w:val="002434D7"/>
    <w:rsid w:val="002442B4"/>
    <w:rsid w:val="00245227"/>
    <w:rsid w:val="002463C0"/>
    <w:rsid w:val="0024643C"/>
    <w:rsid w:val="00246717"/>
    <w:rsid w:val="00247418"/>
    <w:rsid w:val="002478EF"/>
    <w:rsid w:val="002501EC"/>
    <w:rsid w:val="00250659"/>
    <w:rsid w:val="00251087"/>
    <w:rsid w:val="00251810"/>
    <w:rsid w:val="002519E2"/>
    <w:rsid w:val="00252443"/>
    <w:rsid w:val="00252775"/>
    <w:rsid w:val="00252806"/>
    <w:rsid w:val="00252C7C"/>
    <w:rsid w:val="00254C50"/>
    <w:rsid w:val="00254E47"/>
    <w:rsid w:val="002559C6"/>
    <w:rsid w:val="00255B78"/>
    <w:rsid w:val="00255D23"/>
    <w:rsid w:val="002560C5"/>
    <w:rsid w:val="002573AD"/>
    <w:rsid w:val="0025778B"/>
    <w:rsid w:val="00257BE0"/>
    <w:rsid w:val="00257CF5"/>
    <w:rsid w:val="00257FDB"/>
    <w:rsid w:val="002605E6"/>
    <w:rsid w:val="00260C9F"/>
    <w:rsid w:val="00262698"/>
    <w:rsid w:val="002627DB"/>
    <w:rsid w:val="0026308A"/>
    <w:rsid w:val="00263466"/>
    <w:rsid w:val="00263C00"/>
    <w:rsid w:val="00263C9F"/>
    <w:rsid w:val="0026402E"/>
    <w:rsid w:val="002643F3"/>
    <w:rsid w:val="00264504"/>
    <w:rsid w:val="00266198"/>
    <w:rsid w:val="00266449"/>
    <w:rsid w:val="00266566"/>
    <w:rsid w:val="0026678A"/>
    <w:rsid w:val="00266956"/>
    <w:rsid w:val="00267537"/>
    <w:rsid w:val="00267F59"/>
    <w:rsid w:val="002702CC"/>
    <w:rsid w:val="0027062D"/>
    <w:rsid w:val="00271130"/>
    <w:rsid w:val="002712C1"/>
    <w:rsid w:val="0027132B"/>
    <w:rsid w:val="00271FFA"/>
    <w:rsid w:val="00272301"/>
    <w:rsid w:val="00272343"/>
    <w:rsid w:val="00272B0A"/>
    <w:rsid w:val="0027306C"/>
    <w:rsid w:val="00273524"/>
    <w:rsid w:val="00273B0B"/>
    <w:rsid w:val="00274899"/>
    <w:rsid w:val="00274F15"/>
    <w:rsid w:val="002750BF"/>
    <w:rsid w:val="00275485"/>
    <w:rsid w:val="00275CA8"/>
    <w:rsid w:val="00275F33"/>
    <w:rsid w:val="0027611E"/>
    <w:rsid w:val="002761CB"/>
    <w:rsid w:val="0027635D"/>
    <w:rsid w:val="0027688D"/>
    <w:rsid w:val="0027714F"/>
    <w:rsid w:val="00277C73"/>
    <w:rsid w:val="00280A5F"/>
    <w:rsid w:val="00281549"/>
    <w:rsid w:val="00281778"/>
    <w:rsid w:val="00282101"/>
    <w:rsid w:val="00282500"/>
    <w:rsid w:val="00282CCD"/>
    <w:rsid w:val="00282F61"/>
    <w:rsid w:val="00283338"/>
    <w:rsid w:val="0028362F"/>
    <w:rsid w:val="002837FD"/>
    <w:rsid w:val="00283E32"/>
    <w:rsid w:val="00283EF7"/>
    <w:rsid w:val="0028438D"/>
    <w:rsid w:val="002845DE"/>
    <w:rsid w:val="00284AD6"/>
    <w:rsid w:val="00286661"/>
    <w:rsid w:val="00286C25"/>
    <w:rsid w:val="00287614"/>
    <w:rsid w:val="00290527"/>
    <w:rsid w:val="002913C1"/>
    <w:rsid w:val="00291829"/>
    <w:rsid w:val="0029204E"/>
    <w:rsid w:val="00292063"/>
    <w:rsid w:val="0029254B"/>
    <w:rsid w:val="00292896"/>
    <w:rsid w:val="002929DA"/>
    <w:rsid w:val="00292D09"/>
    <w:rsid w:val="00292ECF"/>
    <w:rsid w:val="00293B72"/>
    <w:rsid w:val="00293E8F"/>
    <w:rsid w:val="00294229"/>
    <w:rsid w:val="0029467C"/>
    <w:rsid w:val="00294E46"/>
    <w:rsid w:val="00295091"/>
    <w:rsid w:val="002950D9"/>
    <w:rsid w:val="00295161"/>
    <w:rsid w:val="0029521D"/>
    <w:rsid w:val="00295A2D"/>
    <w:rsid w:val="002963A4"/>
    <w:rsid w:val="00296C90"/>
    <w:rsid w:val="00297020"/>
    <w:rsid w:val="00297278"/>
    <w:rsid w:val="00297474"/>
    <w:rsid w:val="00297565"/>
    <w:rsid w:val="00297F70"/>
    <w:rsid w:val="002A1058"/>
    <w:rsid w:val="002A17F4"/>
    <w:rsid w:val="002A1A50"/>
    <w:rsid w:val="002A1AE9"/>
    <w:rsid w:val="002A241A"/>
    <w:rsid w:val="002A2A22"/>
    <w:rsid w:val="002A3354"/>
    <w:rsid w:val="002A39D2"/>
    <w:rsid w:val="002A3C51"/>
    <w:rsid w:val="002A3DBF"/>
    <w:rsid w:val="002A4948"/>
    <w:rsid w:val="002A4DF7"/>
    <w:rsid w:val="002A4E7B"/>
    <w:rsid w:val="002A4FF0"/>
    <w:rsid w:val="002A526A"/>
    <w:rsid w:val="002A5D67"/>
    <w:rsid w:val="002A5FF2"/>
    <w:rsid w:val="002A625A"/>
    <w:rsid w:val="002A639E"/>
    <w:rsid w:val="002A6A30"/>
    <w:rsid w:val="002A6B38"/>
    <w:rsid w:val="002A7167"/>
    <w:rsid w:val="002A7225"/>
    <w:rsid w:val="002A73A1"/>
    <w:rsid w:val="002B05B9"/>
    <w:rsid w:val="002B0965"/>
    <w:rsid w:val="002B0FA5"/>
    <w:rsid w:val="002B1051"/>
    <w:rsid w:val="002B1E99"/>
    <w:rsid w:val="002B213D"/>
    <w:rsid w:val="002B21ED"/>
    <w:rsid w:val="002B2492"/>
    <w:rsid w:val="002B2B06"/>
    <w:rsid w:val="002B2E48"/>
    <w:rsid w:val="002B3274"/>
    <w:rsid w:val="002B3AD0"/>
    <w:rsid w:val="002B3C01"/>
    <w:rsid w:val="002B4342"/>
    <w:rsid w:val="002B513E"/>
    <w:rsid w:val="002B52B3"/>
    <w:rsid w:val="002B66CF"/>
    <w:rsid w:val="002B678E"/>
    <w:rsid w:val="002B696C"/>
    <w:rsid w:val="002B75F9"/>
    <w:rsid w:val="002B7FF0"/>
    <w:rsid w:val="002C0243"/>
    <w:rsid w:val="002C0699"/>
    <w:rsid w:val="002C0710"/>
    <w:rsid w:val="002C0C9B"/>
    <w:rsid w:val="002C1183"/>
    <w:rsid w:val="002C1949"/>
    <w:rsid w:val="002C1A9D"/>
    <w:rsid w:val="002C1B52"/>
    <w:rsid w:val="002C1FD3"/>
    <w:rsid w:val="002C24E9"/>
    <w:rsid w:val="002C2531"/>
    <w:rsid w:val="002C272C"/>
    <w:rsid w:val="002C281D"/>
    <w:rsid w:val="002C2A34"/>
    <w:rsid w:val="002C30E3"/>
    <w:rsid w:val="002C356A"/>
    <w:rsid w:val="002C410A"/>
    <w:rsid w:val="002C59C4"/>
    <w:rsid w:val="002C711B"/>
    <w:rsid w:val="002C7E09"/>
    <w:rsid w:val="002D02DE"/>
    <w:rsid w:val="002D0AB7"/>
    <w:rsid w:val="002D0F4D"/>
    <w:rsid w:val="002D0F72"/>
    <w:rsid w:val="002D2107"/>
    <w:rsid w:val="002D21D3"/>
    <w:rsid w:val="002D2964"/>
    <w:rsid w:val="002D3141"/>
    <w:rsid w:val="002D3415"/>
    <w:rsid w:val="002D3457"/>
    <w:rsid w:val="002D40A7"/>
    <w:rsid w:val="002D4E09"/>
    <w:rsid w:val="002D5E1E"/>
    <w:rsid w:val="002D6201"/>
    <w:rsid w:val="002D66BF"/>
    <w:rsid w:val="002D71A6"/>
    <w:rsid w:val="002D72C2"/>
    <w:rsid w:val="002D756F"/>
    <w:rsid w:val="002D7D6E"/>
    <w:rsid w:val="002D7F1A"/>
    <w:rsid w:val="002E0515"/>
    <w:rsid w:val="002E09BD"/>
    <w:rsid w:val="002E0E37"/>
    <w:rsid w:val="002E2014"/>
    <w:rsid w:val="002E213F"/>
    <w:rsid w:val="002E21D5"/>
    <w:rsid w:val="002E2497"/>
    <w:rsid w:val="002E311D"/>
    <w:rsid w:val="002E3312"/>
    <w:rsid w:val="002E39BC"/>
    <w:rsid w:val="002E3E43"/>
    <w:rsid w:val="002E40C1"/>
    <w:rsid w:val="002E43D6"/>
    <w:rsid w:val="002E4B5A"/>
    <w:rsid w:val="002E5F1F"/>
    <w:rsid w:val="002E6978"/>
    <w:rsid w:val="002E6EEC"/>
    <w:rsid w:val="002E71A0"/>
    <w:rsid w:val="002E75D7"/>
    <w:rsid w:val="002E76B6"/>
    <w:rsid w:val="002E7B10"/>
    <w:rsid w:val="002F01C8"/>
    <w:rsid w:val="002F0A9E"/>
    <w:rsid w:val="002F0CE1"/>
    <w:rsid w:val="002F1103"/>
    <w:rsid w:val="002F15F3"/>
    <w:rsid w:val="002F1882"/>
    <w:rsid w:val="002F26FD"/>
    <w:rsid w:val="002F2968"/>
    <w:rsid w:val="002F2CA6"/>
    <w:rsid w:val="002F37D7"/>
    <w:rsid w:val="002F4277"/>
    <w:rsid w:val="002F4A32"/>
    <w:rsid w:val="002F4E72"/>
    <w:rsid w:val="002F4EA6"/>
    <w:rsid w:val="002F50BF"/>
    <w:rsid w:val="002F5192"/>
    <w:rsid w:val="002F5666"/>
    <w:rsid w:val="002F57A4"/>
    <w:rsid w:val="002F5CE3"/>
    <w:rsid w:val="002F5EED"/>
    <w:rsid w:val="002F643E"/>
    <w:rsid w:val="00300DC9"/>
    <w:rsid w:val="0030191C"/>
    <w:rsid w:val="00301DA2"/>
    <w:rsid w:val="0030217A"/>
    <w:rsid w:val="003023C1"/>
    <w:rsid w:val="003023CD"/>
    <w:rsid w:val="0030254E"/>
    <w:rsid w:val="003036AE"/>
    <w:rsid w:val="00304BCE"/>
    <w:rsid w:val="00304D38"/>
    <w:rsid w:val="00304F64"/>
    <w:rsid w:val="00305B50"/>
    <w:rsid w:val="00305C8B"/>
    <w:rsid w:val="00305D0C"/>
    <w:rsid w:val="003065C1"/>
    <w:rsid w:val="0030668E"/>
    <w:rsid w:val="00306898"/>
    <w:rsid w:val="00306B9A"/>
    <w:rsid w:val="0030707C"/>
    <w:rsid w:val="00307C10"/>
    <w:rsid w:val="00310089"/>
    <w:rsid w:val="0031049B"/>
    <w:rsid w:val="003113D9"/>
    <w:rsid w:val="003115BE"/>
    <w:rsid w:val="003115CA"/>
    <w:rsid w:val="00311A40"/>
    <w:rsid w:val="00312961"/>
    <w:rsid w:val="00312DD3"/>
    <w:rsid w:val="00313091"/>
    <w:rsid w:val="003133DC"/>
    <w:rsid w:val="00313D4E"/>
    <w:rsid w:val="00313D74"/>
    <w:rsid w:val="00315519"/>
    <w:rsid w:val="003156C8"/>
    <w:rsid w:val="003158D6"/>
    <w:rsid w:val="00315BBF"/>
    <w:rsid w:val="00315E54"/>
    <w:rsid w:val="0031644A"/>
    <w:rsid w:val="00316877"/>
    <w:rsid w:val="00316C1A"/>
    <w:rsid w:val="00316CDD"/>
    <w:rsid w:val="003178DC"/>
    <w:rsid w:val="00320AF4"/>
    <w:rsid w:val="00320F00"/>
    <w:rsid w:val="003215F1"/>
    <w:rsid w:val="00321647"/>
    <w:rsid w:val="0032164A"/>
    <w:rsid w:val="003217EE"/>
    <w:rsid w:val="00321F3C"/>
    <w:rsid w:val="00322226"/>
    <w:rsid w:val="00322B4F"/>
    <w:rsid w:val="00323C6B"/>
    <w:rsid w:val="00323CF1"/>
    <w:rsid w:val="00323D10"/>
    <w:rsid w:val="003244AC"/>
    <w:rsid w:val="00324651"/>
    <w:rsid w:val="00324B8E"/>
    <w:rsid w:val="00324BC0"/>
    <w:rsid w:val="00324D81"/>
    <w:rsid w:val="003252C0"/>
    <w:rsid w:val="003260EA"/>
    <w:rsid w:val="00326A59"/>
    <w:rsid w:val="0032729F"/>
    <w:rsid w:val="003278CC"/>
    <w:rsid w:val="00330066"/>
    <w:rsid w:val="003305DF"/>
    <w:rsid w:val="00330A5F"/>
    <w:rsid w:val="00330C21"/>
    <w:rsid w:val="00330DD9"/>
    <w:rsid w:val="00330DF8"/>
    <w:rsid w:val="00330E71"/>
    <w:rsid w:val="00330F13"/>
    <w:rsid w:val="003318C2"/>
    <w:rsid w:val="00331D7E"/>
    <w:rsid w:val="00331D98"/>
    <w:rsid w:val="00332861"/>
    <w:rsid w:val="00332984"/>
    <w:rsid w:val="00332F7E"/>
    <w:rsid w:val="003338A4"/>
    <w:rsid w:val="003338DE"/>
    <w:rsid w:val="00333DFF"/>
    <w:rsid w:val="0033423C"/>
    <w:rsid w:val="0033428C"/>
    <w:rsid w:val="00334C95"/>
    <w:rsid w:val="00334CAA"/>
    <w:rsid w:val="00334F6C"/>
    <w:rsid w:val="0033519B"/>
    <w:rsid w:val="003361EB"/>
    <w:rsid w:val="003367EC"/>
    <w:rsid w:val="00336DE1"/>
    <w:rsid w:val="00337635"/>
    <w:rsid w:val="00337C2C"/>
    <w:rsid w:val="00340155"/>
    <w:rsid w:val="003405F0"/>
    <w:rsid w:val="0034068F"/>
    <w:rsid w:val="00341685"/>
    <w:rsid w:val="00341F58"/>
    <w:rsid w:val="003427E1"/>
    <w:rsid w:val="00342D47"/>
    <w:rsid w:val="00342E4A"/>
    <w:rsid w:val="00343104"/>
    <w:rsid w:val="003431BD"/>
    <w:rsid w:val="0034320A"/>
    <w:rsid w:val="00343354"/>
    <w:rsid w:val="003437EF"/>
    <w:rsid w:val="003438EC"/>
    <w:rsid w:val="00343A5C"/>
    <w:rsid w:val="00346AB2"/>
    <w:rsid w:val="00346BA5"/>
    <w:rsid w:val="00346F5F"/>
    <w:rsid w:val="00347A83"/>
    <w:rsid w:val="00347AF5"/>
    <w:rsid w:val="00347B22"/>
    <w:rsid w:val="0035075F"/>
    <w:rsid w:val="00350F72"/>
    <w:rsid w:val="003514D0"/>
    <w:rsid w:val="0035178A"/>
    <w:rsid w:val="003522FB"/>
    <w:rsid w:val="00352E1B"/>
    <w:rsid w:val="00353105"/>
    <w:rsid w:val="00353449"/>
    <w:rsid w:val="00353AE4"/>
    <w:rsid w:val="00353B3F"/>
    <w:rsid w:val="00354B24"/>
    <w:rsid w:val="00355551"/>
    <w:rsid w:val="00355566"/>
    <w:rsid w:val="0035651C"/>
    <w:rsid w:val="00356643"/>
    <w:rsid w:val="00356983"/>
    <w:rsid w:val="00356CE4"/>
    <w:rsid w:val="00357573"/>
    <w:rsid w:val="00360015"/>
    <w:rsid w:val="003603D8"/>
    <w:rsid w:val="00360DEB"/>
    <w:rsid w:val="0036176E"/>
    <w:rsid w:val="00361CD7"/>
    <w:rsid w:val="00361E61"/>
    <w:rsid w:val="00362160"/>
    <w:rsid w:val="003623B7"/>
    <w:rsid w:val="003625DA"/>
    <w:rsid w:val="0036286B"/>
    <w:rsid w:val="003629D6"/>
    <w:rsid w:val="00362C72"/>
    <w:rsid w:val="00362F8E"/>
    <w:rsid w:val="00363207"/>
    <w:rsid w:val="00363814"/>
    <w:rsid w:val="00363B58"/>
    <w:rsid w:val="00363C0E"/>
    <w:rsid w:val="00364492"/>
    <w:rsid w:val="003644B2"/>
    <w:rsid w:val="00364B6B"/>
    <w:rsid w:val="00365292"/>
    <w:rsid w:val="00365334"/>
    <w:rsid w:val="00365502"/>
    <w:rsid w:val="00365C87"/>
    <w:rsid w:val="00366D8A"/>
    <w:rsid w:val="00367444"/>
    <w:rsid w:val="00367DF4"/>
    <w:rsid w:val="00367F2E"/>
    <w:rsid w:val="003700A3"/>
    <w:rsid w:val="00370D68"/>
    <w:rsid w:val="00371914"/>
    <w:rsid w:val="003731E5"/>
    <w:rsid w:val="00373723"/>
    <w:rsid w:val="00373C26"/>
    <w:rsid w:val="00374256"/>
    <w:rsid w:val="00374C31"/>
    <w:rsid w:val="00375600"/>
    <w:rsid w:val="00375D99"/>
    <w:rsid w:val="003760C8"/>
    <w:rsid w:val="0037644F"/>
    <w:rsid w:val="003764F1"/>
    <w:rsid w:val="00376DC1"/>
    <w:rsid w:val="00377E28"/>
    <w:rsid w:val="003800AD"/>
    <w:rsid w:val="00381738"/>
    <w:rsid w:val="00381E14"/>
    <w:rsid w:val="00382A6D"/>
    <w:rsid w:val="00382EDF"/>
    <w:rsid w:val="00383141"/>
    <w:rsid w:val="003835B2"/>
    <w:rsid w:val="00383883"/>
    <w:rsid w:val="00384522"/>
    <w:rsid w:val="0038490A"/>
    <w:rsid w:val="003852A8"/>
    <w:rsid w:val="00385602"/>
    <w:rsid w:val="00385C95"/>
    <w:rsid w:val="00386663"/>
    <w:rsid w:val="003866BE"/>
    <w:rsid w:val="00386942"/>
    <w:rsid w:val="0038738D"/>
    <w:rsid w:val="0039024F"/>
    <w:rsid w:val="00390A91"/>
    <w:rsid w:val="00391260"/>
    <w:rsid w:val="003916EB"/>
    <w:rsid w:val="0039204E"/>
    <w:rsid w:val="0039221D"/>
    <w:rsid w:val="00392E05"/>
    <w:rsid w:val="00393310"/>
    <w:rsid w:val="00393501"/>
    <w:rsid w:val="00393FE2"/>
    <w:rsid w:val="003941E9"/>
    <w:rsid w:val="003942F7"/>
    <w:rsid w:val="00394579"/>
    <w:rsid w:val="0039460F"/>
    <w:rsid w:val="00394615"/>
    <w:rsid w:val="00394AE2"/>
    <w:rsid w:val="00394EEF"/>
    <w:rsid w:val="00395184"/>
    <w:rsid w:val="003955AB"/>
    <w:rsid w:val="00397757"/>
    <w:rsid w:val="003979C5"/>
    <w:rsid w:val="003A0727"/>
    <w:rsid w:val="003A0888"/>
    <w:rsid w:val="003A0E03"/>
    <w:rsid w:val="003A1DCC"/>
    <w:rsid w:val="003A2551"/>
    <w:rsid w:val="003A267D"/>
    <w:rsid w:val="003A26B6"/>
    <w:rsid w:val="003A31CE"/>
    <w:rsid w:val="003A32D3"/>
    <w:rsid w:val="003A3329"/>
    <w:rsid w:val="003A39FB"/>
    <w:rsid w:val="003A3B02"/>
    <w:rsid w:val="003A4075"/>
    <w:rsid w:val="003A4477"/>
    <w:rsid w:val="003A44E7"/>
    <w:rsid w:val="003A4B4D"/>
    <w:rsid w:val="003A5D4C"/>
    <w:rsid w:val="003A60C1"/>
    <w:rsid w:val="003A62BE"/>
    <w:rsid w:val="003A63BF"/>
    <w:rsid w:val="003A6834"/>
    <w:rsid w:val="003A6F39"/>
    <w:rsid w:val="003A70E3"/>
    <w:rsid w:val="003A7259"/>
    <w:rsid w:val="003A72CE"/>
    <w:rsid w:val="003A7D91"/>
    <w:rsid w:val="003B01AF"/>
    <w:rsid w:val="003B1263"/>
    <w:rsid w:val="003B13F1"/>
    <w:rsid w:val="003B1699"/>
    <w:rsid w:val="003B2569"/>
    <w:rsid w:val="003B2D52"/>
    <w:rsid w:val="003B3303"/>
    <w:rsid w:val="003B474F"/>
    <w:rsid w:val="003B48EF"/>
    <w:rsid w:val="003B4CC3"/>
    <w:rsid w:val="003B4E42"/>
    <w:rsid w:val="003B522F"/>
    <w:rsid w:val="003B54EB"/>
    <w:rsid w:val="003B5A47"/>
    <w:rsid w:val="003B5EDD"/>
    <w:rsid w:val="003B6C57"/>
    <w:rsid w:val="003B7155"/>
    <w:rsid w:val="003B7D04"/>
    <w:rsid w:val="003B7D48"/>
    <w:rsid w:val="003C02EE"/>
    <w:rsid w:val="003C0325"/>
    <w:rsid w:val="003C0B3A"/>
    <w:rsid w:val="003C0BB2"/>
    <w:rsid w:val="003C11A4"/>
    <w:rsid w:val="003C127F"/>
    <w:rsid w:val="003C1723"/>
    <w:rsid w:val="003C20C9"/>
    <w:rsid w:val="003C276F"/>
    <w:rsid w:val="003C2BBD"/>
    <w:rsid w:val="003C2EDE"/>
    <w:rsid w:val="003C3D6B"/>
    <w:rsid w:val="003C42C9"/>
    <w:rsid w:val="003C4582"/>
    <w:rsid w:val="003C5006"/>
    <w:rsid w:val="003C5B64"/>
    <w:rsid w:val="003C5CD3"/>
    <w:rsid w:val="003C60F5"/>
    <w:rsid w:val="003C792E"/>
    <w:rsid w:val="003D05C3"/>
    <w:rsid w:val="003D0928"/>
    <w:rsid w:val="003D0D51"/>
    <w:rsid w:val="003D1290"/>
    <w:rsid w:val="003D19A7"/>
    <w:rsid w:val="003D1B59"/>
    <w:rsid w:val="003D1E18"/>
    <w:rsid w:val="003D21D2"/>
    <w:rsid w:val="003D269E"/>
    <w:rsid w:val="003D387F"/>
    <w:rsid w:val="003D4E1E"/>
    <w:rsid w:val="003D5630"/>
    <w:rsid w:val="003D5A6C"/>
    <w:rsid w:val="003D5A85"/>
    <w:rsid w:val="003D6390"/>
    <w:rsid w:val="003D63F3"/>
    <w:rsid w:val="003D71D4"/>
    <w:rsid w:val="003D75E4"/>
    <w:rsid w:val="003D7640"/>
    <w:rsid w:val="003D7C53"/>
    <w:rsid w:val="003E0331"/>
    <w:rsid w:val="003E12A4"/>
    <w:rsid w:val="003E1B07"/>
    <w:rsid w:val="003E1EC7"/>
    <w:rsid w:val="003E2701"/>
    <w:rsid w:val="003E2CE6"/>
    <w:rsid w:val="003E3349"/>
    <w:rsid w:val="003E38B9"/>
    <w:rsid w:val="003E44D8"/>
    <w:rsid w:val="003E4C19"/>
    <w:rsid w:val="003E4E42"/>
    <w:rsid w:val="003E52D4"/>
    <w:rsid w:val="003E58BF"/>
    <w:rsid w:val="003E5A66"/>
    <w:rsid w:val="003E5BD0"/>
    <w:rsid w:val="003E5EEC"/>
    <w:rsid w:val="003E69A6"/>
    <w:rsid w:val="003E70E5"/>
    <w:rsid w:val="003E73B2"/>
    <w:rsid w:val="003E7E85"/>
    <w:rsid w:val="003F0037"/>
    <w:rsid w:val="003F0530"/>
    <w:rsid w:val="003F0AD1"/>
    <w:rsid w:val="003F144F"/>
    <w:rsid w:val="003F169C"/>
    <w:rsid w:val="003F2034"/>
    <w:rsid w:val="003F2105"/>
    <w:rsid w:val="003F26E2"/>
    <w:rsid w:val="003F2EA1"/>
    <w:rsid w:val="003F312C"/>
    <w:rsid w:val="003F4164"/>
    <w:rsid w:val="003F597A"/>
    <w:rsid w:val="003F6B40"/>
    <w:rsid w:val="003F6DA4"/>
    <w:rsid w:val="003F7085"/>
    <w:rsid w:val="003F750F"/>
    <w:rsid w:val="003F76AB"/>
    <w:rsid w:val="003F7C80"/>
    <w:rsid w:val="003F7FC2"/>
    <w:rsid w:val="004000CB"/>
    <w:rsid w:val="004004D2"/>
    <w:rsid w:val="004008FB"/>
    <w:rsid w:val="00401279"/>
    <w:rsid w:val="0040226B"/>
    <w:rsid w:val="00402410"/>
    <w:rsid w:val="00402910"/>
    <w:rsid w:val="00403A7D"/>
    <w:rsid w:val="00403AFA"/>
    <w:rsid w:val="00404C7E"/>
    <w:rsid w:val="00405047"/>
    <w:rsid w:val="00405B16"/>
    <w:rsid w:val="00406152"/>
    <w:rsid w:val="00410DE4"/>
    <w:rsid w:val="00410FCE"/>
    <w:rsid w:val="004120F8"/>
    <w:rsid w:val="004121FB"/>
    <w:rsid w:val="004128E1"/>
    <w:rsid w:val="00412B17"/>
    <w:rsid w:val="00412CE7"/>
    <w:rsid w:val="00412EE1"/>
    <w:rsid w:val="004130B1"/>
    <w:rsid w:val="00413478"/>
    <w:rsid w:val="0041394F"/>
    <w:rsid w:val="00413B19"/>
    <w:rsid w:val="00413DC4"/>
    <w:rsid w:val="0041449C"/>
    <w:rsid w:val="00414887"/>
    <w:rsid w:val="0041494E"/>
    <w:rsid w:val="00414A86"/>
    <w:rsid w:val="00414BA1"/>
    <w:rsid w:val="00415410"/>
    <w:rsid w:val="00415631"/>
    <w:rsid w:val="004156FF"/>
    <w:rsid w:val="0041572E"/>
    <w:rsid w:val="0041596C"/>
    <w:rsid w:val="004162B1"/>
    <w:rsid w:val="0041678A"/>
    <w:rsid w:val="004169C6"/>
    <w:rsid w:val="00416C17"/>
    <w:rsid w:val="00417436"/>
    <w:rsid w:val="004175D7"/>
    <w:rsid w:val="00417674"/>
    <w:rsid w:val="00417DEB"/>
    <w:rsid w:val="00420606"/>
    <w:rsid w:val="00421873"/>
    <w:rsid w:val="00421A6B"/>
    <w:rsid w:val="00422D37"/>
    <w:rsid w:val="00422FF6"/>
    <w:rsid w:val="004236DC"/>
    <w:rsid w:val="00423743"/>
    <w:rsid w:val="004238A3"/>
    <w:rsid w:val="00423EBE"/>
    <w:rsid w:val="004243FA"/>
    <w:rsid w:val="0042451C"/>
    <w:rsid w:val="00424AB9"/>
    <w:rsid w:val="00424B26"/>
    <w:rsid w:val="00424BB0"/>
    <w:rsid w:val="00424FCA"/>
    <w:rsid w:val="0042502A"/>
    <w:rsid w:val="00425235"/>
    <w:rsid w:val="00425297"/>
    <w:rsid w:val="0042614E"/>
    <w:rsid w:val="00426343"/>
    <w:rsid w:val="00426675"/>
    <w:rsid w:val="004268BF"/>
    <w:rsid w:val="00426C0F"/>
    <w:rsid w:val="00427304"/>
    <w:rsid w:val="00427382"/>
    <w:rsid w:val="00427420"/>
    <w:rsid w:val="004279B2"/>
    <w:rsid w:val="0043005C"/>
    <w:rsid w:val="004304C7"/>
    <w:rsid w:val="004305BF"/>
    <w:rsid w:val="00430CA2"/>
    <w:rsid w:val="00431E73"/>
    <w:rsid w:val="00432225"/>
    <w:rsid w:val="004329BD"/>
    <w:rsid w:val="00433608"/>
    <w:rsid w:val="004336DA"/>
    <w:rsid w:val="0043384D"/>
    <w:rsid w:val="00433AEE"/>
    <w:rsid w:val="00433CDC"/>
    <w:rsid w:val="00433DDB"/>
    <w:rsid w:val="00433ED4"/>
    <w:rsid w:val="00434728"/>
    <w:rsid w:val="00434DB2"/>
    <w:rsid w:val="00434EA8"/>
    <w:rsid w:val="00435B18"/>
    <w:rsid w:val="00435D5A"/>
    <w:rsid w:val="00435D8B"/>
    <w:rsid w:val="0043776A"/>
    <w:rsid w:val="0043776C"/>
    <w:rsid w:val="004377A4"/>
    <w:rsid w:val="004400DB"/>
    <w:rsid w:val="0044028C"/>
    <w:rsid w:val="00440352"/>
    <w:rsid w:val="00440360"/>
    <w:rsid w:val="0044176C"/>
    <w:rsid w:val="00441DF4"/>
    <w:rsid w:val="004421B2"/>
    <w:rsid w:val="00443C94"/>
    <w:rsid w:val="00445475"/>
    <w:rsid w:val="00445B51"/>
    <w:rsid w:val="00445D94"/>
    <w:rsid w:val="00445F7A"/>
    <w:rsid w:val="0044606E"/>
    <w:rsid w:val="00446A9B"/>
    <w:rsid w:val="004478F0"/>
    <w:rsid w:val="00447AB2"/>
    <w:rsid w:val="004504F5"/>
    <w:rsid w:val="00450625"/>
    <w:rsid w:val="00450BE7"/>
    <w:rsid w:val="00450D8E"/>
    <w:rsid w:val="00451070"/>
    <w:rsid w:val="00451733"/>
    <w:rsid w:val="0045270D"/>
    <w:rsid w:val="004528D6"/>
    <w:rsid w:val="00452A64"/>
    <w:rsid w:val="00453DDB"/>
    <w:rsid w:val="004544D1"/>
    <w:rsid w:val="004545DD"/>
    <w:rsid w:val="004546AB"/>
    <w:rsid w:val="004555E2"/>
    <w:rsid w:val="00455787"/>
    <w:rsid w:val="00455E92"/>
    <w:rsid w:val="004561A7"/>
    <w:rsid w:val="00456269"/>
    <w:rsid w:val="00457F81"/>
    <w:rsid w:val="00460604"/>
    <w:rsid w:val="004609A0"/>
    <w:rsid w:val="0046187D"/>
    <w:rsid w:val="0046190E"/>
    <w:rsid w:val="00461DB9"/>
    <w:rsid w:val="00461F9A"/>
    <w:rsid w:val="00462BFF"/>
    <w:rsid w:val="0046362A"/>
    <w:rsid w:val="00463869"/>
    <w:rsid w:val="00463E84"/>
    <w:rsid w:val="004647EF"/>
    <w:rsid w:val="004654B6"/>
    <w:rsid w:val="00466F6F"/>
    <w:rsid w:val="00467001"/>
    <w:rsid w:val="00467F66"/>
    <w:rsid w:val="00470F23"/>
    <w:rsid w:val="0047132B"/>
    <w:rsid w:val="00472254"/>
    <w:rsid w:val="004727EA"/>
    <w:rsid w:val="00473C1C"/>
    <w:rsid w:val="004740A0"/>
    <w:rsid w:val="00474128"/>
    <w:rsid w:val="00474292"/>
    <w:rsid w:val="00474481"/>
    <w:rsid w:val="004752C2"/>
    <w:rsid w:val="0047565E"/>
    <w:rsid w:val="00475EB3"/>
    <w:rsid w:val="0047683F"/>
    <w:rsid w:val="00476B25"/>
    <w:rsid w:val="00476D05"/>
    <w:rsid w:val="00477F4F"/>
    <w:rsid w:val="00480043"/>
    <w:rsid w:val="00480855"/>
    <w:rsid w:val="00480E3A"/>
    <w:rsid w:val="00481A29"/>
    <w:rsid w:val="00481ADE"/>
    <w:rsid w:val="00481EBE"/>
    <w:rsid w:val="00482271"/>
    <w:rsid w:val="004826C7"/>
    <w:rsid w:val="00482835"/>
    <w:rsid w:val="004832F7"/>
    <w:rsid w:val="004833C1"/>
    <w:rsid w:val="0048347E"/>
    <w:rsid w:val="00483590"/>
    <w:rsid w:val="00483620"/>
    <w:rsid w:val="00483B3A"/>
    <w:rsid w:val="00483D80"/>
    <w:rsid w:val="00484355"/>
    <w:rsid w:val="00484ABF"/>
    <w:rsid w:val="004856E9"/>
    <w:rsid w:val="00485B94"/>
    <w:rsid w:val="0048624D"/>
    <w:rsid w:val="00487584"/>
    <w:rsid w:val="00487F6B"/>
    <w:rsid w:val="004902B1"/>
    <w:rsid w:val="00490707"/>
    <w:rsid w:val="004909FC"/>
    <w:rsid w:val="00491298"/>
    <w:rsid w:val="00491469"/>
    <w:rsid w:val="00491D47"/>
    <w:rsid w:val="00491D59"/>
    <w:rsid w:val="00492BD1"/>
    <w:rsid w:val="00492CC5"/>
    <w:rsid w:val="004931BD"/>
    <w:rsid w:val="00493553"/>
    <w:rsid w:val="00493A13"/>
    <w:rsid w:val="00493FDB"/>
    <w:rsid w:val="004940DA"/>
    <w:rsid w:val="00494435"/>
    <w:rsid w:val="00494E6A"/>
    <w:rsid w:val="0049500C"/>
    <w:rsid w:val="004950DF"/>
    <w:rsid w:val="004951C5"/>
    <w:rsid w:val="004952EE"/>
    <w:rsid w:val="0049572E"/>
    <w:rsid w:val="00495DD8"/>
    <w:rsid w:val="004973C9"/>
    <w:rsid w:val="00497409"/>
    <w:rsid w:val="004974D7"/>
    <w:rsid w:val="0049791B"/>
    <w:rsid w:val="00497FA3"/>
    <w:rsid w:val="004A03CD"/>
    <w:rsid w:val="004A07E6"/>
    <w:rsid w:val="004A0FB9"/>
    <w:rsid w:val="004A16EC"/>
    <w:rsid w:val="004A172E"/>
    <w:rsid w:val="004A185C"/>
    <w:rsid w:val="004A21C7"/>
    <w:rsid w:val="004A2516"/>
    <w:rsid w:val="004A2B1B"/>
    <w:rsid w:val="004A3324"/>
    <w:rsid w:val="004A34F8"/>
    <w:rsid w:val="004A372D"/>
    <w:rsid w:val="004A43FD"/>
    <w:rsid w:val="004A4437"/>
    <w:rsid w:val="004A47CA"/>
    <w:rsid w:val="004A4914"/>
    <w:rsid w:val="004A4CDC"/>
    <w:rsid w:val="004A71A6"/>
    <w:rsid w:val="004A720D"/>
    <w:rsid w:val="004A76F2"/>
    <w:rsid w:val="004A7EB5"/>
    <w:rsid w:val="004B138E"/>
    <w:rsid w:val="004B13DA"/>
    <w:rsid w:val="004B1B02"/>
    <w:rsid w:val="004B1DDB"/>
    <w:rsid w:val="004B268D"/>
    <w:rsid w:val="004B29EB"/>
    <w:rsid w:val="004B3234"/>
    <w:rsid w:val="004B356D"/>
    <w:rsid w:val="004B43C3"/>
    <w:rsid w:val="004B475B"/>
    <w:rsid w:val="004B4A44"/>
    <w:rsid w:val="004B4D75"/>
    <w:rsid w:val="004B559F"/>
    <w:rsid w:val="004B5983"/>
    <w:rsid w:val="004B5BBA"/>
    <w:rsid w:val="004B5ED4"/>
    <w:rsid w:val="004B5FC8"/>
    <w:rsid w:val="004B6308"/>
    <w:rsid w:val="004B6A22"/>
    <w:rsid w:val="004B6CC3"/>
    <w:rsid w:val="004B6DD5"/>
    <w:rsid w:val="004B745A"/>
    <w:rsid w:val="004B7497"/>
    <w:rsid w:val="004B7DA2"/>
    <w:rsid w:val="004C0363"/>
    <w:rsid w:val="004C0818"/>
    <w:rsid w:val="004C15E9"/>
    <w:rsid w:val="004C18D0"/>
    <w:rsid w:val="004C1C59"/>
    <w:rsid w:val="004C26A0"/>
    <w:rsid w:val="004C2A71"/>
    <w:rsid w:val="004C2FEC"/>
    <w:rsid w:val="004C30D9"/>
    <w:rsid w:val="004C38F8"/>
    <w:rsid w:val="004C4750"/>
    <w:rsid w:val="004C47C9"/>
    <w:rsid w:val="004C4EE0"/>
    <w:rsid w:val="004C4FDC"/>
    <w:rsid w:val="004C61A9"/>
    <w:rsid w:val="004C64B8"/>
    <w:rsid w:val="004C6589"/>
    <w:rsid w:val="004C66C7"/>
    <w:rsid w:val="004C672D"/>
    <w:rsid w:val="004C7093"/>
    <w:rsid w:val="004C7437"/>
    <w:rsid w:val="004C7438"/>
    <w:rsid w:val="004C7B7B"/>
    <w:rsid w:val="004D00A6"/>
    <w:rsid w:val="004D0E84"/>
    <w:rsid w:val="004D1A17"/>
    <w:rsid w:val="004D26EE"/>
    <w:rsid w:val="004D2FBF"/>
    <w:rsid w:val="004D48AF"/>
    <w:rsid w:val="004D4E90"/>
    <w:rsid w:val="004D4FFF"/>
    <w:rsid w:val="004D50E6"/>
    <w:rsid w:val="004D56FB"/>
    <w:rsid w:val="004D5AC8"/>
    <w:rsid w:val="004D5F60"/>
    <w:rsid w:val="004D6D8A"/>
    <w:rsid w:val="004D6FF9"/>
    <w:rsid w:val="004D7566"/>
    <w:rsid w:val="004D75D8"/>
    <w:rsid w:val="004D7640"/>
    <w:rsid w:val="004D7A92"/>
    <w:rsid w:val="004D7F55"/>
    <w:rsid w:val="004E2349"/>
    <w:rsid w:val="004E25B5"/>
    <w:rsid w:val="004E318C"/>
    <w:rsid w:val="004E3F31"/>
    <w:rsid w:val="004E493C"/>
    <w:rsid w:val="004E4D47"/>
    <w:rsid w:val="004E50E2"/>
    <w:rsid w:val="004E50F7"/>
    <w:rsid w:val="004E5836"/>
    <w:rsid w:val="004E61EA"/>
    <w:rsid w:val="004E6B6D"/>
    <w:rsid w:val="004E7071"/>
    <w:rsid w:val="004E7BE4"/>
    <w:rsid w:val="004E7D09"/>
    <w:rsid w:val="004F00CB"/>
    <w:rsid w:val="004F02B1"/>
    <w:rsid w:val="004F05BA"/>
    <w:rsid w:val="004F095B"/>
    <w:rsid w:val="004F0BA4"/>
    <w:rsid w:val="004F1692"/>
    <w:rsid w:val="004F17D9"/>
    <w:rsid w:val="004F1843"/>
    <w:rsid w:val="004F1BCB"/>
    <w:rsid w:val="004F276C"/>
    <w:rsid w:val="004F2E7E"/>
    <w:rsid w:val="004F2F5E"/>
    <w:rsid w:val="004F38CD"/>
    <w:rsid w:val="004F3DA6"/>
    <w:rsid w:val="004F3E51"/>
    <w:rsid w:val="004F417A"/>
    <w:rsid w:val="004F46D3"/>
    <w:rsid w:val="004F47FF"/>
    <w:rsid w:val="004F4A78"/>
    <w:rsid w:val="004F5953"/>
    <w:rsid w:val="004F59B3"/>
    <w:rsid w:val="004F6A81"/>
    <w:rsid w:val="004F743E"/>
    <w:rsid w:val="004F7B5E"/>
    <w:rsid w:val="004F7F17"/>
    <w:rsid w:val="005000C1"/>
    <w:rsid w:val="00500114"/>
    <w:rsid w:val="0050072F"/>
    <w:rsid w:val="00500A71"/>
    <w:rsid w:val="00500AE7"/>
    <w:rsid w:val="00500B4A"/>
    <w:rsid w:val="005014BE"/>
    <w:rsid w:val="00501AE3"/>
    <w:rsid w:val="00501D32"/>
    <w:rsid w:val="00501DAF"/>
    <w:rsid w:val="00502CAA"/>
    <w:rsid w:val="005047CD"/>
    <w:rsid w:val="0050519B"/>
    <w:rsid w:val="0050570C"/>
    <w:rsid w:val="00505DE2"/>
    <w:rsid w:val="00505E2E"/>
    <w:rsid w:val="005061AC"/>
    <w:rsid w:val="00506B55"/>
    <w:rsid w:val="00506D93"/>
    <w:rsid w:val="00507C6C"/>
    <w:rsid w:val="00507DF2"/>
    <w:rsid w:val="0051102B"/>
    <w:rsid w:val="005112B1"/>
    <w:rsid w:val="005121C6"/>
    <w:rsid w:val="0051226C"/>
    <w:rsid w:val="0051240E"/>
    <w:rsid w:val="00512624"/>
    <w:rsid w:val="00512F58"/>
    <w:rsid w:val="00513982"/>
    <w:rsid w:val="00513C9F"/>
    <w:rsid w:val="005140FE"/>
    <w:rsid w:val="005145EC"/>
    <w:rsid w:val="005151C2"/>
    <w:rsid w:val="0051576F"/>
    <w:rsid w:val="00515811"/>
    <w:rsid w:val="00515B29"/>
    <w:rsid w:val="005163C1"/>
    <w:rsid w:val="00516684"/>
    <w:rsid w:val="00517529"/>
    <w:rsid w:val="00520BFE"/>
    <w:rsid w:val="00521159"/>
    <w:rsid w:val="0052200B"/>
    <w:rsid w:val="005227F1"/>
    <w:rsid w:val="00522A9F"/>
    <w:rsid w:val="00523A1E"/>
    <w:rsid w:val="0052484D"/>
    <w:rsid w:val="00524880"/>
    <w:rsid w:val="00524C83"/>
    <w:rsid w:val="005251EA"/>
    <w:rsid w:val="00525CFD"/>
    <w:rsid w:val="00525E2A"/>
    <w:rsid w:val="005268C4"/>
    <w:rsid w:val="00526DB5"/>
    <w:rsid w:val="005270D7"/>
    <w:rsid w:val="00527CEE"/>
    <w:rsid w:val="00531759"/>
    <w:rsid w:val="005319C4"/>
    <w:rsid w:val="00531EF0"/>
    <w:rsid w:val="005331FE"/>
    <w:rsid w:val="00533361"/>
    <w:rsid w:val="00533370"/>
    <w:rsid w:val="00533739"/>
    <w:rsid w:val="00533C9C"/>
    <w:rsid w:val="005343F0"/>
    <w:rsid w:val="00535996"/>
    <w:rsid w:val="00535A0B"/>
    <w:rsid w:val="00535DF0"/>
    <w:rsid w:val="0053616F"/>
    <w:rsid w:val="00537427"/>
    <w:rsid w:val="005374BA"/>
    <w:rsid w:val="005376DB"/>
    <w:rsid w:val="00540690"/>
    <w:rsid w:val="00540903"/>
    <w:rsid w:val="00540A97"/>
    <w:rsid w:val="00540DF8"/>
    <w:rsid w:val="00540E4A"/>
    <w:rsid w:val="00540F51"/>
    <w:rsid w:val="005415B5"/>
    <w:rsid w:val="00541A26"/>
    <w:rsid w:val="00541AEC"/>
    <w:rsid w:val="00541FAA"/>
    <w:rsid w:val="00542F7B"/>
    <w:rsid w:val="00543D44"/>
    <w:rsid w:val="00543E7E"/>
    <w:rsid w:val="00544679"/>
    <w:rsid w:val="005447CF"/>
    <w:rsid w:val="00544837"/>
    <w:rsid w:val="00544873"/>
    <w:rsid w:val="00544917"/>
    <w:rsid w:val="0054546B"/>
    <w:rsid w:val="00546032"/>
    <w:rsid w:val="005464F6"/>
    <w:rsid w:val="0054675C"/>
    <w:rsid w:val="00546D4B"/>
    <w:rsid w:val="00547472"/>
    <w:rsid w:val="00550238"/>
    <w:rsid w:val="00550EFE"/>
    <w:rsid w:val="005528D4"/>
    <w:rsid w:val="00552B9E"/>
    <w:rsid w:val="0055357B"/>
    <w:rsid w:val="00553AEF"/>
    <w:rsid w:val="00553E21"/>
    <w:rsid w:val="00553E29"/>
    <w:rsid w:val="005542AD"/>
    <w:rsid w:val="00554A16"/>
    <w:rsid w:val="00554C7B"/>
    <w:rsid w:val="00554FAF"/>
    <w:rsid w:val="0055524C"/>
    <w:rsid w:val="00555493"/>
    <w:rsid w:val="00555C1E"/>
    <w:rsid w:val="00555DA0"/>
    <w:rsid w:val="00555F6A"/>
    <w:rsid w:val="00555FFA"/>
    <w:rsid w:val="005561D7"/>
    <w:rsid w:val="0055667D"/>
    <w:rsid w:val="00557050"/>
    <w:rsid w:val="005600D6"/>
    <w:rsid w:val="005600FB"/>
    <w:rsid w:val="0056043F"/>
    <w:rsid w:val="005610E6"/>
    <w:rsid w:val="0056139E"/>
    <w:rsid w:val="00561452"/>
    <w:rsid w:val="0056213E"/>
    <w:rsid w:val="0056251D"/>
    <w:rsid w:val="0056259F"/>
    <w:rsid w:val="005637AD"/>
    <w:rsid w:val="00564060"/>
    <w:rsid w:val="0056433B"/>
    <w:rsid w:val="00564929"/>
    <w:rsid w:val="00564F2F"/>
    <w:rsid w:val="00566533"/>
    <w:rsid w:val="00566639"/>
    <w:rsid w:val="00566A2E"/>
    <w:rsid w:val="00566C6B"/>
    <w:rsid w:val="005671A5"/>
    <w:rsid w:val="00567330"/>
    <w:rsid w:val="005700F8"/>
    <w:rsid w:val="00570335"/>
    <w:rsid w:val="0057088C"/>
    <w:rsid w:val="0057153C"/>
    <w:rsid w:val="005715B3"/>
    <w:rsid w:val="00571DAC"/>
    <w:rsid w:val="00572170"/>
    <w:rsid w:val="0057284E"/>
    <w:rsid w:val="00572B50"/>
    <w:rsid w:val="00572F3E"/>
    <w:rsid w:val="00572F44"/>
    <w:rsid w:val="00572FC6"/>
    <w:rsid w:val="0057354F"/>
    <w:rsid w:val="00574135"/>
    <w:rsid w:val="005752D2"/>
    <w:rsid w:val="00575B66"/>
    <w:rsid w:val="005772B7"/>
    <w:rsid w:val="00577512"/>
    <w:rsid w:val="00580054"/>
    <w:rsid w:val="00580673"/>
    <w:rsid w:val="00580D45"/>
    <w:rsid w:val="00580EF1"/>
    <w:rsid w:val="00581EC1"/>
    <w:rsid w:val="00583807"/>
    <w:rsid w:val="0058417E"/>
    <w:rsid w:val="0058442F"/>
    <w:rsid w:val="0058444B"/>
    <w:rsid w:val="00584542"/>
    <w:rsid w:val="00584D29"/>
    <w:rsid w:val="005855E4"/>
    <w:rsid w:val="00585F6C"/>
    <w:rsid w:val="0058608B"/>
    <w:rsid w:val="00586C18"/>
    <w:rsid w:val="00586F04"/>
    <w:rsid w:val="00587256"/>
    <w:rsid w:val="00587D1D"/>
    <w:rsid w:val="00590816"/>
    <w:rsid w:val="005913E7"/>
    <w:rsid w:val="0059164A"/>
    <w:rsid w:val="00591D02"/>
    <w:rsid w:val="00592A10"/>
    <w:rsid w:val="005933E6"/>
    <w:rsid w:val="00593780"/>
    <w:rsid w:val="00593AAC"/>
    <w:rsid w:val="00593D03"/>
    <w:rsid w:val="00593F77"/>
    <w:rsid w:val="005943E1"/>
    <w:rsid w:val="005945E7"/>
    <w:rsid w:val="00594FB8"/>
    <w:rsid w:val="00595014"/>
    <w:rsid w:val="00595526"/>
    <w:rsid w:val="00595F11"/>
    <w:rsid w:val="00596B59"/>
    <w:rsid w:val="0059773C"/>
    <w:rsid w:val="005978D2"/>
    <w:rsid w:val="005978ED"/>
    <w:rsid w:val="005A003C"/>
    <w:rsid w:val="005A05FA"/>
    <w:rsid w:val="005A08C4"/>
    <w:rsid w:val="005A157D"/>
    <w:rsid w:val="005A15B3"/>
    <w:rsid w:val="005A2295"/>
    <w:rsid w:val="005A35D9"/>
    <w:rsid w:val="005A3605"/>
    <w:rsid w:val="005A3E19"/>
    <w:rsid w:val="005A4E7A"/>
    <w:rsid w:val="005A4EA8"/>
    <w:rsid w:val="005A4F41"/>
    <w:rsid w:val="005A5191"/>
    <w:rsid w:val="005A524F"/>
    <w:rsid w:val="005A5294"/>
    <w:rsid w:val="005A59BE"/>
    <w:rsid w:val="005A7029"/>
    <w:rsid w:val="005A77FB"/>
    <w:rsid w:val="005A7BFD"/>
    <w:rsid w:val="005A7F24"/>
    <w:rsid w:val="005B078B"/>
    <w:rsid w:val="005B140F"/>
    <w:rsid w:val="005B1A85"/>
    <w:rsid w:val="005B3032"/>
    <w:rsid w:val="005B35DB"/>
    <w:rsid w:val="005B44D4"/>
    <w:rsid w:val="005B457C"/>
    <w:rsid w:val="005B4C6F"/>
    <w:rsid w:val="005B5391"/>
    <w:rsid w:val="005B5711"/>
    <w:rsid w:val="005B5A95"/>
    <w:rsid w:val="005B5F61"/>
    <w:rsid w:val="005B614A"/>
    <w:rsid w:val="005B6FBA"/>
    <w:rsid w:val="005B7584"/>
    <w:rsid w:val="005B7711"/>
    <w:rsid w:val="005B7DAD"/>
    <w:rsid w:val="005B7E45"/>
    <w:rsid w:val="005C011F"/>
    <w:rsid w:val="005C0191"/>
    <w:rsid w:val="005C0374"/>
    <w:rsid w:val="005C0831"/>
    <w:rsid w:val="005C0DCD"/>
    <w:rsid w:val="005C0FC9"/>
    <w:rsid w:val="005C10D6"/>
    <w:rsid w:val="005C10F9"/>
    <w:rsid w:val="005C195A"/>
    <w:rsid w:val="005C1A3A"/>
    <w:rsid w:val="005C1D61"/>
    <w:rsid w:val="005C2498"/>
    <w:rsid w:val="005C32B0"/>
    <w:rsid w:val="005C358F"/>
    <w:rsid w:val="005C3AF7"/>
    <w:rsid w:val="005C3D0C"/>
    <w:rsid w:val="005C45BD"/>
    <w:rsid w:val="005C5A75"/>
    <w:rsid w:val="005C5A7B"/>
    <w:rsid w:val="005C5ACD"/>
    <w:rsid w:val="005C5DD4"/>
    <w:rsid w:val="005C629C"/>
    <w:rsid w:val="005C62FD"/>
    <w:rsid w:val="005C66AC"/>
    <w:rsid w:val="005C6AA2"/>
    <w:rsid w:val="005C7252"/>
    <w:rsid w:val="005C747C"/>
    <w:rsid w:val="005C78A8"/>
    <w:rsid w:val="005C7CEC"/>
    <w:rsid w:val="005D00DB"/>
    <w:rsid w:val="005D0B5F"/>
    <w:rsid w:val="005D19E3"/>
    <w:rsid w:val="005D2159"/>
    <w:rsid w:val="005D2211"/>
    <w:rsid w:val="005D38F2"/>
    <w:rsid w:val="005D40B6"/>
    <w:rsid w:val="005D4581"/>
    <w:rsid w:val="005D461C"/>
    <w:rsid w:val="005D4DCE"/>
    <w:rsid w:val="005D5038"/>
    <w:rsid w:val="005D545D"/>
    <w:rsid w:val="005D5568"/>
    <w:rsid w:val="005D55B1"/>
    <w:rsid w:val="005D58CF"/>
    <w:rsid w:val="005D5BB7"/>
    <w:rsid w:val="005D5F1A"/>
    <w:rsid w:val="005D6E7C"/>
    <w:rsid w:val="005D72D9"/>
    <w:rsid w:val="005D760C"/>
    <w:rsid w:val="005E0E8E"/>
    <w:rsid w:val="005E0F43"/>
    <w:rsid w:val="005E1A0C"/>
    <w:rsid w:val="005E2227"/>
    <w:rsid w:val="005E26AA"/>
    <w:rsid w:val="005E2A69"/>
    <w:rsid w:val="005E3AE8"/>
    <w:rsid w:val="005E4211"/>
    <w:rsid w:val="005E48C6"/>
    <w:rsid w:val="005E5FE1"/>
    <w:rsid w:val="005E6789"/>
    <w:rsid w:val="005E7A40"/>
    <w:rsid w:val="005E7F6D"/>
    <w:rsid w:val="005F02D5"/>
    <w:rsid w:val="005F06EA"/>
    <w:rsid w:val="005F0BF6"/>
    <w:rsid w:val="005F13D0"/>
    <w:rsid w:val="005F25BB"/>
    <w:rsid w:val="005F352C"/>
    <w:rsid w:val="005F3FF0"/>
    <w:rsid w:val="005F53D9"/>
    <w:rsid w:val="005F5428"/>
    <w:rsid w:val="005F5ABF"/>
    <w:rsid w:val="005F5C65"/>
    <w:rsid w:val="005F6416"/>
    <w:rsid w:val="005F6BB9"/>
    <w:rsid w:val="005F72F3"/>
    <w:rsid w:val="005F7941"/>
    <w:rsid w:val="006006BB"/>
    <w:rsid w:val="00600974"/>
    <w:rsid w:val="00600C58"/>
    <w:rsid w:val="00601030"/>
    <w:rsid w:val="006015A9"/>
    <w:rsid w:val="00601C91"/>
    <w:rsid w:val="006022E7"/>
    <w:rsid w:val="006026EA"/>
    <w:rsid w:val="00602D03"/>
    <w:rsid w:val="006030EA"/>
    <w:rsid w:val="006033C2"/>
    <w:rsid w:val="00603417"/>
    <w:rsid w:val="00603547"/>
    <w:rsid w:val="00603D4F"/>
    <w:rsid w:val="00603F33"/>
    <w:rsid w:val="0060430C"/>
    <w:rsid w:val="0060445A"/>
    <w:rsid w:val="00604521"/>
    <w:rsid w:val="00604826"/>
    <w:rsid w:val="00604A2D"/>
    <w:rsid w:val="00604FC0"/>
    <w:rsid w:val="0060578C"/>
    <w:rsid w:val="00605CAB"/>
    <w:rsid w:val="00606238"/>
    <w:rsid w:val="00606F6D"/>
    <w:rsid w:val="00607EFF"/>
    <w:rsid w:val="00610117"/>
    <w:rsid w:val="0061017F"/>
    <w:rsid w:val="00610EEC"/>
    <w:rsid w:val="00611252"/>
    <w:rsid w:val="0061146E"/>
    <w:rsid w:val="00611866"/>
    <w:rsid w:val="00611EC7"/>
    <w:rsid w:val="00612277"/>
    <w:rsid w:val="0061254A"/>
    <w:rsid w:val="00612806"/>
    <w:rsid w:val="006128C2"/>
    <w:rsid w:val="006129FB"/>
    <w:rsid w:val="00613B96"/>
    <w:rsid w:val="00613D85"/>
    <w:rsid w:val="006143F4"/>
    <w:rsid w:val="00614B9D"/>
    <w:rsid w:val="00614CCD"/>
    <w:rsid w:val="00614DD2"/>
    <w:rsid w:val="00615EAD"/>
    <w:rsid w:val="0061673D"/>
    <w:rsid w:val="00616770"/>
    <w:rsid w:val="006167A5"/>
    <w:rsid w:val="0061688D"/>
    <w:rsid w:val="00616998"/>
    <w:rsid w:val="00616AB5"/>
    <w:rsid w:val="00616B8F"/>
    <w:rsid w:val="00616C4A"/>
    <w:rsid w:val="0061786D"/>
    <w:rsid w:val="00621437"/>
    <w:rsid w:val="00621620"/>
    <w:rsid w:val="006234EC"/>
    <w:rsid w:val="00623BB0"/>
    <w:rsid w:val="006243A0"/>
    <w:rsid w:val="0062491E"/>
    <w:rsid w:val="00624D45"/>
    <w:rsid w:val="00625575"/>
    <w:rsid w:val="006257EB"/>
    <w:rsid w:val="00625951"/>
    <w:rsid w:val="006263D1"/>
    <w:rsid w:val="00626461"/>
    <w:rsid w:val="00626571"/>
    <w:rsid w:val="0062746E"/>
    <w:rsid w:val="006278EF"/>
    <w:rsid w:val="00627A2E"/>
    <w:rsid w:val="00627DFD"/>
    <w:rsid w:val="00630035"/>
    <w:rsid w:val="00630FD1"/>
    <w:rsid w:val="006312DA"/>
    <w:rsid w:val="00631D2E"/>
    <w:rsid w:val="00631DD0"/>
    <w:rsid w:val="00632F3A"/>
    <w:rsid w:val="00633474"/>
    <w:rsid w:val="00634387"/>
    <w:rsid w:val="00634608"/>
    <w:rsid w:val="00634BF9"/>
    <w:rsid w:val="006351EF"/>
    <w:rsid w:val="006355C9"/>
    <w:rsid w:val="00635AA6"/>
    <w:rsid w:val="00635AE8"/>
    <w:rsid w:val="006364BF"/>
    <w:rsid w:val="00636C75"/>
    <w:rsid w:val="00636DE2"/>
    <w:rsid w:val="00637308"/>
    <w:rsid w:val="006377A2"/>
    <w:rsid w:val="006378CD"/>
    <w:rsid w:val="00637A6E"/>
    <w:rsid w:val="00637BBA"/>
    <w:rsid w:val="00637BF2"/>
    <w:rsid w:val="00637D18"/>
    <w:rsid w:val="00637E37"/>
    <w:rsid w:val="00637F0A"/>
    <w:rsid w:val="006404DA"/>
    <w:rsid w:val="00640977"/>
    <w:rsid w:val="00641EC3"/>
    <w:rsid w:val="00641FA2"/>
    <w:rsid w:val="00641FE3"/>
    <w:rsid w:val="00643097"/>
    <w:rsid w:val="006435D1"/>
    <w:rsid w:val="0064371D"/>
    <w:rsid w:val="00643BF9"/>
    <w:rsid w:val="006440D3"/>
    <w:rsid w:val="006443FB"/>
    <w:rsid w:val="006445DB"/>
    <w:rsid w:val="00644BD2"/>
    <w:rsid w:val="006452B3"/>
    <w:rsid w:val="00645A76"/>
    <w:rsid w:val="00645B1C"/>
    <w:rsid w:val="006465BE"/>
    <w:rsid w:val="0064712F"/>
    <w:rsid w:val="00647356"/>
    <w:rsid w:val="00647953"/>
    <w:rsid w:val="00647D21"/>
    <w:rsid w:val="00647FC1"/>
    <w:rsid w:val="00650638"/>
    <w:rsid w:val="00650DD8"/>
    <w:rsid w:val="006512C9"/>
    <w:rsid w:val="0065195B"/>
    <w:rsid w:val="00651E22"/>
    <w:rsid w:val="00652179"/>
    <w:rsid w:val="00653067"/>
    <w:rsid w:val="00653226"/>
    <w:rsid w:val="0065325D"/>
    <w:rsid w:val="006533CD"/>
    <w:rsid w:val="00653C0E"/>
    <w:rsid w:val="00654DBA"/>
    <w:rsid w:val="00656031"/>
    <w:rsid w:val="00656C4B"/>
    <w:rsid w:val="00656E14"/>
    <w:rsid w:val="00657266"/>
    <w:rsid w:val="00657591"/>
    <w:rsid w:val="00657828"/>
    <w:rsid w:val="00661030"/>
    <w:rsid w:val="00661681"/>
    <w:rsid w:val="006617D1"/>
    <w:rsid w:val="006624A7"/>
    <w:rsid w:val="006629AB"/>
    <w:rsid w:val="00663183"/>
    <w:rsid w:val="00664443"/>
    <w:rsid w:val="00664990"/>
    <w:rsid w:val="00664AB9"/>
    <w:rsid w:val="00664DAB"/>
    <w:rsid w:val="006652C6"/>
    <w:rsid w:val="006656D1"/>
    <w:rsid w:val="00666158"/>
    <w:rsid w:val="00666BEE"/>
    <w:rsid w:val="00666F3E"/>
    <w:rsid w:val="00667205"/>
    <w:rsid w:val="00667C49"/>
    <w:rsid w:val="00667E2D"/>
    <w:rsid w:val="00667F3E"/>
    <w:rsid w:val="0067024D"/>
    <w:rsid w:val="0067056A"/>
    <w:rsid w:val="006709B7"/>
    <w:rsid w:val="00670C02"/>
    <w:rsid w:val="00670F1F"/>
    <w:rsid w:val="006719B3"/>
    <w:rsid w:val="00671C42"/>
    <w:rsid w:val="00672750"/>
    <w:rsid w:val="00672B5B"/>
    <w:rsid w:val="00672D69"/>
    <w:rsid w:val="00673F74"/>
    <w:rsid w:val="0067445E"/>
    <w:rsid w:val="006748BE"/>
    <w:rsid w:val="00674DDC"/>
    <w:rsid w:val="00675773"/>
    <w:rsid w:val="00675A98"/>
    <w:rsid w:val="00675CD1"/>
    <w:rsid w:val="006762AA"/>
    <w:rsid w:val="00676343"/>
    <w:rsid w:val="0068011D"/>
    <w:rsid w:val="006808A6"/>
    <w:rsid w:val="00681ADB"/>
    <w:rsid w:val="0068244B"/>
    <w:rsid w:val="00682617"/>
    <w:rsid w:val="006827FC"/>
    <w:rsid w:val="00682F08"/>
    <w:rsid w:val="00682FE4"/>
    <w:rsid w:val="00683352"/>
    <w:rsid w:val="006838FE"/>
    <w:rsid w:val="00683B42"/>
    <w:rsid w:val="006850B3"/>
    <w:rsid w:val="006861AA"/>
    <w:rsid w:val="00686CCE"/>
    <w:rsid w:val="00687A2F"/>
    <w:rsid w:val="0069005E"/>
    <w:rsid w:val="0069071F"/>
    <w:rsid w:val="006910BB"/>
    <w:rsid w:val="00691809"/>
    <w:rsid w:val="006929C1"/>
    <w:rsid w:val="00692F55"/>
    <w:rsid w:val="00693043"/>
    <w:rsid w:val="00693AE1"/>
    <w:rsid w:val="00693FF1"/>
    <w:rsid w:val="00694324"/>
    <w:rsid w:val="006958F5"/>
    <w:rsid w:val="00697001"/>
    <w:rsid w:val="0069768A"/>
    <w:rsid w:val="006979DA"/>
    <w:rsid w:val="00697A65"/>
    <w:rsid w:val="006A0081"/>
    <w:rsid w:val="006A032F"/>
    <w:rsid w:val="006A085A"/>
    <w:rsid w:val="006A0D2D"/>
    <w:rsid w:val="006A0D5D"/>
    <w:rsid w:val="006A0F01"/>
    <w:rsid w:val="006A1C97"/>
    <w:rsid w:val="006A1D79"/>
    <w:rsid w:val="006A1D9C"/>
    <w:rsid w:val="006A1E79"/>
    <w:rsid w:val="006A2843"/>
    <w:rsid w:val="006A3C46"/>
    <w:rsid w:val="006A3D6D"/>
    <w:rsid w:val="006A46B0"/>
    <w:rsid w:val="006A4DDE"/>
    <w:rsid w:val="006A51DE"/>
    <w:rsid w:val="006A556E"/>
    <w:rsid w:val="006A5A1D"/>
    <w:rsid w:val="006A67B3"/>
    <w:rsid w:val="006A699B"/>
    <w:rsid w:val="006A6E0A"/>
    <w:rsid w:val="006A7496"/>
    <w:rsid w:val="006A7641"/>
    <w:rsid w:val="006A7704"/>
    <w:rsid w:val="006A7FCD"/>
    <w:rsid w:val="006B0079"/>
    <w:rsid w:val="006B0101"/>
    <w:rsid w:val="006B03C6"/>
    <w:rsid w:val="006B064F"/>
    <w:rsid w:val="006B1270"/>
    <w:rsid w:val="006B1962"/>
    <w:rsid w:val="006B2197"/>
    <w:rsid w:val="006B2280"/>
    <w:rsid w:val="006B23EC"/>
    <w:rsid w:val="006B3438"/>
    <w:rsid w:val="006B364C"/>
    <w:rsid w:val="006B3C5A"/>
    <w:rsid w:val="006B3D02"/>
    <w:rsid w:val="006B4561"/>
    <w:rsid w:val="006B5CA6"/>
    <w:rsid w:val="006B673B"/>
    <w:rsid w:val="006B695B"/>
    <w:rsid w:val="006B6D76"/>
    <w:rsid w:val="006B70E4"/>
    <w:rsid w:val="006B7CD4"/>
    <w:rsid w:val="006B7E44"/>
    <w:rsid w:val="006C0867"/>
    <w:rsid w:val="006C0D21"/>
    <w:rsid w:val="006C104E"/>
    <w:rsid w:val="006C1672"/>
    <w:rsid w:val="006C16BC"/>
    <w:rsid w:val="006C1883"/>
    <w:rsid w:val="006C280A"/>
    <w:rsid w:val="006C295E"/>
    <w:rsid w:val="006C29EE"/>
    <w:rsid w:val="006C2C64"/>
    <w:rsid w:val="006C3186"/>
    <w:rsid w:val="006C324D"/>
    <w:rsid w:val="006C33DC"/>
    <w:rsid w:val="006C3430"/>
    <w:rsid w:val="006C3A11"/>
    <w:rsid w:val="006C3E7F"/>
    <w:rsid w:val="006C4B05"/>
    <w:rsid w:val="006C4CAF"/>
    <w:rsid w:val="006C4E8F"/>
    <w:rsid w:val="006C5A4F"/>
    <w:rsid w:val="006C5C4D"/>
    <w:rsid w:val="006C5ED5"/>
    <w:rsid w:val="006C60E2"/>
    <w:rsid w:val="006C63D4"/>
    <w:rsid w:val="006C6C46"/>
    <w:rsid w:val="006C6EE8"/>
    <w:rsid w:val="006D0038"/>
    <w:rsid w:val="006D0FE9"/>
    <w:rsid w:val="006D1662"/>
    <w:rsid w:val="006D16FA"/>
    <w:rsid w:val="006D1F4A"/>
    <w:rsid w:val="006D2105"/>
    <w:rsid w:val="006D291E"/>
    <w:rsid w:val="006D35DF"/>
    <w:rsid w:val="006D38E1"/>
    <w:rsid w:val="006D40C2"/>
    <w:rsid w:val="006D4349"/>
    <w:rsid w:val="006D4860"/>
    <w:rsid w:val="006D486A"/>
    <w:rsid w:val="006D540F"/>
    <w:rsid w:val="006D5DBD"/>
    <w:rsid w:val="006D63BF"/>
    <w:rsid w:val="006D65F8"/>
    <w:rsid w:val="006D66A7"/>
    <w:rsid w:val="006D690B"/>
    <w:rsid w:val="006D6B8A"/>
    <w:rsid w:val="006E0C61"/>
    <w:rsid w:val="006E0DDC"/>
    <w:rsid w:val="006E1526"/>
    <w:rsid w:val="006E1F5B"/>
    <w:rsid w:val="006E1FE1"/>
    <w:rsid w:val="006E2202"/>
    <w:rsid w:val="006E23B6"/>
    <w:rsid w:val="006E3A2E"/>
    <w:rsid w:val="006E4689"/>
    <w:rsid w:val="006E4EAF"/>
    <w:rsid w:val="006E565E"/>
    <w:rsid w:val="006E58D1"/>
    <w:rsid w:val="006E67A2"/>
    <w:rsid w:val="006E6D63"/>
    <w:rsid w:val="006E772D"/>
    <w:rsid w:val="006F01D6"/>
    <w:rsid w:val="006F057C"/>
    <w:rsid w:val="006F0E8D"/>
    <w:rsid w:val="006F0E93"/>
    <w:rsid w:val="006F0F4D"/>
    <w:rsid w:val="006F0F9F"/>
    <w:rsid w:val="006F1319"/>
    <w:rsid w:val="006F15AD"/>
    <w:rsid w:val="006F178F"/>
    <w:rsid w:val="006F2004"/>
    <w:rsid w:val="006F2025"/>
    <w:rsid w:val="006F2492"/>
    <w:rsid w:val="006F2B6F"/>
    <w:rsid w:val="006F38A0"/>
    <w:rsid w:val="006F3E73"/>
    <w:rsid w:val="006F457B"/>
    <w:rsid w:val="006F4895"/>
    <w:rsid w:val="006F5409"/>
    <w:rsid w:val="006F5731"/>
    <w:rsid w:val="006F5A41"/>
    <w:rsid w:val="006F6214"/>
    <w:rsid w:val="006F64E3"/>
    <w:rsid w:val="006F79D6"/>
    <w:rsid w:val="006F7AC3"/>
    <w:rsid w:val="006F7B54"/>
    <w:rsid w:val="0070008F"/>
    <w:rsid w:val="007023AC"/>
    <w:rsid w:val="00702CD9"/>
    <w:rsid w:val="00703185"/>
    <w:rsid w:val="00703479"/>
    <w:rsid w:val="007034AD"/>
    <w:rsid w:val="00703628"/>
    <w:rsid w:val="007037B1"/>
    <w:rsid w:val="00704247"/>
    <w:rsid w:val="007045BE"/>
    <w:rsid w:val="00704A9A"/>
    <w:rsid w:val="0070560A"/>
    <w:rsid w:val="00705674"/>
    <w:rsid w:val="00705D59"/>
    <w:rsid w:val="0070607A"/>
    <w:rsid w:val="007068CB"/>
    <w:rsid w:val="007068E3"/>
    <w:rsid w:val="0070690A"/>
    <w:rsid w:val="00706C6E"/>
    <w:rsid w:val="0070709A"/>
    <w:rsid w:val="0070754A"/>
    <w:rsid w:val="007077CF"/>
    <w:rsid w:val="00707EE0"/>
    <w:rsid w:val="00710B45"/>
    <w:rsid w:val="00710B8C"/>
    <w:rsid w:val="00710FE3"/>
    <w:rsid w:val="007120DC"/>
    <w:rsid w:val="007120E9"/>
    <w:rsid w:val="0071377D"/>
    <w:rsid w:val="00713A6A"/>
    <w:rsid w:val="00713F1B"/>
    <w:rsid w:val="007155A5"/>
    <w:rsid w:val="00715938"/>
    <w:rsid w:val="00715B1E"/>
    <w:rsid w:val="00716AB8"/>
    <w:rsid w:val="00716B16"/>
    <w:rsid w:val="00716C2F"/>
    <w:rsid w:val="00716E19"/>
    <w:rsid w:val="00717128"/>
    <w:rsid w:val="00717A60"/>
    <w:rsid w:val="00720E93"/>
    <w:rsid w:val="0072141A"/>
    <w:rsid w:val="00721910"/>
    <w:rsid w:val="00721C98"/>
    <w:rsid w:val="00721EDD"/>
    <w:rsid w:val="0072318E"/>
    <w:rsid w:val="00723222"/>
    <w:rsid w:val="0072326F"/>
    <w:rsid w:val="00723869"/>
    <w:rsid w:val="00723C21"/>
    <w:rsid w:val="00724159"/>
    <w:rsid w:val="0072426C"/>
    <w:rsid w:val="00724CA3"/>
    <w:rsid w:val="007252E2"/>
    <w:rsid w:val="00725A67"/>
    <w:rsid w:val="0072663B"/>
    <w:rsid w:val="00726F7F"/>
    <w:rsid w:val="00727154"/>
    <w:rsid w:val="00727A59"/>
    <w:rsid w:val="00730D81"/>
    <w:rsid w:val="00730E4F"/>
    <w:rsid w:val="007310A1"/>
    <w:rsid w:val="00731592"/>
    <w:rsid w:val="007320F5"/>
    <w:rsid w:val="00732671"/>
    <w:rsid w:val="007336FB"/>
    <w:rsid w:val="00733851"/>
    <w:rsid w:val="0073409D"/>
    <w:rsid w:val="00734452"/>
    <w:rsid w:val="00734B1C"/>
    <w:rsid w:val="00734FD3"/>
    <w:rsid w:val="00735764"/>
    <w:rsid w:val="00736188"/>
    <w:rsid w:val="00736210"/>
    <w:rsid w:val="0073724D"/>
    <w:rsid w:val="007374E1"/>
    <w:rsid w:val="007377CB"/>
    <w:rsid w:val="00737E07"/>
    <w:rsid w:val="00737FC9"/>
    <w:rsid w:val="007405E1"/>
    <w:rsid w:val="00740984"/>
    <w:rsid w:val="00740BAC"/>
    <w:rsid w:val="00741143"/>
    <w:rsid w:val="007415F3"/>
    <w:rsid w:val="00741A58"/>
    <w:rsid w:val="00741D45"/>
    <w:rsid w:val="007429C4"/>
    <w:rsid w:val="0074305B"/>
    <w:rsid w:val="007447D5"/>
    <w:rsid w:val="00744D3F"/>
    <w:rsid w:val="0074521E"/>
    <w:rsid w:val="00745329"/>
    <w:rsid w:val="007461F7"/>
    <w:rsid w:val="00746D92"/>
    <w:rsid w:val="00746DCB"/>
    <w:rsid w:val="00747EF6"/>
    <w:rsid w:val="00750030"/>
    <w:rsid w:val="0075042C"/>
    <w:rsid w:val="00750E71"/>
    <w:rsid w:val="007513FF"/>
    <w:rsid w:val="00751734"/>
    <w:rsid w:val="0075194A"/>
    <w:rsid w:val="00752F13"/>
    <w:rsid w:val="007536CD"/>
    <w:rsid w:val="00753E3B"/>
    <w:rsid w:val="00753F67"/>
    <w:rsid w:val="0075456C"/>
    <w:rsid w:val="00754B8E"/>
    <w:rsid w:val="00754CA0"/>
    <w:rsid w:val="00754F18"/>
    <w:rsid w:val="00754F88"/>
    <w:rsid w:val="00755E7A"/>
    <w:rsid w:val="00756915"/>
    <w:rsid w:val="00756F37"/>
    <w:rsid w:val="00757434"/>
    <w:rsid w:val="00757B5D"/>
    <w:rsid w:val="00760597"/>
    <w:rsid w:val="00760E58"/>
    <w:rsid w:val="0076163D"/>
    <w:rsid w:val="0076195C"/>
    <w:rsid w:val="007635C4"/>
    <w:rsid w:val="00765103"/>
    <w:rsid w:val="0076538B"/>
    <w:rsid w:val="00765672"/>
    <w:rsid w:val="007659FF"/>
    <w:rsid w:val="00765B59"/>
    <w:rsid w:val="00766054"/>
    <w:rsid w:val="00770417"/>
    <w:rsid w:val="00770D50"/>
    <w:rsid w:val="00770F8C"/>
    <w:rsid w:val="00771DD3"/>
    <w:rsid w:val="00772583"/>
    <w:rsid w:val="00772803"/>
    <w:rsid w:val="00772ABB"/>
    <w:rsid w:val="00773719"/>
    <w:rsid w:val="007738DE"/>
    <w:rsid w:val="007742DC"/>
    <w:rsid w:val="0077479E"/>
    <w:rsid w:val="00774D8C"/>
    <w:rsid w:val="00775758"/>
    <w:rsid w:val="00775ECF"/>
    <w:rsid w:val="007763EB"/>
    <w:rsid w:val="007763F0"/>
    <w:rsid w:val="0077653B"/>
    <w:rsid w:val="0077688B"/>
    <w:rsid w:val="00776B0C"/>
    <w:rsid w:val="00776BE5"/>
    <w:rsid w:val="007772AB"/>
    <w:rsid w:val="00777B9A"/>
    <w:rsid w:val="00777C60"/>
    <w:rsid w:val="00780576"/>
    <w:rsid w:val="007806CD"/>
    <w:rsid w:val="00781A84"/>
    <w:rsid w:val="00781D1E"/>
    <w:rsid w:val="00781D2C"/>
    <w:rsid w:val="007820F9"/>
    <w:rsid w:val="00782AB9"/>
    <w:rsid w:val="00783145"/>
    <w:rsid w:val="007832EE"/>
    <w:rsid w:val="00784F6A"/>
    <w:rsid w:val="0078557D"/>
    <w:rsid w:val="007857FB"/>
    <w:rsid w:val="00785C79"/>
    <w:rsid w:val="0078645C"/>
    <w:rsid w:val="0078673A"/>
    <w:rsid w:val="00786D55"/>
    <w:rsid w:val="00786D60"/>
    <w:rsid w:val="007876C4"/>
    <w:rsid w:val="00787995"/>
    <w:rsid w:val="007904C1"/>
    <w:rsid w:val="007904F1"/>
    <w:rsid w:val="007909E0"/>
    <w:rsid w:val="00790F3D"/>
    <w:rsid w:val="00791E1A"/>
    <w:rsid w:val="00791E58"/>
    <w:rsid w:val="00792798"/>
    <w:rsid w:val="007927E8"/>
    <w:rsid w:val="0079285E"/>
    <w:rsid w:val="007932EA"/>
    <w:rsid w:val="007933FA"/>
    <w:rsid w:val="00793BB4"/>
    <w:rsid w:val="00793E1A"/>
    <w:rsid w:val="007943C9"/>
    <w:rsid w:val="00794A0F"/>
    <w:rsid w:val="00794CE0"/>
    <w:rsid w:val="007951EE"/>
    <w:rsid w:val="0079634C"/>
    <w:rsid w:val="00796B6E"/>
    <w:rsid w:val="00796EE6"/>
    <w:rsid w:val="00797417"/>
    <w:rsid w:val="00797506"/>
    <w:rsid w:val="0079750A"/>
    <w:rsid w:val="00797F9E"/>
    <w:rsid w:val="007A0159"/>
    <w:rsid w:val="007A05B1"/>
    <w:rsid w:val="007A05DD"/>
    <w:rsid w:val="007A09AE"/>
    <w:rsid w:val="007A0D5D"/>
    <w:rsid w:val="007A10D2"/>
    <w:rsid w:val="007A120B"/>
    <w:rsid w:val="007A17AC"/>
    <w:rsid w:val="007A2364"/>
    <w:rsid w:val="007A2AA0"/>
    <w:rsid w:val="007A35D1"/>
    <w:rsid w:val="007A3811"/>
    <w:rsid w:val="007A5195"/>
    <w:rsid w:val="007A5311"/>
    <w:rsid w:val="007A5C25"/>
    <w:rsid w:val="007A63D4"/>
    <w:rsid w:val="007A69A9"/>
    <w:rsid w:val="007A6D19"/>
    <w:rsid w:val="007B17AC"/>
    <w:rsid w:val="007B1EFD"/>
    <w:rsid w:val="007B240F"/>
    <w:rsid w:val="007B2F1C"/>
    <w:rsid w:val="007B3A8A"/>
    <w:rsid w:val="007B44C6"/>
    <w:rsid w:val="007B4533"/>
    <w:rsid w:val="007B45AC"/>
    <w:rsid w:val="007B4A41"/>
    <w:rsid w:val="007B4A61"/>
    <w:rsid w:val="007B4BD5"/>
    <w:rsid w:val="007B4C63"/>
    <w:rsid w:val="007B4F8D"/>
    <w:rsid w:val="007B5191"/>
    <w:rsid w:val="007B5F4A"/>
    <w:rsid w:val="007B65B0"/>
    <w:rsid w:val="007B6A2D"/>
    <w:rsid w:val="007B7159"/>
    <w:rsid w:val="007B724E"/>
    <w:rsid w:val="007B72FE"/>
    <w:rsid w:val="007B7CEF"/>
    <w:rsid w:val="007C0071"/>
    <w:rsid w:val="007C0A18"/>
    <w:rsid w:val="007C0C69"/>
    <w:rsid w:val="007C117B"/>
    <w:rsid w:val="007C11FB"/>
    <w:rsid w:val="007C19E4"/>
    <w:rsid w:val="007C27D5"/>
    <w:rsid w:val="007C2EDB"/>
    <w:rsid w:val="007C2F95"/>
    <w:rsid w:val="007C32F2"/>
    <w:rsid w:val="007C3753"/>
    <w:rsid w:val="007C3B45"/>
    <w:rsid w:val="007C3C79"/>
    <w:rsid w:val="007C509F"/>
    <w:rsid w:val="007C5335"/>
    <w:rsid w:val="007C5E8B"/>
    <w:rsid w:val="007C610E"/>
    <w:rsid w:val="007C65CF"/>
    <w:rsid w:val="007C691A"/>
    <w:rsid w:val="007C6E73"/>
    <w:rsid w:val="007C7486"/>
    <w:rsid w:val="007C77C9"/>
    <w:rsid w:val="007C77F5"/>
    <w:rsid w:val="007D0266"/>
    <w:rsid w:val="007D030D"/>
    <w:rsid w:val="007D065B"/>
    <w:rsid w:val="007D0A59"/>
    <w:rsid w:val="007D0E87"/>
    <w:rsid w:val="007D1039"/>
    <w:rsid w:val="007D224A"/>
    <w:rsid w:val="007D3104"/>
    <w:rsid w:val="007D392E"/>
    <w:rsid w:val="007D3BC3"/>
    <w:rsid w:val="007D4293"/>
    <w:rsid w:val="007D4326"/>
    <w:rsid w:val="007D486C"/>
    <w:rsid w:val="007D507D"/>
    <w:rsid w:val="007D51F1"/>
    <w:rsid w:val="007D554F"/>
    <w:rsid w:val="007D59D8"/>
    <w:rsid w:val="007D5A3C"/>
    <w:rsid w:val="007D5EC0"/>
    <w:rsid w:val="007D6FBC"/>
    <w:rsid w:val="007D7216"/>
    <w:rsid w:val="007D7682"/>
    <w:rsid w:val="007D7B96"/>
    <w:rsid w:val="007D7BF6"/>
    <w:rsid w:val="007E004F"/>
    <w:rsid w:val="007E04B0"/>
    <w:rsid w:val="007E0539"/>
    <w:rsid w:val="007E0A51"/>
    <w:rsid w:val="007E0C79"/>
    <w:rsid w:val="007E225B"/>
    <w:rsid w:val="007E243C"/>
    <w:rsid w:val="007E244C"/>
    <w:rsid w:val="007E3424"/>
    <w:rsid w:val="007E37CE"/>
    <w:rsid w:val="007E3A0C"/>
    <w:rsid w:val="007E3B08"/>
    <w:rsid w:val="007E46CF"/>
    <w:rsid w:val="007E4AAE"/>
    <w:rsid w:val="007E4AE7"/>
    <w:rsid w:val="007E4C53"/>
    <w:rsid w:val="007E65EC"/>
    <w:rsid w:val="007E69CA"/>
    <w:rsid w:val="007E6A9C"/>
    <w:rsid w:val="007E6B7E"/>
    <w:rsid w:val="007E6D2B"/>
    <w:rsid w:val="007E7125"/>
    <w:rsid w:val="007E722D"/>
    <w:rsid w:val="007F008A"/>
    <w:rsid w:val="007F02EA"/>
    <w:rsid w:val="007F0558"/>
    <w:rsid w:val="007F05E6"/>
    <w:rsid w:val="007F07DF"/>
    <w:rsid w:val="007F162D"/>
    <w:rsid w:val="007F21CF"/>
    <w:rsid w:val="007F27E7"/>
    <w:rsid w:val="007F286A"/>
    <w:rsid w:val="007F2BB1"/>
    <w:rsid w:val="007F3048"/>
    <w:rsid w:val="007F33EA"/>
    <w:rsid w:val="007F3655"/>
    <w:rsid w:val="007F386E"/>
    <w:rsid w:val="007F4245"/>
    <w:rsid w:val="007F42E5"/>
    <w:rsid w:val="007F4543"/>
    <w:rsid w:val="007F5E0F"/>
    <w:rsid w:val="007F62C4"/>
    <w:rsid w:val="007F6F2D"/>
    <w:rsid w:val="007F721B"/>
    <w:rsid w:val="007F738F"/>
    <w:rsid w:val="007F7B0C"/>
    <w:rsid w:val="00800A6F"/>
    <w:rsid w:val="00800D00"/>
    <w:rsid w:val="00801D8F"/>
    <w:rsid w:val="00801DF4"/>
    <w:rsid w:val="008021A8"/>
    <w:rsid w:val="00802201"/>
    <w:rsid w:val="0080257E"/>
    <w:rsid w:val="00802A2A"/>
    <w:rsid w:val="008034E6"/>
    <w:rsid w:val="00803B64"/>
    <w:rsid w:val="00803C7D"/>
    <w:rsid w:val="00803E0E"/>
    <w:rsid w:val="00803F53"/>
    <w:rsid w:val="00804344"/>
    <w:rsid w:val="0080467C"/>
    <w:rsid w:val="00804E8E"/>
    <w:rsid w:val="008051E4"/>
    <w:rsid w:val="008059D8"/>
    <w:rsid w:val="00805ED1"/>
    <w:rsid w:val="008062D8"/>
    <w:rsid w:val="0080703F"/>
    <w:rsid w:val="00810454"/>
    <w:rsid w:val="0081093E"/>
    <w:rsid w:val="00810BB2"/>
    <w:rsid w:val="00811B40"/>
    <w:rsid w:val="008121FE"/>
    <w:rsid w:val="008122CA"/>
    <w:rsid w:val="00812BAB"/>
    <w:rsid w:val="00812D43"/>
    <w:rsid w:val="00812F8D"/>
    <w:rsid w:val="0081332A"/>
    <w:rsid w:val="00813356"/>
    <w:rsid w:val="0081379C"/>
    <w:rsid w:val="00814DBA"/>
    <w:rsid w:val="00814F09"/>
    <w:rsid w:val="0081538F"/>
    <w:rsid w:val="008158F0"/>
    <w:rsid w:val="00815D99"/>
    <w:rsid w:val="00816604"/>
    <w:rsid w:val="00816876"/>
    <w:rsid w:val="008170DB"/>
    <w:rsid w:val="00817106"/>
    <w:rsid w:val="008177E2"/>
    <w:rsid w:val="0081798B"/>
    <w:rsid w:val="00820339"/>
    <w:rsid w:val="00820C16"/>
    <w:rsid w:val="00821416"/>
    <w:rsid w:val="00821448"/>
    <w:rsid w:val="008218EA"/>
    <w:rsid w:val="00821CFA"/>
    <w:rsid w:val="00822ED9"/>
    <w:rsid w:val="0082351A"/>
    <w:rsid w:val="00824156"/>
    <w:rsid w:val="0082454B"/>
    <w:rsid w:val="008249CA"/>
    <w:rsid w:val="00824C6D"/>
    <w:rsid w:val="008252DE"/>
    <w:rsid w:val="0082570E"/>
    <w:rsid w:val="008270D5"/>
    <w:rsid w:val="00827537"/>
    <w:rsid w:val="008276C5"/>
    <w:rsid w:val="008276D1"/>
    <w:rsid w:val="00827A1B"/>
    <w:rsid w:val="00827AF2"/>
    <w:rsid w:val="00827B03"/>
    <w:rsid w:val="00827B0B"/>
    <w:rsid w:val="00827C7D"/>
    <w:rsid w:val="008300EB"/>
    <w:rsid w:val="008313BE"/>
    <w:rsid w:val="0083191E"/>
    <w:rsid w:val="008320EA"/>
    <w:rsid w:val="008324A6"/>
    <w:rsid w:val="00832872"/>
    <w:rsid w:val="008328FB"/>
    <w:rsid w:val="00832BA4"/>
    <w:rsid w:val="00832F42"/>
    <w:rsid w:val="00833068"/>
    <w:rsid w:val="0083306A"/>
    <w:rsid w:val="00833DDB"/>
    <w:rsid w:val="00833E02"/>
    <w:rsid w:val="008347A2"/>
    <w:rsid w:val="008349C5"/>
    <w:rsid w:val="008354F1"/>
    <w:rsid w:val="008356B4"/>
    <w:rsid w:val="00835764"/>
    <w:rsid w:val="008363D9"/>
    <w:rsid w:val="008368D0"/>
    <w:rsid w:val="0083753C"/>
    <w:rsid w:val="00840075"/>
    <w:rsid w:val="008403D2"/>
    <w:rsid w:val="00840AA3"/>
    <w:rsid w:val="00840C1E"/>
    <w:rsid w:val="00840E49"/>
    <w:rsid w:val="0084146B"/>
    <w:rsid w:val="00842011"/>
    <w:rsid w:val="0084201F"/>
    <w:rsid w:val="00842387"/>
    <w:rsid w:val="00842A63"/>
    <w:rsid w:val="00842B96"/>
    <w:rsid w:val="00842D1D"/>
    <w:rsid w:val="008433F4"/>
    <w:rsid w:val="008434A3"/>
    <w:rsid w:val="00843661"/>
    <w:rsid w:val="00843E0A"/>
    <w:rsid w:val="00844136"/>
    <w:rsid w:val="008448E7"/>
    <w:rsid w:val="00844EBC"/>
    <w:rsid w:val="00847191"/>
    <w:rsid w:val="00847297"/>
    <w:rsid w:val="0084732B"/>
    <w:rsid w:val="00847F9C"/>
    <w:rsid w:val="00850BAD"/>
    <w:rsid w:val="00851E4C"/>
    <w:rsid w:val="00852BB5"/>
    <w:rsid w:val="00853182"/>
    <w:rsid w:val="00853535"/>
    <w:rsid w:val="0085391B"/>
    <w:rsid w:val="008545DB"/>
    <w:rsid w:val="00854A4E"/>
    <w:rsid w:val="008552A7"/>
    <w:rsid w:val="00855316"/>
    <w:rsid w:val="008554CB"/>
    <w:rsid w:val="00855EA9"/>
    <w:rsid w:val="00855EFF"/>
    <w:rsid w:val="0085692F"/>
    <w:rsid w:val="00856D31"/>
    <w:rsid w:val="00856FB8"/>
    <w:rsid w:val="00857194"/>
    <w:rsid w:val="00857770"/>
    <w:rsid w:val="008602C0"/>
    <w:rsid w:val="0086046C"/>
    <w:rsid w:val="0086066B"/>
    <w:rsid w:val="00860731"/>
    <w:rsid w:val="00862034"/>
    <w:rsid w:val="0086257E"/>
    <w:rsid w:val="00862A0D"/>
    <w:rsid w:val="008630F4"/>
    <w:rsid w:val="0086369D"/>
    <w:rsid w:val="008636A4"/>
    <w:rsid w:val="008636D4"/>
    <w:rsid w:val="008640E2"/>
    <w:rsid w:val="00864133"/>
    <w:rsid w:val="0086426C"/>
    <w:rsid w:val="0086479F"/>
    <w:rsid w:val="008648A1"/>
    <w:rsid w:val="00864B66"/>
    <w:rsid w:val="0086550D"/>
    <w:rsid w:val="00865969"/>
    <w:rsid w:val="00865C83"/>
    <w:rsid w:val="0086654D"/>
    <w:rsid w:val="008667C1"/>
    <w:rsid w:val="00866BC9"/>
    <w:rsid w:val="00867392"/>
    <w:rsid w:val="00867617"/>
    <w:rsid w:val="0086775C"/>
    <w:rsid w:val="00867D56"/>
    <w:rsid w:val="0087001B"/>
    <w:rsid w:val="00871738"/>
    <w:rsid w:val="00871C48"/>
    <w:rsid w:val="0087366F"/>
    <w:rsid w:val="008738FD"/>
    <w:rsid w:val="00873F3B"/>
    <w:rsid w:val="00874AC9"/>
    <w:rsid w:val="0087518C"/>
    <w:rsid w:val="0087539D"/>
    <w:rsid w:val="008754E6"/>
    <w:rsid w:val="00876459"/>
    <w:rsid w:val="008770B6"/>
    <w:rsid w:val="00877A79"/>
    <w:rsid w:val="00877F94"/>
    <w:rsid w:val="0088004E"/>
    <w:rsid w:val="008814FE"/>
    <w:rsid w:val="00881617"/>
    <w:rsid w:val="008817B5"/>
    <w:rsid w:val="00882471"/>
    <w:rsid w:val="008839D1"/>
    <w:rsid w:val="00883D1A"/>
    <w:rsid w:val="00883FC8"/>
    <w:rsid w:val="00884823"/>
    <w:rsid w:val="00884A35"/>
    <w:rsid w:val="00885241"/>
    <w:rsid w:val="00885751"/>
    <w:rsid w:val="0088591B"/>
    <w:rsid w:val="00885DFD"/>
    <w:rsid w:val="00886283"/>
    <w:rsid w:val="008862A4"/>
    <w:rsid w:val="0088642A"/>
    <w:rsid w:val="0088746A"/>
    <w:rsid w:val="0089012C"/>
    <w:rsid w:val="0089054C"/>
    <w:rsid w:val="0089081B"/>
    <w:rsid w:val="00890CFD"/>
    <w:rsid w:val="00891437"/>
    <w:rsid w:val="0089169E"/>
    <w:rsid w:val="00891911"/>
    <w:rsid w:val="00892B22"/>
    <w:rsid w:val="00892CE8"/>
    <w:rsid w:val="00892D68"/>
    <w:rsid w:val="00892F34"/>
    <w:rsid w:val="008934C0"/>
    <w:rsid w:val="00893602"/>
    <w:rsid w:val="00893694"/>
    <w:rsid w:val="00895231"/>
    <w:rsid w:val="008964E3"/>
    <w:rsid w:val="00896BFD"/>
    <w:rsid w:val="00896C4C"/>
    <w:rsid w:val="00896ED1"/>
    <w:rsid w:val="00897467"/>
    <w:rsid w:val="00897475"/>
    <w:rsid w:val="00897610"/>
    <w:rsid w:val="00897735"/>
    <w:rsid w:val="00897B83"/>
    <w:rsid w:val="00897F85"/>
    <w:rsid w:val="008A0318"/>
    <w:rsid w:val="008A075F"/>
    <w:rsid w:val="008A08EA"/>
    <w:rsid w:val="008A0E26"/>
    <w:rsid w:val="008A1292"/>
    <w:rsid w:val="008A19D7"/>
    <w:rsid w:val="008A1F30"/>
    <w:rsid w:val="008A2109"/>
    <w:rsid w:val="008A22DD"/>
    <w:rsid w:val="008A233A"/>
    <w:rsid w:val="008A2580"/>
    <w:rsid w:val="008A2739"/>
    <w:rsid w:val="008A2A6E"/>
    <w:rsid w:val="008A3239"/>
    <w:rsid w:val="008A3689"/>
    <w:rsid w:val="008A38D2"/>
    <w:rsid w:val="008A4343"/>
    <w:rsid w:val="008A459D"/>
    <w:rsid w:val="008A4FD8"/>
    <w:rsid w:val="008A5366"/>
    <w:rsid w:val="008A64CA"/>
    <w:rsid w:val="008A650E"/>
    <w:rsid w:val="008A6644"/>
    <w:rsid w:val="008A669F"/>
    <w:rsid w:val="008A6E14"/>
    <w:rsid w:val="008A71AE"/>
    <w:rsid w:val="008A756B"/>
    <w:rsid w:val="008A7F71"/>
    <w:rsid w:val="008B0285"/>
    <w:rsid w:val="008B0D61"/>
    <w:rsid w:val="008B0E19"/>
    <w:rsid w:val="008B13E8"/>
    <w:rsid w:val="008B1ED8"/>
    <w:rsid w:val="008B29CF"/>
    <w:rsid w:val="008B2DBF"/>
    <w:rsid w:val="008B320C"/>
    <w:rsid w:val="008B32E2"/>
    <w:rsid w:val="008B3AC4"/>
    <w:rsid w:val="008B3BD0"/>
    <w:rsid w:val="008B3CFA"/>
    <w:rsid w:val="008B44CC"/>
    <w:rsid w:val="008B46AD"/>
    <w:rsid w:val="008B4BD2"/>
    <w:rsid w:val="008B4E3A"/>
    <w:rsid w:val="008B52FC"/>
    <w:rsid w:val="008B5B80"/>
    <w:rsid w:val="008B6034"/>
    <w:rsid w:val="008B6226"/>
    <w:rsid w:val="008B67AE"/>
    <w:rsid w:val="008B6D5D"/>
    <w:rsid w:val="008B73FF"/>
    <w:rsid w:val="008B7781"/>
    <w:rsid w:val="008B7917"/>
    <w:rsid w:val="008B7B95"/>
    <w:rsid w:val="008B7D1E"/>
    <w:rsid w:val="008B7DAE"/>
    <w:rsid w:val="008C11F6"/>
    <w:rsid w:val="008C142F"/>
    <w:rsid w:val="008C18A3"/>
    <w:rsid w:val="008C1B97"/>
    <w:rsid w:val="008C21D8"/>
    <w:rsid w:val="008C3758"/>
    <w:rsid w:val="008C4F9F"/>
    <w:rsid w:val="008C5B8A"/>
    <w:rsid w:val="008C6028"/>
    <w:rsid w:val="008C6AAB"/>
    <w:rsid w:val="008C6CAE"/>
    <w:rsid w:val="008C7441"/>
    <w:rsid w:val="008C76C0"/>
    <w:rsid w:val="008C7A93"/>
    <w:rsid w:val="008C7B06"/>
    <w:rsid w:val="008C7E25"/>
    <w:rsid w:val="008D17FD"/>
    <w:rsid w:val="008D2D01"/>
    <w:rsid w:val="008D3916"/>
    <w:rsid w:val="008D3A9D"/>
    <w:rsid w:val="008D5290"/>
    <w:rsid w:val="008D5B9F"/>
    <w:rsid w:val="008D624D"/>
    <w:rsid w:val="008D6935"/>
    <w:rsid w:val="008D6F4A"/>
    <w:rsid w:val="008D7237"/>
    <w:rsid w:val="008D7528"/>
    <w:rsid w:val="008D7FF2"/>
    <w:rsid w:val="008E019F"/>
    <w:rsid w:val="008E01FF"/>
    <w:rsid w:val="008E0487"/>
    <w:rsid w:val="008E0647"/>
    <w:rsid w:val="008E1106"/>
    <w:rsid w:val="008E1434"/>
    <w:rsid w:val="008E14AC"/>
    <w:rsid w:val="008E1F59"/>
    <w:rsid w:val="008E258A"/>
    <w:rsid w:val="008E28E6"/>
    <w:rsid w:val="008E2B44"/>
    <w:rsid w:val="008E3276"/>
    <w:rsid w:val="008E34A6"/>
    <w:rsid w:val="008E34BC"/>
    <w:rsid w:val="008E380F"/>
    <w:rsid w:val="008E4120"/>
    <w:rsid w:val="008E42BA"/>
    <w:rsid w:val="008E467E"/>
    <w:rsid w:val="008E4E8E"/>
    <w:rsid w:val="008E4F99"/>
    <w:rsid w:val="008E529D"/>
    <w:rsid w:val="008E56BD"/>
    <w:rsid w:val="008E5F88"/>
    <w:rsid w:val="008E6128"/>
    <w:rsid w:val="008E7148"/>
    <w:rsid w:val="008E71C5"/>
    <w:rsid w:val="008E7AC6"/>
    <w:rsid w:val="008E7AED"/>
    <w:rsid w:val="008E7CF4"/>
    <w:rsid w:val="008F0559"/>
    <w:rsid w:val="008F1761"/>
    <w:rsid w:val="008F192C"/>
    <w:rsid w:val="008F3773"/>
    <w:rsid w:val="008F4F96"/>
    <w:rsid w:val="008F5028"/>
    <w:rsid w:val="008F56EA"/>
    <w:rsid w:val="008F5A3C"/>
    <w:rsid w:val="008F5D76"/>
    <w:rsid w:val="008F5EF5"/>
    <w:rsid w:val="008F6280"/>
    <w:rsid w:val="008F6769"/>
    <w:rsid w:val="008F6974"/>
    <w:rsid w:val="008F7536"/>
    <w:rsid w:val="008F77E2"/>
    <w:rsid w:val="00900093"/>
    <w:rsid w:val="0090041B"/>
    <w:rsid w:val="009005C1"/>
    <w:rsid w:val="0090083B"/>
    <w:rsid w:val="00900DBB"/>
    <w:rsid w:val="00900DE8"/>
    <w:rsid w:val="009010A1"/>
    <w:rsid w:val="00901420"/>
    <w:rsid w:val="0090183B"/>
    <w:rsid w:val="00901972"/>
    <w:rsid w:val="00902160"/>
    <w:rsid w:val="00902749"/>
    <w:rsid w:val="00902A5D"/>
    <w:rsid w:val="00902E20"/>
    <w:rsid w:val="00902F8B"/>
    <w:rsid w:val="009038FC"/>
    <w:rsid w:val="0090435E"/>
    <w:rsid w:val="0090472A"/>
    <w:rsid w:val="00904CEE"/>
    <w:rsid w:val="0090550A"/>
    <w:rsid w:val="00905723"/>
    <w:rsid w:val="009057D5"/>
    <w:rsid w:val="00905C32"/>
    <w:rsid w:val="0090647F"/>
    <w:rsid w:val="00906685"/>
    <w:rsid w:val="00906A07"/>
    <w:rsid w:val="00907AFD"/>
    <w:rsid w:val="00907B65"/>
    <w:rsid w:val="0091029F"/>
    <w:rsid w:val="00910871"/>
    <w:rsid w:val="0091227A"/>
    <w:rsid w:val="0091254F"/>
    <w:rsid w:val="00912803"/>
    <w:rsid w:val="0091308A"/>
    <w:rsid w:val="00913344"/>
    <w:rsid w:val="00913F5A"/>
    <w:rsid w:val="00915236"/>
    <w:rsid w:val="00915AB7"/>
    <w:rsid w:val="00915D7A"/>
    <w:rsid w:val="00916D90"/>
    <w:rsid w:val="0091737F"/>
    <w:rsid w:val="00917834"/>
    <w:rsid w:val="00917D2E"/>
    <w:rsid w:val="00917E94"/>
    <w:rsid w:val="00917F52"/>
    <w:rsid w:val="00920066"/>
    <w:rsid w:val="00920553"/>
    <w:rsid w:val="00920A98"/>
    <w:rsid w:val="00920C3C"/>
    <w:rsid w:val="00921CCB"/>
    <w:rsid w:val="00921D29"/>
    <w:rsid w:val="00921F19"/>
    <w:rsid w:val="009222E5"/>
    <w:rsid w:val="00922D0B"/>
    <w:rsid w:val="00922F59"/>
    <w:rsid w:val="00923756"/>
    <w:rsid w:val="00923A80"/>
    <w:rsid w:val="00924A3F"/>
    <w:rsid w:val="00924FC8"/>
    <w:rsid w:val="00925286"/>
    <w:rsid w:val="00925382"/>
    <w:rsid w:val="00926586"/>
    <w:rsid w:val="00926771"/>
    <w:rsid w:val="00926E3A"/>
    <w:rsid w:val="009272C9"/>
    <w:rsid w:val="00927FC6"/>
    <w:rsid w:val="009300CE"/>
    <w:rsid w:val="0093037C"/>
    <w:rsid w:val="009305A7"/>
    <w:rsid w:val="0093092A"/>
    <w:rsid w:val="00930AF0"/>
    <w:rsid w:val="009315FB"/>
    <w:rsid w:val="009318BF"/>
    <w:rsid w:val="00931AFB"/>
    <w:rsid w:val="00932EEB"/>
    <w:rsid w:val="009334C2"/>
    <w:rsid w:val="00933B71"/>
    <w:rsid w:val="00933CA5"/>
    <w:rsid w:val="00933EC5"/>
    <w:rsid w:val="00934184"/>
    <w:rsid w:val="009341A3"/>
    <w:rsid w:val="00934683"/>
    <w:rsid w:val="00934D63"/>
    <w:rsid w:val="00934E1F"/>
    <w:rsid w:val="00935630"/>
    <w:rsid w:val="00935879"/>
    <w:rsid w:val="009359F2"/>
    <w:rsid w:val="00936A59"/>
    <w:rsid w:val="00936FFC"/>
    <w:rsid w:val="009401C7"/>
    <w:rsid w:val="009422CB"/>
    <w:rsid w:val="00942477"/>
    <w:rsid w:val="0094249E"/>
    <w:rsid w:val="00942C0F"/>
    <w:rsid w:val="009439FA"/>
    <w:rsid w:val="00944266"/>
    <w:rsid w:val="00945B3B"/>
    <w:rsid w:val="00945F13"/>
    <w:rsid w:val="00946098"/>
    <w:rsid w:val="009462F3"/>
    <w:rsid w:val="00946442"/>
    <w:rsid w:val="00946891"/>
    <w:rsid w:val="00946EA2"/>
    <w:rsid w:val="00950EEC"/>
    <w:rsid w:val="00950F45"/>
    <w:rsid w:val="00952741"/>
    <w:rsid w:val="00952C79"/>
    <w:rsid w:val="00952CB9"/>
    <w:rsid w:val="009531DC"/>
    <w:rsid w:val="0095368A"/>
    <w:rsid w:val="00953DE5"/>
    <w:rsid w:val="00955347"/>
    <w:rsid w:val="00955DBE"/>
    <w:rsid w:val="0095630C"/>
    <w:rsid w:val="00956419"/>
    <w:rsid w:val="00956C0D"/>
    <w:rsid w:val="00957453"/>
    <w:rsid w:val="00957572"/>
    <w:rsid w:val="00960C78"/>
    <w:rsid w:val="00960D12"/>
    <w:rsid w:val="00960E7B"/>
    <w:rsid w:val="00961D7E"/>
    <w:rsid w:val="009624AE"/>
    <w:rsid w:val="00963002"/>
    <w:rsid w:val="00963A11"/>
    <w:rsid w:val="00963DA5"/>
    <w:rsid w:val="00963DFC"/>
    <w:rsid w:val="00965F20"/>
    <w:rsid w:val="00965FF7"/>
    <w:rsid w:val="00966FFE"/>
    <w:rsid w:val="009671A4"/>
    <w:rsid w:val="00967734"/>
    <w:rsid w:val="0097088A"/>
    <w:rsid w:val="009716BF"/>
    <w:rsid w:val="0097230B"/>
    <w:rsid w:val="00972680"/>
    <w:rsid w:val="00972981"/>
    <w:rsid w:val="00972DB0"/>
    <w:rsid w:val="00972FDC"/>
    <w:rsid w:val="00973010"/>
    <w:rsid w:val="009732D0"/>
    <w:rsid w:val="00973BBA"/>
    <w:rsid w:val="00974066"/>
    <w:rsid w:val="009741F3"/>
    <w:rsid w:val="009745D6"/>
    <w:rsid w:val="00974917"/>
    <w:rsid w:val="00974D00"/>
    <w:rsid w:val="00974F07"/>
    <w:rsid w:val="009752F2"/>
    <w:rsid w:val="00976C77"/>
    <w:rsid w:val="00977E9E"/>
    <w:rsid w:val="009807B4"/>
    <w:rsid w:val="00981474"/>
    <w:rsid w:val="00981AB1"/>
    <w:rsid w:val="00981C80"/>
    <w:rsid w:val="00981F25"/>
    <w:rsid w:val="009821BE"/>
    <w:rsid w:val="00982246"/>
    <w:rsid w:val="009827C1"/>
    <w:rsid w:val="009839ED"/>
    <w:rsid w:val="00983FCC"/>
    <w:rsid w:val="009848BD"/>
    <w:rsid w:val="009848E5"/>
    <w:rsid w:val="00984B8F"/>
    <w:rsid w:val="00985C38"/>
    <w:rsid w:val="00985F3A"/>
    <w:rsid w:val="009860BE"/>
    <w:rsid w:val="00987070"/>
    <w:rsid w:val="0098712C"/>
    <w:rsid w:val="009877D7"/>
    <w:rsid w:val="00987840"/>
    <w:rsid w:val="00987D4D"/>
    <w:rsid w:val="00987EDB"/>
    <w:rsid w:val="0099087D"/>
    <w:rsid w:val="00991317"/>
    <w:rsid w:val="0099195A"/>
    <w:rsid w:val="00991DCA"/>
    <w:rsid w:val="00992CD0"/>
    <w:rsid w:val="009934DB"/>
    <w:rsid w:val="00994597"/>
    <w:rsid w:val="009946F8"/>
    <w:rsid w:val="00994A85"/>
    <w:rsid w:val="00994B8B"/>
    <w:rsid w:val="00996570"/>
    <w:rsid w:val="00996919"/>
    <w:rsid w:val="009969A4"/>
    <w:rsid w:val="00996BD0"/>
    <w:rsid w:val="00996D3F"/>
    <w:rsid w:val="009972F5"/>
    <w:rsid w:val="00997E36"/>
    <w:rsid w:val="009A0C59"/>
    <w:rsid w:val="009A0F89"/>
    <w:rsid w:val="009A1124"/>
    <w:rsid w:val="009A11E9"/>
    <w:rsid w:val="009A12CF"/>
    <w:rsid w:val="009A12E3"/>
    <w:rsid w:val="009A1509"/>
    <w:rsid w:val="009A16A9"/>
    <w:rsid w:val="009A22E5"/>
    <w:rsid w:val="009A2DE0"/>
    <w:rsid w:val="009A34B0"/>
    <w:rsid w:val="009A3760"/>
    <w:rsid w:val="009A3C03"/>
    <w:rsid w:val="009A41C3"/>
    <w:rsid w:val="009A4201"/>
    <w:rsid w:val="009A4DC7"/>
    <w:rsid w:val="009A58E3"/>
    <w:rsid w:val="009A5A17"/>
    <w:rsid w:val="009A665A"/>
    <w:rsid w:val="009A67FC"/>
    <w:rsid w:val="009A79E0"/>
    <w:rsid w:val="009A7A03"/>
    <w:rsid w:val="009A7A3F"/>
    <w:rsid w:val="009B038E"/>
    <w:rsid w:val="009B1B58"/>
    <w:rsid w:val="009B1BF0"/>
    <w:rsid w:val="009B1C23"/>
    <w:rsid w:val="009B1C6E"/>
    <w:rsid w:val="009B26F0"/>
    <w:rsid w:val="009B3928"/>
    <w:rsid w:val="009B39DE"/>
    <w:rsid w:val="009B3A4D"/>
    <w:rsid w:val="009B50ED"/>
    <w:rsid w:val="009B51E0"/>
    <w:rsid w:val="009B57FD"/>
    <w:rsid w:val="009B6534"/>
    <w:rsid w:val="009B76AC"/>
    <w:rsid w:val="009B76B3"/>
    <w:rsid w:val="009C02BE"/>
    <w:rsid w:val="009C0695"/>
    <w:rsid w:val="009C0939"/>
    <w:rsid w:val="009C13AE"/>
    <w:rsid w:val="009C1FDC"/>
    <w:rsid w:val="009C2786"/>
    <w:rsid w:val="009C288A"/>
    <w:rsid w:val="009C2C4F"/>
    <w:rsid w:val="009C2C78"/>
    <w:rsid w:val="009C2F6F"/>
    <w:rsid w:val="009C3903"/>
    <w:rsid w:val="009C39FC"/>
    <w:rsid w:val="009C3B0E"/>
    <w:rsid w:val="009C473C"/>
    <w:rsid w:val="009C4970"/>
    <w:rsid w:val="009C4B72"/>
    <w:rsid w:val="009C4D23"/>
    <w:rsid w:val="009C558E"/>
    <w:rsid w:val="009C5C16"/>
    <w:rsid w:val="009C5EC4"/>
    <w:rsid w:val="009C5F63"/>
    <w:rsid w:val="009C5F9A"/>
    <w:rsid w:val="009C68A9"/>
    <w:rsid w:val="009C72A9"/>
    <w:rsid w:val="009C7CA1"/>
    <w:rsid w:val="009D0514"/>
    <w:rsid w:val="009D0DF5"/>
    <w:rsid w:val="009D1834"/>
    <w:rsid w:val="009D28B8"/>
    <w:rsid w:val="009D2BA2"/>
    <w:rsid w:val="009D2F6B"/>
    <w:rsid w:val="009D3AFE"/>
    <w:rsid w:val="009D3B73"/>
    <w:rsid w:val="009D4037"/>
    <w:rsid w:val="009D43A4"/>
    <w:rsid w:val="009D51BD"/>
    <w:rsid w:val="009D5DF3"/>
    <w:rsid w:val="009D6E39"/>
    <w:rsid w:val="009D6F3C"/>
    <w:rsid w:val="009D70B5"/>
    <w:rsid w:val="009D78A0"/>
    <w:rsid w:val="009D7F03"/>
    <w:rsid w:val="009E01DD"/>
    <w:rsid w:val="009E022E"/>
    <w:rsid w:val="009E0971"/>
    <w:rsid w:val="009E0ADB"/>
    <w:rsid w:val="009E154E"/>
    <w:rsid w:val="009E2196"/>
    <w:rsid w:val="009E2968"/>
    <w:rsid w:val="009E2C06"/>
    <w:rsid w:val="009E2D2D"/>
    <w:rsid w:val="009E3724"/>
    <w:rsid w:val="009E4713"/>
    <w:rsid w:val="009E53F2"/>
    <w:rsid w:val="009E54C4"/>
    <w:rsid w:val="009E5914"/>
    <w:rsid w:val="009E6D65"/>
    <w:rsid w:val="009E6E4F"/>
    <w:rsid w:val="009E722C"/>
    <w:rsid w:val="009E751A"/>
    <w:rsid w:val="009E763B"/>
    <w:rsid w:val="009F02DA"/>
    <w:rsid w:val="009F17C0"/>
    <w:rsid w:val="009F17C3"/>
    <w:rsid w:val="009F2865"/>
    <w:rsid w:val="009F37EB"/>
    <w:rsid w:val="009F3B6D"/>
    <w:rsid w:val="009F3DA5"/>
    <w:rsid w:val="009F4334"/>
    <w:rsid w:val="009F4C44"/>
    <w:rsid w:val="009F53CC"/>
    <w:rsid w:val="009F58D8"/>
    <w:rsid w:val="009F5B9C"/>
    <w:rsid w:val="009F5BAB"/>
    <w:rsid w:val="009F642F"/>
    <w:rsid w:val="00A00398"/>
    <w:rsid w:val="00A0062C"/>
    <w:rsid w:val="00A01033"/>
    <w:rsid w:val="00A01E09"/>
    <w:rsid w:val="00A02641"/>
    <w:rsid w:val="00A031CE"/>
    <w:rsid w:val="00A03C1F"/>
    <w:rsid w:val="00A04132"/>
    <w:rsid w:val="00A04D8D"/>
    <w:rsid w:val="00A05837"/>
    <w:rsid w:val="00A06814"/>
    <w:rsid w:val="00A076B5"/>
    <w:rsid w:val="00A07E25"/>
    <w:rsid w:val="00A10230"/>
    <w:rsid w:val="00A117F7"/>
    <w:rsid w:val="00A1193E"/>
    <w:rsid w:val="00A1194A"/>
    <w:rsid w:val="00A12D6B"/>
    <w:rsid w:val="00A13B40"/>
    <w:rsid w:val="00A150DC"/>
    <w:rsid w:val="00A156C3"/>
    <w:rsid w:val="00A15B94"/>
    <w:rsid w:val="00A15F76"/>
    <w:rsid w:val="00A17A83"/>
    <w:rsid w:val="00A17FF2"/>
    <w:rsid w:val="00A20577"/>
    <w:rsid w:val="00A2144B"/>
    <w:rsid w:val="00A21AD0"/>
    <w:rsid w:val="00A21AF5"/>
    <w:rsid w:val="00A21B16"/>
    <w:rsid w:val="00A21EC9"/>
    <w:rsid w:val="00A2253E"/>
    <w:rsid w:val="00A22EE7"/>
    <w:rsid w:val="00A23435"/>
    <w:rsid w:val="00A23A8E"/>
    <w:rsid w:val="00A24474"/>
    <w:rsid w:val="00A24FC6"/>
    <w:rsid w:val="00A24FC8"/>
    <w:rsid w:val="00A250CA"/>
    <w:rsid w:val="00A25446"/>
    <w:rsid w:val="00A25910"/>
    <w:rsid w:val="00A260DA"/>
    <w:rsid w:val="00A26264"/>
    <w:rsid w:val="00A268B1"/>
    <w:rsid w:val="00A27836"/>
    <w:rsid w:val="00A27F15"/>
    <w:rsid w:val="00A30180"/>
    <w:rsid w:val="00A30B3B"/>
    <w:rsid w:val="00A30BE4"/>
    <w:rsid w:val="00A30CC2"/>
    <w:rsid w:val="00A30F29"/>
    <w:rsid w:val="00A31F66"/>
    <w:rsid w:val="00A320B9"/>
    <w:rsid w:val="00A325C6"/>
    <w:rsid w:val="00A3271A"/>
    <w:rsid w:val="00A32756"/>
    <w:rsid w:val="00A3321B"/>
    <w:rsid w:val="00A34562"/>
    <w:rsid w:val="00A34D59"/>
    <w:rsid w:val="00A34E25"/>
    <w:rsid w:val="00A35294"/>
    <w:rsid w:val="00A35A42"/>
    <w:rsid w:val="00A36076"/>
    <w:rsid w:val="00A362E1"/>
    <w:rsid w:val="00A3645D"/>
    <w:rsid w:val="00A3645F"/>
    <w:rsid w:val="00A3659C"/>
    <w:rsid w:val="00A37A18"/>
    <w:rsid w:val="00A37E58"/>
    <w:rsid w:val="00A423D0"/>
    <w:rsid w:val="00A42C11"/>
    <w:rsid w:val="00A43498"/>
    <w:rsid w:val="00A4351C"/>
    <w:rsid w:val="00A43C0E"/>
    <w:rsid w:val="00A4435C"/>
    <w:rsid w:val="00A4465D"/>
    <w:rsid w:val="00A44EC8"/>
    <w:rsid w:val="00A4595E"/>
    <w:rsid w:val="00A4597B"/>
    <w:rsid w:val="00A46038"/>
    <w:rsid w:val="00A463ED"/>
    <w:rsid w:val="00A465E6"/>
    <w:rsid w:val="00A46774"/>
    <w:rsid w:val="00A46795"/>
    <w:rsid w:val="00A469C9"/>
    <w:rsid w:val="00A4737F"/>
    <w:rsid w:val="00A50D99"/>
    <w:rsid w:val="00A50F79"/>
    <w:rsid w:val="00A512C9"/>
    <w:rsid w:val="00A51360"/>
    <w:rsid w:val="00A51B8A"/>
    <w:rsid w:val="00A51DF3"/>
    <w:rsid w:val="00A52573"/>
    <w:rsid w:val="00A52895"/>
    <w:rsid w:val="00A53A58"/>
    <w:rsid w:val="00A55234"/>
    <w:rsid w:val="00A556FD"/>
    <w:rsid w:val="00A5584C"/>
    <w:rsid w:val="00A55DD7"/>
    <w:rsid w:val="00A56234"/>
    <w:rsid w:val="00A56AFD"/>
    <w:rsid w:val="00A5716D"/>
    <w:rsid w:val="00A572D5"/>
    <w:rsid w:val="00A572E5"/>
    <w:rsid w:val="00A57536"/>
    <w:rsid w:val="00A57707"/>
    <w:rsid w:val="00A57D9E"/>
    <w:rsid w:val="00A57F1B"/>
    <w:rsid w:val="00A61086"/>
    <w:rsid w:val="00A616DD"/>
    <w:rsid w:val="00A6175E"/>
    <w:rsid w:val="00A61945"/>
    <w:rsid w:val="00A626B5"/>
    <w:rsid w:val="00A6307A"/>
    <w:rsid w:val="00A638C9"/>
    <w:rsid w:val="00A63BD6"/>
    <w:rsid w:val="00A63BF1"/>
    <w:rsid w:val="00A63E54"/>
    <w:rsid w:val="00A63FA7"/>
    <w:rsid w:val="00A6450D"/>
    <w:rsid w:val="00A6514E"/>
    <w:rsid w:val="00A65416"/>
    <w:rsid w:val="00A66675"/>
    <w:rsid w:val="00A668BA"/>
    <w:rsid w:val="00A66B2A"/>
    <w:rsid w:val="00A671A4"/>
    <w:rsid w:val="00A67AAF"/>
    <w:rsid w:val="00A67D3C"/>
    <w:rsid w:val="00A704C4"/>
    <w:rsid w:val="00A707D1"/>
    <w:rsid w:val="00A70FD5"/>
    <w:rsid w:val="00A7144D"/>
    <w:rsid w:val="00A71B09"/>
    <w:rsid w:val="00A71D6A"/>
    <w:rsid w:val="00A71E78"/>
    <w:rsid w:val="00A71EDC"/>
    <w:rsid w:val="00A71F7B"/>
    <w:rsid w:val="00A725D6"/>
    <w:rsid w:val="00A73481"/>
    <w:rsid w:val="00A73700"/>
    <w:rsid w:val="00A73B98"/>
    <w:rsid w:val="00A73CD6"/>
    <w:rsid w:val="00A73FC8"/>
    <w:rsid w:val="00A73FCD"/>
    <w:rsid w:val="00A74042"/>
    <w:rsid w:val="00A74093"/>
    <w:rsid w:val="00A7432A"/>
    <w:rsid w:val="00A74BFD"/>
    <w:rsid w:val="00A753E4"/>
    <w:rsid w:val="00A758F1"/>
    <w:rsid w:val="00A75C48"/>
    <w:rsid w:val="00A7656B"/>
    <w:rsid w:val="00A7776E"/>
    <w:rsid w:val="00A777B3"/>
    <w:rsid w:val="00A778A9"/>
    <w:rsid w:val="00A77909"/>
    <w:rsid w:val="00A77AE7"/>
    <w:rsid w:val="00A801AF"/>
    <w:rsid w:val="00A8096E"/>
    <w:rsid w:val="00A827D0"/>
    <w:rsid w:val="00A833E6"/>
    <w:rsid w:val="00A83469"/>
    <w:rsid w:val="00A835C7"/>
    <w:rsid w:val="00A83A08"/>
    <w:rsid w:val="00A83FCA"/>
    <w:rsid w:val="00A84036"/>
    <w:rsid w:val="00A8420E"/>
    <w:rsid w:val="00A8445B"/>
    <w:rsid w:val="00A84CD3"/>
    <w:rsid w:val="00A84D7A"/>
    <w:rsid w:val="00A860E4"/>
    <w:rsid w:val="00A86236"/>
    <w:rsid w:val="00A8636B"/>
    <w:rsid w:val="00A874D7"/>
    <w:rsid w:val="00A87B11"/>
    <w:rsid w:val="00A90962"/>
    <w:rsid w:val="00A919E2"/>
    <w:rsid w:val="00A91D72"/>
    <w:rsid w:val="00A922A3"/>
    <w:rsid w:val="00A93DC7"/>
    <w:rsid w:val="00A94822"/>
    <w:rsid w:val="00A95676"/>
    <w:rsid w:val="00A95983"/>
    <w:rsid w:val="00A95B5C"/>
    <w:rsid w:val="00A962E6"/>
    <w:rsid w:val="00A963C9"/>
    <w:rsid w:val="00A966DC"/>
    <w:rsid w:val="00A96795"/>
    <w:rsid w:val="00A967F1"/>
    <w:rsid w:val="00A967FC"/>
    <w:rsid w:val="00A96982"/>
    <w:rsid w:val="00A96D9E"/>
    <w:rsid w:val="00A97514"/>
    <w:rsid w:val="00A97AA9"/>
    <w:rsid w:val="00A97CD4"/>
    <w:rsid w:val="00AA00C8"/>
    <w:rsid w:val="00AA0923"/>
    <w:rsid w:val="00AA0B4A"/>
    <w:rsid w:val="00AA14BD"/>
    <w:rsid w:val="00AA1E17"/>
    <w:rsid w:val="00AA2119"/>
    <w:rsid w:val="00AA26B2"/>
    <w:rsid w:val="00AA272F"/>
    <w:rsid w:val="00AA27C0"/>
    <w:rsid w:val="00AA29D4"/>
    <w:rsid w:val="00AA2B4E"/>
    <w:rsid w:val="00AA32D3"/>
    <w:rsid w:val="00AA33C5"/>
    <w:rsid w:val="00AA33E4"/>
    <w:rsid w:val="00AA3718"/>
    <w:rsid w:val="00AA487B"/>
    <w:rsid w:val="00AA4C6F"/>
    <w:rsid w:val="00AA62D0"/>
    <w:rsid w:val="00AA6B37"/>
    <w:rsid w:val="00AA7709"/>
    <w:rsid w:val="00AA7B65"/>
    <w:rsid w:val="00AB0DD2"/>
    <w:rsid w:val="00AB0E73"/>
    <w:rsid w:val="00AB1590"/>
    <w:rsid w:val="00AB1A68"/>
    <w:rsid w:val="00AB1D0D"/>
    <w:rsid w:val="00AB1D2F"/>
    <w:rsid w:val="00AB2A75"/>
    <w:rsid w:val="00AB358E"/>
    <w:rsid w:val="00AB38ED"/>
    <w:rsid w:val="00AB3F09"/>
    <w:rsid w:val="00AB44E1"/>
    <w:rsid w:val="00AB4E0C"/>
    <w:rsid w:val="00AB4FD5"/>
    <w:rsid w:val="00AB5271"/>
    <w:rsid w:val="00AB547E"/>
    <w:rsid w:val="00AB56CD"/>
    <w:rsid w:val="00AB59DD"/>
    <w:rsid w:val="00AB5D86"/>
    <w:rsid w:val="00AB5F2F"/>
    <w:rsid w:val="00AB6862"/>
    <w:rsid w:val="00AB6B6C"/>
    <w:rsid w:val="00AB6DA5"/>
    <w:rsid w:val="00AB7273"/>
    <w:rsid w:val="00AB7E44"/>
    <w:rsid w:val="00AB7EE2"/>
    <w:rsid w:val="00AC06B3"/>
    <w:rsid w:val="00AC0C7D"/>
    <w:rsid w:val="00AC0D2B"/>
    <w:rsid w:val="00AC0D9D"/>
    <w:rsid w:val="00AC1117"/>
    <w:rsid w:val="00AC1B2F"/>
    <w:rsid w:val="00AC1DC4"/>
    <w:rsid w:val="00AC2DAF"/>
    <w:rsid w:val="00AC315D"/>
    <w:rsid w:val="00AC323B"/>
    <w:rsid w:val="00AC3661"/>
    <w:rsid w:val="00AC3DBA"/>
    <w:rsid w:val="00AC43AF"/>
    <w:rsid w:val="00AC4E5E"/>
    <w:rsid w:val="00AC4E81"/>
    <w:rsid w:val="00AC4E93"/>
    <w:rsid w:val="00AC6D77"/>
    <w:rsid w:val="00AC6DFA"/>
    <w:rsid w:val="00AC7BB3"/>
    <w:rsid w:val="00AD0767"/>
    <w:rsid w:val="00AD0E16"/>
    <w:rsid w:val="00AD1A20"/>
    <w:rsid w:val="00AD2147"/>
    <w:rsid w:val="00AD29D8"/>
    <w:rsid w:val="00AD29D9"/>
    <w:rsid w:val="00AD34FE"/>
    <w:rsid w:val="00AD47BA"/>
    <w:rsid w:val="00AD4971"/>
    <w:rsid w:val="00AD4A8E"/>
    <w:rsid w:val="00AD4AFD"/>
    <w:rsid w:val="00AD4E34"/>
    <w:rsid w:val="00AD54C8"/>
    <w:rsid w:val="00AD57E0"/>
    <w:rsid w:val="00AD5854"/>
    <w:rsid w:val="00AD5F9B"/>
    <w:rsid w:val="00AD5FC0"/>
    <w:rsid w:val="00AD5FD1"/>
    <w:rsid w:val="00AD626E"/>
    <w:rsid w:val="00AD6630"/>
    <w:rsid w:val="00AD6687"/>
    <w:rsid w:val="00AD6F32"/>
    <w:rsid w:val="00AD7125"/>
    <w:rsid w:val="00AD722B"/>
    <w:rsid w:val="00AD764D"/>
    <w:rsid w:val="00AE069C"/>
    <w:rsid w:val="00AE1681"/>
    <w:rsid w:val="00AE1EBD"/>
    <w:rsid w:val="00AE2BAC"/>
    <w:rsid w:val="00AE2BDD"/>
    <w:rsid w:val="00AE2CA4"/>
    <w:rsid w:val="00AE4320"/>
    <w:rsid w:val="00AE49C9"/>
    <w:rsid w:val="00AE4FC0"/>
    <w:rsid w:val="00AE4FFA"/>
    <w:rsid w:val="00AE52C6"/>
    <w:rsid w:val="00AE5739"/>
    <w:rsid w:val="00AE5998"/>
    <w:rsid w:val="00AE5B0F"/>
    <w:rsid w:val="00AE644E"/>
    <w:rsid w:val="00AE6694"/>
    <w:rsid w:val="00AE75EC"/>
    <w:rsid w:val="00AE7B15"/>
    <w:rsid w:val="00AE7D9C"/>
    <w:rsid w:val="00AE7E9F"/>
    <w:rsid w:val="00AF0130"/>
    <w:rsid w:val="00AF025D"/>
    <w:rsid w:val="00AF1574"/>
    <w:rsid w:val="00AF2062"/>
    <w:rsid w:val="00AF3159"/>
    <w:rsid w:val="00AF324B"/>
    <w:rsid w:val="00AF3545"/>
    <w:rsid w:val="00AF40BC"/>
    <w:rsid w:val="00AF4540"/>
    <w:rsid w:val="00AF5C2A"/>
    <w:rsid w:val="00AF5C4E"/>
    <w:rsid w:val="00AF5F98"/>
    <w:rsid w:val="00AF5FDC"/>
    <w:rsid w:val="00AF625E"/>
    <w:rsid w:val="00AF6BC7"/>
    <w:rsid w:val="00AF6FEE"/>
    <w:rsid w:val="00AF6FF0"/>
    <w:rsid w:val="00AF7087"/>
    <w:rsid w:val="00AF73FF"/>
    <w:rsid w:val="00AF745A"/>
    <w:rsid w:val="00AF768D"/>
    <w:rsid w:val="00AF7801"/>
    <w:rsid w:val="00B00347"/>
    <w:rsid w:val="00B004F1"/>
    <w:rsid w:val="00B00A8F"/>
    <w:rsid w:val="00B00E42"/>
    <w:rsid w:val="00B0100C"/>
    <w:rsid w:val="00B012E7"/>
    <w:rsid w:val="00B0182A"/>
    <w:rsid w:val="00B019BF"/>
    <w:rsid w:val="00B01B13"/>
    <w:rsid w:val="00B01E40"/>
    <w:rsid w:val="00B0232E"/>
    <w:rsid w:val="00B02363"/>
    <w:rsid w:val="00B02657"/>
    <w:rsid w:val="00B02837"/>
    <w:rsid w:val="00B02D9A"/>
    <w:rsid w:val="00B0462B"/>
    <w:rsid w:val="00B04696"/>
    <w:rsid w:val="00B04953"/>
    <w:rsid w:val="00B04C7B"/>
    <w:rsid w:val="00B04D62"/>
    <w:rsid w:val="00B04F52"/>
    <w:rsid w:val="00B0560E"/>
    <w:rsid w:val="00B06A4F"/>
    <w:rsid w:val="00B06C50"/>
    <w:rsid w:val="00B077DE"/>
    <w:rsid w:val="00B07CB0"/>
    <w:rsid w:val="00B10A9A"/>
    <w:rsid w:val="00B12004"/>
    <w:rsid w:val="00B123B9"/>
    <w:rsid w:val="00B12C2D"/>
    <w:rsid w:val="00B12E72"/>
    <w:rsid w:val="00B13006"/>
    <w:rsid w:val="00B13364"/>
    <w:rsid w:val="00B1354A"/>
    <w:rsid w:val="00B13AF1"/>
    <w:rsid w:val="00B13D4E"/>
    <w:rsid w:val="00B158F2"/>
    <w:rsid w:val="00B15E83"/>
    <w:rsid w:val="00B17258"/>
    <w:rsid w:val="00B17791"/>
    <w:rsid w:val="00B177C9"/>
    <w:rsid w:val="00B17CE3"/>
    <w:rsid w:val="00B2059D"/>
    <w:rsid w:val="00B211FE"/>
    <w:rsid w:val="00B21DD1"/>
    <w:rsid w:val="00B222B8"/>
    <w:rsid w:val="00B2314A"/>
    <w:rsid w:val="00B23307"/>
    <w:rsid w:val="00B235F4"/>
    <w:rsid w:val="00B23938"/>
    <w:rsid w:val="00B23E25"/>
    <w:rsid w:val="00B24BBA"/>
    <w:rsid w:val="00B25912"/>
    <w:rsid w:val="00B26E40"/>
    <w:rsid w:val="00B27FDD"/>
    <w:rsid w:val="00B30510"/>
    <w:rsid w:val="00B307BE"/>
    <w:rsid w:val="00B31A88"/>
    <w:rsid w:val="00B3287D"/>
    <w:rsid w:val="00B32A63"/>
    <w:rsid w:val="00B341DC"/>
    <w:rsid w:val="00B35411"/>
    <w:rsid w:val="00B3594E"/>
    <w:rsid w:val="00B35B2B"/>
    <w:rsid w:val="00B35BC4"/>
    <w:rsid w:val="00B3635F"/>
    <w:rsid w:val="00B36E35"/>
    <w:rsid w:val="00B371EF"/>
    <w:rsid w:val="00B402B5"/>
    <w:rsid w:val="00B40541"/>
    <w:rsid w:val="00B40CAB"/>
    <w:rsid w:val="00B41237"/>
    <w:rsid w:val="00B4153C"/>
    <w:rsid w:val="00B41590"/>
    <w:rsid w:val="00B41609"/>
    <w:rsid w:val="00B42802"/>
    <w:rsid w:val="00B42886"/>
    <w:rsid w:val="00B4318A"/>
    <w:rsid w:val="00B43EDC"/>
    <w:rsid w:val="00B442BE"/>
    <w:rsid w:val="00B44F51"/>
    <w:rsid w:val="00B44FE4"/>
    <w:rsid w:val="00B4505E"/>
    <w:rsid w:val="00B450EA"/>
    <w:rsid w:val="00B45B86"/>
    <w:rsid w:val="00B46142"/>
    <w:rsid w:val="00B4629E"/>
    <w:rsid w:val="00B465BC"/>
    <w:rsid w:val="00B468A0"/>
    <w:rsid w:val="00B468D9"/>
    <w:rsid w:val="00B469CA"/>
    <w:rsid w:val="00B46A4B"/>
    <w:rsid w:val="00B46BE4"/>
    <w:rsid w:val="00B46C5D"/>
    <w:rsid w:val="00B47089"/>
    <w:rsid w:val="00B5159A"/>
    <w:rsid w:val="00B51624"/>
    <w:rsid w:val="00B518EB"/>
    <w:rsid w:val="00B51F30"/>
    <w:rsid w:val="00B52394"/>
    <w:rsid w:val="00B525C2"/>
    <w:rsid w:val="00B52733"/>
    <w:rsid w:val="00B5313A"/>
    <w:rsid w:val="00B53281"/>
    <w:rsid w:val="00B53791"/>
    <w:rsid w:val="00B538A9"/>
    <w:rsid w:val="00B538DF"/>
    <w:rsid w:val="00B53DC0"/>
    <w:rsid w:val="00B53DF9"/>
    <w:rsid w:val="00B543DD"/>
    <w:rsid w:val="00B54CA6"/>
    <w:rsid w:val="00B55940"/>
    <w:rsid w:val="00B56328"/>
    <w:rsid w:val="00B5670F"/>
    <w:rsid w:val="00B57AD6"/>
    <w:rsid w:val="00B57B3C"/>
    <w:rsid w:val="00B57BF9"/>
    <w:rsid w:val="00B57F65"/>
    <w:rsid w:val="00B57FE2"/>
    <w:rsid w:val="00B60740"/>
    <w:rsid w:val="00B60933"/>
    <w:rsid w:val="00B6104F"/>
    <w:rsid w:val="00B61097"/>
    <w:rsid w:val="00B619DC"/>
    <w:rsid w:val="00B61B57"/>
    <w:rsid w:val="00B61CB7"/>
    <w:rsid w:val="00B637CE"/>
    <w:rsid w:val="00B647F6"/>
    <w:rsid w:val="00B64AA1"/>
    <w:rsid w:val="00B64D85"/>
    <w:rsid w:val="00B65157"/>
    <w:rsid w:val="00B65532"/>
    <w:rsid w:val="00B65642"/>
    <w:rsid w:val="00B65CCD"/>
    <w:rsid w:val="00B66723"/>
    <w:rsid w:val="00B66727"/>
    <w:rsid w:val="00B66E01"/>
    <w:rsid w:val="00B66F64"/>
    <w:rsid w:val="00B6786E"/>
    <w:rsid w:val="00B67BFF"/>
    <w:rsid w:val="00B67CAD"/>
    <w:rsid w:val="00B70142"/>
    <w:rsid w:val="00B7041A"/>
    <w:rsid w:val="00B71423"/>
    <w:rsid w:val="00B714BE"/>
    <w:rsid w:val="00B71826"/>
    <w:rsid w:val="00B72009"/>
    <w:rsid w:val="00B72342"/>
    <w:rsid w:val="00B728FF"/>
    <w:rsid w:val="00B7319F"/>
    <w:rsid w:val="00B7324E"/>
    <w:rsid w:val="00B732E4"/>
    <w:rsid w:val="00B736E1"/>
    <w:rsid w:val="00B73CED"/>
    <w:rsid w:val="00B74962"/>
    <w:rsid w:val="00B74D92"/>
    <w:rsid w:val="00B761DA"/>
    <w:rsid w:val="00B77241"/>
    <w:rsid w:val="00B774B4"/>
    <w:rsid w:val="00B77669"/>
    <w:rsid w:val="00B80489"/>
    <w:rsid w:val="00B807A6"/>
    <w:rsid w:val="00B80962"/>
    <w:rsid w:val="00B812B8"/>
    <w:rsid w:val="00B816F8"/>
    <w:rsid w:val="00B8178E"/>
    <w:rsid w:val="00B817A3"/>
    <w:rsid w:val="00B831F2"/>
    <w:rsid w:val="00B83262"/>
    <w:rsid w:val="00B83A9D"/>
    <w:rsid w:val="00B83E1E"/>
    <w:rsid w:val="00B83EBA"/>
    <w:rsid w:val="00B840DD"/>
    <w:rsid w:val="00B84284"/>
    <w:rsid w:val="00B84CDD"/>
    <w:rsid w:val="00B84D22"/>
    <w:rsid w:val="00B84E2A"/>
    <w:rsid w:val="00B850A1"/>
    <w:rsid w:val="00B855C5"/>
    <w:rsid w:val="00B85B38"/>
    <w:rsid w:val="00B85B65"/>
    <w:rsid w:val="00B86DCD"/>
    <w:rsid w:val="00B877BE"/>
    <w:rsid w:val="00B90149"/>
    <w:rsid w:val="00B90498"/>
    <w:rsid w:val="00B92433"/>
    <w:rsid w:val="00B92AD6"/>
    <w:rsid w:val="00B9374B"/>
    <w:rsid w:val="00B939E7"/>
    <w:rsid w:val="00B93C83"/>
    <w:rsid w:val="00B941D8"/>
    <w:rsid w:val="00B94640"/>
    <w:rsid w:val="00B94F02"/>
    <w:rsid w:val="00B9573B"/>
    <w:rsid w:val="00B95768"/>
    <w:rsid w:val="00B95CF7"/>
    <w:rsid w:val="00B97153"/>
    <w:rsid w:val="00BA01E4"/>
    <w:rsid w:val="00BA029C"/>
    <w:rsid w:val="00BA0342"/>
    <w:rsid w:val="00BA04AC"/>
    <w:rsid w:val="00BA04E1"/>
    <w:rsid w:val="00BA081F"/>
    <w:rsid w:val="00BA0C2B"/>
    <w:rsid w:val="00BA0EF9"/>
    <w:rsid w:val="00BA121E"/>
    <w:rsid w:val="00BA1A86"/>
    <w:rsid w:val="00BA290D"/>
    <w:rsid w:val="00BA2F90"/>
    <w:rsid w:val="00BA3927"/>
    <w:rsid w:val="00BA3E87"/>
    <w:rsid w:val="00BA40D0"/>
    <w:rsid w:val="00BA44BA"/>
    <w:rsid w:val="00BA457B"/>
    <w:rsid w:val="00BA5223"/>
    <w:rsid w:val="00BA53C7"/>
    <w:rsid w:val="00BA5DDC"/>
    <w:rsid w:val="00BA6046"/>
    <w:rsid w:val="00BA67C0"/>
    <w:rsid w:val="00BA685C"/>
    <w:rsid w:val="00BA6AA8"/>
    <w:rsid w:val="00BA71FA"/>
    <w:rsid w:val="00BA72BC"/>
    <w:rsid w:val="00BA7473"/>
    <w:rsid w:val="00BA77E8"/>
    <w:rsid w:val="00BA7B99"/>
    <w:rsid w:val="00BA7D57"/>
    <w:rsid w:val="00BB0A65"/>
    <w:rsid w:val="00BB16C7"/>
    <w:rsid w:val="00BB1B5B"/>
    <w:rsid w:val="00BB20AB"/>
    <w:rsid w:val="00BB31BE"/>
    <w:rsid w:val="00BB56F3"/>
    <w:rsid w:val="00BB5938"/>
    <w:rsid w:val="00BB6421"/>
    <w:rsid w:val="00BB643E"/>
    <w:rsid w:val="00BB6B86"/>
    <w:rsid w:val="00BB704D"/>
    <w:rsid w:val="00BB75E5"/>
    <w:rsid w:val="00BB7BF1"/>
    <w:rsid w:val="00BB7D27"/>
    <w:rsid w:val="00BB7EC9"/>
    <w:rsid w:val="00BC0D5E"/>
    <w:rsid w:val="00BC13B3"/>
    <w:rsid w:val="00BC17BB"/>
    <w:rsid w:val="00BC2CD8"/>
    <w:rsid w:val="00BC3127"/>
    <w:rsid w:val="00BC4829"/>
    <w:rsid w:val="00BC4B3C"/>
    <w:rsid w:val="00BC4C0A"/>
    <w:rsid w:val="00BC4CAE"/>
    <w:rsid w:val="00BC5844"/>
    <w:rsid w:val="00BC5DD1"/>
    <w:rsid w:val="00BC61BB"/>
    <w:rsid w:val="00BC63CF"/>
    <w:rsid w:val="00BC6FC7"/>
    <w:rsid w:val="00BC7529"/>
    <w:rsid w:val="00BC7A15"/>
    <w:rsid w:val="00BC7B8F"/>
    <w:rsid w:val="00BD088A"/>
    <w:rsid w:val="00BD0A85"/>
    <w:rsid w:val="00BD0C5A"/>
    <w:rsid w:val="00BD1B48"/>
    <w:rsid w:val="00BD1E51"/>
    <w:rsid w:val="00BD2589"/>
    <w:rsid w:val="00BD2821"/>
    <w:rsid w:val="00BD2AB4"/>
    <w:rsid w:val="00BD2C47"/>
    <w:rsid w:val="00BD2E46"/>
    <w:rsid w:val="00BD3204"/>
    <w:rsid w:val="00BD3564"/>
    <w:rsid w:val="00BD37DA"/>
    <w:rsid w:val="00BD3B3F"/>
    <w:rsid w:val="00BD3E52"/>
    <w:rsid w:val="00BD431C"/>
    <w:rsid w:val="00BD53E7"/>
    <w:rsid w:val="00BD584C"/>
    <w:rsid w:val="00BD5925"/>
    <w:rsid w:val="00BD5D49"/>
    <w:rsid w:val="00BD5E37"/>
    <w:rsid w:val="00BD5FBA"/>
    <w:rsid w:val="00BD602C"/>
    <w:rsid w:val="00BD62B1"/>
    <w:rsid w:val="00BD673D"/>
    <w:rsid w:val="00BD720D"/>
    <w:rsid w:val="00BD7EC7"/>
    <w:rsid w:val="00BE01F5"/>
    <w:rsid w:val="00BE0B63"/>
    <w:rsid w:val="00BE112C"/>
    <w:rsid w:val="00BE1405"/>
    <w:rsid w:val="00BE1A2D"/>
    <w:rsid w:val="00BE1B07"/>
    <w:rsid w:val="00BE21A4"/>
    <w:rsid w:val="00BE224C"/>
    <w:rsid w:val="00BE22F2"/>
    <w:rsid w:val="00BE2702"/>
    <w:rsid w:val="00BE29CC"/>
    <w:rsid w:val="00BE343D"/>
    <w:rsid w:val="00BE3604"/>
    <w:rsid w:val="00BE3AB6"/>
    <w:rsid w:val="00BE3B2F"/>
    <w:rsid w:val="00BE4025"/>
    <w:rsid w:val="00BE426A"/>
    <w:rsid w:val="00BE426C"/>
    <w:rsid w:val="00BE48B3"/>
    <w:rsid w:val="00BE4F24"/>
    <w:rsid w:val="00BE516C"/>
    <w:rsid w:val="00BE63F3"/>
    <w:rsid w:val="00BE651E"/>
    <w:rsid w:val="00BE7037"/>
    <w:rsid w:val="00BE7255"/>
    <w:rsid w:val="00BE7928"/>
    <w:rsid w:val="00BE7AE5"/>
    <w:rsid w:val="00BF0283"/>
    <w:rsid w:val="00BF02E3"/>
    <w:rsid w:val="00BF0617"/>
    <w:rsid w:val="00BF0DDC"/>
    <w:rsid w:val="00BF14F9"/>
    <w:rsid w:val="00BF1E39"/>
    <w:rsid w:val="00BF21DC"/>
    <w:rsid w:val="00BF27DE"/>
    <w:rsid w:val="00BF2933"/>
    <w:rsid w:val="00BF2B41"/>
    <w:rsid w:val="00BF3373"/>
    <w:rsid w:val="00BF4232"/>
    <w:rsid w:val="00BF425D"/>
    <w:rsid w:val="00BF4613"/>
    <w:rsid w:val="00BF49D1"/>
    <w:rsid w:val="00BF627C"/>
    <w:rsid w:val="00BF6B18"/>
    <w:rsid w:val="00BF780A"/>
    <w:rsid w:val="00BF7942"/>
    <w:rsid w:val="00C00757"/>
    <w:rsid w:val="00C01D35"/>
    <w:rsid w:val="00C038BC"/>
    <w:rsid w:val="00C038D9"/>
    <w:rsid w:val="00C03DA7"/>
    <w:rsid w:val="00C03E9E"/>
    <w:rsid w:val="00C04141"/>
    <w:rsid w:val="00C0441F"/>
    <w:rsid w:val="00C049A5"/>
    <w:rsid w:val="00C04CDB"/>
    <w:rsid w:val="00C04DC3"/>
    <w:rsid w:val="00C06067"/>
    <w:rsid w:val="00C0622F"/>
    <w:rsid w:val="00C062D9"/>
    <w:rsid w:val="00C063B3"/>
    <w:rsid w:val="00C06877"/>
    <w:rsid w:val="00C07066"/>
    <w:rsid w:val="00C07CA1"/>
    <w:rsid w:val="00C10373"/>
    <w:rsid w:val="00C104D1"/>
    <w:rsid w:val="00C10C62"/>
    <w:rsid w:val="00C10DEC"/>
    <w:rsid w:val="00C11CEE"/>
    <w:rsid w:val="00C120AE"/>
    <w:rsid w:val="00C125B9"/>
    <w:rsid w:val="00C12AC2"/>
    <w:rsid w:val="00C12D4E"/>
    <w:rsid w:val="00C13162"/>
    <w:rsid w:val="00C1363F"/>
    <w:rsid w:val="00C13E23"/>
    <w:rsid w:val="00C14442"/>
    <w:rsid w:val="00C15837"/>
    <w:rsid w:val="00C158C0"/>
    <w:rsid w:val="00C16B10"/>
    <w:rsid w:val="00C17566"/>
    <w:rsid w:val="00C1758E"/>
    <w:rsid w:val="00C1770F"/>
    <w:rsid w:val="00C1773C"/>
    <w:rsid w:val="00C17C5B"/>
    <w:rsid w:val="00C17D03"/>
    <w:rsid w:val="00C2209B"/>
    <w:rsid w:val="00C22A84"/>
    <w:rsid w:val="00C22AD0"/>
    <w:rsid w:val="00C22B11"/>
    <w:rsid w:val="00C22D75"/>
    <w:rsid w:val="00C2333F"/>
    <w:rsid w:val="00C2478A"/>
    <w:rsid w:val="00C24EFF"/>
    <w:rsid w:val="00C26A4E"/>
    <w:rsid w:val="00C27235"/>
    <w:rsid w:val="00C277A9"/>
    <w:rsid w:val="00C27A1F"/>
    <w:rsid w:val="00C27E6D"/>
    <w:rsid w:val="00C30C5B"/>
    <w:rsid w:val="00C30E65"/>
    <w:rsid w:val="00C30EF6"/>
    <w:rsid w:val="00C313F9"/>
    <w:rsid w:val="00C31CD9"/>
    <w:rsid w:val="00C339DF"/>
    <w:rsid w:val="00C343EF"/>
    <w:rsid w:val="00C34C2B"/>
    <w:rsid w:val="00C35975"/>
    <w:rsid w:val="00C35E06"/>
    <w:rsid w:val="00C3615F"/>
    <w:rsid w:val="00C36E15"/>
    <w:rsid w:val="00C37414"/>
    <w:rsid w:val="00C374CE"/>
    <w:rsid w:val="00C37FEB"/>
    <w:rsid w:val="00C40609"/>
    <w:rsid w:val="00C408F4"/>
    <w:rsid w:val="00C40EFA"/>
    <w:rsid w:val="00C417E8"/>
    <w:rsid w:val="00C41C89"/>
    <w:rsid w:val="00C42066"/>
    <w:rsid w:val="00C423B1"/>
    <w:rsid w:val="00C42840"/>
    <w:rsid w:val="00C42D5B"/>
    <w:rsid w:val="00C42F86"/>
    <w:rsid w:val="00C438E2"/>
    <w:rsid w:val="00C439B7"/>
    <w:rsid w:val="00C43AFF"/>
    <w:rsid w:val="00C446A8"/>
    <w:rsid w:val="00C44875"/>
    <w:rsid w:val="00C44B91"/>
    <w:rsid w:val="00C451C8"/>
    <w:rsid w:val="00C458CE"/>
    <w:rsid w:val="00C45AFC"/>
    <w:rsid w:val="00C46307"/>
    <w:rsid w:val="00C46647"/>
    <w:rsid w:val="00C46A71"/>
    <w:rsid w:val="00C46FEC"/>
    <w:rsid w:val="00C471A6"/>
    <w:rsid w:val="00C47D53"/>
    <w:rsid w:val="00C502E7"/>
    <w:rsid w:val="00C5072C"/>
    <w:rsid w:val="00C51AB2"/>
    <w:rsid w:val="00C51ACB"/>
    <w:rsid w:val="00C52284"/>
    <w:rsid w:val="00C527DC"/>
    <w:rsid w:val="00C5324A"/>
    <w:rsid w:val="00C537BE"/>
    <w:rsid w:val="00C540A0"/>
    <w:rsid w:val="00C5446A"/>
    <w:rsid w:val="00C54B6E"/>
    <w:rsid w:val="00C55AC4"/>
    <w:rsid w:val="00C55C37"/>
    <w:rsid w:val="00C56558"/>
    <w:rsid w:val="00C565EE"/>
    <w:rsid w:val="00C56DF6"/>
    <w:rsid w:val="00C57211"/>
    <w:rsid w:val="00C576C8"/>
    <w:rsid w:val="00C57D16"/>
    <w:rsid w:val="00C6058B"/>
    <w:rsid w:val="00C61261"/>
    <w:rsid w:val="00C6184F"/>
    <w:rsid w:val="00C627A4"/>
    <w:rsid w:val="00C628C6"/>
    <w:rsid w:val="00C629B5"/>
    <w:rsid w:val="00C63C52"/>
    <w:rsid w:val="00C6480F"/>
    <w:rsid w:val="00C650CB"/>
    <w:rsid w:val="00C650FD"/>
    <w:rsid w:val="00C6513F"/>
    <w:rsid w:val="00C659DA"/>
    <w:rsid w:val="00C659EA"/>
    <w:rsid w:val="00C65E50"/>
    <w:rsid w:val="00C66612"/>
    <w:rsid w:val="00C66626"/>
    <w:rsid w:val="00C66F73"/>
    <w:rsid w:val="00C67811"/>
    <w:rsid w:val="00C67DAD"/>
    <w:rsid w:val="00C7050C"/>
    <w:rsid w:val="00C7068F"/>
    <w:rsid w:val="00C7126E"/>
    <w:rsid w:val="00C719FD"/>
    <w:rsid w:val="00C71D15"/>
    <w:rsid w:val="00C72517"/>
    <w:rsid w:val="00C728A4"/>
    <w:rsid w:val="00C72D4F"/>
    <w:rsid w:val="00C730D6"/>
    <w:rsid w:val="00C73987"/>
    <w:rsid w:val="00C7491E"/>
    <w:rsid w:val="00C74DCC"/>
    <w:rsid w:val="00C75098"/>
    <w:rsid w:val="00C75C00"/>
    <w:rsid w:val="00C75C6A"/>
    <w:rsid w:val="00C75DE1"/>
    <w:rsid w:val="00C7617F"/>
    <w:rsid w:val="00C762D9"/>
    <w:rsid w:val="00C76649"/>
    <w:rsid w:val="00C768A4"/>
    <w:rsid w:val="00C769F2"/>
    <w:rsid w:val="00C76AF7"/>
    <w:rsid w:val="00C76DF1"/>
    <w:rsid w:val="00C77421"/>
    <w:rsid w:val="00C77804"/>
    <w:rsid w:val="00C80207"/>
    <w:rsid w:val="00C80351"/>
    <w:rsid w:val="00C805CB"/>
    <w:rsid w:val="00C8096B"/>
    <w:rsid w:val="00C8160F"/>
    <w:rsid w:val="00C8163B"/>
    <w:rsid w:val="00C817FD"/>
    <w:rsid w:val="00C81F68"/>
    <w:rsid w:val="00C821A2"/>
    <w:rsid w:val="00C82226"/>
    <w:rsid w:val="00C826B6"/>
    <w:rsid w:val="00C83C7D"/>
    <w:rsid w:val="00C8491F"/>
    <w:rsid w:val="00C852CA"/>
    <w:rsid w:val="00C852DC"/>
    <w:rsid w:val="00C85A1B"/>
    <w:rsid w:val="00C85C5F"/>
    <w:rsid w:val="00C85DCB"/>
    <w:rsid w:val="00C8644A"/>
    <w:rsid w:val="00C871E4"/>
    <w:rsid w:val="00C873F4"/>
    <w:rsid w:val="00C87A07"/>
    <w:rsid w:val="00C87B72"/>
    <w:rsid w:val="00C87E30"/>
    <w:rsid w:val="00C87F25"/>
    <w:rsid w:val="00C9010B"/>
    <w:rsid w:val="00C903D6"/>
    <w:rsid w:val="00C904CC"/>
    <w:rsid w:val="00C90D44"/>
    <w:rsid w:val="00C91197"/>
    <w:rsid w:val="00C91722"/>
    <w:rsid w:val="00C9216F"/>
    <w:rsid w:val="00C923E5"/>
    <w:rsid w:val="00C92D1B"/>
    <w:rsid w:val="00C9312F"/>
    <w:rsid w:val="00C93408"/>
    <w:rsid w:val="00C948E3"/>
    <w:rsid w:val="00C94CF2"/>
    <w:rsid w:val="00C94D77"/>
    <w:rsid w:val="00C957C6"/>
    <w:rsid w:val="00C965A4"/>
    <w:rsid w:val="00C965B2"/>
    <w:rsid w:val="00C967F4"/>
    <w:rsid w:val="00C96E07"/>
    <w:rsid w:val="00C97654"/>
    <w:rsid w:val="00C97757"/>
    <w:rsid w:val="00CA003C"/>
    <w:rsid w:val="00CA0124"/>
    <w:rsid w:val="00CA0693"/>
    <w:rsid w:val="00CA0D44"/>
    <w:rsid w:val="00CA1DCD"/>
    <w:rsid w:val="00CA1FA4"/>
    <w:rsid w:val="00CA2118"/>
    <w:rsid w:val="00CA282C"/>
    <w:rsid w:val="00CA2E25"/>
    <w:rsid w:val="00CA3F3A"/>
    <w:rsid w:val="00CA4A2B"/>
    <w:rsid w:val="00CA4C69"/>
    <w:rsid w:val="00CA4EC9"/>
    <w:rsid w:val="00CA5498"/>
    <w:rsid w:val="00CA55AB"/>
    <w:rsid w:val="00CA5D5C"/>
    <w:rsid w:val="00CA70B2"/>
    <w:rsid w:val="00CA73C5"/>
    <w:rsid w:val="00CA752F"/>
    <w:rsid w:val="00CA7BC9"/>
    <w:rsid w:val="00CB0934"/>
    <w:rsid w:val="00CB0C76"/>
    <w:rsid w:val="00CB0DFB"/>
    <w:rsid w:val="00CB0EA9"/>
    <w:rsid w:val="00CB1102"/>
    <w:rsid w:val="00CB163C"/>
    <w:rsid w:val="00CB1882"/>
    <w:rsid w:val="00CB1962"/>
    <w:rsid w:val="00CB3FA7"/>
    <w:rsid w:val="00CB41A0"/>
    <w:rsid w:val="00CB444D"/>
    <w:rsid w:val="00CB4A73"/>
    <w:rsid w:val="00CB4D5F"/>
    <w:rsid w:val="00CB4DE9"/>
    <w:rsid w:val="00CB51F3"/>
    <w:rsid w:val="00CB5DC2"/>
    <w:rsid w:val="00CB6326"/>
    <w:rsid w:val="00CB683C"/>
    <w:rsid w:val="00CB712E"/>
    <w:rsid w:val="00CB728F"/>
    <w:rsid w:val="00CB7EF0"/>
    <w:rsid w:val="00CC0F0A"/>
    <w:rsid w:val="00CC0F46"/>
    <w:rsid w:val="00CC100A"/>
    <w:rsid w:val="00CC1062"/>
    <w:rsid w:val="00CC147A"/>
    <w:rsid w:val="00CC1523"/>
    <w:rsid w:val="00CC22D2"/>
    <w:rsid w:val="00CC23DA"/>
    <w:rsid w:val="00CC24AD"/>
    <w:rsid w:val="00CC283D"/>
    <w:rsid w:val="00CC29A8"/>
    <w:rsid w:val="00CC2DE8"/>
    <w:rsid w:val="00CC2EA8"/>
    <w:rsid w:val="00CC321C"/>
    <w:rsid w:val="00CC3836"/>
    <w:rsid w:val="00CC46C9"/>
    <w:rsid w:val="00CC48B9"/>
    <w:rsid w:val="00CC4916"/>
    <w:rsid w:val="00CC497D"/>
    <w:rsid w:val="00CC4D5D"/>
    <w:rsid w:val="00CC4F45"/>
    <w:rsid w:val="00CC54DD"/>
    <w:rsid w:val="00CC5997"/>
    <w:rsid w:val="00CC5B09"/>
    <w:rsid w:val="00CC6D6B"/>
    <w:rsid w:val="00CC70F3"/>
    <w:rsid w:val="00CD008C"/>
    <w:rsid w:val="00CD01F5"/>
    <w:rsid w:val="00CD1936"/>
    <w:rsid w:val="00CD1A1C"/>
    <w:rsid w:val="00CD403C"/>
    <w:rsid w:val="00CD49CB"/>
    <w:rsid w:val="00CD53A8"/>
    <w:rsid w:val="00CD6B6B"/>
    <w:rsid w:val="00CD7B75"/>
    <w:rsid w:val="00CE0109"/>
    <w:rsid w:val="00CE0922"/>
    <w:rsid w:val="00CE124D"/>
    <w:rsid w:val="00CE13A7"/>
    <w:rsid w:val="00CE18CF"/>
    <w:rsid w:val="00CE2776"/>
    <w:rsid w:val="00CE2A18"/>
    <w:rsid w:val="00CE2BC5"/>
    <w:rsid w:val="00CE3C23"/>
    <w:rsid w:val="00CE3DD5"/>
    <w:rsid w:val="00CE3FED"/>
    <w:rsid w:val="00CE41EC"/>
    <w:rsid w:val="00CE5064"/>
    <w:rsid w:val="00CE5168"/>
    <w:rsid w:val="00CE5DFA"/>
    <w:rsid w:val="00CE6339"/>
    <w:rsid w:val="00CE6A87"/>
    <w:rsid w:val="00CE6DE1"/>
    <w:rsid w:val="00CE7C60"/>
    <w:rsid w:val="00CF0A91"/>
    <w:rsid w:val="00CF139E"/>
    <w:rsid w:val="00CF15C4"/>
    <w:rsid w:val="00CF1C6A"/>
    <w:rsid w:val="00CF266C"/>
    <w:rsid w:val="00CF2DC7"/>
    <w:rsid w:val="00CF2FD6"/>
    <w:rsid w:val="00CF3412"/>
    <w:rsid w:val="00CF512F"/>
    <w:rsid w:val="00CF5445"/>
    <w:rsid w:val="00CF5CBA"/>
    <w:rsid w:val="00CF6174"/>
    <w:rsid w:val="00CF67F6"/>
    <w:rsid w:val="00CF7835"/>
    <w:rsid w:val="00CF7A92"/>
    <w:rsid w:val="00D00202"/>
    <w:rsid w:val="00D002E7"/>
    <w:rsid w:val="00D00D5B"/>
    <w:rsid w:val="00D01298"/>
    <w:rsid w:val="00D01715"/>
    <w:rsid w:val="00D01B34"/>
    <w:rsid w:val="00D0289C"/>
    <w:rsid w:val="00D02A51"/>
    <w:rsid w:val="00D02C42"/>
    <w:rsid w:val="00D02F15"/>
    <w:rsid w:val="00D03925"/>
    <w:rsid w:val="00D03B26"/>
    <w:rsid w:val="00D03DE3"/>
    <w:rsid w:val="00D03E0E"/>
    <w:rsid w:val="00D0447B"/>
    <w:rsid w:val="00D0464F"/>
    <w:rsid w:val="00D04E10"/>
    <w:rsid w:val="00D06312"/>
    <w:rsid w:val="00D06324"/>
    <w:rsid w:val="00D068CB"/>
    <w:rsid w:val="00D06A43"/>
    <w:rsid w:val="00D06DCB"/>
    <w:rsid w:val="00D071E9"/>
    <w:rsid w:val="00D100EB"/>
    <w:rsid w:val="00D10171"/>
    <w:rsid w:val="00D1107D"/>
    <w:rsid w:val="00D1116E"/>
    <w:rsid w:val="00D11643"/>
    <w:rsid w:val="00D1178F"/>
    <w:rsid w:val="00D11BE8"/>
    <w:rsid w:val="00D12048"/>
    <w:rsid w:val="00D12330"/>
    <w:rsid w:val="00D1266E"/>
    <w:rsid w:val="00D136BF"/>
    <w:rsid w:val="00D13C96"/>
    <w:rsid w:val="00D143B7"/>
    <w:rsid w:val="00D15002"/>
    <w:rsid w:val="00D15DF8"/>
    <w:rsid w:val="00D162B5"/>
    <w:rsid w:val="00D16CE5"/>
    <w:rsid w:val="00D170CE"/>
    <w:rsid w:val="00D173AF"/>
    <w:rsid w:val="00D1743F"/>
    <w:rsid w:val="00D17CD3"/>
    <w:rsid w:val="00D20084"/>
    <w:rsid w:val="00D208B2"/>
    <w:rsid w:val="00D2233A"/>
    <w:rsid w:val="00D2254F"/>
    <w:rsid w:val="00D2347B"/>
    <w:rsid w:val="00D23688"/>
    <w:rsid w:val="00D240DE"/>
    <w:rsid w:val="00D24A91"/>
    <w:rsid w:val="00D24B7E"/>
    <w:rsid w:val="00D24C1C"/>
    <w:rsid w:val="00D2597D"/>
    <w:rsid w:val="00D25E6B"/>
    <w:rsid w:val="00D277F6"/>
    <w:rsid w:val="00D27937"/>
    <w:rsid w:val="00D27E11"/>
    <w:rsid w:val="00D30710"/>
    <w:rsid w:val="00D30BE5"/>
    <w:rsid w:val="00D30E17"/>
    <w:rsid w:val="00D30E7C"/>
    <w:rsid w:val="00D30E8D"/>
    <w:rsid w:val="00D30F27"/>
    <w:rsid w:val="00D315B3"/>
    <w:rsid w:val="00D31D23"/>
    <w:rsid w:val="00D31EB8"/>
    <w:rsid w:val="00D3211F"/>
    <w:rsid w:val="00D3234A"/>
    <w:rsid w:val="00D324D9"/>
    <w:rsid w:val="00D326EC"/>
    <w:rsid w:val="00D32A42"/>
    <w:rsid w:val="00D32CAF"/>
    <w:rsid w:val="00D3476E"/>
    <w:rsid w:val="00D34ACA"/>
    <w:rsid w:val="00D35422"/>
    <w:rsid w:val="00D359F6"/>
    <w:rsid w:val="00D3626F"/>
    <w:rsid w:val="00D36EA4"/>
    <w:rsid w:val="00D37F33"/>
    <w:rsid w:val="00D37F98"/>
    <w:rsid w:val="00D401E7"/>
    <w:rsid w:val="00D40C6F"/>
    <w:rsid w:val="00D41CFA"/>
    <w:rsid w:val="00D42D7A"/>
    <w:rsid w:val="00D431C9"/>
    <w:rsid w:val="00D434EA"/>
    <w:rsid w:val="00D43B4A"/>
    <w:rsid w:val="00D4458C"/>
    <w:rsid w:val="00D44E41"/>
    <w:rsid w:val="00D4528A"/>
    <w:rsid w:val="00D47741"/>
    <w:rsid w:val="00D47F6D"/>
    <w:rsid w:val="00D507F6"/>
    <w:rsid w:val="00D50AEB"/>
    <w:rsid w:val="00D50F2D"/>
    <w:rsid w:val="00D50F85"/>
    <w:rsid w:val="00D51162"/>
    <w:rsid w:val="00D513C2"/>
    <w:rsid w:val="00D513F0"/>
    <w:rsid w:val="00D5152C"/>
    <w:rsid w:val="00D51D6C"/>
    <w:rsid w:val="00D51E2D"/>
    <w:rsid w:val="00D521ED"/>
    <w:rsid w:val="00D521F9"/>
    <w:rsid w:val="00D52A78"/>
    <w:rsid w:val="00D53ECF"/>
    <w:rsid w:val="00D5461B"/>
    <w:rsid w:val="00D54A39"/>
    <w:rsid w:val="00D5508F"/>
    <w:rsid w:val="00D552EE"/>
    <w:rsid w:val="00D554DB"/>
    <w:rsid w:val="00D565E4"/>
    <w:rsid w:val="00D56AE1"/>
    <w:rsid w:val="00D56CF2"/>
    <w:rsid w:val="00D5715F"/>
    <w:rsid w:val="00D571BB"/>
    <w:rsid w:val="00D573BE"/>
    <w:rsid w:val="00D5756D"/>
    <w:rsid w:val="00D57E76"/>
    <w:rsid w:val="00D57EA4"/>
    <w:rsid w:val="00D603C2"/>
    <w:rsid w:val="00D60718"/>
    <w:rsid w:val="00D60AE4"/>
    <w:rsid w:val="00D61144"/>
    <w:rsid w:val="00D61B81"/>
    <w:rsid w:val="00D61FD3"/>
    <w:rsid w:val="00D6217E"/>
    <w:rsid w:val="00D621D6"/>
    <w:rsid w:val="00D625BF"/>
    <w:rsid w:val="00D625F0"/>
    <w:rsid w:val="00D6284F"/>
    <w:rsid w:val="00D630C1"/>
    <w:rsid w:val="00D63339"/>
    <w:rsid w:val="00D63805"/>
    <w:rsid w:val="00D64493"/>
    <w:rsid w:val="00D65592"/>
    <w:rsid w:val="00D65C7E"/>
    <w:rsid w:val="00D65F3D"/>
    <w:rsid w:val="00D660A8"/>
    <w:rsid w:val="00D6618F"/>
    <w:rsid w:val="00D661B4"/>
    <w:rsid w:val="00D66484"/>
    <w:rsid w:val="00D66489"/>
    <w:rsid w:val="00D66A79"/>
    <w:rsid w:val="00D66E26"/>
    <w:rsid w:val="00D67042"/>
    <w:rsid w:val="00D6745A"/>
    <w:rsid w:val="00D67474"/>
    <w:rsid w:val="00D67CFE"/>
    <w:rsid w:val="00D70E0A"/>
    <w:rsid w:val="00D7122C"/>
    <w:rsid w:val="00D71C12"/>
    <w:rsid w:val="00D72055"/>
    <w:rsid w:val="00D72285"/>
    <w:rsid w:val="00D72CA8"/>
    <w:rsid w:val="00D731C9"/>
    <w:rsid w:val="00D73697"/>
    <w:rsid w:val="00D7398C"/>
    <w:rsid w:val="00D73A43"/>
    <w:rsid w:val="00D73EC7"/>
    <w:rsid w:val="00D73F06"/>
    <w:rsid w:val="00D742A6"/>
    <w:rsid w:val="00D74939"/>
    <w:rsid w:val="00D752A5"/>
    <w:rsid w:val="00D76012"/>
    <w:rsid w:val="00D769FA"/>
    <w:rsid w:val="00D76C9D"/>
    <w:rsid w:val="00D76CCF"/>
    <w:rsid w:val="00D76F35"/>
    <w:rsid w:val="00D803C1"/>
    <w:rsid w:val="00D80585"/>
    <w:rsid w:val="00D806D2"/>
    <w:rsid w:val="00D817E7"/>
    <w:rsid w:val="00D81F68"/>
    <w:rsid w:val="00D82340"/>
    <w:rsid w:val="00D829C6"/>
    <w:rsid w:val="00D82F2F"/>
    <w:rsid w:val="00D83C7E"/>
    <w:rsid w:val="00D83D56"/>
    <w:rsid w:val="00D8453D"/>
    <w:rsid w:val="00D84748"/>
    <w:rsid w:val="00D84A22"/>
    <w:rsid w:val="00D84D35"/>
    <w:rsid w:val="00D85202"/>
    <w:rsid w:val="00D857A8"/>
    <w:rsid w:val="00D859AB"/>
    <w:rsid w:val="00D86804"/>
    <w:rsid w:val="00D86BAC"/>
    <w:rsid w:val="00D86E3D"/>
    <w:rsid w:val="00D90474"/>
    <w:rsid w:val="00D9066D"/>
    <w:rsid w:val="00D90817"/>
    <w:rsid w:val="00D908CE"/>
    <w:rsid w:val="00D91448"/>
    <w:rsid w:val="00D91BCB"/>
    <w:rsid w:val="00D91EF6"/>
    <w:rsid w:val="00D9201B"/>
    <w:rsid w:val="00D9214B"/>
    <w:rsid w:val="00D928E3"/>
    <w:rsid w:val="00D92C48"/>
    <w:rsid w:val="00D92E36"/>
    <w:rsid w:val="00D92F62"/>
    <w:rsid w:val="00D92F8F"/>
    <w:rsid w:val="00D9337E"/>
    <w:rsid w:val="00D93A86"/>
    <w:rsid w:val="00D93DFE"/>
    <w:rsid w:val="00D9471B"/>
    <w:rsid w:val="00D950BB"/>
    <w:rsid w:val="00D955B1"/>
    <w:rsid w:val="00D956F7"/>
    <w:rsid w:val="00D95F7B"/>
    <w:rsid w:val="00D962DF"/>
    <w:rsid w:val="00D9713E"/>
    <w:rsid w:val="00D9754A"/>
    <w:rsid w:val="00D979A7"/>
    <w:rsid w:val="00DA07B0"/>
    <w:rsid w:val="00DA1092"/>
    <w:rsid w:val="00DA26AD"/>
    <w:rsid w:val="00DA3883"/>
    <w:rsid w:val="00DA4198"/>
    <w:rsid w:val="00DA4A91"/>
    <w:rsid w:val="00DA4C94"/>
    <w:rsid w:val="00DA4E47"/>
    <w:rsid w:val="00DA57E5"/>
    <w:rsid w:val="00DA6E3F"/>
    <w:rsid w:val="00DA797F"/>
    <w:rsid w:val="00DB03EF"/>
    <w:rsid w:val="00DB07D1"/>
    <w:rsid w:val="00DB1821"/>
    <w:rsid w:val="00DB1BB8"/>
    <w:rsid w:val="00DB201C"/>
    <w:rsid w:val="00DB2145"/>
    <w:rsid w:val="00DB23EC"/>
    <w:rsid w:val="00DB3349"/>
    <w:rsid w:val="00DB3370"/>
    <w:rsid w:val="00DB3813"/>
    <w:rsid w:val="00DB543D"/>
    <w:rsid w:val="00DB59F9"/>
    <w:rsid w:val="00DB5A93"/>
    <w:rsid w:val="00DB5CB0"/>
    <w:rsid w:val="00DB6144"/>
    <w:rsid w:val="00DB62DB"/>
    <w:rsid w:val="00DB62E1"/>
    <w:rsid w:val="00DB6501"/>
    <w:rsid w:val="00DB6818"/>
    <w:rsid w:val="00DB6AAC"/>
    <w:rsid w:val="00DB6B59"/>
    <w:rsid w:val="00DB6B7D"/>
    <w:rsid w:val="00DB6DF9"/>
    <w:rsid w:val="00DB6E94"/>
    <w:rsid w:val="00DB7516"/>
    <w:rsid w:val="00DB7958"/>
    <w:rsid w:val="00DB7A5F"/>
    <w:rsid w:val="00DC02F9"/>
    <w:rsid w:val="00DC03C0"/>
    <w:rsid w:val="00DC08FC"/>
    <w:rsid w:val="00DC16A2"/>
    <w:rsid w:val="00DC1CF7"/>
    <w:rsid w:val="00DC2049"/>
    <w:rsid w:val="00DC232D"/>
    <w:rsid w:val="00DC265B"/>
    <w:rsid w:val="00DC28E1"/>
    <w:rsid w:val="00DC3392"/>
    <w:rsid w:val="00DC3896"/>
    <w:rsid w:val="00DC3A8B"/>
    <w:rsid w:val="00DC3ED2"/>
    <w:rsid w:val="00DC582D"/>
    <w:rsid w:val="00DC622D"/>
    <w:rsid w:val="00DC68F0"/>
    <w:rsid w:val="00DC6F52"/>
    <w:rsid w:val="00DC76E9"/>
    <w:rsid w:val="00DC7701"/>
    <w:rsid w:val="00DC7A0D"/>
    <w:rsid w:val="00DC7A85"/>
    <w:rsid w:val="00DC7B49"/>
    <w:rsid w:val="00DC7EB8"/>
    <w:rsid w:val="00DD0D9F"/>
    <w:rsid w:val="00DD0FE1"/>
    <w:rsid w:val="00DD1168"/>
    <w:rsid w:val="00DD11C5"/>
    <w:rsid w:val="00DD2932"/>
    <w:rsid w:val="00DD293B"/>
    <w:rsid w:val="00DD2AA4"/>
    <w:rsid w:val="00DD32BD"/>
    <w:rsid w:val="00DD3E46"/>
    <w:rsid w:val="00DD4695"/>
    <w:rsid w:val="00DD4883"/>
    <w:rsid w:val="00DD4AF1"/>
    <w:rsid w:val="00DD4CEA"/>
    <w:rsid w:val="00DD4DAE"/>
    <w:rsid w:val="00DD4F85"/>
    <w:rsid w:val="00DD5A0A"/>
    <w:rsid w:val="00DD641E"/>
    <w:rsid w:val="00DD6507"/>
    <w:rsid w:val="00DD65AF"/>
    <w:rsid w:val="00DD6952"/>
    <w:rsid w:val="00DD6C49"/>
    <w:rsid w:val="00DD75D3"/>
    <w:rsid w:val="00DD7E83"/>
    <w:rsid w:val="00DE07EE"/>
    <w:rsid w:val="00DE1312"/>
    <w:rsid w:val="00DE1882"/>
    <w:rsid w:val="00DE1B0C"/>
    <w:rsid w:val="00DE21B9"/>
    <w:rsid w:val="00DE280B"/>
    <w:rsid w:val="00DE2872"/>
    <w:rsid w:val="00DE3083"/>
    <w:rsid w:val="00DE380D"/>
    <w:rsid w:val="00DE3ABD"/>
    <w:rsid w:val="00DE4BA6"/>
    <w:rsid w:val="00DE4D68"/>
    <w:rsid w:val="00DE5820"/>
    <w:rsid w:val="00DE7001"/>
    <w:rsid w:val="00DE727C"/>
    <w:rsid w:val="00DE7586"/>
    <w:rsid w:val="00DF0BA5"/>
    <w:rsid w:val="00DF1386"/>
    <w:rsid w:val="00DF1DD4"/>
    <w:rsid w:val="00DF20D4"/>
    <w:rsid w:val="00DF297D"/>
    <w:rsid w:val="00DF2AF6"/>
    <w:rsid w:val="00DF319E"/>
    <w:rsid w:val="00DF32F0"/>
    <w:rsid w:val="00DF4255"/>
    <w:rsid w:val="00DF4301"/>
    <w:rsid w:val="00DF4A6B"/>
    <w:rsid w:val="00DF54B6"/>
    <w:rsid w:val="00DF6210"/>
    <w:rsid w:val="00DF70BD"/>
    <w:rsid w:val="00DF71C5"/>
    <w:rsid w:val="00DF7648"/>
    <w:rsid w:val="00DF777C"/>
    <w:rsid w:val="00DF7B94"/>
    <w:rsid w:val="00DF7D16"/>
    <w:rsid w:val="00E004A5"/>
    <w:rsid w:val="00E00765"/>
    <w:rsid w:val="00E0093C"/>
    <w:rsid w:val="00E00D6F"/>
    <w:rsid w:val="00E01FDF"/>
    <w:rsid w:val="00E02531"/>
    <w:rsid w:val="00E02757"/>
    <w:rsid w:val="00E02958"/>
    <w:rsid w:val="00E03A96"/>
    <w:rsid w:val="00E0486D"/>
    <w:rsid w:val="00E04B1F"/>
    <w:rsid w:val="00E04FDB"/>
    <w:rsid w:val="00E05BBA"/>
    <w:rsid w:val="00E05EEE"/>
    <w:rsid w:val="00E0707D"/>
    <w:rsid w:val="00E077BB"/>
    <w:rsid w:val="00E078F2"/>
    <w:rsid w:val="00E079B2"/>
    <w:rsid w:val="00E07F7E"/>
    <w:rsid w:val="00E10231"/>
    <w:rsid w:val="00E10F20"/>
    <w:rsid w:val="00E11783"/>
    <w:rsid w:val="00E118C3"/>
    <w:rsid w:val="00E122C8"/>
    <w:rsid w:val="00E12541"/>
    <w:rsid w:val="00E12552"/>
    <w:rsid w:val="00E12751"/>
    <w:rsid w:val="00E128C0"/>
    <w:rsid w:val="00E12DAC"/>
    <w:rsid w:val="00E12DC5"/>
    <w:rsid w:val="00E13122"/>
    <w:rsid w:val="00E143F8"/>
    <w:rsid w:val="00E167A6"/>
    <w:rsid w:val="00E16D6D"/>
    <w:rsid w:val="00E170C2"/>
    <w:rsid w:val="00E2070B"/>
    <w:rsid w:val="00E20C24"/>
    <w:rsid w:val="00E20FFF"/>
    <w:rsid w:val="00E213D2"/>
    <w:rsid w:val="00E215E6"/>
    <w:rsid w:val="00E217CB"/>
    <w:rsid w:val="00E21B61"/>
    <w:rsid w:val="00E21BB1"/>
    <w:rsid w:val="00E22E04"/>
    <w:rsid w:val="00E230A8"/>
    <w:rsid w:val="00E2377B"/>
    <w:rsid w:val="00E239CF"/>
    <w:rsid w:val="00E246CF"/>
    <w:rsid w:val="00E24934"/>
    <w:rsid w:val="00E25293"/>
    <w:rsid w:val="00E2615B"/>
    <w:rsid w:val="00E26283"/>
    <w:rsid w:val="00E2630C"/>
    <w:rsid w:val="00E270A9"/>
    <w:rsid w:val="00E27DDD"/>
    <w:rsid w:val="00E27EFE"/>
    <w:rsid w:val="00E27F7F"/>
    <w:rsid w:val="00E30E56"/>
    <w:rsid w:val="00E311EE"/>
    <w:rsid w:val="00E318E6"/>
    <w:rsid w:val="00E31EF2"/>
    <w:rsid w:val="00E31F14"/>
    <w:rsid w:val="00E32503"/>
    <w:rsid w:val="00E33198"/>
    <w:rsid w:val="00E33212"/>
    <w:rsid w:val="00E34D75"/>
    <w:rsid w:val="00E35025"/>
    <w:rsid w:val="00E354AC"/>
    <w:rsid w:val="00E35900"/>
    <w:rsid w:val="00E35E45"/>
    <w:rsid w:val="00E35E6F"/>
    <w:rsid w:val="00E36541"/>
    <w:rsid w:val="00E36FE3"/>
    <w:rsid w:val="00E37756"/>
    <w:rsid w:val="00E37955"/>
    <w:rsid w:val="00E400C0"/>
    <w:rsid w:val="00E41DAC"/>
    <w:rsid w:val="00E42618"/>
    <w:rsid w:val="00E42C09"/>
    <w:rsid w:val="00E44CFB"/>
    <w:rsid w:val="00E45781"/>
    <w:rsid w:val="00E46080"/>
    <w:rsid w:val="00E462AD"/>
    <w:rsid w:val="00E46456"/>
    <w:rsid w:val="00E4676D"/>
    <w:rsid w:val="00E46946"/>
    <w:rsid w:val="00E46E0F"/>
    <w:rsid w:val="00E47CCD"/>
    <w:rsid w:val="00E50D48"/>
    <w:rsid w:val="00E50F43"/>
    <w:rsid w:val="00E51D12"/>
    <w:rsid w:val="00E52F2B"/>
    <w:rsid w:val="00E52F89"/>
    <w:rsid w:val="00E53D33"/>
    <w:rsid w:val="00E53E7D"/>
    <w:rsid w:val="00E541B9"/>
    <w:rsid w:val="00E54482"/>
    <w:rsid w:val="00E545BA"/>
    <w:rsid w:val="00E55020"/>
    <w:rsid w:val="00E552E6"/>
    <w:rsid w:val="00E5544D"/>
    <w:rsid w:val="00E562D9"/>
    <w:rsid w:val="00E56797"/>
    <w:rsid w:val="00E5698E"/>
    <w:rsid w:val="00E56A80"/>
    <w:rsid w:val="00E56DFE"/>
    <w:rsid w:val="00E56EAB"/>
    <w:rsid w:val="00E577E3"/>
    <w:rsid w:val="00E57913"/>
    <w:rsid w:val="00E60377"/>
    <w:rsid w:val="00E60E7E"/>
    <w:rsid w:val="00E611B9"/>
    <w:rsid w:val="00E6144C"/>
    <w:rsid w:val="00E617E2"/>
    <w:rsid w:val="00E619AA"/>
    <w:rsid w:val="00E62BDF"/>
    <w:rsid w:val="00E62D28"/>
    <w:rsid w:val="00E63014"/>
    <w:rsid w:val="00E63C47"/>
    <w:rsid w:val="00E653D2"/>
    <w:rsid w:val="00E65401"/>
    <w:rsid w:val="00E65F23"/>
    <w:rsid w:val="00E6630C"/>
    <w:rsid w:val="00E670FB"/>
    <w:rsid w:val="00E6753F"/>
    <w:rsid w:val="00E67E12"/>
    <w:rsid w:val="00E67FBB"/>
    <w:rsid w:val="00E70C7F"/>
    <w:rsid w:val="00E71505"/>
    <w:rsid w:val="00E71EC8"/>
    <w:rsid w:val="00E724C1"/>
    <w:rsid w:val="00E72FA5"/>
    <w:rsid w:val="00E735B3"/>
    <w:rsid w:val="00E73769"/>
    <w:rsid w:val="00E740C3"/>
    <w:rsid w:val="00E75428"/>
    <w:rsid w:val="00E7585D"/>
    <w:rsid w:val="00E75E17"/>
    <w:rsid w:val="00E765ED"/>
    <w:rsid w:val="00E76EB1"/>
    <w:rsid w:val="00E801F5"/>
    <w:rsid w:val="00E80ABB"/>
    <w:rsid w:val="00E80E3E"/>
    <w:rsid w:val="00E80F4B"/>
    <w:rsid w:val="00E814F3"/>
    <w:rsid w:val="00E81693"/>
    <w:rsid w:val="00E819A4"/>
    <w:rsid w:val="00E81D1C"/>
    <w:rsid w:val="00E82192"/>
    <w:rsid w:val="00E8240B"/>
    <w:rsid w:val="00E8258D"/>
    <w:rsid w:val="00E834DD"/>
    <w:rsid w:val="00E83A59"/>
    <w:rsid w:val="00E83E9A"/>
    <w:rsid w:val="00E84442"/>
    <w:rsid w:val="00E84F72"/>
    <w:rsid w:val="00E85215"/>
    <w:rsid w:val="00E867F1"/>
    <w:rsid w:val="00E86993"/>
    <w:rsid w:val="00E8741B"/>
    <w:rsid w:val="00E87E5F"/>
    <w:rsid w:val="00E9015D"/>
    <w:rsid w:val="00E902C9"/>
    <w:rsid w:val="00E902E8"/>
    <w:rsid w:val="00E9062F"/>
    <w:rsid w:val="00E90724"/>
    <w:rsid w:val="00E91E78"/>
    <w:rsid w:val="00E9208B"/>
    <w:rsid w:val="00E92943"/>
    <w:rsid w:val="00E9327D"/>
    <w:rsid w:val="00E93629"/>
    <w:rsid w:val="00E950A9"/>
    <w:rsid w:val="00E9518B"/>
    <w:rsid w:val="00E959CB"/>
    <w:rsid w:val="00E95E1F"/>
    <w:rsid w:val="00E96434"/>
    <w:rsid w:val="00E9742E"/>
    <w:rsid w:val="00E977CC"/>
    <w:rsid w:val="00E9781F"/>
    <w:rsid w:val="00E9792E"/>
    <w:rsid w:val="00E97A72"/>
    <w:rsid w:val="00EA00DE"/>
    <w:rsid w:val="00EA02E7"/>
    <w:rsid w:val="00EA193A"/>
    <w:rsid w:val="00EA1F3E"/>
    <w:rsid w:val="00EA25FA"/>
    <w:rsid w:val="00EA2DA1"/>
    <w:rsid w:val="00EA3AAA"/>
    <w:rsid w:val="00EA40EE"/>
    <w:rsid w:val="00EA423A"/>
    <w:rsid w:val="00EA4426"/>
    <w:rsid w:val="00EA466D"/>
    <w:rsid w:val="00EA535C"/>
    <w:rsid w:val="00EA5D88"/>
    <w:rsid w:val="00EA634F"/>
    <w:rsid w:val="00EA6A4F"/>
    <w:rsid w:val="00EA6BBC"/>
    <w:rsid w:val="00EA71C8"/>
    <w:rsid w:val="00EA7395"/>
    <w:rsid w:val="00EA7BDC"/>
    <w:rsid w:val="00EA7E10"/>
    <w:rsid w:val="00EB0328"/>
    <w:rsid w:val="00EB1746"/>
    <w:rsid w:val="00EB1D50"/>
    <w:rsid w:val="00EB21BD"/>
    <w:rsid w:val="00EB2964"/>
    <w:rsid w:val="00EB2B16"/>
    <w:rsid w:val="00EB2B94"/>
    <w:rsid w:val="00EB3198"/>
    <w:rsid w:val="00EB328A"/>
    <w:rsid w:val="00EB35BE"/>
    <w:rsid w:val="00EB3E01"/>
    <w:rsid w:val="00EB4ABB"/>
    <w:rsid w:val="00EB5065"/>
    <w:rsid w:val="00EB55F4"/>
    <w:rsid w:val="00EB5777"/>
    <w:rsid w:val="00EB57FD"/>
    <w:rsid w:val="00EB6B39"/>
    <w:rsid w:val="00EB6FDA"/>
    <w:rsid w:val="00EB707B"/>
    <w:rsid w:val="00EC0CCB"/>
    <w:rsid w:val="00EC0D0A"/>
    <w:rsid w:val="00EC0EA6"/>
    <w:rsid w:val="00EC0F78"/>
    <w:rsid w:val="00EC16ED"/>
    <w:rsid w:val="00EC18A4"/>
    <w:rsid w:val="00EC1B18"/>
    <w:rsid w:val="00EC20B8"/>
    <w:rsid w:val="00EC2239"/>
    <w:rsid w:val="00EC28D7"/>
    <w:rsid w:val="00EC2924"/>
    <w:rsid w:val="00EC2B5E"/>
    <w:rsid w:val="00EC380B"/>
    <w:rsid w:val="00EC39B5"/>
    <w:rsid w:val="00EC39BD"/>
    <w:rsid w:val="00EC44CC"/>
    <w:rsid w:val="00EC45BF"/>
    <w:rsid w:val="00EC45F2"/>
    <w:rsid w:val="00EC467A"/>
    <w:rsid w:val="00EC4C26"/>
    <w:rsid w:val="00EC5909"/>
    <w:rsid w:val="00EC5FF9"/>
    <w:rsid w:val="00EC60C4"/>
    <w:rsid w:val="00EC6FC0"/>
    <w:rsid w:val="00EC74CE"/>
    <w:rsid w:val="00EC74DC"/>
    <w:rsid w:val="00EC7533"/>
    <w:rsid w:val="00EC7630"/>
    <w:rsid w:val="00EC7953"/>
    <w:rsid w:val="00EC7BE7"/>
    <w:rsid w:val="00ED0273"/>
    <w:rsid w:val="00ED0808"/>
    <w:rsid w:val="00ED09CC"/>
    <w:rsid w:val="00ED18E8"/>
    <w:rsid w:val="00ED2053"/>
    <w:rsid w:val="00ED249E"/>
    <w:rsid w:val="00ED2793"/>
    <w:rsid w:val="00ED3D3E"/>
    <w:rsid w:val="00ED3D6A"/>
    <w:rsid w:val="00ED3F5A"/>
    <w:rsid w:val="00ED44CD"/>
    <w:rsid w:val="00ED49DA"/>
    <w:rsid w:val="00ED5099"/>
    <w:rsid w:val="00ED5279"/>
    <w:rsid w:val="00ED6201"/>
    <w:rsid w:val="00ED6CFE"/>
    <w:rsid w:val="00ED749D"/>
    <w:rsid w:val="00ED7BC1"/>
    <w:rsid w:val="00EE01E3"/>
    <w:rsid w:val="00EE0361"/>
    <w:rsid w:val="00EE04F9"/>
    <w:rsid w:val="00EE059A"/>
    <w:rsid w:val="00EE0D36"/>
    <w:rsid w:val="00EE0FAB"/>
    <w:rsid w:val="00EE138F"/>
    <w:rsid w:val="00EE1F59"/>
    <w:rsid w:val="00EE3137"/>
    <w:rsid w:val="00EE3331"/>
    <w:rsid w:val="00EE3CF7"/>
    <w:rsid w:val="00EE4ADE"/>
    <w:rsid w:val="00EE4D9E"/>
    <w:rsid w:val="00EE5C88"/>
    <w:rsid w:val="00EE67B3"/>
    <w:rsid w:val="00EE6A27"/>
    <w:rsid w:val="00EE6FFE"/>
    <w:rsid w:val="00EE7660"/>
    <w:rsid w:val="00EE787B"/>
    <w:rsid w:val="00EF02E7"/>
    <w:rsid w:val="00EF039A"/>
    <w:rsid w:val="00EF06D3"/>
    <w:rsid w:val="00EF090D"/>
    <w:rsid w:val="00EF0981"/>
    <w:rsid w:val="00EF0F1B"/>
    <w:rsid w:val="00EF120E"/>
    <w:rsid w:val="00EF1439"/>
    <w:rsid w:val="00EF14CB"/>
    <w:rsid w:val="00EF1AAD"/>
    <w:rsid w:val="00EF242F"/>
    <w:rsid w:val="00EF2CA3"/>
    <w:rsid w:val="00EF2FCA"/>
    <w:rsid w:val="00EF35A1"/>
    <w:rsid w:val="00EF3EE8"/>
    <w:rsid w:val="00EF4FB1"/>
    <w:rsid w:val="00EF52E8"/>
    <w:rsid w:val="00EF531E"/>
    <w:rsid w:val="00EF53AD"/>
    <w:rsid w:val="00EF61F9"/>
    <w:rsid w:val="00EF6468"/>
    <w:rsid w:val="00EF6BE8"/>
    <w:rsid w:val="00F002F2"/>
    <w:rsid w:val="00F00523"/>
    <w:rsid w:val="00F00B65"/>
    <w:rsid w:val="00F018BE"/>
    <w:rsid w:val="00F01BAD"/>
    <w:rsid w:val="00F01E81"/>
    <w:rsid w:val="00F022D7"/>
    <w:rsid w:val="00F024F1"/>
    <w:rsid w:val="00F03650"/>
    <w:rsid w:val="00F039ED"/>
    <w:rsid w:val="00F04168"/>
    <w:rsid w:val="00F04A95"/>
    <w:rsid w:val="00F04D8F"/>
    <w:rsid w:val="00F058E6"/>
    <w:rsid w:val="00F0603A"/>
    <w:rsid w:val="00F061CE"/>
    <w:rsid w:val="00F0667E"/>
    <w:rsid w:val="00F07DEF"/>
    <w:rsid w:val="00F10AF5"/>
    <w:rsid w:val="00F11958"/>
    <w:rsid w:val="00F11E90"/>
    <w:rsid w:val="00F12B99"/>
    <w:rsid w:val="00F12CF0"/>
    <w:rsid w:val="00F12FC8"/>
    <w:rsid w:val="00F13174"/>
    <w:rsid w:val="00F13207"/>
    <w:rsid w:val="00F141E9"/>
    <w:rsid w:val="00F1437D"/>
    <w:rsid w:val="00F14686"/>
    <w:rsid w:val="00F146C4"/>
    <w:rsid w:val="00F14BEA"/>
    <w:rsid w:val="00F14CA9"/>
    <w:rsid w:val="00F14F63"/>
    <w:rsid w:val="00F160E8"/>
    <w:rsid w:val="00F1681E"/>
    <w:rsid w:val="00F168CA"/>
    <w:rsid w:val="00F17954"/>
    <w:rsid w:val="00F17965"/>
    <w:rsid w:val="00F20775"/>
    <w:rsid w:val="00F207CA"/>
    <w:rsid w:val="00F208DD"/>
    <w:rsid w:val="00F2138A"/>
    <w:rsid w:val="00F214D9"/>
    <w:rsid w:val="00F21596"/>
    <w:rsid w:val="00F21668"/>
    <w:rsid w:val="00F21B10"/>
    <w:rsid w:val="00F22350"/>
    <w:rsid w:val="00F2344F"/>
    <w:rsid w:val="00F237E8"/>
    <w:rsid w:val="00F23C23"/>
    <w:rsid w:val="00F23CD4"/>
    <w:rsid w:val="00F24B6F"/>
    <w:rsid w:val="00F24DB4"/>
    <w:rsid w:val="00F25BCB"/>
    <w:rsid w:val="00F26C75"/>
    <w:rsid w:val="00F26E25"/>
    <w:rsid w:val="00F27F65"/>
    <w:rsid w:val="00F300B4"/>
    <w:rsid w:val="00F3010C"/>
    <w:rsid w:val="00F30265"/>
    <w:rsid w:val="00F316BC"/>
    <w:rsid w:val="00F3192E"/>
    <w:rsid w:val="00F31F78"/>
    <w:rsid w:val="00F31FCE"/>
    <w:rsid w:val="00F323FA"/>
    <w:rsid w:val="00F32570"/>
    <w:rsid w:val="00F32B56"/>
    <w:rsid w:val="00F32B95"/>
    <w:rsid w:val="00F32E7A"/>
    <w:rsid w:val="00F32FBB"/>
    <w:rsid w:val="00F33429"/>
    <w:rsid w:val="00F334A2"/>
    <w:rsid w:val="00F33C10"/>
    <w:rsid w:val="00F342C6"/>
    <w:rsid w:val="00F34DA2"/>
    <w:rsid w:val="00F35791"/>
    <w:rsid w:val="00F35ADC"/>
    <w:rsid w:val="00F3619F"/>
    <w:rsid w:val="00F369A8"/>
    <w:rsid w:val="00F36F7F"/>
    <w:rsid w:val="00F37C3F"/>
    <w:rsid w:val="00F37D1F"/>
    <w:rsid w:val="00F37ECA"/>
    <w:rsid w:val="00F41477"/>
    <w:rsid w:val="00F41582"/>
    <w:rsid w:val="00F41EF5"/>
    <w:rsid w:val="00F41FFF"/>
    <w:rsid w:val="00F4259F"/>
    <w:rsid w:val="00F42AF5"/>
    <w:rsid w:val="00F43ABD"/>
    <w:rsid w:val="00F43E53"/>
    <w:rsid w:val="00F44058"/>
    <w:rsid w:val="00F44706"/>
    <w:rsid w:val="00F449A2"/>
    <w:rsid w:val="00F4607F"/>
    <w:rsid w:val="00F46306"/>
    <w:rsid w:val="00F46802"/>
    <w:rsid w:val="00F4688D"/>
    <w:rsid w:val="00F46907"/>
    <w:rsid w:val="00F46955"/>
    <w:rsid w:val="00F471A0"/>
    <w:rsid w:val="00F47BFC"/>
    <w:rsid w:val="00F501C9"/>
    <w:rsid w:val="00F509C7"/>
    <w:rsid w:val="00F50E7A"/>
    <w:rsid w:val="00F516C4"/>
    <w:rsid w:val="00F5172C"/>
    <w:rsid w:val="00F51737"/>
    <w:rsid w:val="00F52006"/>
    <w:rsid w:val="00F529AC"/>
    <w:rsid w:val="00F537AB"/>
    <w:rsid w:val="00F53AE7"/>
    <w:rsid w:val="00F53C6D"/>
    <w:rsid w:val="00F55457"/>
    <w:rsid w:val="00F55953"/>
    <w:rsid w:val="00F56C83"/>
    <w:rsid w:val="00F5747D"/>
    <w:rsid w:val="00F5781D"/>
    <w:rsid w:val="00F57BB0"/>
    <w:rsid w:val="00F57C11"/>
    <w:rsid w:val="00F600CE"/>
    <w:rsid w:val="00F60506"/>
    <w:rsid w:val="00F60DA8"/>
    <w:rsid w:val="00F61905"/>
    <w:rsid w:val="00F62A0B"/>
    <w:rsid w:val="00F63A51"/>
    <w:rsid w:val="00F63C66"/>
    <w:rsid w:val="00F64AE4"/>
    <w:rsid w:val="00F64C02"/>
    <w:rsid w:val="00F65170"/>
    <w:rsid w:val="00F654B6"/>
    <w:rsid w:val="00F6558F"/>
    <w:rsid w:val="00F660A2"/>
    <w:rsid w:val="00F66562"/>
    <w:rsid w:val="00F66BBE"/>
    <w:rsid w:val="00F67197"/>
    <w:rsid w:val="00F671DE"/>
    <w:rsid w:val="00F67983"/>
    <w:rsid w:val="00F67B62"/>
    <w:rsid w:val="00F67B66"/>
    <w:rsid w:val="00F7060C"/>
    <w:rsid w:val="00F710C1"/>
    <w:rsid w:val="00F7140E"/>
    <w:rsid w:val="00F71EA9"/>
    <w:rsid w:val="00F71ECB"/>
    <w:rsid w:val="00F7201D"/>
    <w:rsid w:val="00F722AC"/>
    <w:rsid w:val="00F72343"/>
    <w:rsid w:val="00F728D4"/>
    <w:rsid w:val="00F733C8"/>
    <w:rsid w:val="00F7363B"/>
    <w:rsid w:val="00F740F5"/>
    <w:rsid w:val="00F7443A"/>
    <w:rsid w:val="00F747D7"/>
    <w:rsid w:val="00F7482D"/>
    <w:rsid w:val="00F75196"/>
    <w:rsid w:val="00F757D5"/>
    <w:rsid w:val="00F75A3F"/>
    <w:rsid w:val="00F75F03"/>
    <w:rsid w:val="00F75F31"/>
    <w:rsid w:val="00F764FD"/>
    <w:rsid w:val="00F7679F"/>
    <w:rsid w:val="00F77310"/>
    <w:rsid w:val="00F77348"/>
    <w:rsid w:val="00F806B4"/>
    <w:rsid w:val="00F80C8D"/>
    <w:rsid w:val="00F82825"/>
    <w:rsid w:val="00F829DA"/>
    <w:rsid w:val="00F839F4"/>
    <w:rsid w:val="00F83A25"/>
    <w:rsid w:val="00F83E64"/>
    <w:rsid w:val="00F842F8"/>
    <w:rsid w:val="00F8445E"/>
    <w:rsid w:val="00F84483"/>
    <w:rsid w:val="00F844B7"/>
    <w:rsid w:val="00F84511"/>
    <w:rsid w:val="00F85954"/>
    <w:rsid w:val="00F85BB3"/>
    <w:rsid w:val="00F86254"/>
    <w:rsid w:val="00F873E2"/>
    <w:rsid w:val="00F8769E"/>
    <w:rsid w:val="00F876F1"/>
    <w:rsid w:val="00F87CED"/>
    <w:rsid w:val="00F87E0A"/>
    <w:rsid w:val="00F87ECF"/>
    <w:rsid w:val="00F90498"/>
    <w:rsid w:val="00F90BD3"/>
    <w:rsid w:val="00F918CE"/>
    <w:rsid w:val="00F92AEE"/>
    <w:rsid w:val="00F92C15"/>
    <w:rsid w:val="00F93795"/>
    <w:rsid w:val="00F937EC"/>
    <w:rsid w:val="00F93A29"/>
    <w:rsid w:val="00F93D97"/>
    <w:rsid w:val="00F94C16"/>
    <w:rsid w:val="00F94D6D"/>
    <w:rsid w:val="00F95210"/>
    <w:rsid w:val="00F953E3"/>
    <w:rsid w:val="00F9578D"/>
    <w:rsid w:val="00F9581F"/>
    <w:rsid w:val="00F963A2"/>
    <w:rsid w:val="00F96538"/>
    <w:rsid w:val="00F96F38"/>
    <w:rsid w:val="00F975AD"/>
    <w:rsid w:val="00F97754"/>
    <w:rsid w:val="00F97884"/>
    <w:rsid w:val="00F97A0F"/>
    <w:rsid w:val="00F97D6B"/>
    <w:rsid w:val="00FA0522"/>
    <w:rsid w:val="00FA0AEB"/>
    <w:rsid w:val="00FA1FF2"/>
    <w:rsid w:val="00FA2551"/>
    <w:rsid w:val="00FA3412"/>
    <w:rsid w:val="00FA4AF6"/>
    <w:rsid w:val="00FA4F79"/>
    <w:rsid w:val="00FA51A8"/>
    <w:rsid w:val="00FA5356"/>
    <w:rsid w:val="00FA5C98"/>
    <w:rsid w:val="00FA6626"/>
    <w:rsid w:val="00FA66E6"/>
    <w:rsid w:val="00FA687C"/>
    <w:rsid w:val="00FA7F91"/>
    <w:rsid w:val="00FB01AB"/>
    <w:rsid w:val="00FB0592"/>
    <w:rsid w:val="00FB08B1"/>
    <w:rsid w:val="00FB150E"/>
    <w:rsid w:val="00FB17AA"/>
    <w:rsid w:val="00FB249E"/>
    <w:rsid w:val="00FB267E"/>
    <w:rsid w:val="00FB2EB8"/>
    <w:rsid w:val="00FB3006"/>
    <w:rsid w:val="00FB323F"/>
    <w:rsid w:val="00FB4375"/>
    <w:rsid w:val="00FB5617"/>
    <w:rsid w:val="00FB6564"/>
    <w:rsid w:val="00FB6ECE"/>
    <w:rsid w:val="00FB796E"/>
    <w:rsid w:val="00FB7C88"/>
    <w:rsid w:val="00FC0141"/>
    <w:rsid w:val="00FC0679"/>
    <w:rsid w:val="00FC0A96"/>
    <w:rsid w:val="00FC0C68"/>
    <w:rsid w:val="00FC0F36"/>
    <w:rsid w:val="00FC318E"/>
    <w:rsid w:val="00FC324A"/>
    <w:rsid w:val="00FC33F4"/>
    <w:rsid w:val="00FC3F3C"/>
    <w:rsid w:val="00FC4CED"/>
    <w:rsid w:val="00FC5824"/>
    <w:rsid w:val="00FC58F6"/>
    <w:rsid w:val="00FC5A5D"/>
    <w:rsid w:val="00FC6B82"/>
    <w:rsid w:val="00FC783B"/>
    <w:rsid w:val="00FD02BF"/>
    <w:rsid w:val="00FD0832"/>
    <w:rsid w:val="00FD0BC2"/>
    <w:rsid w:val="00FD1388"/>
    <w:rsid w:val="00FD15DE"/>
    <w:rsid w:val="00FD1883"/>
    <w:rsid w:val="00FD24C1"/>
    <w:rsid w:val="00FD24D9"/>
    <w:rsid w:val="00FD2CD3"/>
    <w:rsid w:val="00FD317B"/>
    <w:rsid w:val="00FD33EF"/>
    <w:rsid w:val="00FD3549"/>
    <w:rsid w:val="00FD3C1D"/>
    <w:rsid w:val="00FD436A"/>
    <w:rsid w:val="00FD4FC8"/>
    <w:rsid w:val="00FD5179"/>
    <w:rsid w:val="00FD5356"/>
    <w:rsid w:val="00FD58A2"/>
    <w:rsid w:val="00FD5D85"/>
    <w:rsid w:val="00FD6A83"/>
    <w:rsid w:val="00FD7751"/>
    <w:rsid w:val="00FD7810"/>
    <w:rsid w:val="00FD7D31"/>
    <w:rsid w:val="00FE05AB"/>
    <w:rsid w:val="00FE1396"/>
    <w:rsid w:val="00FE13A1"/>
    <w:rsid w:val="00FE15F3"/>
    <w:rsid w:val="00FE1864"/>
    <w:rsid w:val="00FE1B66"/>
    <w:rsid w:val="00FE1C6E"/>
    <w:rsid w:val="00FE214B"/>
    <w:rsid w:val="00FE2732"/>
    <w:rsid w:val="00FE27FB"/>
    <w:rsid w:val="00FE2DE5"/>
    <w:rsid w:val="00FE33DF"/>
    <w:rsid w:val="00FE36B7"/>
    <w:rsid w:val="00FE3A8C"/>
    <w:rsid w:val="00FE3B13"/>
    <w:rsid w:val="00FE3EAE"/>
    <w:rsid w:val="00FE45FC"/>
    <w:rsid w:val="00FE4E8F"/>
    <w:rsid w:val="00FE5192"/>
    <w:rsid w:val="00FE5200"/>
    <w:rsid w:val="00FE56F1"/>
    <w:rsid w:val="00FE5C42"/>
    <w:rsid w:val="00FE68BF"/>
    <w:rsid w:val="00FE71F9"/>
    <w:rsid w:val="00FE795B"/>
    <w:rsid w:val="00FF0417"/>
    <w:rsid w:val="00FF19B3"/>
    <w:rsid w:val="00FF1C2B"/>
    <w:rsid w:val="00FF23E5"/>
    <w:rsid w:val="00FF30FB"/>
    <w:rsid w:val="00FF3134"/>
    <w:rsid w:val="00FF371F"/>
    <w:rsid w:val="00FF393D"/>
    <w:rsid w:val="00FF4A16"/>
    <w:rsid w:val="00FF6622"/>
    <w:rsid w:val="00FF6F6C"/>
    <w:rsid w:val="00FF7461"/>
    <w:rsid w:val="00FF78BC"/>
    <w:rsid w:val="00FF7BD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825E73"/>
  <w15:chartTrackingRefBased/>
  <w15:docId w15:val="{9E72D751-B99E-41AF-A76F-C747DD7A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55"/>
    <w:pPr>
      <w:spacing w:after="200" w:line="276" w:lineRule="auto"/>
    </w:pPr>
    <w:rPr>
      <w:rFonts w:ascii="Calibri" w:eastAsia="Calibri" w:hAnsi="Calibri"/>
      <w:sz w:val="22"/>
      <w:szCs w:val="22"/>
      <w:lang w:eastAsia="en-US"/>
    </w:rPr>
  </w:style>
  <w:style w:type="paragraph" w:styleId="Heading1">
    <w:name w:val="heading 1"/>
    <w:basedOn w:val="Normal"/>
    <w:next w:val="Text1"/>
    <w:link w:val="Heading1Char"/>
    <w:qFormat/>
    <w:rsid w:val="008B67AE"/>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rsid w:val="008B67AE"/>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rsid w:val="008B67AE"/>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nhideWhenUsed/>
    <w:qFormat/>
    <w:rsid w:val="008B67AE"/>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AE"/>
    <w:rPr>
      <w:b/>
      <w:bCs/>
      <w:smallCaps/>
      <w:sz w:val="24"/>
      <w:szCs w:val="32"/>
      <w:lang w:eastAsia="en-US"/>
    </w:rPr>
  </w:style>
  <w:style w:type="character" w:customStyle="1" w:styleId="Heading2Char">
    <w:name w:val="Heading 2 Char"/>
    <w:basedOn w:val="DefaultParagraphFont"/>
    <w:link w:val="Heading2"/>
    <w:rsid w:val="008B67AE"/>
    <w:rPr>
      <w:b/>
      <w:bCs/>
      <w:iCs/>
      <w:sz w:val="24"/>
      <w:szCs w:val="28"/>
      <w:lang w:eastAsia="en-US"/>
    </w:rPr>
  </w:style>
  <w:style w:type="character" w:customStyle="1" w:styleId="Heading3Char">
    <w:name w:val="Heading 3 Char"/>
    <w:basedOn w:val="DefaultParagraphFont"/>
    <w:link w:val="Heading3"/>
    <w:rsid w:val="008B67AE"/>
    <w:rPr>
      <w:bCs/>
      <w:i/>
      <w:sz w:val="24"/>
      <w:szCs w:val="26"/>
      <w:lang w:eastAsia="en-US"/>
    </w:rPr>
  </w:style>
  <w:style w:type="character" w:customStyle="1" w:styleId="Heading4Char">
    <w:name w:val="Heading 4 Char"/>
    <w:basedOn w:val="DefaultParagraphFont"/>
    <w:link w:val="Heading4"/>
    <w:rsid w:val="008B67AE"/>
    <w:rPr>
      <w:bCs/>
      <w:sz w:val="24"/>
      <w:szCs w:val="28"/>
      <w:lang w:eastAsia="en-US"/>
    </w:rPr>
  </w:style>
  <w:style w:type="character" w:styleId="Hyperlink">
    <w:name w:val="Hyperlink"/>
    <w:unhideWhenUsed/>
    <w:rsid w:val="008B67AE"/>
    <w:rPr>
      <w:rFonts w:ascii="Times New Roman" w:hAnsi="Times New Roman" w:cs="Times New Roman" w:hint="default"/>
      <w:color w:val="0000FF"/>
      <w:u w:val="single"/>
    </w:rPr>
  </w:style>
  <w:style w:type="character" w:styleId="FollowedHyperlink">
    <w:name w:val="FollowedHyperlink"/>
    <w:semiHidden/>
    <w:unhideWhenUsed/>
    <w:rsid w:val="008B67AE"/>
    <w:rPr>
      <w:color w:val="800080"/>
      <w:u w:val="single"/>
    </w:rPr>
  </w:style>
  <w:style w:type="paragraph" w:customStyle="1" w:styleId="Text1">
    <w:name w:val="Text 1"/>
    <w:basedOn w:val="Normal"/>
    <w:rsid w:val="008B67AE"/>
    <w:pPr>
      <w:spacing w:before="120" w:after="120" w:line="240" w:lineRule="auto"/>
      <w:ind w:left="850"/>
      <w:jc w:val="both"/>
    </w:pPr>
    <w:rPr>
      <w:rFonts w:ascii="Times New Roman" w:eastAsia="Times New Roman" w:hAnsi="Times New Roman"/>
      <w:sz w:val="24"/>
      <w:szCs w:val="24"/>
    </w:rPr>
  </w:style>
  <w:style w:type="paragraph" w:customStyle="1" w:styleId="msonormal0">
    <w:name w:val="msonormal"/>
    <w:basedOn w:val="Normal"/>
    <w:rsid w:val="008B67AE"/>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rsid w:val="008B67AE"/>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rsid w:val="008B67AE"/>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rsid w:val="008B67AE"/>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rsid w:val="008B67AE"/>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rsid w:val="008B67AE"/>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rsid w:val="008B67AE"/>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8B67AE"/>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8B67AE"/>
    <w:rPr>
      <w:lang w:eastAsia="en-US"/>
    </w:rPr>
  </w:style>
  <w:style w:type="paragraph" w:styleId="CommentText">
    <w:name w:val="annotation text"/>
    <w:basedOn w:val="Normal"/>
    <w:link w:val="CommentTextChar"/>
    <w:semiHidden/>
    <w:unhideWhenUsed/>
    <w:rsid w:val="008B67AE"/>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8B67AE"/>
  </w:style>
  <w:style w:type="paragraph" w:styleId="Header">
    <w:name w:val="header"/>
    <w:basedOn w:val="Normal"/>
    <w:link w:val="HeaderChar"/>
    <w:uiPriority w:val="99"/>
    <w:unhideWhenUsed/>
    <w:rsid w:val="008B67AE"/>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8B67AE"/>
    <w:rPr>
      <w:rFonts w:eastAsia="Calibri"/>
      <w:sz w:val="24"/>
      <w:szCs w:val="22"/>
      <w:lang w:eastAsia="en-US"/>
    </w:rPr>
  </w:style>
  <w:style w:type="paragraph" w:styleId="Footer">
    <w:name w:val="footer"/>
    <w:basedOn w:val="Normal"/>
    <w:link w:val="FooterChar"/>
    <w:uiPriority w:val="99"/>
    <w:unhideWhenUsed/>
    <w:rsid w:val="008B67AE"/>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B67AE"/>
    <w:rPr>
      <w:sz w:val="24"/>
      <w:szCs w:val="24"/>
      <w:lang w:eastAsia="en-US"/>
    </w:rPr>
  </w:style>
  <w:style w:type="paragraph" w:styleId="Caption">
    <w:name w:val="caption"/>
    <w:basedOn w:val="Normal"/>
    <w:next w:val="Normal"/>
    <w:unhideWhenUsed/>
    <w:qFormat/>
    <w:rsid w:val="008B67AE"/>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rsid w:val="008B67AE"/>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rsid w:val="008B67AE"/>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B67AE"/>
    <w:rPr>
      <w:lang w:eastAsia="en-US"/>
    </w:rPr>
  </w:style>
  <w:style w:type="paragraph" w:styleId="ListBullet">
    <w:name w:val="List Bullet"/>
    <w:basedOn w:val="Normal"/>
    <w:semiHidden/>
    <w:unhideWhenUsed/>
    <w:rsid w:val="008B67AE"/>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unhideWhenUsed/>
    <w:rsid w:val="008B67AE"/>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rsid w:val="008B67AE"/>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rsid w:val="008B67AE"/>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rsid w:val="008B67AE"/>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rsid w:val="008B67AE"/>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rsid w:val="008B67AE"/>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rsid w:val="008B67AE"/>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sid w:val="008B67AE"/>
    <w:rPr>
      <w:b/>
      <w:bCs/>
      <w:lang w:eastAsia="de-DE"/>
    </w:rPr>
  </w:style>
  <w:style w:type="character" w:customStyle="1" w:styleId="CommentSubjectChar">
    <w:name w:val="Comment Subject Char"/>
    <w:basedOn w:val="CommentTextChar"/>
    <w:link w:val="CommentSubject"/>
    <w:semiHidden/>
    <w:rsid w:val="008B67AE"/>
    <w:rPr>
      <w:b/>
      <w:bCs/>
      <w:lang w:eastAsia="de-DE"/>
    </w:rPr>
  </w:style>
  <w:style w:type="paragraph" w:styleId="BalloonText">
    <w:name w:val="Balloon Text"/>
    <w:basedOn w:val="Normal"/>
    <w:link w:val="BalloonTextChar"/>
    <w:semiHidden/>
    <w:unhideWhenUsed/>
    <w:rsid w:val="008B67AE"/>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sid w:val="008B67AE"/>
    <w:rPr>
      <w:rFonts w:ascii="Tahoma" w:hAnsi="Tahoma" w:cs="Tahoma"/>
      <w:sz w:val="16"/>
      <w:szCs w:val="16"/>
      <w:lang w:eastAsia="de-DE"/>
    </w:rPr>
  </w:style>
  <w:style w:type="paragraph" w:styleId="Revision">
    <w:name w:val="Revision"/>
    <w:uiPriority w:val="99"/>
    <w:semiHidden/>
    <w:rsid w:val="008B67AE"/>
    <w:rPr>
      <w:sz w:val="24"/>
      <w:szCs w:val="24"/>
      <w:lang w:eastAsia="en-US"/>
    </w:rPr>
  </w:style>
  <w:style w:type="paragraph" w:styleId="TOCHeading">
    <w:name w:val="TOC Heading"/>
    <w:basedOn w:val="Normal"/>
    <w:next w:val="Normal"/>
    <w:unhideWhenUsed/>
    <w:qFormat/>
    <w:rsid w:val="008B67AE"/>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rsid w:val="008B67AE"/>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rsid w:val="008B67AE"/>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rsid w:val="008B67AE"/>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rsid w:val="008B67AE"/>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rsid w:val="008B67AE"/>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rsid w:val="008B67AE"/>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rsid w:val="008B67AE"/>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rsid w:val="008B67AE"/>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rsid w:val="008B67AE"/>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rsid w:val="008B67AE"/>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rsid w:val="008B67AE"/>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rsid w:val="008B67AE"/>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rsid w:val="008B67AE"/>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rsid w:val="008B67AE"/>
    <w:pPr>
      <w:numPr>
        <w:numId w:val="10"/>
      </w:numPr>
    </w:pPr>
  </w:style>
  <w:style w:type="paragraph" w:customStyle="1" w:styleId="Tiret1">
    <w:name w:val="Tiret 1"/>
    <w:basedOn w:val="Point1"/>
    <w:rsid w:val="008B67AE"/>
    <w:pPr>
      <w:numPr>
        <w:numId w:val="11"/>
      </w:numPr>
    </w:pPr>
  </w:style>
  <w:style w:type="paragraph" w:customStyle="1" w:styleId="Tiret2">
    <w:name w:val="Tiret 2"/>
    <w:basedOn w:val="Point2"/>
    <w:rsid w:val="008B67AE"/>
    <w:pPr>
      <w:numPr>
        <w:numId w:val="12"/>
      </w:numPr>
    </w:pPr>
  </w:style>
  <w:style w:type="paragraph" w:customStyle="1" w:styleId="Tiret3">
    <w:name w:val="Tiret 3"/>
    <w:basedOn w:val="Point3"/>
    <w:rsid w:val="008B67AE"/>
    <w:pPr>
      <w:numPr>
        <w:numId w:val="13"/>
      </w:numPr>
    </w:pPr>
  </w:style>
  <w:style w:type="paragraph" w:customStyle="1" w:styleId="Tiret4">
    <w:name w:val="Tiret 4"/>
    <w:basedOn w:val="Point4"/>
    <w:rsid w:val="008B67AE"/>
    <w:pPr>
      <w:numPr>
        <w:numId w:val="14"/>
      </w:numPr>
    </w:pPr>
  </w:style>
  <w:style w:type="paragraph" w:customStyle="1" w:styleId="PointDouble0">
    <w:name w:val="PointDouble 0"/>
    <w:basedOn w:val="Normal"/>
    <w:rsid w:val="008B67AE"/>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rsid w:val="008B67AE"/>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rsid w:val="008B67AE"/>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rsid w:val="008B67AE"/>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rsid w:val="008B67AE"/>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rsid w:val="008B67AE"/>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rsid w:val="008B67AE"/>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rsid w:val="008B67AE"/>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rsid w:val="008B67AE"/>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rsid w:val="008B67AE"/>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rsid w:val="008B67AE"/>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rsid w:val="008B67AE"/>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rsid w:val="008B67AE"/>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rsid w:val="008B67AE"/>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rsid w:val="008B67AE"/>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rsid w:val="008B67AE"/>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rsid w:val="008B67AE"/>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rsid w:val="008B67AE"/>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rsid w:val="008B67AE"/>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rsid w:val="008B67AE"/>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rsid w:val="008B67AE"/>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rsid w:val="008B67A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rsid w:val="008B67AE"/>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rsid w:val="008B67AE"/>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rsid w:val="008B67AE"/>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8B67AE"/>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8B67AE"/>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8B67AE"/>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8B67AE"/>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8B67AE"/>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8B67AE"/>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8B67AE"/>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8B67AE"/>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rsid w:val="008B67AE"/>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rsid w:val="008B67AE"/>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rsid w:val="008B67AE"/>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rsid w:val="008B67AE"/>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rsid w:val="008B67AE"/>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Institutionquisigne">
    <w:name w:val="Institution qui signe"/>
    <w:basedOn w:val="Normal"/>
    <w:next w:val="Personnequisigne"/>
    <w:rsid w:val="008B67A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Fait">
    <w:name w:val="Fait à"/>
    <w:basedOn w:val="Normal"/>
    <w:next w:val="Institutionquisigne"/>
    <w:rsid w:val="008B67A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rsid w:val="008B67AE"/>
    <w:pPr>
      <w:spacing w:before="480" w:after="120" w:line="240" w:lineRule="auto"/>
      <w:jc w:val="both"/>
    </w:pPr>
    <w:rPr>
      <w:rFonts w:ascii="Times New Roman" w:eastAsia="Times New Roman" w:hAnsi="Times New Roman"/>
      <w:sz w:val="24"/>
      <w:szCs w:val="24"/>
    </w:rPr>
  </w:style>
  <w:style w:type="paragraph" w:customStyle="1" w:styleId="Personnequisigne">
    <w:name w:val="Personne qui signe"/>
    <w:basedOn w:val="Normal"/>
    <w:next w:val="Institutionquisigne"/>
    <w:rsid w:val="008B67A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rsid w:val="008B67AE"/>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rsid w:val="008B67AE"/>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rsid w:val="008B67AE"/>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rsid w:val="008B67AE"/>
    <w:pPr>
      <w:spacing w:before="240" w:after="240" w:line="240" w:lineRule="auto"/>
      <w:ind w:left="5103"/>
      <w:jc w:val="both"/>
    </w:pPr>
    <w:rPr>
      <w:rFonts w:ascii="Times New Roman" w:eastAsia="Times New Roman" w:hAnsi="Times New Roman"/>
      <w:i/>
      <w:sz w:val="32"/>
      <w:szCs w:val="24"/>
    </w:rPr>
  </w:style>
  <w:style w:type="paragraph" w:customStyle="1" w:styleId="Sous-titreobjet">
    <w:name w:val="Sous-titre objet"/>
    <w:basedOn w:val="Normal"/>
    <w:rsid w:val="008B67AE"/>
    <w:pPr>
      <w:spacing w:after="0" w:line="240" w:lineRule="auto"/>
      <w:jc w:val="center"/>
    </w:pPr>
    <w:rPr>
      <w:rFonts w:ascii="Times New Roman" w:eastAsia="Times New Roman" w:hAnsi="Times New Roman"/>
      <w:b/>
      <w:sz w:val="24"/>
      <w:szCs w:val="24"/>
    </w:rPr>
  </w:style>
  <w:style w:type="paragraph" w:customStyle="1" w:styleId="Titreobjet">
    <w:name w:val="Titre objet"/>
    <w:basedOn w:val="Normal"/>
    <w:next w:val="Sous-titreobjet"/>
    <w:rsid w:val="008B67AE"/>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rsid w:val="008B67AE"/>
    <w:pPr>
      <w:spacing w:before="360"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rsid w:val="008B67AE"/>
  </w:style>
  <w:style w:type="paragraph" w:customStyle="1" w:styleId="TitreobjetPagedecouverture">
    <w:name w:val="Titre objet (Page de couverture)"/>
    <w:basedOn w:val="Titreobjet"/>
    <w:next w:val="Sous-titreobjetPagedecouverture"/>
    <w:rsid w:val="008B67AE"/>
  </w:style>
  <w:style w:type="paragraph" w:customStyle="1" w:styleId="Considrant">
    <w:name w:val="Considérant"/>
    <w:basedOn w:val="Normal"/>
    <w:rsid w:val="008B67AE"/>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rsid w:val="008B67AE"/>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rsid w:val="008B67AE"/>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rsid w:val="008B67AE"/>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rsid w:val="008B67A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rsid w:val="008B67AE"/>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rsid w:val="008B67A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rsid w:val="008B67AE"/>
    <w:pPr>
      <w:keepNext/>
      <w:spacing w:before="600" w:after="120" w:line="240" w:lineRule="auto"/>
      <w:jc w:val="both"/>
    </w:pPr>
    <w:rPr>
      <w:rFonts w:ascii="Times New Roman" w:eastAsia="Times New Roman" w:hAnsi="Times New Roman"/>
      <w:sz w:val="24"/>
      <w:szCs w:val="24"/>
    </w:rPr>
  </w:style>
  <w:style w:type="paragraph" w:customStyle="1" w:styleId="Rfrenceinterinstitutionnelle">
    <w:name w:val="Référence interinstitutionnelle"/>
    <w:basedOn w:val="Normal"/>
    <w:next w:val="Statut"/>
    <w:rsid w:val="008B67AE"/>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rsid w:val="008B67A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rsid w:val="008B67A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Statut">
    <w:name w:val="Statut"/>
    <w:basedOn w:val="Normal"/>
    <w:next w:val="Typedudocument"/>
    <w:rsid w:val="008B67AE"/>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rsid w:val="008B67AE"/>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rsid w:val="008B67AE"/>
    <w:pPr>
      <w:spacing w:after="0" w:line="240" w:lineRule="auto"/>
    </w:pPr>
    <w:rPr>
      <w:rFonts w:ascii="Arial" w:eastAsia="Times New Roman" w:hAnsi="Arial" w:cs="Arial"/>
      <w:sz w:val="24"/>
      <w:szCs w:val="24"/>
    </w:rPr>
  </w:style>
  <w:style w:type="paragraph" w:customStyle="1" w:styleId="Address">
    <w:name w:val="Address"/>
    <w:basedOn w:val="Normal"/>
    <w:next w:val="Normal"/>
    <w:rsid w:val="008B67AE"/>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rsid w:val="008B67AE"/>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rsid w:val="008B67AE"/>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rsid w:val="008B67AE"/>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rsid w:val="008B67AE"/>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rsid w:val="008B67AE"/>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rsid w:val="008B67AE"/>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rsid w:val="008B67AE"/>
  </w:style>
  <w:style w:type="paragraph" w:customStyle="1" w:styleId="RfrenceinterinstitutionnellePagedecouverture">
    <w:name w:val="Référence interinstitutionnelle (Page de couverture)"/>
    <w:basedOn w:val="Rfrenceinterinstitutionnelle"/>
    <w:next w:val="Confidentialit"/>
    <w:rsid w:val="008B67AE"/>
  </w:style>
  <w:style w:type="paragraph" w:customStyle="1" w:styleId="StatutPagedecouverture">
    <w:name w:val="Statut (Page de couverture)"/>
    <w:basedOn w:val="Statut"/>
    <w:next w:val="TypedudocumentPagedecouverture"/>
    <w:rsid w:val="008B67AE"/>
  </w:style>
  <w:style w:type="paragraph" w:customStyle="1" w:styleId="Volume">
    <w:name w:val="Volume"/>
    <w:basedOn w:val="Normal"/>
    <w:next w:val="Confidentialit"/>
    <w:rsid w:val="008B67AE"/>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rsid w:val="008B67AE"/>
    <w:pPr>
      <w:spacing w:after="240"/>
    </w:pPr>
  </w:style>
  <w:style w:type="paragraph" w:customStyle="1" w:styleId="Objetacteprincipal">
    <w:name w:val="Objet acte principal"/>
    <w:basedOn w:val="Normal"/>
    <w:next w:val="Titrearticle"/>
    <w:rsid w:val="008B67AE"/>
    <w:pPr>
      <w:spacing w:after="360" w:line="240" w:lineRule="auto"/>
      <w:jc w:val="center"/>
    </w:pPr>
    <w:rPr>
      <w:rFonts w:ascii="Times New Roman" w:eastAsia="Times New Roman" w:hAnsi="Times New Roman"/>
      <w:b/>
      <w:sz w:val="24"/>
      <w:szCs w:val="24"/>
    </w:rPr>
  </w:style>
  <w:style w:type="paragraph" w:customStyle="1" w:styleId="Typeacteprincipal">
    <w:name w:val="Type acte principal"/>
    <w:basedOn w:val="Normal"/>
    <w:next w:val="Objetacteprincipal"/>
    <w:rsid w:val="008B67AE"/>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rsid w:val="008B67AE"/>
    <w:pPr>
      <w:spacing w:after="240" w:line="240" w:lineRule="auto"/>
      <w:jc w:val="center"/>
    </w:pPr>
    <w:rPr>
      <w:rFonts w:ascii="Times New Roman" w:eastAsia="Times New Roman" w:hAnsi="Times New Roman"/>
      <w:b/>
      <w:i/>
      <w:sz w:val="24"/>
      <w:szCs w:val="24"/>
    </w:rPr>
  </w:style>
  <w:style w:type="paragraph" w:customStyle="1" w:styleId="IntrtEEEPagedecouverture">
    <w:name w:val="Intérêt EEE (Page de couverture)"/>
    <w:basedOn w:val="IntrtEEE"/>
    <w:next w:val="Rfrencecroise"/>
    <w:rsid w:val="008B67AE"/>
  </w:style>
  <w:style w:type="paragraph" w:customStyle="1" w:styleId="ObjetacteprincipalPagedecouverture">
    <w:name w:val="Objet acte principal (Page de couverture)"/>
    <w:basedOn w:val="Objetacteprincipal"/>
    <w:next w:val="Rfrencecroise"/>
    <w:rsid w:val="008B67AE"/>
  </w:style>
  <w:style w:type="paragraph" w:customStyle="1" w:styleId="TypeacteprincipalPagedecouverture">
    <w:name w:val="Type acte principal (Page de couverture)"/>
    <w:basedOn w:val="Typeacteprincipal"/>
    <w:next w:val="ObjetacteprincipalPagedecouverture"/>
    <w:rsid w:val="008B67AE"/>
  </w:style>
  <w:style w:type="paragraph" w:customStyle="1" w:styleId="AccompagnantPagedecouverture">
    <w:name w:val="Accompagnant (Page de couverture)"/>
    <w:basedOn w:val="Accompagnant"/>
    <w:next w:val="TypeacteprincipalPagedecouverture"/>
    <w:rsid w:val="008B67AE"/>
  </w:style>
  <w:style w:type="paragraph" w:customStyle="1" w:styleId="LanguesfaisantfoiPagedecouverture">
    <w:name w:val="Langues faisant foi (Page de couverture)"/>
    <w:basedOn w:val="Normal"/>
    <w:next w:val="Normal"/>
    <w:rsid w:val="008B67AE"/>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rsid w:val="008B67AE"/>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rsid w:val="008B67AE"/>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rsid w:val="008B67AE"/>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rsid w:val="008B67AE"/>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rsid w:val="008B67AE"/>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rsid w:val="008B67AE"/>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rsid w:val="008B67AE"/>
    <w:pPr>
      <w:numPr>
        <w:numId w:val="29"/>
      </w:numPr>
    </w:pPr>
    <w:rPr>
      <w:lang w:eastAsia="de-DE"/>
    </w:rPr>
  </w:style>
  <w:style w:type="paragraph" w:customStyle="1" w:styleId="ListNumberLevel2">
    <w:name w:val="List Number (Level 2)"/>
    <w:basedOn w:val="Normal"/>
    <w:rsid w:val="008B67AE"/>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rsid w:val="008B67AE"/>
    <w:pPr>
      <w:numPr>
        <w:ilvl w:val="1"/>
        <w:numId w:val="29"/>
      </w:numPr>
    </w:pPr>
    <w:rPr>
      <w:lang w:eastAsia="de-DE"/>
    </w:rPr>
  </w:style>
  <w:style w:type="paragraph" w:customStyle="1" w:styleId="ListNumber2Level2">
    <w:name w:val="List Number 2 (Level 2)"/>
    <w:basedOn w:val="Text2"/>
    <w:rsid w:val="008B67AE"/>
    <w:pPr>
      <w:numPr>
        <w:ilvl w:val="1"/>
        <w:numId w:val="7"/>
      </w:numPr>
    </w:pPr>
    <w:rPr>
      <w:lang w:eastAsia="de-DE"/>
    </w:rPr>
  </w:style>
  <w:style w:type="paragraph" w:customStyle="1" w:styleId="ListNumber3Level2">
    <w:name w:val="List Number 3 (Level 2)"/>
    <w:basedOn w:val="Text3"/>
    <w:rsid w:val="008B67AE"/>
    <w:pPr>
      <w:numPr>
        <w:ilvl w:val="1"/>
        <w:numId w:val="8"/>
      </w:numPr>
    </w:pPr>
    <w:rPr>
      <w:lang w:eastAsia="de-DE"/>
    </w:rPr>
  </w:style>
  <w:style w:type="paragraph" w:customStyle="1" w:styleId="ListNumber4Level2">
    <w:name w:val="List Number 4 (Level 2)"/>
    <w:basedOn w:val="Text4"/>
    <w:rsid w:val="008B67AE"/>
    <w:pPr>
      <w:numPr>
        <w:ilvl w:val="1"/>
        <w:numId w:val="9"/>
      </w:numPr>
    </w:pPr>
    <w:rPr>
      <w:lang w:eastAsia="de-DE"/>
    </w:rPr>
  </w:style>
  <w:style w:type="paragraph" w:customStyle="1" w:styleId="ListNumberLevel3">
    <w:name w:val="List Number (Level 3)"/>
    <w:basedOn w:val="Normal"/>
    <w:rsid w:val="008B67AE"/>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rsid w:val="008B67AE"/>
    <w:pPr>
      <w:numPr>
        <w:ilvl w:val="2"/>
        <w:numId w:val="29"/>
      </w:numPr>
    </w:pPr>
    <w:rPr>
      <w:lang w:eastAsia="de-DE"/>
    </w:rPr>
  </w:style>
  <w:style w:type="paragraph" w:customStyle="1" w:styleId="ListNumber2Level3">
    <w:name w:val="List Number 2 (Level 3)"/>
    <w:basedOn w:val="Text2"/>
    <w:rsid w:val="008B67AE"/>
    <w:pPr>
      <w:numPr>
        <w:ilvl w:val="2"/>
        <w:numId w:val="7"/>
      </w:numPr>
    </w:pPr>
    <w:rPr>
      <w:lang w:eastAsia="de-DE"/>
    </w:rPr>
  </w:style>
  <w:style w:type="paragraph" w:customStyle="1" w:styleId="ListNumber3Level3">
    <w:name w:val="List Number 3 (Level 3)"/>
    <w:basedOn w:val="Text3"/>
    <w:rsid w:val="008B67AE"/>
    <w:pPr>
      <w:numPr>
        <w:ilvl w:val="2"/>
        <w:numId w:val="8"/>
      </w:numPr>
    </w:pPr>
    <w:rPr>
      <w:lang w:eastAsia="de-DE"/>
    </w:rPr>
  </w:style>
  <w:style w:type="paragraph" w:customStyle="1" w:styleId="ListNumber4Level3">
    <w:name w:val="List Number 4 (Level 3)"/>
    <w:basedOn w:val="Text4"/>
    <w:rsid w:val="008B67AE"/>
    <w:pPr>
      <w:numPr>
        <w:ilvl w:val="2"/>
        <w:numId w:val="9"/>
      </w:numPr>
    </w:pPr>
    <w:rPr>
      <w:lang w:eastAsia="de-DE"/>
    </w:rPr>
  </w:style>
  <w:style w:type="paragraph" w:customStyle="1" w:styleId="ListNumberLevel4">
    <w:name w:val="List Number (Level 4)"/>
    <w:basedOn w:val="Normal"/>
    <w:rsid w:val="008B67AE"/>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rsid w:val="008B67AE"/>
    <w:pPr>
      <w:numPr>
        <w:ilvl w:val="3"/>
        <w:numId w:val="29"/>
      </w:numPr>
    </w:pPr>
    <w:rPr>
      <w:lang w:eastAsia="de-DE"/>
    </w:rPr>
  </w:style>
  <w:style w:type="paragraph" w:customStyle="1" w:styleId="ListNumber2Level4">
    <w:name w:val="List Number 2 (Level 4)"/>
    <w:basedOn w:val="Text2"/>
    <w:rsid w:val="008B67AE"/>
    <w:pPr>
      <w:numPr>
        <w:ilvl w:val="3"/>
        <w:numId w:val="7"/>
      </w:numPr>
    </w:pPr>
    <w:rPr>
      <w:lang w:eastAsia="de-DE"/>
    </w:rPr>
  </w:style>
  <w:style w:type="paragraph" w:customStyle="1" w:styleId="ListNumber3Level4">
    <w:name w:val="List Number 3 (Level 4)"/>
    <w:basedOn w:val="Text3"/>
    <w:rsid w:val="008B67AE"/>
    <w:pPr>
      <w:numPr>
        <w:ilvl w:val="3"/>
        <w:numId w:val="8"/>
      </w:numPr>
    </w:pPr>
    <w:rPr>
      <w:lang w:eastAsia="de-DE"/>
    </w:rPr>
  </w:style>
  <w:style w:type="paragraph" w:customStyle="1" w:styleId="ListNumber4Level4">
    <w:name w:val="List Number 4 (Level 4)"/>
    <w:basedOn w:val="Text4"/>
    <w:rsid w:val="008B67AE"/>
    <w:pPr>
      <w:numPr>
        <w:ilvl w:val="3"/>
        <w:numId w:val="9"/>
      </w:numPr>
    </w:pPr>
    <w:rPr>
      <w:lang w:eastAsia="de-DE"/>
    </w:rPr>
  </w:style>
  <w:style w:type="paragraph" w:customStyle="1" w:styleId="Rfrenceinterinstitutionelleprliminaire">
    <w:name w:val="Référence interinstitutionelle (préliminaire)"/>
    <w:basedOn w:val="Normal"/>
    <w:next w:val="Normal"/>
    <w:rsid w:val="008B67AE"/>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rsid w:val="008B67AE"/>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rsid w:val="008B67AE"/>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rsid w:val="008B67AE"/>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rsid w:val="008B67AE"/>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rsid w:val="008B67AE"/>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rsid w:val="008B67AE"/>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rsid w:val="008B67AE"/>
    <w:pPr>
      <w:autoSpaceDE w:val="0"/>
      <w:autoSpaceDN w:val="0"/>
      <w:adjustRightInd w:val="0"/>
    </w:pPr>
    <w:rPr>
      <w:rFonts w:ascii="EUAlbertina" w:hAnsi="EUAlbertina" w:cs="EUAlbertina"/>
      <w:color w:val="000000"/>
      <w:sz w:val="24"/>
      <w:szCs w:val="24"/>
    </w:rPr>
  </w:style>
  <w:style w:type="character" w:customStyle="1" w:styleId="FooterCoverPageChar">
    <w:name w:val="Footer Cover Page Char"/>
    <w:link w:val="FooterCoverPage"/>
    <w:locked/>
    <w:rsid w:val="008B67AE"/>
    <w:rPr>
      <w:rFonts w:eastAsia="Calibri"/>
      <w:sz w:val="24"/>
      <w:szCs w:val="22"/>
      <w:lang w:eastAsia="en-US"/>
    </w:rPr>
  </w:style>
  <w:style w:type="paragraph" w:customStyle="1" w:styleId="FooterCoverPage">
    <w:name w:val="Footer Cover Page"/>
    <w:basedOn w:val="Normal"/>
    <w:link w:val="FooterCoverPageChar"/>
    <w:rsid w:val="008B67AE"/>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erCoverPageChar">
    <w:name w:val="Header Cover Page Char"/>
    <w:link w:val="HeaderCoverPage"/>
    <w:locked/>
    <w:rsid w:val="008B67AE"/>
    <w:rPr>
      <w:rFonts w:eastAsia="Calibri"/>
      <w:sz w:val="24"/>
      <w:szCs w:val="22"/>
      <w:lang w:eastAsia="en-US"/>
    </w:rPr>
  </w:style>
  <w:style w:type="paragraph" w:customStyle="1" w:styleId="HeaderCoverPage">
    <w:name w:val="Header Cover Page"/>
    <w:basedOn w:val="Normal"/>
    <w:link w:val="HeaderCoverPageChar"/>
    <w:rsid w:val="008B67AE"/>
    <w:pPr>
      <w:tabs>
        <w:tab w:val="center" w:pos="4535"/>
        <w:tab w:val="right" w:pos="9071"/>
      </w:tabs>
      <w:spacing w:after="120" w:line="240" w:lineRule="auto"/>
      <w:jc w:val="both"/>
    </w:pPr>
    <w:rPr>
      <w:rFonts w:ascii="Times New Roman" w:hAnsi="Times New Roman"/>
      <w:sz w:val="24"/>
    </w:rPr>
  </w:style>
  <w:style w:type="character" w:styleId="FootnoteReference">
    <w:name w:val="footnote reference"/>
    <w:uiPriority w:val="99"/>
    <w:unhideWhenUsed/>
    <w:rsid w:val="008B67AE"/>
    <w:rPr>
      <w:vertAlign w:val="superscript"/>
    </w:rPr>
  </w:style>
  <w:style w:type="character" w:styleId="CommentReference">
    <w:name w:val="annotation reference"/>
    <w:semiHidden/>
    <w:unhideWhenUsed/>
    <w:rsid w:val="008B67AE"/>
    <w:rPr>
      <w:rFonts w:ascii="Times New Roman" w:hAnsi="Times New Roman" w:cs="Times New Roman" w:hint="default"/>
      <w:sz w:val="16"/>
    </w:rPr>
  </w:style>
  <w:style w:type="character" w:styleId="EndnoteReference">
    <w:name w:val="endnote reference"/>
    <w:semiHidden/>
    <w:unhideWhenUsed/>
    <w:rsid w:val="008B67AE"/>
    <w:rPr>
      <w:vertAlign w:val="superscript"/>
    </w:rPr>
  </w:style>
  <w:style w:type="character" w:customStyle="1" w:styleId="Marker">
    <w:name w:val="Marker"/>
    <w:rsid w:val="008B67AE"/>
    <w:rPr>
      <w:color w:val="0000FF"/>
    </w:rPr>
  </w:style>
  <w:style w:type="character" w:customStyle="1" w:styleId="Marker1">
    <w:name w:val="Marker1"/>
    <w:rsid w:val="008B67AE"/>
    <w:rPr>
      <w:color w:val="008000"/>
    </w:rPr>
  </w:style>
  <w:style w:type="character" w:customStyle="1" w:styleId="Marker2">
    <w:name w:val="Marker2"/>
    <w:rsid w:val="008B67AE"/>
    <w:rPr>
      <w:color w:val="FF0000"/>
    </w:rPr>
  </w:style>
  <w:style w:type="character" w:customStyle="1" w:styleId="Added">
    <w:name w:val="Added"/>
    <w:rsid w:val="008B67AE"/>
    <w:rPr>
      <w:b/>
      <w:bCs w:val="0"/>
      <w:u w:val="single"/>
    </w:rPr>
  </w:style>
  <w:style w:type="character" w:customStyle="1" w:styleId="Deleted">
    <w:name w:val="Deleted"/>
    <w:rsid w:val="008B67AE"/>
    <w:rPr>
      <w:strike/>
    </w:rPr>
  </w:style>
  <w:style w:type="table" w:styleId="TableGrid">
    <w:name w:val="Table Grid"/>
    <w:basedOn w:val="TableNormal"/>
    <w:rsid w:val="008B67AE"/>
    <w:pPr>
      <w:spacing w:before="120"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67AE"/>
    <w:rPr>
      <w:b/>
      <w:bCs/>
    </w:rPr>
  </w:style>
  <w:style w:type="paragraph" w:customStyle="1" w:styleId="Declassification">
    <w:name w:val="Declassification"/>
    <w:basedOn w:val="Normal"/>
    <w:next w:val="Normal"/>
    <w:rsid w:val="00A73481"/>
    <w:pPr>
      <w:spacing w:after="0" w:line="240" w:lineRule="auto"/>
      <w:jc w:val="both"/>
    </w:pPr>
    <w:rPr>
      <w:rFonts w:ascii="Times New Roman" w:hAnsi="Times New Roman"/>
      <w:sz w:val="24"/>
    </w:rPr>
  </w:style>
  <w:style w:type="paragraph" w:customStyle="1" w:styleId="HeaderSensitivity">
    <w:name w:val="Header Sensitivity"/>
    <w:basedOn w:val="Normal"/>
    <w:rsid w:val="00A7348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rsid w:val="00A7348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rsid w:val="00A73481"/>
    <w:pPr>
      <w:spacing w:after="0"/>
      <w:ind w:left="5103"/>
    </w:pPr>
    <w:rPr>
      <w:rFonts w:ascii="Times New Roman" w:eastAsiaTheme="minorHAnsi" w:hAnsi="Times New Roman"/>
      <w:sz w:val="28"/>
    </w:rPr>
  </w:style>
  <w:style w:type="paragraph" w:customStyle="1" w:styleId="DateMarking">
    <w:name w:val="DateMarking"/>
    <w:basedOn w:val="Normal"/>
    <w:rsid w:val="00A73481"/>
    <w:pPr>
      <w:spacing w:after="0"/>
      <w:ind w:left="5103"/>
    </w:pPr>
    <w:rPr>
      <w:rFonts w:ascii="Times New Roman" w:eastAsiaTheme="minorHAnsi" w:hAnsi="Times New Roman"/>
      <w:i/>
      <w:sz w:val="28"/>
    </w:rPr>
  </w:style>
  <w:style w:type="paragraph" w:customStyle="1" w:styleId="ReleasableTo">
    <w:name w:val="ReleasableTo"/>
    <w:basedOn w:val="Normal"/>
    <w:rsid w:val="00A73481"/>
    <w:pPr>
      <w:spacing w:after="0"/>
      <w:ind w:left="5103"/>
    </w:pPr>
    <w:rPr>
      <w:rFonts w:ascii="Times New Roman" w:eastAsiaTheme="minorHAnsi" w:hAnsi="Times New Roman"/>
      <w:i/>
      <w:sz w:val="28"/>
    </w:rPr>
  </w:style>
  <w:style w:type="paragraph" w:customStyle="1" w:styleId="HeaderSensitivityRight">
    <w:name w:val="Header Sensitivity Right"/>
    <w:basedOn w:val="Normal"/>
    <w:rsid w:val="00A73481"/>
    <w:pPr>
      <w:spacing w:after="120" w:line="240" w:lineRule="auto"/>
      <w:jc w:val="right"/>
    </w:pPr>
    <w:rPr>
      <w:rFonts w:ascii="Times New Roman" w:hAnsi="Times New Roman"/>
      <w:sz w:val="28"/>
    </w:rPr>
  </w:style>
  <w:style w:type="paragraph" w:styleId="NormalWeb">
    <w:name w:val="Normal (Web)"/>
    <w:basedOn w:val="Normal"/>
    <w:uiPriority w:val="99"/>
    <w:semiHidden/>
    <w:unhideWhenUsed/>
    <w:rsid w:val="00A7348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8324A6"/>
    <w:rPr>
      <w:color w:val="605E5C"/>
      <w:shd w:val="clear" w:color="auto" w:fill="E1DFDD"/>
    </w:rPr>
  </w:style>
  <w:style w:type="character" w:customStyle="1" w:styleId="UnresolvedMention2">
    <w:name w:val="Unresolved Mention2"/>
    <w:basedOn w:val="DefaultParagraphFont"/>
    <w:uiPriority w:val="99"/>
    <w:semiHidden/>
    <w:unhideWhenUsed/>
    <w:rsid w:val="00A20577"/>
    <w:rPr>
      <w:color w:val="605E5C"/>
      <w:shd w:val="clear" w:color="auto" w:fill="E1DFDD"/>
    </w:rPr>
  </w:style>
  <w:style w:type="paragraph" w:styleId="ListParagraph">
    <w:name w:val="List Paragraph"/>
    <w:basedOn w:val="Normal"/>
    <w:uiPriority w:val="34"/>
    <w:qFormat/>
    <w:rsid w:val="00955347"/>
    <w:pPr>
      <w:ind w:left="720"/>
      <w:contextualSpacing/>
    </w:pPr>
  </w:style>
  <w:style w:type="character" w:customStyle="1" w:styleId="UnresolvedMention3">
    <w:name w:val="Unresolved Mention3"/>
    <w:basedOn w:val="DefaultParagraphFont"/>
    <w:uiPriority w:val="99"/>
    <w:semiHidden/>
    <w:unhideWhenUsed/>
    <w:rsid w:val="0086550D"/>
    <w:rPr>
      <w:color w:val="605E5C"/>
      <w:shd w:val="clear" w:color="auto" w:fill="E1DFDD"/>
    </w:rPr>
  </w:style>
  <w:style w:type="character" w:customStyle="1" w:styleId="UnresolvedMention">
    <w:name w:val="Unresolved Mention"/>
    <w:basedOn w:val="DefaultParagraphFont"/>
    <w:uiPriority w:val="99"/>
    <w:semiHidden/>
    <w:unhideWhenUsed/>
    <w:rsid w:val="00E8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60981">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530075490">
      <w:bodyDiv w:val="1"/>
      <w:marLeft w:val="0"/>
      <w:marRight w:val="0"/>
      <w:marTop w:val="0"/>
      <w:marBottom w:val="0"/>
      <w:divBdr>
        <w:top w:val="none" w:sz="0" w:space="0" w:color="auto"/>
        <w:left w:val="none" w:sz="0" w:space="0" w:color="auto"/>
        <w:bottom w:val="none" w:sz="0" w:space="0" w:color="auto"/>
        <w:right w:val="none" w:sz="0" w:space="0" w:color="auto"/>
      </w:divBdr>
    </w:div>
    <w:div w:id="753210670">
      <w:bodyDiv w:val="1"/>
      <w:marLeft w:val="0"/>
      <w:marRight w:val="0"/>
      <w:marTop w:val="0"/>
      <w:marBottom w:val="0"/>
      <w:divBdr>
        <w:top w:val="none" w:sz="0" w:space="0" w:color="auto"/>
        <w:left w:val="none" w:sz="0" w:space="0" w:color="auto"/>
        <w:bottom w:val="none" w:sz="0" w:space="0" w:color="auto"/>
        <w:right w:val="none" w:sz="0" w:space="0" w:color="auto"/>
      </w:divBdr>
    </w:div>
    <w:div w:id="1326981571">
      <w:bodyDiv w:val="1"/>
      <w:marLeft w:val="0"/>
      <w:marRight w:val="0"/>
      <w:marTop w:val="0"/>
      <w:marBottom w:val="0"/>
      <w:divBdr>
        <w:top w:val="none" w:sz="0" w:space="0" w:color="auto"/>
        <w:left w:val="none" w:sz="0" w:space="0" w:color="auto"/>
        <w:bottom w:val="none" w:sz="0" w:space="0" w:color="auto"/>
        <w:right w:val="none" w:sz="0" w:space="0" w:color="auto"/>
      </w:divBdr>
    </w:div>
    <w:div w:id="15751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_en" TargetMode="External"/><Relationship Id="rId2" Type="http://schemas.openxmlformats.org/officeDocument/2006/relationships/hyperlink" Target="https://eur-lex.europa.eu/legal-content/EN/TXT/?uri=OJ:L:2022:275:TOC" TargetMode="External"/><Relationship Id="rId1" Type="http://schemas.openxmlformats.org/officeDocument/2006/relationships/hyperlink" Target="https://ec.europa.eu/transparency/comitology-register/scree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734880-8101-4ADF-A604-F6BCA432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2972</Words>
  <Characters>13465</Characters>
  <Application>Microsoft Office Word</Application>
  <DocSecurity>0</DocSecurity>
  <Lines>1122</Lines>
  <Paragraphs>1095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cp:lastPrinted>2021-05-06T06:24:00Z</cp:lastPrinted>
  <dcterms:created xsi:type="dcterms:W3CDTF">2023-10-12T08:45:00Z</dcterms:created>
  <dcterms:modified xsi:type="dcterms:W3CDTF">2023-10-16T14:35:00Z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7.0, Build 20190717</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2022-04-26T13:29:07Z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a189bb57-ace6-49f8-934a-6876e0e37d76</vt:lpwstr>
  </property>
  <property fmtid="{D5CDD505-2E9C-101B-9397-08002B2CF9AE}" pid="15" name="MSIP_Label_6bd9ddd1-4d20-43f6-abfa-fc3c07406f94_ContentBits">
    <vt:lpwstr>0</vt:lpwstr>
  </property>
</Properties>
</file>