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82F8E" w14:textId="456D7820" w:rsidR="00F7193C" w:rsidRDefault="001030BD" w:rsidP="001030BD">
      <w:pPr>
        <w:pStyle w:val="Pagedecouverture"/>
        <w:rPr>
          <w:noProof/>
        </w:rPr>
      </w:pPr>
      <w:bookmarkStart w:id="0" w:name="LW_BM_COVERPAGE"/>
      <w:r>
        <w:rPr>
          <w:noProof/>
        </w:rPr>
        <w:pict w14:anchorId="5452B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69675CE6-2A44-478B-8B63-1C51916FFD4B" style="width:455.25pt;height:324pt">
            <v:imagedata r:id="rId8" o:title=""/>
          </v:shape>
        </w:pict>
      </w:r>
    </w:p>
    <w:bookmarkEnd w:id="0"/>
    <w:p w14:paraId="65E52F8D" w14:textId="77777777" w:rsidR="00F7193C" w:rsidRDefault="00F7193C" w:rsidP="00F7193C">
      <w:pPr>
        <w:rPr>
          <w:noProof/>
        </w:rPr>
        <w:sectPr w:rsidR="00F7193C" w:rsidSect="001030BD">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6617F1BA" w14:textId="588F498C" w:rsidR="00943DE7" w:rsidRPr="00196B57" w:rsidRDefault="00943DE7" w:rsidP="00943DE7">
      <w:pPr>
        <w:pStyle w:val="ListParagraph"/>
        <w:numPr>
          <w:ilvl w:val="0"/>
          <w:numId w:val="1"/>
        </w:numPr>
        <w:rPr>
          <w:rFonts w:ascii="Times New Roman" w:hAnsi="Times New Roman" w:cs="Times New Roman"/>
          <w:b/>
          <w:bCs/>
          <w:noProof/>
          <w:sz w:val="24"/>
          <w:szCs w:val="24"/>
        </w:rPr>
      </w:pPr>
      <w:bookmarkStart w:id="1" w:name="_GoBack"/>
      <w:bookmarkEnd w:id="1"/>
      <w:r w:rsidRPr="00196B57">
        <w:rPr>
          <w:rFonts w:ascii="Times New Roman" w:hAnsi="Times New Roman" w:cs="Times New Roman"/>
          <w:b/>
          <w:bCs/>
          <w:noProof/>
          <w:sz w:val="24"/>
          <w:szCs w:val="24"/>
        </w:rPr>
        <w:lastRenderedPageBreak/>
        <w:t>Introduction</w:t>
      </w:r>
    </w:p>
    <w:p w14:paraId="7517D110" w14:textId="31FC4186" w:rsidR="00943DE7" w:rsidRPr="00196B57" w:rsidRDefault="002D4B5C" w:rsidP="00FA337C">
      <w:pPr>
        <w:jc w:val="both"/>
        <w:rPr>
          <w:rFonts w:ascii="Times New Roman" w:hAnsi="Times New Roman" w:cs="Times New Roman"/>
          <w:noProof/>
          <w:sz w:val="24"/>
          <w:szCs w:val="24"/>
        </w:rPr>
      </w:pPr>
      <w:r>
        <w:rPr>
          <w:rFonts w:ascii="Times New Roman" w:hAnsi="Times New Roman" w:cs="Times New Roman"/>
          <w:noProof/>
          <w:sz w:val="24"/>
          <w:szCs w:val="24"/>
        </w:rPr>
        <w:t>T</w:t>
      </w:r>
      <w:r w:rsidR="00943DE7" w:rsidRPr="00196B57">
        <w:rPr>
          <w:rFonts w:ascii="Times New Roman" w:hAnsi="Times New Roman" w:cs="Times New Roman"/>
          <w:noProof/>
          <w:sz w:val="24"/>
          <w:szCs w:val="24"/>
        </w:rPr>
        <w:t xml:space="preserve">his report </w:t>
      </w:r>
      <w:r>
        <w:rPr>
          <w:rFonts w:ascii="Times New Roman" w:hAnsi="Times New Roman" w:cs="Times New Roman"/>
          <w:noProof/>
          <w:sz w:val="24"/>
          <w:szCs w:val="24"/>
        </w:rPr>
        <w:t xml:space="preserve">presents the results of </w:t>
      </w:r>
      <w:r w:rsidR="00252F94">
        <w:rPr>
          <w:rFonts w:ascii="Times New Roman" w:hAnsi="Times New Roman" w:cs="Times New Roman"/>
          <w:noProof/>
          <w:sz w:val="24"/>
          <w:szCs w:val="24"/>
        </w:rPr>
        <w:t>the data analysis and the assessment</w:t>
      </w:r>
      <w:r w:rsidR="001B0DC7">
        <w:rPr>
          <w:rFonts w:ascii="Times New Roman" w:hAnsi="Times New Roman" w:cs="Times New Roman"/>
          <w:noProof/>
          <w:sz w:val="24"/>
          <w:szCs w:val="24"/>
        </w:rPr>
        <w:t xml:space="preserve"> </w:t>
      </w:r>
      <w:r w:rsidR="00252F94">
        <w:rPr>
          <w:rFonts w:ascii="Times New Roman" w:hAnsi="Times New Roman" w:cs="Times New Roman"/>
          <w:noProof/>
          <w:sz w:val="24"/>
          <w:szCs w:val="24"/>
        </w:rPr>
        <w:t xml:space="preserve">done </w:t>
      </w:r>
      <w:r w:rsidR="001B0DC7">
        <w:rPr>
          <w:rFonts w:ascii="Times New Roman" w:hAnsi="Times New Roman" w:cs="Times New Roman"/>
          <w:noProof/>
          <w:sz w:val="24"/>
          <w:szCs w:val="24"/>
        </w:rPr>
        <w:t xml:space="preserve">on </w:t>
      </w:r>
      <w:r w:rsidR="002161BA" w:rsidRPr="00196B57">
        <w:rPr>
          <w:rFonts w:ascii="Times New Roman" w:hAnsi="Times New Roman" w:cs="Times New Roman"/>
          <w:noProof/>
          <w:sz w:val="24"/>
          <w:szCs w:val="24"/>
        </w:rPr>
        <w:t xml:space="preserve">the </w:t>
      </w:r>
      <w:r w:rsidR="00826E22" w:rsidRPr="00196B57">
        <w:rPr>
          <w:rFonts w:ascii="Times New Roman" w:hAnsi="Times New Roman" w:cs="Times New Roman"/>
          <w:noProof/>
          <w:sz w:val="24"/>
          <w:szCs w:val="24"/>
        </w:rPr>
        <w:t xml:space="preserve">management of mineral </w:t>
      </w:r>
      <w:r w:rsidR="008A4DD0">
        <w:rPr>
          <w:rFonts w:ascii="Times New Roman" w:hAnsi="Times New Roman" w:cs="Times New Roman"/>
          <w:noProof/>
          <w:sz w:val="24"/>
          <w:szCs w:val="24"/>
        </w:rPr>
        <w:t>and</w:t>
      </w:r>
      <w:r w:rsidR="00826E22" w:rsidRPr="00196B57">
        <w:rPr>
          <w:rFonts w:ascii="Times New Roman" w:hAnsi="Times New Roman" w:cs="Times New Roman"/>
          <w:noProof/>
          <w:sz w:val="24"/>
          <w:szCs w:val="24"/>
        </w:rPr>
        <w:t xml:space="preserve"> synthetic lubrication and industrial waste oils in the EU </w:t>
      </w:r>
      <w:r w:rsidR="003169E2" w:rsidRPr="003169E2">
        <w:rPr>
          <w:rFonts w:ascii="Times New Roman" w:hAnsi="Times New Roman" w:cs="Times New Roman"/>
          <w:noProof/>
          <w:sz w:val="24"/>
          <w:szCs w:val="24"/>
        </w:rPr>
        <w:t xml:space="preserve">with a view to considering the feasibility of </w:t>
      </w:r>
      <w:r w:rsidR="001B0DC7">
        <w:rPr>
          <w:rFonts w:ascii="Times New Roman" w:hAnsi="Times New Roman" w:cs="Times New Roman"/>
          <w:noProof/>
          <w:sz w:val="24"/>
          <w:szCs w:val="24"/>
        </w:rPr>
        <w:t xml:space="preserve">adopting </w:t>
      </w:r>
      <w:r w:rsidR="00826E22" w:rsidRPr="00196B57">
        <w:rPr>
          <w:rFonts w:ascii="Times New Roman" w:hAnsi="Times New Roman" w:cs="Times New Roman"/>
          <w:noProof/>
          <w:sz w:val="24"/>
          <w:szCs w:val="24"/>
        </w:rPr>
        <w:t xml:space="preserve">measures to further improve the treatment of waste oils, including quantitative targets on </w:t>
      </w:r>
      <w:r w:rsidR="00000E3D">
        <w:rPr>
          <w:rFonts w:ascii="Times New Roman" w:hAnsi="Times New Roman" w:cs="Times New Roman"/>
          <w:noProof/>
          <w:sz w:val="24"/>
          <w:szCs w:val="24"/>
        </w:rPr>
        <w:t xml:space="preserve">the </w:t>
      </w:r>
      <w:r w:rsidR="00826E22" w:rsidRPr="00196B57">
        <w:rPr>
          <w:rFonts w:ascii="Times New Roman" w:hAnsi="Times New Roman" w:cs="Times New Roman"/>
          <w:noProof/>
          <w:sz w:val="24"/>
          <w:szCs w:val="24"/>
        </w:rPr>
        <w:t xml:space="preserve">collection and </w:t>
      </w:r>
      <w:r w:rsidR="00000E3D">
        <w:rPr>
          <w:rFonts w:ascii="Times New Roman" w:hAnsi="Times New Roman" w:cs="Times New Roman"/>
          <w:noProof/>
          <w:sz w:val="24"/>
          <w:szCs w:val="24"/>
        </w:rPr>
        <w:t xml:space="preserve">the </w:t>
      </w:r>
      <w:r w:rsidR="00826E22" w:rsidRPr="00196B57">
        <w:rPr>
          <w:rFonts w:ascii="Times New Roman" w:hAnsi="Times New Roman" w:cs="Times New Roman"/>
          <w:noProof/>
          <w:sz w:val="24"/>
          <w:szCs w:val="24"/>
        </w:rPr>
        <w:t>regeneration of waste oils</w:t>
      </w:r>
      <w:r w:rsidR="00000E3D">
        <w:rPr>
          <w:rFonts w:ascii="Times New Roman" w:hAnsi="Times New Roman" w:cs="Times New Roman"/>
          <w:noProof/>
          <w:sz w:val="24"/>
          <w:szCs w:val="24"/>
        </w:rPr>
        <w:t>, which the Commission carried out in accordance with Article 21</w:t>
      </w:r>
      <w:r w:rsidR="003169E2">
        <w:rPr>
          <w:rFonts w:ascii="Times New Roman" w:hAnsi="Times New Roman" w:cs="Times New Roman"/>
          <w:noProof/>
          <w:sz w:val="24"/>
          <w:szCs w:val="24"/>
        </w:rPr>
        <w:t xml:space="preserve">(4) of the Waste Framework </w:t>
      </w:r>
      <w:r w:rsidR="003169E2" w:rsidRPr="00196B57">
        <w:rPr>
          <w:rFonts w:ascii="Times New Roman" w:hAnsi="Times New Roman" w:cs="Times New Roman"/>
          <w:noProof/>
          <w:sz w:val="24"/>
          <w:szCs w:val="24"/>
        </w:rPr>
        <w:t>Directive</w:t>
      </w:r>
      <w:r w:rsidR="003169E2" w:rsidRPr="00196B57">
        <w:rPr>
          <w:rStyle w:val="FootnoteReference"/>
          <w:rFonts w:ascii="Times New Roman" w:hAnsi="Times New Roman" w:cs="Times New Roman"/>
          <w:noProof/>
          <w:sz w:val="24"/>
          <w:szCs w:val="24"/>
        </w:rPr>
        <w:footnoteReference w:id="2"/>
      </w:r>
      <w:r w:rsidR="003169E2">
        <w:rPr>
          <w:rFonts w:ascii="Times New Roman" w:hAnsi="Times New Roman" w:cs="Times New Roman"/>
          <w:noProof/>
          <w:sz w:val="24"/>
          <w:szCs w:val="24"/>
        </w:rPr>
        <w:t xml:space="preserve"> (WFD)</w:t>
      </w:r>
      <w:r w:rsidR="00826E22" w:rsidRPr="00196B57">
        <w:rPr>
          <w:rFonts w:ascii="Times New Roman" w:hAnsi="Times New Roman" w:cs="Times New Roman"/>
          <w:noProof/>
          <w:sz w:val="24"/>
          <w:szCs w:val="24"/>
        </w:rPr>
        <w:t xml:space="preserve">. </w:t>
      </w:r>
      <w:r w:rsidR="00943DE7" w:rsidRPr="00196B57">
        <w:rPr>
          <w:rFonts w:ascii="Times New Roman" w:hAnsi="Times New Roman" w:cs="Times New Roman"/>
          <w:noProof/>
          <w:sz w:val="24"/>
          <w:szCs w:val="24"/>
        </w:rPr>
        <w:t xml:space="preserve">This report </w:t>
      </w:r>
      <w:r w:rsidR="002161BA" w:rsidRPr="00196B57">
        <w:rPr>
          <w:rFonts w:ascii="Times New Roman" w:hAnsi="Times New Roman" w:cs="Times New Roman"/>
          <w:noProof/>
          <w:sz w:val="24"/>
          <w:szCs w:val="24"/>
        </w:rPr>
        <w:t xml:space="preserve">draws from three </w:t>
      </w:r>
      <w:r w:rsidR="007E203A">
        <w:rPr>
          <w:rFonts w:ascii="Times New Roman" w:hAnsi="Times New Roman" w:cs="Times New Roman"/>
          <w:noProof/>
          <w:sz w:val="24"/>
          <w:szCs w:val="24"/>
        </w:rPr>
        <w:t xml:space="preserve">extensive </w:t>
      </w:r>
      <w:r w:rsidR="002161BA" w:rsidRPr="00196B57">
        <w:rPr>
          <w:rFonts w:ascii="Times New Roman" w:hAnsi="Times New Roman" w:cs="Times New Roman"/>
          <w:noProof/>
          <w:sz w:val="24"/>
          <w:szCs w:val="24"/>
        </w:rPr>
        <w:t>studies</w:t>
      </w:r>
      <w:r w:rsidR="00FA337C" w:rsidRPr="00196B57">
        <w:rPr>
          <w:rStyle w:val="FootnoteReference"/>
          <w:rFonts w:ascii="Times New Roman" w:hAnsi="Times New Roman" w:cs="Times New Roman"/>
          <w:noProof/>
          <w:sz w:val="24"/>
          <w:szCs w:val="24"/>
        </w:rPr>
        <w:footnoteReference w:id="3"/>
      </w:r>
      <w:r w:rsidR="00FA337C">
        <w:rPr>
          <w:rFonts w:ascii="Times New Roman" w:hAnsi="Times New Roman" w:cs="Times New Roman"/>
          <w:noProof/>
          <w:sz w:val="24"/>
          <w:szCs w:val="24"/>
        </w:rPr>
        <w:t xml:space="preserve"> </w:t>
      </w:r>
      <w:r w:rsidR="00FA337C">
        <w:rPr>
          <w:rStyle w:val="FootnoteReference"/>
          <w:rFonts w:ascii="Times New Roman" w:hAnsi="Times New Roman" w:cs="Times New Roman"/>
          <w:noProof/>
          <w:sz w:val="24"/>
          <w:szCs w:val="24"/>
        </w:rPr>
        <w:footnoteReference w:id="4"/>
      </w:r>
      <w:r w:rsidR="00FA337C">
        <w:rPr>
          <w:rFonts w:ascii="Times New Roman" w:hAnsi="Times New Roman" w:cs="Times New Roman"/>
          <w:noProof/>
          <w:sz w:val="24"/>
          <w:szCs w:val="24"/>
        </w:rPr>
        <w:t xml:space="preserve"> </w:t>
      </w:r>
      <w:r w:rsidR="002B1A2D">
        <w:rPr>
          <w:rStyle w:val="FootnoteReference"/>
          <w:rFonts w:ascii="Times New Roman" w:hAnsi="Times New Roman" w:cs="Times New Roman"/>
          <w:noProof/>
          <w:sz w:val="24"/>
          <w:szCs w:val="24"/>
        </w:rPr>
        <w:footnoteReference w:id="5"/>
      </w:r>
      <w:r w:rsidR="002B1A2D">
        <w:rPr>
          <w:rFonts w:ascii="Times New Roman" w:hAnsi="Times New Roman" w:cs="Times New Roman"/>
          <w:noProof/>
          <w:sz w:val="24"/>
          <w:szCs w:val="24"/>
        </w:rPr>
        <w:t xml:space="preserve"> </w:t>
      </w:r>
      <w:r w:rsidR="00E16BC6">
        <w:rPr>
          <w:rFonts w:ascii="Times New Roman" w:hAnsi="Times New Roman" w:cs="Times New Roman"/>
          <w:noProof/>
          <w:sz w:val="24"/>
          <w:szCs w:val="24"/>
        </w:rPr>
        <w:t xml:space="preserve">by the </w:t>
      </w:r>
      <w:r w:rsidR="00943DE7" w:rsidRPr="00196B57">
        <w:rPr>
          <w:rFonts w:ascii="Times New Roman" w:hAnsi="Times New Roman" w:cs="Times New Roman"/>
          <w:noProof/>
          <w:sz w:val="24"/>
          <w:szCs w:val="24"/>
        </w:rPr>
        <w:t xml:space="preserve">Commission carried out between </w:t>
      </w:r>
      <w:r w:rsidR="002161BA" w:rsidRPr="00196B57">
        <w:rPr>
          <w:rFonts w:ascii="Times New Roman" w:hAnsi="Times New Roman" w:cs="Times New Roman"/>
          <w:noProof/>
          <w:sz w:val="24"/>
          <w:szCs w:val="24"/>
        </w:rPr>
        <w:t xml:space="preserve">the years 2019 and 2023. </w:t>
      </w:r>
    </w:p>
    <w:p w14:paraId="2E8BFCF7" w14:textId="19256377" w:rsidR="00943DE7" w:rsidRPr="00196B57" w:rsidRDefault="00943DE7" w:rsidP="00943DE7">
      <w:pPr>
        <w:pStyle w:val="ListParagraph"/>
        <w:numPr>
          <w:ilvl w:val="0"/>
          <w:numId w:val="1"/>
        </w:numPr>
        <w:rPr>
          <w:rFonts w:ascii="Times New Roman" w:hAnsi="Times New Roman" w:cs="Times New Roman"/>
          <w:b/>
          <w:bCs/>
          <w:noProof/>
          <w:sz w:val="24"/>
          <w:szCs w:val="24"/>
        </w:rPr>
      </w:pPr>
      <w:bookmarkStart w:id="3" w:name="_Hlk134694804"/>
      <w:r w:rsidRPr="00196B57">
        <w:rPr>
          <w:rFonts w:ascii="Times New Roman" w:hAnsi="Times New Roman" w:cs="Times New Roman"/>
          <w:b/>
          <w:bCs/>
          <w:noProof/>
          <w:sz w:val="24"/>
          <w:szCs w:val="24"/>
        </w:rPr>
        <w:t>Background</w:t>
      </w:r>
    </w:p>
    <w:bookmarkEnd w:id="3"/>
    <w:p w14:paraId="1F442BD1" w14:textId="5DE9B1FC" w:rsidR="00AF522D" w:rsidRDefault="009A4822" w:rsidP="00994986">
      <w:pPr>
        <w:jc w:val="both"/>
        <w:rPr>
          <w:rFonts w:ascii="Times New Roman" w:hAnsi="Times New Roman" w:cs="Times New Roman"/>
          <w:noProof/>
          <w:sz w:val="24"/>
          <w:szCs w:val="24"/>
        </w:rPr>
      </w:pPr>
      <w:r>
        <w:rPr>
          <w:rFonts w:ascii="Times New Roman" w:hAnsi="Times New Roman" w:cs="Times New Roman"/>
          <w:noProof/>
          <w:sz w:val="24"/>
          <w:szCs w:val="24"/>
        </w:rPr>
        <w:t xml:space="preserve">Waste oils are defined in the </w:t>
      </w:r>
      <w:r w:rsidR="0061267A">
        <w:rPr>
          <w:rFonts w:ascii="Times New Roman" w:hAnsi="Times New Roman" w:cs="Times New Roman"/>
          <w:noProof/>
          <w:sz w:val="24"/>
          <w:szCs w:val="24"/>
        </w:rPr>
        <w:t xml:space="preserve">WFD </w:t>
      </w:r>
      <w:r>
        <w:rPr>
          <w:rFonts w:ascii="Times New Roman" w:hAnsi="Times New Roman" w:cs="Times New Roman"/>
          <w:noProof/>
          <w:sz w:val="24"/>
          <w:szCs w:val="24"/>
        </w:rPr>
        <w:t>as “</w:t>
      </w:r>
      <w:r w:rsidRPr="00AF522D">
        <w:rPr>
          <w:rFonts w:ascii="Times New Roman" w:hAnsi="Times New Roman" w:cs="Times New Roman"/>
          <w:i/>
          <w:iCs/>
          <w:noProof/>
          <w:sz w:val="24"/>
          <w:szCs w:val="24"/>
        </w:rPr>
        <w:t>any mineral or synthetic lubrication or industrial oils which have become unfit for the use for which they were originally intended, such as used combustion engine oils and gearbox oils, lubricating oils, oils for turbines and hydraulic oils</w:t>
      </w:r>
      <w:r>
        <w:rPr>
          <w:rFonts w:ascii="Times New Roman" w:hAnsi="Times New Roman" w:cs="Times New Roman"/>
          <w:noProof/>
          <w:sz w:val="24"/>
          <w:szCs w:val="24"/>
        </w:rPr>
        <w:t>”</w:t>
      </w:r>
      <w:r w:rsidR="00E95BCC">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w:t>
      </w:r>
    </w:p>
    <w:p w14:paraId="01110A13" w14:textId="2F4313A6" w:rsidR="0086449E" w:rsidRDefault="0061267A" w:rsidP="009A4822">
      <w:pPr>
        <w:jc w:val="both"/>
        <w:rPr>
          <w:rFonts w:ascii="Times New Roman" w:hAnsi="Times New Roman" w:cs="Times New Roman"/>
          <w:noProof/>
          <w:sz w:val="24"/>
          <w:szCs w:val="24"/>
        </w:rPr>
      </w:pPr>
      <w:r>
        <w:rPr>
          <w:rFonts w:ascii="Times New Roman" w:hAnsi="Times New Roman" w:cs="Times New Roman"/>
          <w:noProof/>
          <w:sz w:val="24"/>
          <w:szCs w:val="24"/>
        </w:rPr>
        <w:t>Lubrica</w:t>
      </w:r>
      <w:r w:rsidR="008B4C6C">
        <w:rPr>
          <w:rFonts w:ascii="Times New Roman" w:hAnsi="Times New Roman" w:cs="Times New Roman"/>
          <w:noProof/>
          <w:sz w:val="24"/>
          <w:szCs w:val="24"/>
        </w:rPr>
        <w:t>ting</w:t>
      </w:r>
      <w:r>
        <w:rPr>
          <w:rFonts w:ascii="Times New Roman" w:hAnsi="Times New Roman" w:cs="Times New Roman"/>
          <w:noProof/>
          <w:sz w:val="24"/>
          <w:szCs w:val="24"/>
        </w:rPr>
        <w:t xml:space="preserve"> </w:t>
      </w:r>
      <w:r w:rsidR="00626DDF">
        <w:rPr>
          <w:rFonts w:ascii="Times New Roman" w:hAnsi="Times New Roman" w:cs="Times New Roman"/>
          <w:noProof/>
          <w:sz w:val="24"/>
          <w:szCs w:val="24"/>
        </w:rPr>
        <w:t xml:space="preserve">and industrial </w:t>
      </w:r>
      <w:r>
        <w:rPr>
          <w:rFonts w:ascii="Times New Roman" w:hAnsi="Times New Roman" w:cs="Times New Roman"/>
          <w:noProof/>
          <w:sz w:val="24"/>
          <w:szCs w:val="24"/>
        </w:rPr>
        <w:t xml:space="preserve">oils typically consist of base oils and additives. </w:t>
      </w:r>
      <w:r w:rsidR="00744DE5" w:rsidRPr="00744DE5">
        <w:rPr>
          <w:rFonts w:ascii="Times New Roman" w:hAnsi="Times New Roman" w:cs="Times New Roman"/>
          <w:noProof/>
          <w:sz w:val="24"/>
          <w:szCs w:val="24"/>
        </w:rPr>
        <w:t xml:space="preserve">Engine oils, used in the automotive, marine and industrial sectors, represent up to half of all lubricant oils placed on the market. Hydraulic oils </w:t>
      </w:r>
      <w:r w:rsidR="007E41F9">
        <w:rPr>
          <w:rFonts w:ascii="Times New Roman" w:hAnsi="Times New Roman" w:cs="Times New Roman"/>
          <w:noProof/>
          <w:sz w:val="24"/>
          <w:szCs w:val="24"/>
        </w:rPr>
        <w:t>rank second</w:t>
      </w:r>
      <w:r w:rsidR="00744DE5" w:rsidRPr="00744DE5">
        <w:rPr>
          <w:rFonts w:ascii="Times New Roman" w:hAnsi="Times New Roman" w:cs="Times New Roman"/>
          <w:noProof/>
          <w:sz w:val="24"/>
          <w:szCs w:val="24"/>
        </w:rPr>
        <w:t xml:space="preserve"> </w:t>
      </w:r>
      <w:r w:rsidR="00AF522D">
        <w:rPr>
          <w:rFonts w:ascii="Times New Roman" w:hAnsi="Times New Roman" w:cs="Times New Roman"/>
          <w:noProof/>
          <w:sz w:val="24"/>
          <w:szCs w:val="24"/>
        </w:rPr>
        <w:t xml:space="preserve">representing </w:t>
      </w:r>
      <w:r w:rsidR="00744DE5" w:rsidRPr="00744DE5">
        <w:rPr>
          <w:rFonts w:ascii="Times New Roman" w:hAnsi="Times New Roman" w:cs="Times New Roman"/>
          <w:noProof/>
          <w:sz w:val="24"/>
          <w:szCs w:val="24"/>
        </w:rPr>
        <w:t xml:space="preserve">15% </w:t>
      </w:r>
      <w:r w:rsidR="007E41F9">
        <w:rPr>
          <w:rFonts w:ascii="Times New Roman" w:hAnsi="Times New Roman" w:cs="Times New Roman"/>
          <w:noProof/>
          <w:sz w:val="24"/>
          <w:szCs w:val="24"/>
        </w:rPr>
        <w:t>-</w:t>
      </w:r>
      <w:r w:rsidR="00744DE5" w:rsidRPr="00744DE5">
        <w:rPr>
          <w:rFonts w:ascii="Times New Roman" w:hAnsi="Times New Roman" w:cs="Times New Roman"/>
          <w:noProof/>
          <w:sz w:val="24"/>
          <w:szCs w:val="24"/>
        </w:rPr>
        <w:t xml:space="preserve"> 20% </w:t>
      </w:r>
      <w:r w:rsidR="00AF522D">
        <w:rPr>
          <w:rFonts w:ascii="Times New Roman" w:hAnsi="Times New Roman" w:cs="Times New Roman"/>
          <w:noProof/>
          <w:sz w:val="24"/>
          <w:szCs w:val="24"/>
        </w:rPr>
        <w:t xml:space="preserve">of the </w:t>
      </w:r>
      <w:r w:rsidR="00744DE5" w:rsidRPr="00744DE5">
        <w:rPr>
          <w:rFonts w:ascii="Times New Roman" w:hAnsi="Times New Roman" w:cs="Times New Roman"/>
          <w:noProof/>
          <w:sz w:val="24"/>
          <w:szCs w:val="24"/>
        </w:rPr>
        <w:t xml:space="preserve">volume. </w:t>
      </w:r>
      <w:r w:rsidR="00AF522D">
        <w:rPr>
          <w:rFonts w:ascii="Times New Roman" w:hAnsi="Times New Roman" w:cs="Times New Roman"/>
          <w:noProof/>
          <w:sz w:val="24"/>
          <w:szCs w:val="24"/>
        </w:rPr>
        <w:t>W</w:t>
      </w:r>
      <w:r w:rsidR="00A15CE0">
        <w:rPr>
          <w:rFonts w:ascii="Times New Roman" w:hAnsi="Times New Roman" w:cs="Times New Roman"/>
          <w:noProof/>
          <w:sz w:val="24"/>
          <w:szCs w:val="24"/>
        </w:rPr>
        <w:t>hen these oils become waste the</w:t>
      </w:r>
      <w:r w:rsidR="00AF522D">
        <w:rPr>
          <w:rFonts w:ascii="Times New Roman" w:hAnsi="Times New Roman" w:cs="Times New Roman"/>
          <w:noProof/>
          <w:sz w:val="24"/>
          <w:szCs w:val="24"/>
        </w:rPr>
        <w:t xml:space="preserve">y </w:t>
      </w:r>
      <w:r w:rsidR="009A4822">
        <w:rPr>
          <w:rFonts w:ascii="Times New Roman" w:hAnsi="Times New Roman" w:cs="Times New Roman"/>
          <w:noProof/>
          <w:sz w:val="24"/>
          <w:szCs w:val="24"/>
        </w:rPr>
        <w:t xml:space="preserve">are classified as hazardous waste and represent </w:t>
      </w:r>
      <w:r w:rsidR="00236F08">
        <w:rPr>
          <w:rFonts w:ascii="Times New Roman" w:hAnsi="Times New Roman" w:cs="Times New Roman"/>
          <w:noProof/>
          <w:sz w:val="24"/>
          <w:szCs w:val="24"/>
        </w:rPr>
        <w:t xml:space="preserve">the most important liquid </w:t>
      </w:r>
      <w:r w:rsidR="00665F59">
        <w:rPr>
          <w:rFonts w:ascii="Times New Roman" w:hAnsi="Times New Roman" w:cs="Times New Roman"/>
          <w:noProof/>
          <w:sz w:val="24"/>
          <w:szCs w:val="24"/>
        </w:rPr>
        <w:t xml:space="preserve">hazardous </w:t>
      </w:r>
      <w:r w:rsidR="00236F08">
        <w:rPr>
          <w:rFonts w:ascii="Times New Roman" w:hAnsi="Times New Roman" w:cs="Times New Roman"/>
          <w:noProof/>
          <w:sz w:val="24"/>
          <w:szCs w:val="24"/>
        </w:rPr>
        <w:t xml:space="preserve">waste stream in the EU, with approximately </w:t>
      </w:r>
      <w:r w:rsidR="0090176D">
        <w:rPr>
          <w:rFonts w:ascii="Times New Roman" w:hAnsi="Times New Roman" w:cs="Times New Roman"/>
          <w:noProof/>
          <w:sz w:val="24"/>
          <w:szCs w:val="24"/>
        </w:rPr>
        <w:t>1.6 million tonnes of waste oils collected in 2017</w:t>
      </w:r>
      <w:r w:rsidR="0090176D">
        <w:rPr>
          <w:rStyle w:val="FootnoteReference"/>
          <w:rFonts w:ascii="Times New Roman" w:hAnsi="Times New Roman" w:cs="Times New Roman"/>
          <w:noProof/>
          <w:sz w:val="24"/>
          <w:szCs w:val="24"/>
        </w:rPr>
        <w:footnoteReference w:id="7"/>
      </w:r>
      <w:r w:rsidR="0090176D">
        <w:rPr>
          <w:rFonts w:ascii="Times New Roman" w:hAnsi="Times New Roman" w:cs="Times New Roman"/>
          <w:noProof/>
          <w:sz w:val="24"/>
          <w:szCs w:val="24"/>
        </w:rPr>
        <w:t xml:space="preserve">. </w:t>
      </w:r>
      <w:r w:rsidR="002A5FCF">
        <w:rPr>
          <w:rFonts w:ascii="Times New Roman" w:hAnsi="Times New Roman" w:cs="Times New Roman"/>
          <w:noProof/>
          <w:sz w:val="24"/>
          <w:szCs w:val="24"/>
        </w:rPr>
        <w:t>W</w:t>
      </w:r>
      <w:r w:rsidR="00277530">
        <w:rPr>
          <w:rFonts w:ascii="Times New Roman" w:hAnsi="Times New Roman" w:cs="Times New Roman"/>
          <w:noProof/>
          <w:sz w:val="24"/>
          <w:szCs w:val="24"/>
        </w:rPr>
        <w:t xml:space="preserve">aste </w:t>
      </w:r>
      <w:r w:rsidR="00E45D32">
        <w:rPr>
          <w:rFonts w:ascii="Times New Roman" w:hAnsi="Times New Roman" w:cs="Times New Roman"/>
          <w:noProof/>
          <w:sz w:val="24"/>
          <w:szCs w:val="24"/>
        </w:rPr>
        <w:t>vegetable o</w:t>
      </w:r>
      <w:r w:rsidR="00277530">
        <w:rPr>
          <w:rFonts w:ascii="Times New Roman" w:hAnsi="Times New Roman" w:cs="Times New Roman"/>
          <w:noProof/>
          <w:sz w:val="24"/>
          <w:szCs w:val="24"/>
        </w:rPr>
        <w:t>ils</w:t>
      </w:r>
      <w:r w:rsidR="0090176D">
        <w:rPr>
          <w:rFonts w:ascii="Times New Roman" w:hAnsi="Times New Roman" w:cs="Times New Roman"/>
          <w:noProof/>
          <w:sz w:val="24"/>
          <w:szCs w:val="24"/>
        </w:rPr>
        <w:t xml:space="preserve"> </w:t>
      </w:r>
      <w:r w:rsidR="00277530">
        <w:rPr>
          <w:rFonts w:ascii="Times New Roman" w:hAnsi="Times New Roman" w:cs="Times New Roman"/>
          <w:noProof/>
          <w:sz w:val="24"/>
          <w:szCs w:val="24"/>
        </w:rPr>
        <w:t xml:space="preserve">generated </w:t>
      </w:r>
      <w:r w:rsidR="00665F59">
        <w:rPr>
          <w:rFonts w:ascii="Times New Roman" w:hAnsi="Times New Roman" w:cs="Times New Roman"/>
          <w:noProof/>
          <w:sz w:val="24"/>
          <w:szCs w:val="24"/>
        </w:rPr>
        <w:t xml:space="preserve">by </w:t>
      </w:r>
      <w:r w:rsidR="00277530">
        <w:rPr>
          <w:rFonts w:ascii="Times New Roman" w:hAnsi="Times New Roman" w:cs="Times New Roman"/>
          <w:noProof/>
          <w:sz w:val="24"/>
          <w:szCs w:val="24"/>
        </w:rPr>
        <w:t>kitchens</w:t>
      </w:r>
      <w:r w:rsidR="00665F59">
        <w:rPr>
          <w:rFonts w:ascii="Times New Roman" w:hAnsi="Times New Roman" w:cs="Times New Roman"/>
          <w:noProof/>
          <w:sz w:val="24"/>
          <w:szCs w:val="24"/>
        </w:rPr>
        <w:t xml:space="preserve"> and similar activities</w:t>
      </w:r>
      <w:r w:rsidR="00277530">
        <w:rPr>
          <w:rFonts w:ascii="Times New Roman" w:hAnsi="Times New Roman" w:cs="Times New Roman"/>
          <w:noProof/>
          <w:sz w:val="24"/>
          <w:szCs w:val="24"/>
        </w:rPr>
        <w:t xml:space="preserve"> are not in</w:t>
      </w:r>
      <w:r>
        <w:rPr>
          <w:rFonts w:ascii="Times New Roman" w:hAnsi="Times New Roman" w:cs="Times New Roman"/>
          <w:noProof/>
          <w:sz w:val="24"/>
          <w:szCs w:val="24"/>
        </w:rPr>
        <w:t xml:space="preserve"> the</w:t>
      </w:r>
      <w:r w:rsidR="00277530">
        <w:rPr>
          <w:rFonts w:ascii="Times New Roman" w:hAnsi="Times New Roman" w:cs="Times New Roman"/>
          <w:noProof/>
          <w:sz w:val="24"/>
          <w:szCs w:val="24"/>
        </w:rPr>
        <w:t xml:space="preserve"> scope of the current report</w:t>
      </w:r>
      <w:r w:rsidR="00BD6A90">
        <w:rPr>
          <w:rFonts w:ascii="Times New Roman" w:hAnsi="Times New Roman" w:cs="Times New Roman"/>
          <w:noProof/>
          <w:sz w:val="24"/>
          <w:szCs w:val="24"/>
        </w:rPr>
        <w:t xml:space="preserve">, nor </w:t>
      </w:r>
      <w:r w:rsidR="008A4DD0">
        <w:rPr>
          <w:rFonts w:ascii="Times New Roman" w:hAnsi="Times New Roman" w:cs="Times New Roman"/>
          <w:noProof/>
          <w:sz w:val="24"/>
          <w:szCs w:val="24"/>
        </w:rPr>
        <w:t xml:space="preserve">covered by </w:t>
      </w:r>
      <w:r w:rsidR="00AF522D">
        <w:rPr>
          <w:rFonts w:ascii="Times New Roman" w:hAnsi="Times New Roman" w:cs="Times New Roman"/>
          <w:noProof/>
          <w:sz w:val="24"/>
          <w:szCs w:val="24"/>
        </w:rPr>
        <w:t xml:space="preserve">the </w:t>
      </w:r>
      <w:r w:rsidR="00BD6A90">
        <w:rPr>
          <w:rFonts w:ascii="Times New Roman" w:hAnsi="Times New Roman" w:cs="Times New Roman"/>
          <w:noProof/>
          <w:sz w:val="24"/>
          <w:szCs w:val="24"/>
        </w:rPr>
        <w:t>definition of waste oil</w:t>
      </w:r>
      <w:r w:rsidR="00AF522D">
        <w:rPr>
          <w:rFonts w:ascii="Times New Roman" w:hAnsi="Times New Roman" w:cs="Times New Roman"/>
          <w:noProof/>
          <w:sz w:val="24"/>
          <w:szCs w:val="24"/>
        </w:rPr>
        <w:t xml:space="preserve">. </w:t>
      </w:r>
    </w:p>
    <w:p w14:paraId="43838382" w14:textId="2EAE8EEF" w:rsidR="0086449E" w:rsidRDefault="00025C16" w:rsidP="009A4822">
      <w:pPr>
        <w:jc w:val="both"/>
        <w:rPr>
          <w:rFonts w:ascii="Times New Roman" w:hAnsi="Times New Roman" w:cs="Times New Roman"/>
          <w:noProof/>
          <w:sz w:val="24"/>
          <w:szCs w:val="24"/>
        </w:rPr>
      </w:pPr>
      <w:r>
        <w:rPr>
          <w:rFonts w:ascii="Times New Roman" w:hAnsi="Times New Roman" w:cs="Times New Roman"/>
          <w:noProof/>
          <w:sz w:val="24"/>
          <w:szCs w:val="24"/>
        </w:rPr>
        <w:t>Waste oils have been regulated in the EU for over 40 years</w:t>
      </w:r>
      <w:r w:rsidR="00174C47">
        <w:rPr>
          <w:rFonts w:ascii="Times New Roman" w:hAnsi="Times New Roman" w:cs="Times New Roman"/>
          <w:noProof/>
          <w:sz w:val="24"/>
          <w:szCs w:val="24"/>
        </w:rPr>
        <w:t xml:space="preserve">. </w:t>
      </w:r>
      <w:r w:rsidR="009A4822" w:rsidRPr="009A4822">
        <w:rPr>
          <w:rFonts w:ascii="Times New Roman" w:hAnsi="Times New Roman" w:cs="Times New Roman"/>
          <w:noProof/>
          <w:sz w:val="24"/>
          <w:szCs w:val="24"/>
        </w:rPr>
        <w:t>Directive 75/439/EC</w:t>
      </w:r>
      <w:r w:rsidR="001B2CE0">
        <w:rPr>
          <w:rStyle w:val="FootnoteReference"/>
          <w:rFonts w:ascii="Times New Roman" w:hAnsi="Times New Roman" w:cs="Times New Roman"/>
          <w:noProof/>
          <w:sz w:val="24"/>
          <w:szCs w:val="24"/>
        </w:rPr>
        <w:footnoteReference w:id="8"/>
      </w:r>
      <w:r w:rsidR="009A4822" w:rsidRPr="009A4822">
        <w:rPr>
          <w:rFonts w:ascii="Times New Roman" w:hAnsi="Times New Roman" w:cs="Times New Roman"/>
          <w:noProof/>
          <w:sz w:val="24"/>
          <w:szCs w:val="24"/>
        </w:rPr>
        <w:t xml:space="preserve"> </w:t>
      </w:r>
      <w:r w:rsidR="001B2CE0">
        <w:rPr>
          <w:rFonts w:ascii="Times New Roman" w:hAnsi="Times New Roman" w:cs="Times New Roman"/>
          <w:noProof/>
          <w:sz w:val="24"/>
          <w:szCs w:val="24"/>
        </w:rPr>
        <w:t>on the disposal of waste oils</w:t>
      </w:r>
      <w:r w:rsidR="009A4822" w:rsidRPr="009A4822">
        <w:rPr>
          <w:rFonts w:ascii="Times New Roman" w:hAnsi="Times New Roman" w:cs="Times New Roman"/>
          <w:noProof/>
          <w:sz w:val="24"/>
          <w:szCs w:val="24"/>
        </w:rPr>
        <w:t xml:space="preserve"> </w:t>
      </w:r>
      <w:r w:rsidR="00185CAB">
        <w:rPr>
          <w:rFonts w:ascii="Times New Roman" w:hAnsi="Times New Roman" w:cs="Times New Roman"/>
          <w:noProof/>
          <w:sz w:val="24"/>
          <w:szCs w:val="24"/>
        </w:rPr>
        <w:t xml:space="preserve">required that waste oils </w:t>
      </w:r>
      <w:r w:rsidR="002A5FCF">
        <w:rPr>
          <w:rFonts w:ascii="Times New Roman" w:hAnsi="Times New Roman" w:cs="Times New Roman"/>
          <w:noProof/>
          <w:sz w:val="24"/>
          <w:szCs w:val="24"/>
        </w:rPr>
        <w:t xml:space="preserve">were </w:t>
      </w:r>
      <w:r w:rsidR="0090176D" w:rsidRPr="0090176D">
        <w:rPr>
          <w:rFonts w:ascii="Times New Roman" w:hAnsi="Times New Roman" w:cs="Times New Roman"/>
          <w:noProof/>
          <w:sz w:val="24"/>
          <w:szCs w:val="24"/>
        </w:rPr>
        <w:t>collect</w:t>
      </w:r>
      <w:r w:rsidR="00AF522D">
        <w:rPr>
          <w:rFonts w:ascii="Times New Roman" w:hAnsi="Times New Roman" w:cs="Times New Roman"/>
          <w:noProof/>
          <w:sz w:val="24"/>
          <w:szCs w:val="24"/>
        </w:rPr>
        <w:t>ed a</w:t>
      </w:r>
      <w:r w:rsidR="0090176D" w:rsidRPr="0090176D">
        <w:rPr>
          <w:rFonts w:ascii="Times New Roman" w:hAnsi="Times New Roman" w:cs="Times New Roman"/>
          <w:noProof/>
          <w:sz w:val="24"/>
          <w:szCs w:val="24"/>
        </w:rPr>
        <w:t>nd dispos</w:t>
      </w:r>
      <w:r w:rsidR="00AF522D">
        <w:rPr>
          <w:rFonts w:ascii="Times New Roman" w:hAnsi="Times New Roman" w:cs="Times New Roman"/>
          <w:noProof/>
          <w:sz w:val="24"/>
          <w:szCs w:val="24"/>
        </w:rPr>
        <w:t xml:space="preserve">ed of </w:t>
      </w:r>
      <w:r w:rsidR="0090176D" w:rsidRPr="0090176D">
        <w:rPr>
          <w:rFonts w:ascii="Times New Roman" w:hAnsi="Times New Roman" w:cs="Times New Roman"/>
          <w:noProof/>
          <w:sz w:val="24"/>
          <w:szCs w:val="24"/>
        </w:rPr>
        <w:t>without causing avoidable damage to man and the environment</w:t>
      </w:r>
      <w:r w:rsidR="009A4822" w:rsidRPr="009A4822">
        <w:rPr>
          <w:rFonts w:ascii="Times New Roman" w:hAnsi="Times New Roman" w:cs="Times New Roman"/>
          <w:noProof/>
          <w:sz w:val="24"/>
          <w:szCs w:val="24"/>
        </w:rPr>
        <w:t xml:space="preserve">. In </w:t>
      </w:r>
      <w:r w:rsidR="000C7F20">
        <w:rPr>
          <w:rFonts w:ascii="Times New Roman" w:hAnsi="Times New Roman" w:cs="Times New Roman"/>
          <w:noProof/>
          <w:sz w:val="24"/>
          <w:szCs w:val="24"/>
        </w:rPr>
        <w:t xml:space="preserve">the year </w:t>
      </w:r>
      <w:r w:rsidR="009A4822" w:rsidRPr="009A4822">
        <w:rPr>
          <w:rFonts w:ascii="Times New Roman" w:hAnsi="Times New Roman" w:cs="Times New Roman"/>
          <w:noProof/>
          <w:sz w:val="24"/>
          <w:szCs w:val="24"/>
        </w:rPr>
        <w:t>1987</w:t>
      </w:r>
      <w:r w:rsidR="009528D4">
        <w:rPr>
          <w:rStyle w:val="FootnoteReference"/>
          <w:rFonts w:ascii="Times New Roman" w:hAnsi="Times New Roman" w:cs="Times New Roman"/>
          <w:noProof/>
          <w:sz w:val="24"/>
          <w:szCs w:val="24"/>
        </w:rPr>
        <w:footnoteReference w:id="9"/>
      </w:r>
      <w:r w:rsidR="009A4822" w:rsidRPr="009A4822">
        <w:rPr>
          <w:rFonts w:ascii="Times New Roman" w:hAnsi="Times New Roman" w:cs="Times New Roman"/>
          <w:noProof/>
          <w:sz w:val="24"/>
          <w:szCs w:val="24"/>
        </w:rPr>
        <w:t xml:space="preserve"> major</w:t>
      </w:r>
      <w:r w:rsidR="009A4822">
        <w:rPr>
          <w:rFonts w:ascii="Times New Roman" w:hAnsi="Times New Roman" w:cs="Times New Roman"/>
          <w:noProof/>
          <w:sz w:val="24"/>
          <w:szCs w:val="24"/>
        </w:rPr>
        <w:t xml:space="preserve"> </w:t>
      </w:r>
      <w:r w:rsidR="009A4822" w:rsidRPr="009A4822">
        <w:rPr>
          <w:rFonts w:ascii="Times New Roman" w:hAnsi="Times New Roman" w:cs="Times New Roman"/>
          <w:noProof/>
          <w:sz w:val="24"/>
          <w:szCs w:val="24"/>
        </w:rPr>
        <w:t xml:space="preserve">amendments were </w:t>
      </w:r>
      <w:r w:rsidR="00174C47">
        <w:rPr>
          <w:rFonts w:ascii="Times New Roman" w:hAnsi="Times New Roman" w:cs="Times New Roman"/>
          <w:noProof/>
          <w:sz w:val="24"/>
          <w:szCs w:val="24"/>
        </w:rPr>
        <w:t>introduced</w:t>
      </w:r>
      <w:r w:rsidR="009A4822" w:rsidRPr="009A4822">
        <w:rPr>
          <w:rFonts w:ascii="Times New Roman" w:hAnsi="Times New Roman" w:cs="Times New Roman"/>
          <w:noProof/>
          <w:sz w:val="24"/>
          <w:szCs w:val="24"/>
        </w:rPr>
        <w:t xml:space="preserve"> </w:t>
      </w:r>
      <w:r w:rsidR="00185CAB">
        <w:rPr>
          <w:rFonts w:ascii="Times New Roman" w:hAnsi="Times New Roman" w:cs="Times New Roman"/>
          <w:noProof/>
          <w:sz w:val="24"/>
          <w:szCs w:val="24"/>
        </w:rPr>
        <w:t>resulting in</w:t>
      </w:r>
      <w:r w:rsidR="009A4822" w:rsidRPr="009A4822">
        <w:rPr>
          <w:rFonts w:ascii="Times New Roman" w:hAnsi="Times New Roman" w:cs="Times New Roman"/>
          <w:noProof/>
          <w:sz w:val="24"/>
          <w:szCs w:val="24"/>
        </w:rPr>
        <w:t xml:space="preserve"> priority </w:t>
      </w:r>
      <w:r w:rsidR="00185CAB">
        <w:rPr>
          <w:rFonts w:ascii="Times New Roman" w:hAnsi="Times New Roman" w:cs="Times New Roman"/>
          <w:noProof/>
          <w:sz w:val="24"/>
          <w:szCs w:val="24"/>
        </w:rPr>
        <w:t xml:space="preserve">being </w:t>
      </w:r>
      <w:r w:rsidR="009A4822" w:rsidRPr="009A4822">
        <w:rPr>
          <w:rFonts w:ascii="Times New Roman" w:hAnsi="Times New Roman" w:cs="Times New Roman"/>
          <w:noProof/>
          <w:sz w:val="24"/>
          <w:szCs w:val="24"/>
        </w:rPr>
        <w:t>given to the regeneration of waste oil over its incineration</w:t>
      </w:r>
      <w:r w:rsidR="000C7F20">
        <w:rPr>
          <w:rFonts w:ascii="Times New Roman" w:hAnsi="Times New Roman" w:cs="Times New Roman"/>
          <w:noProof/>
          <w:sz w:val="24"/>
          <w:szCs w:val="24"/>
        </w:rPr>
        <w:t xml:space="preserve"> for energy recovery</w:t>
      </w:r>
      <w:r w:rsidR="009A4822" w:rsidRPr="009A4822">
        <w:rPr>
          <w:rFonts w:ascii="Times New Roman" w:hAnsi="Times New Roman" w:cs="Times New Roman"/>
          <w:noProof/>
          <w:sz w:val="24"/>
          <w:szCs w:val="24"/>
        </w:rPr>
        <w:t>.</w:t>
      </w:r>
      <w:r w:rsidR="00174C47">
        <w:rPr>
          <w:rFonts w:ascii="Times New Roman" w:hAnsi="Times New Roman" w:cs="Times New Roman"/>
          <w:noProof/>
          <w:sz w:val="24"/>
          <w:szCs w:val="24"/>
        </w:rPr>
        <w:t xml:space="preserve"> </w:t>
      </w:r>
      <w:r w:rsidR="0061267A">
        <w:rPr>
          <w:rFonts w:ascii="Times New Roman" w:hAnsi="Times New Roman" w:cs="Times New Roman"/>
          <w:noProof/>
          <w:sz w:val="24"/>
          <w:szCs w:val="24"/>
        </w:rPr>
        <w:t xml:space="preserve">The </w:t>
      </w:r>
      <w:r w:rsidR="006671FE">
        <w:rPr>
          <w:rFonts w:ascii="Times New Roman" w:hAnsi="Times New Roman" w:cs="Times New Roman"/>
          <w:noProof/>
          <w:sz w:val="24"/>
          <w:szCs w:val="24"/>
        </w:rPr>
        <w:t xml:space="preserve">WFD </w:t>
      </w:r>
      <w:r w:rsidR="0086449E">
        <w:rPr>
          <w:rFonts w:ascii="Times New Roman" w:hAnsi="Times New Roman" w:cs="Times New Roman"/>
          <w:noProof/>
          <w:sz w:val="24"/>
          <w:szCs w:val="24"/>
        </w:rPr>
        <w:t xml:space="preserve">requires </w:t>
      </w:r>
      <w:r w:rsidR="009A4822" w:rsidRPr="009A4822">
        <w:rPr>
          <w:rFonts w:ascii="Times New Roman" w:hAnsi="Times New Roman" w:cs="Times New Roman"/>
          <w:noProof/>
          <w:sz w:val="24"/>
          <w:szCs w:val="24"/>
        </w:rPr>
        <w:t xml:space="preserve">that Member States </w:t>
      </w:r>
      <w:r w:rsidR="00174C47">
        <w:rPr>
          <w:rFonts w:ascii="Times New Roman" w:hAnsi="Times New Roman" w:cs="Times New Roman"/>
          <w:noProof/>
          <w:sz w:val="24"/>
          <w:szCs w:val="24"/>
        </w:rPr>
        <w:t xml:space="preserve">must </w:t>
      </w:r>
      <w:r w:rsidR="009A4822" w:rsidRPr="009A4822">
        <w:rPr>
          <w:rFonts w:ascii="Times New Roman" w:hAnsi="Times New Roman" w:cs="Times New Roman"/>
          <w:noProof/>
          <w:sz w:val="24"/>
          <w:szCs w:val="24"/>
        </w:rPr>
        <w:t xml:space="preserve">take </w:t>
      </w:r>
      <w:r w:rsidR="0086449E">
        <w:rPr>
          <w:rFonts w:ascii="Times New Roman" w:hAnsi="Times New Roman" w:cs="Times New Roman"/>
          <w:noProof/>
          <w:sz w:val="24"/>
          <w:szCs w:val="24"/>
        </w:rPr>
        <w:t xml:space="preserve">stringent measures </w:t>
      </w:r>
      <w:r w:rsidR="009A4822" w:rsidRPr="009A4822">
        <w:rPr>
          <w:rFonts w:ascii="Times New Roman" w:hAnsi="Times New Roman" w:cs="Times New Roman"/>
          <w:noProof/>
          <w:sz w:val="24"/>
          <w:szCs w:val="24"/>
        </w:rPr>
        <w:t>to ensure that</w:t>
      </w:r>
      <w:r w:rsidR="009A4822">
        <w:rPr>
          <w:rFonts w:ascii="Times New Roman" w:hAnsi="Times New Roman" w:cs="Times New Roman"/>
          <w:noProof/>
          <w:sz w:val="24"/>
          <w:szCs w:val="24"/>
        </w:rPr>
        <w:t xml:space="preserve"> </w:t>
      </w:r>
      <w:r w:rsidR="008A4DD0">
        <w:rPr>
          <w:rFonts w:ascii="Times New Roman" w:hAnsi="Times New Roman" w:cs="Times New Roman"/>
          <w:noProof/>
          <w:sz w:val="24"/>
          <w:szCs w:val="24"/>
        </w:rPr>
        <w:t xml:space="preserve">waste oils are </w:t>
      </w:r>
      <w:r w:rsidR="0086449E">
        <w:rPr>
          <w:rFonts w:ascii="Times New Roman" w:hAnsi="Times New Roman" w:cs="Times New Roman"/>
          <w:noProof/>
          <w:sz w:val="24"/>
          <w:szCs w:val="24"/>
        </w:rPr>
        <w:t xml:space="preserve">separately collected, avoiding mixing with other wastes and, if feasible, with other types of oil and are managed without harming human health or the environment and respecting the waste hierarchy.  </w:t>
      </w:r>
    </w:p>
    <w:p w14:paraId="3AA844EF" w14:textId="2BBDA8E3" w:rsidR="00174C47" w:rsidRDefault="003F5342" w:rsidP="003F5342">
      <w:pPr>
        <w:jc w:val="both"/>
        <w:rPr>
          <w:rFonts w:ascii="Times New Roman" w:hAnsi="Times New Roman" w:cs="Times New Roman"/>
          <w:noProof/>
          <w:sz w:val="24"/>
          <w:szCs w:val="24"/>
        </w:rPr>
      </w:pPr>
      <w:r>
        <w:rPr>
          <w:rFonts w:ascii="Times New Roman" w:hAnsi="Times New Roman" w:cs="Times New Roman"/>
          <w:noProof/>
          <w:sz w:val="24"/>
          <w:szCs w:val="24"/>
        </w:rPr>
        <w:t xml:space="preserve">As indicated in the </w:t>
      </w:r>
      <w:r w:rsidR="005A7428">
        <w:rPr>
          <w:rFonts w:ascii="Times New Roman" w:hAnsi="Times New Roman" w:cs="Times New Roman"/>
          <w:noProof/>
          <w:sz w:val="24"/>
          <w:szCs w:val="24"/>
        </w:rPr>
        <w:t xml:space="preserve">European </w:t>
      </w:r>
      <w:r>
        <w:rPr>
          <w:rFonts w:ascii="Times New Roman" w:hAnsi="Times New Roman" w:cs="Times New Roman"/>
          <w:noProof/>
          <w:sz w:val="24"/>
          <w:szCs w:val="24"/>
        </w:rPr>
        <w:t>Green Deal Communication</w:t>
      </w:r>
      <w:r w:rsidR="008A4DD0">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the European Union strives for a climate neutral and circular economy, in the context of a </w:t>
      </w:r>
      <w:r w:rsidRPr="003F5342">
        <w:rPr>
          <w:rFonts w:ascii="Times New Roman" w:hAnsi="Times New Roman" w:cs="Times New Roman"/>
          <w:noProof/>
          <w:sz w:val="24"/>
          <w:szCs w:val="24"/>
        </w:rPr>
        <w:t>toxic-free environment</w:t>
      </w:r>
      <w:r w:rsidR="006671FE">
        <w:rPr>
          <w:rFonts w:ascii="Times New Roman" w:hAnsi="Times New Roman" w:cs="Times New Roman"/>
          <w:noProof/>
          <w:sz w:val="24"/>
          <w:szCs w:val="24"/>
        </w:rPr>
        <w:t xml:space="preserve"> for which </w:t>
      </w:r>
      <w:r w:rsidRPr="003F5342">
        <w:rPr>
          <w:rFonts w:ascii="Times New Roman" w:hAnsi="Times New Roman" w:cs="Times New Roman"/>
          <w:noProof/>
          <w:sz w:val="24"/>
          <w:szCs w:val="24"/>
        </w:rPr>
        <w:t xml:space="preserve">more action to prevent pollution </w:t>
      </w:r>
      <w:r>
        <w:rPr>
          <w:rFonts w:ascii="Times New Roman" w:hAnsi="Times New Roman" w:cs="Times New Roman"/>
          <w:noProof/>
          <w:sz w:val="24"/>
          <w:szCs w:val="24"/>
        </w:rPr>
        <w:t>is required. In meeting these objectives, which are further developed in the Circular Economy Action Plan</w:t>
      </w:r>
      <w:r w:rsidR="0034794C">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and in the Zero Pollution Action Plan</w:t>
      </w:r>
      <w:r w:rsidR="0034794C">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the sound environmental management of waste oils</w:t>
      </w:r>
      <w:r w:rsidR="00AE3CFF">
        <w:rPr>
          <w:rFonts w:ascii="Times New Roman" w:hAnsi="Times New Roman" w:cs="Times New Roman"/>
          <w:noProof/>
          <w:sz w:val="24"/>
          <w:szCs w:val="24"/>
        </w:rPr>
        <w:t>,</w:t>
      </w:r>
      <w:r>
        <w:rPr>
          <w:rFonts w:ascii="Times New Roman" w:hAnsi="Times New Roman" w:cs="Times New Roman"/>
          <w:noProof/>
          <w:sz w:val="24"/>
          <w:szCs w:val="24"/>
        </w:rPr>
        <w:t xml:space="preserve"> in a way that emissions and discharges are minimised and </w:t>
      </w:r>
      <w:r w:rsidR="002C4833">
        <w:rPr>
          <w:rFonts w:ascii="Times New Roman" w:hAnsi="Times New Roman" w:cs="Times New Roman"/>
          <w:noProof/>
          <w:sz w:val="24"/>
          <w:szCs w:val="24"/>
        </w:rPr>
        <w:t xml:space="preserve">where </w:t>
      </w:r>
      <w:r>
        <w:rPr>
          <w:rFonts w:ascii="Times New Roman" w:hAnsi="Times New Roman" w:cs="Times New Roman"/>
          <w:noProof/>
          <w:sz w:val="24"/>
          <w:szCs w:val="24"/>
        </w:rPr>
        <w:t>base oils are largely regenerated,</w:t>
      </w:r>
      <w:r w:rsidR="00AE3CFF">
        <w:rPr>
          <w:rFonts w:ascii="Times New Roman" w:hAnsi="Times New Roman" w:cs="Times New Roman"/>
          <w:noProof/>
          <w:sz w:val="24"/>
          <w:szCs w:val="24"/>
        </w:rPr>
        <w:t xml:space="preserve"> has a relevant contribution to </w:t>
      </w:r>
      <w:r w:rsidR="00E23B79">
        <w:rPr>
          <w:rFonts w:ascii="Times New Roman" w:hAnsi="Times New Roman" w:cs="Times New Roman"/>
          <w:noProof/>
          <w:sz w:val="24"/>
          <w:szCs w:val="24"/>
        </w:rPr>
        <w:t>make</w:t>
      </w:r>
      <w:r w:rsidR="00AE3CFF">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p>
    <w:p w14:paraId="3E609A3D" w14:textId="0656161D" w:rsidR="000471A5" w:rsidRPr="00196B57" w:rsidRDefault="00FA1176" w:rsidP="000471A5">
      <w:pPr>
        <w:pStyle w:val="ListParagraph"/>
        <w:numPr>
          <w:ilvl w:val="0"/>
          <w:numId w:val="1"/>
        </w:numPr>
        <w:rPr>
          <w:rFonts w:ascii="Times New Roman" w:hAnsi="Times New Roman" w:cs="Times New Roman"/>
          <w:b/>
          <w:bCs/>
          <w:noProof/>
          <w:sz w:val="24"/>
          <w:szCs w:val="24"/>
        </w:rPr>
      </w:pPr>
      <w:bookmarkStart w:id="4" w:name="_Hlk134694952"/>
      <w:r>
        <w:rPr>
          <w:rFonts w:ascii="Times New Roman" w:hAnsi="Times New Roman" w:cs="Times New Roman"/>
          <w:b/>
          <w:bCs/>
          <w:noProof/>
          <w:sz w:val="24"/>
          <w:szCs w:val="24"/>
        </w:rPr>
        <w:t xml:space="preserve">Overview of </w:t>
      </w:r>
      <w:r w:rsidR="008369FA">
        <w:rPr>
          <w:rFonts w:ascii="Times New Roman" w:hAnsi="Times New Roman" w:cs="Times New Roman"/>
          <w:b/>
          <w:bCs/>
          <w:noProof/>
          <w:sz w:val="24"/>
          <w:szCs w:val="24"/>
        </w:rPr>
        <w:t>w</w:t>
      </w:r>
      <w:r w:rsidR="000471A5" w:rsidRPr="00196B57">
        <w:rPr>
          <w:rFonts w:ascii="Times New Roman" w:hAnsi="Times New Roman" w:cs="Times New Roman"/>
          <w:b/>
          <w:bCs/>
          <w:noProof/>
          <w:sz w:val="24"/>
          <w:szCs w:val="24"/>
        </w:rPr>
        <w:t xml:space="preserve">aste </w:t>
      </w:r>
      <w:r w:rsidR="008369FA">
        <w:rPr>
          <w:rFonts w:ascii="Times New Roman" w:hAnsi="Times New Roman" w:cs="Times New Roman"/>
          <w:b/>
          <w:bCs/>
          <w:noProof/>
          <w:sz w:val="24"/>
          <w:szCs w:val="24"/>
        </w:rPr>
        <w:t>o</w:t>
      </w:r>
      <w:r w:rsidR="000471A5" w:rsidRPr="00196B57">
        <w:rPr>
          <w:rFonts w:ascii="Times New Roman" w:hAnsi="Times New Roman" w:cs="Times New Roman"/>
          <w:b/>
          <w:bCs/>
          <w:noProof/>
          <w:sz w:val="24"/>
          <w:szCs w:val="24"/>
        </w:rPr>
        <w:t>il management in the EU</w:t>
      </w:r>
    </w:p>
    <w:bookmarkEnd w:id="4"/>
    <w:p w14:paraId="01D51664" w14:textId="7E6E630A" w:rsidR="00D73AAF" w:rsidRDefault="000E2BBE" w:rsidP="009A4822">
      <w:pPr>
        <w:jc w:val="both"/>
        <w:rPr>
          <w:rFonts w:ascii="Times New Roman" w:hAnsi="Times New Roman" w:cs="Times New Roman"/>
          <w:noProof/>
          <w:sz w:val="24"/>
          <w:szCs w:val="24"/>
        </w:rPr>
      </w:pPr>
      <w:r>
        <w:rPr>
          <w:rFonts w:ascii="Times New Roman" w:hAnsi="Times New Roman" w:cs="Times New Roman"/>
          <w:noProof/>
          <w:sz w:val="24"/>
          <w:szCs w:val="24"/>
        </w:rPr>
        <w:t xml:space="preserve">In 2017, </w:t>
      </w:r>
      <w:r w:rsidR="00037D12">
        <w:rPr>
          <w:rFonts w:ascii="Times New Roman" w:hAnsi="Times New Roman" w:cs="Times New Roman"/>
          <w:noProof/>
          <w:sz w:val="24"/>
          <w:szCs w:val="24"/>
        </w:rPr>
        <w:t>about 4.3</w:t>
      </w:r>
      <w:r w:rsidRPr="009666FC">
        <w:rPr>
          <w:rFonts w:ascii="Times New Roman" w:hAnsi="Times New Roman" w:cs="Times New Roman"/>
          <w:noProof/>
          <w:sz w:val="24"/>
          <w:szCs w:val="24"/>
        </w:rPr>
        <w:t xml:space="preserve"> million tonnes</w:t>
      </w:r>
      <w:r>
        <w:rPr>
          <w:rFonts w:ascii="Times New Roman" w:hAnsi="Times New Roman" w:cs="Times New Roman"/>
          <w:noProof/>
          <w:sz w:val="24"/>
          <w:szCs w:val="24"/>
        </w:rPr>
        <w:t xml:space="preserve"> of lubricant and industrial oils were placed on the EU market. </w:t>
      </w:r>
      <w:r w:rsidR="002B1A2D">
        <w:rPr>
          <w:rFonts w:ascii="Times New Roman" w:hAnsi="Times New Roman" w:cs="Times New Roman"/>
          <w:noProof/>
          <w:sz w:val="24"/>
          <w:szCs w:val="24"/>
        </w:rPr>
        <w:t xml:space="preserve">The </w:t>
      </w:r>
      <w:r w:rsidR="0090176D">
        <w:rPr>
          <w:rFonts w:ascii="Times New Roman" w:hAnsi="Times New Roman" w:cs="Times New Roman"/>
          <w:noProof/>
          <w:sz w:val="24"/>
          <w:szCs w:val="24"/>
        </w:rPr>
        <w:t>1.6</w:t>
      </w:r>
      <w:r w:rsidR="000F0F20">
        <w:rPr>
          <w:rFonts w:ascii="Times New Roman" w:hAnsi="Times New Roman" w:cs="Times New Roman"/>
          <w:noProof/>
          <w:sz w:val="24"/>
          <w:szCs w:val="24"/>
        </w:rPr>
        <w:t>4</w:t>
      </w:r>
      <w:r w:rsidR="0090176D">
        <w:rPr>
          <w:rFonts w:ascii="Times New Roman" w:hAnsi="Times New Roman" w:cs="Times New Roman"/>
          <w:noProof/>
          <w:sz w:val="24"/>
          <w:szCs w:val="24"/>
        </w:rPr>
        <w:t xml:space="preserve"> million tonnes of waste oils collected in the EU</w:t>
      </w:r>
      <w:r w:rsidR="00037D12">
        <w:rPr>
          <w:rFonts w:ascii="Times New Roman" w:hAnsi="Times New Roman" w:cs="Times New Roman"/>
          <w:noProof/>
          <w:sz w:val="24"/>
          <w:szCs w:val="24"/>
        </w:rPr>
        <w:t>28</w:t>
      </w:r>
      <w:r w:rsidR="0090176D">
        <w:rPr>
          <w:rFonts w:ascii="Times New Roman" w:hAnsi="Times New Roman" w:cs="Times New Roman"/>
          <w:noProof/>
          <w:sz w:val="24"/>
          <w:szCs w:val="24"/>
        </w:rPr>
        <w:t xml:space="preserve"> in 2017</w:t>
      </w:r>
      <w:r w:rsidR="002B1A2D">
        <w:rPr>
          <w:rFonts w:ascii="Times New Roman" w:hAnsi="Times New Roman" w:cs="Times New Roman"/>
          <w:noProof/>
          <w:sz w:val="24"/>
          <w:szCs w:val="24"/>
        </w:rPr>
        <w:t xml:space="preserve"> </w:t>
      </w:r>
      <w:r w:rsidR="00E23B79">
        <w:rPr>
          <w:rFonts w:ascii="Times New Roman" w:hAnsi="Times New Roman" w:cs="Times New Roman"/>
          <w:noProof/>
          <w:sz w:val="24"/>
          <w:szCs w:val="24"/>
        </w:rPr>
        <w:t xml:space="preserve">represent </w:t>
      </w:r>
      <w:r w:rsidR="0090176D">
        <w:rPr>
          <w:rFonts w:ascii="Times New Roman" w:hAnsi="Times New Roman" w:cs="Times New Roman"/>
          <w:noProof/>
          <w:sz w:val="24"/>
          <w:szCs w:val="24"/>
        </w:rPr>
        <w:t xml:space="preserve">38% of </w:t>
      </w:r>
      <w:r>
        <w:rPr>
          <w:rFonts w:ascii="Times New Roman" w:hAnsi="Times New Roman" w:cs="Times New Roman"/>
          <w:noProof/>
          <w:sz w:val="24"/>
          <w:szCs w:val="24"/>
        </w:rPr>
        <w:t>this amount</w:t>
      </w:r>
      <w:r w:rsidR="0090176D">
        <w:rPr>
          <w:rFonts w:ascii="Times New Roman" w:hAnsi="Times New Roman" w:cs="Times New Roman"/>
          <w:noProof/>
          <w:sz w:val="24"/>
          <w:szCs w:val="24"/>
        </w:rPr>
        <w:t xml:space="preserve"> and </w:t>
      </w:r>
      <w:r w:rsidR="00037D12">
        <w:rPr>
          <w:rFonts w:ascii="Times New Roman" w:hAnsi="Times New Roman" w:cs="Times New Roman"/>
          <w:noProof/>
          <w:sz w:val="24"/>
          <w:szCs w:val="24"/>
        </w:rPr>
        <w:t>is</w:t>
      </w:r>
      <w:r w:rsidR="0090176D">
        <w:rPr>
          <w:rFonts w:ascii="Times New Roman" w:hAnsi="Times New Roman" w:cs="Times New Roman"/>
          <w:noProof/>
          <w:sz w:val="24"/>
          <w:szCs w:val="24"/>
        </w:rPr>
        <w:t xml:space="preserve"> </w:t>
      </w:r>
      <w:r w:rsidR="0090176D" w:rsidRPr="00E17226">
        <w:rPr>
          <w:rFonts w:ascii="Times New Roman" w:hAnsi="Times New Roman" w:cs="Times New Roman"/>
          <w:noProof/>
          <w:sz w:val="24"/>
          <w:szCs w:val="24"/>
        </w:rPr>
        <w:t>8</w:t>
      </w:r>
      <w:r w:rsidR="000F0F20">
        <w:rPr>
          <w:rFonts w:ascii="Times New Roman" w:hAnsi="Times New Roman" w:cs="Times New Roman"/>
          <w:noProof/>
          <w:sz w:val="24"/>
          <w:szCs w:val="24"/>
        </w:rPr>
        <w:t>2</w:t>
      </w:r>
      <w:r w:rsidR="0090176D" w:rsidRPr="00E17226">
        <w:rPr>
          <w:rFonts w:ascii="Times New Roman" w:hAnsi="Times New Roman" w:cs="Times New Roman"/>
          <w:noProof/>
          <w:sz w:val="24"/>
          <w:szCs w:val="24"/>
        </w:rPr>
        <w:t>%</w:t>
      </w:r>
      <w:r w:rsidR="0090176D">
        <w:rPr>
          <w:rFonts w:ascii="Times New Roman" w:hAnsi="Times New Roman" w:cs="Times New Roman"/>
          <w:noProof/>
          <w:sz w:val="24"/>
          <w:szCs w:val="24"/>
        </w:rPr>
        <w:t xml:space="preserve"> of the </w:t>
      </w:r>
      <w:r w:rsidR="00442A9E">
        <w:rPr>
          <w:rFonts w:ascii="Times New Roman" w:hAnsi="Times New Roman" w:cs="Times New Roman"/>
          <w:noProof/>
          <w:sz w:val="24"/>
          <w:szCs w:val="24"/>
        </w:rPr>
        <w:t xml:space="preserve">theoretically collectable </w:t>
      </w:r>
      <w:r w:rsidR="0090176D">
        <w:rPr>
          <w:rFonts w:ascii="Times New Roman" w:hAnsi="Times New Roman" w:cs="Times New Roman"/>
          <w:noProof/>
          <w:sz w:val="24"/>
          <w:szCs w:val="24"/>
        </w:rPr>
        <w:t>waste oil (</w:t>
      </w:r>
      <w:r w:rsidR="00442A9E">
        <w:rPr>
          <w:rFonts w:ascii="Times New Roman" w:hAnsi="Times New Roman" w:cs="Times New Roman"/>
          <w:noProof/>
          <w:sz w:val="24"/>
          <w:szCs w:val="24"/>
        </w:rPr>
        <w:t>~</w:t>
      </w:r>
      <w:r w:rsidR="0090176D">
        <w:rPr>
          <w:rFonts w:ascii="Times New Roman" w:hAnsi="Times New Roman" w:cs="Times New Roman"/>
          <w:noProof/>
          <w:sz w:val="24"/>
          <w:szCs w:val="24"/>
        </w:rPr>
        <w:t>2 million tonnes)</w:t>
      </w:r>
      <w:r w:rsidR="00C23810">
        <w:rPr>
          <w:rStyle w:val="FootnoteReference"/>
          <w:rFonts w:ascii="Times New Roman" w:hAnsi="Times New Roman" w:cs="Times New Roman"/>
          <w:noProof/>
          <w:sz w:val="24"/>
          <w:szCs w:val="24"/>
        </w:rPr>
        <w:footnoteReference w:id="13"/>
      </w:r>
      <w:r w:rsidR="0090176D">
        <w:rPr>
          <w:rFonts w:ascii="Times New Roman" w:hAnsi="Times New Roman" w:cs="Times New Roman"/>
          <w:noProof/>
          <w:sz w:val="24"/>
          <w:szCs w:val="24"/>
        </w:rPr>
        <w:t>. Unavoidable losses</w:t>
      </w:r>
      <w:r w:rsidR="00162EC5">
        <w:rPr>
          <w:rFonts w:ascii="Times New Roman" w:hAnsi="Times New Roman" w:cs="Times New Roman"/>
          <w:noProof/>
          <w:sz w:val="24"/>
          <w:szCs w:val="24"/>
        </w:rPr>
        <w:t xml:space="preserve"> of oil</w:t>
      </w:r>
      <w:r w:rsidR="0090176D">
        <w:rPr>
          <w:rFonts w:ascii="Times New Roman" w:hAnsi="Times New Roman" w:cs="Times New Roman"/>
          <w:noProof/>
          <w:sz w:val="24"/>
          <w:szCs w:val="24"/>
        </w:rPr>
        <w:t xml:space="preserve">, estimated to be </w:t>
      </w:r>
      <w:r w:rsidR="00162EC5">
        <w:rPr>
          <w:rFonts w:ascii="Times New Roman" w:hAnsi="Times New Roman" w:cs="Times New Roman"/>
          <w:noProof/>
          <w:sz w:val="24"/>
          <w:szCs w:val="24"/>
        </w:rPr>
        <w:t>2.3 million tonnes,</w:t>
      </w:r>
      <w:r w:rsidR="0090176D">
        <w:rPr>
          <w:rFonts w:ascii="Times New Roman" w:hAnsi="Times New Roman" w:cs="Times New Roman"/>
          <w:noProof/>
          <w:sz w:val="24"/>
          <w:szCs w:val="24"/>
        </w:rPr>
        <w:t xml:space="preserve"> occur during use, mostly due to burning</w:t>
      </w:r>
      <w:r w:rsidR="006671FE">
        <w:rPr>
          <w:rFonts w:ascii="Times New Roman" w:hAnsi="Times New Roman" w:cs="Times New Roman"/>
          <w:noProof/>
          <w:sz w:val="24"/>
          <w:szCs w:val="24"/>
        </w:rPr>
        <w:t xml:space="preserve"> in engines</w:t>
      </w:r>
      <w:r w:rsidR="0090176D">
        <w:rPr>
          <w:rFonts w:ascii="Times New Roman" w:hAnsi="Times New Roman" w:cs="Times New Roman"/>
          <w:noProof/>
          <w:sz w:val="24"/>
          <w:szCs w:val="24"/>
        </w:rPr>
        <w:t xml:space="preserve"> or </w:t>
      </w:r>
      <w:r w:rsidR="006671FE">
        <w:rPr>
          <w:rFonts w:ascii="Times New Roman" w:hAnsi="Times New Roman" w:cs="Times New Roman"/>
          <w:noProof/>
          <w:sz w:val="24"/>
          <w:szCs w:val="24"/>
        </w:rPr>
        <w:t xml:space="preserve">by </w:t>
      </w:r>
      <w:r w:rsidR="008369FA">
        <w:rPr>
          <w:rFonts w:ascii="Times New Roman" w:hAnsi="Times New Roman" w:cs="Times New Roman"/>
          <w:noProof/>
          <w:sz w:val="24"/>
          <w:szCs w:val="24"/>
        </w:rPr>
        <w:t>being disposed with other</w:t>
      </w:r>
      <w:r w:rsidR="006671FE">
        <w:rPr>
          <w:rFonts w:ascii="Times New Roman" w:hAnsi="Times New Roman" w:cs="Times New Roman"/>
          <w:noProof/>
          <w:sz w:val="24"/>
          <w:szCs w:val="24"/>
        </w:rPr>
        <w:t xml:space="preserve"> </w:t>
      </w:r>
      <w:r w:rsidR="00162EC5">
        <w:rPr>
          <w:rFonts w:ascii="Times New Roman" w:hAnsi="Times New Roman" w:cs="Times New Roman"/>
          <w:noProof/>
          <w:sz w:val="24"/>
          <w:szCs w:val="24"/>
        </w:rPr>
        <w:t>waste</w:t>
      </w:r>
      <w:r w:rsidR="0090176D">
        <w:rPr>
          <w:rFonts w:ascii="Times New Roman" w:hAnsi="Times New Roman" w:cs="Times New Roman"/>
          <w:noProof/>
          <w:sz w:val="24"/>
          <w:szCs w:val="24"/>
        </w:rPr>
        <w:t xml:space="preserve">. </w:t>
      </w:r>
      <w:r w:rsidR="00AD7329">
        <w:rPr>
          <w:rFonts w:ascii="Times New Roman" w:hAnsi="Times New Roman" w:cs="Times New Roman"/>
          <w:noProof/>
          <w:sz w:val="24"/>
          <w:szCs w:val="24"/>
        </w:rPr>
        <w:t>It</w:t>
      </w:r>
      <w:r w:rsidR="0090176D">
        <w:rPr>
          <w:rFonts w:ascii="Times New Roman" w:hAnsi="Times New Roman" w:cs="Times New Roman"/>
          <w:noProof/>
          <w:sz w:val="24"/>
          <w:szCs w:val="24"/>
        </w:rPr>
        <w:t xml:space="preserve"> is estimated that about 18% of </w:t>
      </w:r>
      <w:r w:rsidR="00E23B79">
        <w:rPr>
          <w:rFonts w:ascii="Times New Roman" w:hAnsi="Times New Roman" w:cs="Times New Roman"/>
          <w:noProof/>
          <w:sz w:val="24"/>
          <w:szCs w:val="24"/>
        </w:rPr>
        <w:t>collect</w:t>
      </w:r>
      <w:r w:rsidR="000359D5">
        <w:rPr>
          <w:rFonts w:ascii="Times New Roman" w:hAnsi="Times New Roman" w:cs="Times New Roman"/>
          <w:noProof/>
          <w:sz w:val="24"/>
          <w:szCs w:val="24"/>
        </w:rPr>
        <w:t>a</w:t>
      </w:r>
      <w:r w:rsidR="00E23B79">
        <w:rPr>
          <w:rFonts w:ascii="Times New Roman" w:hAnsi="Times New Roman" w:cs="Times New Roman"/>
          <w:noProof/>
          <w:sz w:val="24"/>
          <w:szCs w:val="24"/>
        </w:rPr>
        <w:t xml:space="preserve">ble </w:t>
      </w:r>
      <w:r w:rsidR="0090176D">
        <w:rPr>
          <w:rFonts w:ascii="Times New Roman" w:hAnsi="Times New Roman" w:cs="Times New Roman"/>
          <w:noProof/>
          <w:sz w:val="24"/>
          <w:szCs w:val="24"/>
        </w:rPr>
        <w:t xml:space="preserve">waste oils are lost due </w:t>
      </w:r>
      <w:r w:rsidR="002C4833">
        <w:rPr>
          <w:rFonts w:ascii="Times New Roman" w:hAnsi="Times New Roman" w:cs="Times New Roman"/>
          <w:noProof/>
          <w:sz w:val="24"/>
          <w:szCs w:val="24"/>
        </w:rPr>
        <w:t xml:space="preserve">to </w:t>
      </w:r>
      <w:r w:rsidR="0090176D" w:rsidRPr="00994986">
        <w:rPr>
          <w:rFonts w:ascii="Times New Roman" w:hAnsi="Times New Roman" w:cs="Times New Roman"/>
          <w:noProof/>
          <w:sz w:val="24"/>
          <w:szCs w:val="24"/>
        </w:rPr>
        <w:t>burning in small waste oil burners</w:t>
      </w:r>
      <w:r w:rsidR="00F23A26">
        <w:rPr>
          <w:rFonts w:ascii="Times New Roman" w:hAnsi="Times New Roman" w:cs="Times New Roman"/>
          <w:noProof/>
          <w:sz w:val="24"/>
          <w:szCs w:val="24"/>
        </w:rPr>
        <w:t xml:space="preserve">, </w:t>
      </w:r>
      <w:r w:rsidR="00AD7329">
        <w:rPr>
          <w:rFonts w:ascii="Times New Roman" w:hAnsi="Times New Roman" w:cs="Times New Roman"/>
          <w:noProof/>
          <w:sz w:val="24"/>
          <w:szCs w:val="24"/>
        </w:rPr>
        <w:t xml:space="preserve">due to </w:t>
      </w:r>
      <w:r w:rsidR="00F23A26">
        <w:rPr>
          <w:rFonts w:ascii="Times New Roman" w:hAnsi="Times New Roman" w:cs="Times New Roman"/>
          <w:noProof/>
          <w:sz w:val="24"/>
          <w:szCs w:val="24"/>
        </w:rPr>
        <w:t>illegal conversion into fuels and, to a limited exten</w:t>
      </w:r>
      <w:r w:rsidR="00AC6E77">
        <w:rPr>
          <w:rFonts w:ascii="Times New Roman" w:hAnsi="Times New Roman" w:cs="Times New Roman"/>
          <w:noProof/>
          <w:sz w:val="24"/>
          <w:szCs w:val="24"/>
        </w:rPr>
        <w:t xml:space="preserve">t, </w:t>
      </w:r>
      <w:r w:rsidR="00442A9E">
        <w:rPr>
          <w:rFonts w:ascii="Times New Roman" w:hAnsi="Times New Roman" w:cs="Times New Roman"/>
          <w:noProof/>
          <w:sz w:val="24"/>
          <w:szCs w:val="24"/>
        </w:rPr>
        <w:t>via</w:t>
      </w:r>
      <w:r w:rsidR="00F23A26">
        <w:rPr>
          <w:rFonts w:ascii="Times New Roman" w:hAnsi="Times New Roman" w:cs="Times New Roman"/>
          <w:noProof/>
          <w:sz w:val="24"/>
          <w:szCs w:val="24"/>
        </w:rPr>
        <w:t xml:space="preserve"> </w:t>
      </w:r>
      <w:r w:rsidR="00AC6E77">
        <w:rPr>
          <w:rFonts w:ascii="Times New Roman" w:hAnsi="Times New Roman" w:cs="Times New Roman"/>
          <w:noProof/>
          <w:sz w:val="24"/>
          <w:szCs w:val="24"/>
        </w:rPr>
        <w:t>direct releases into the environment</w:t>
      </w:r>
      <w:r w:rsidR="00AD7329">
        <w:rPr>
          <w:rFonts w:ascii="Times New Roman" w:hAnsi="Times New Roman" w:cs="Times New Roman"/>
          <w:noProof/>
          <w:sz w:val="24"/>
          <w:szCs w:val="24"/>
        </w:rPr>
        <w:t>.</w:t>
      </w:r>
      <w:r w:rsidR="00120EC7">
        <w:rPr>
          <w:rFonts w:ascii="Times New Roman" w:hAnsi="Times New Roman" w:cs="Times New Roman"/>
          <w:noProof/>
          <w:sz w:val="24"/>
          <w:szCs w:val="24"/>
        </w:rPr>
        <w:t xml:space="preserve"> </w:t>
      </w:r>
      <w:r w:rsidR="00B22D02">
        <w:rPr>
          <w:rFonts w:ascii="Times New Roman" w:hAnsi="Times New Roman" w:cs="Times New Roman"/>
          <w:noProof/>
          <w:sz w:val="24"/>
          <w:szCs w:val="24"/>
        </w:rPr>
        <w:t>Such activities have a direct and deleterious impact on water, soil and air quality, are illegal</w:t>
      </w:r>
      <w:r w:rsidR="002F7EDC">
        <w:rPr>
          <w:rFonts w:ascii="Times New Roman" w:hAnsi="Times New Roman" w:cs="Times New Roman"/>
          <w:noProof/>
          <w:sz w:val="24"/>
          <w:szCs w:val="24"/>
        </w:rPr>
        <w:t xml:space="preserve">, </w:t>
      </w:r>
      <w:r w:rsidR="002C4833">
        <w:rPr>
          <w:rFonts w:ascii="Times New Roman" w:hAnsi="Times New Roman" w:cs="Times New Roman"/>
          <w:noProof/>
          <w:sz w:val="24"/>
          <w:szCs w:val="24"/>
        </w:rPr>
        <w:t xml:space="preserve">contrary to the </w:t>
      </w:r>
      <w:r w:rsidR="00B22D02">
        <w:rPr>
          <w:rFonts w:ascii="Times New Roman" w:hAnsi="Times New Roman" w:cs="Times New Roman"/>
          <w:noProof/>
          <w:sz w:val="24"/>
          <w:szCs w:val="24"/>
        </w:rPr>
        <w:t>waste hierarchy</w:t>
      </w:r>
      <w:r w:rsidR="002F7EDC">
        <w:rPr>
          <w:rFonts w:ascii="Times New Roman" w:hAnsi="Times New Roman" w:cs="Times New Roman"/>
          <w:noProof/>
          <w:sz w:val="24"/>
          <w:szCs w:val="24"/>
        </w:rPr>
        <w:t xml:space="preserve"> and may result in unfair competition with legal waste operators</w:t>
      </w:r>
      <w:r w:rsidR="00B22D02">
        <w:rPr>
          <w:rFonts w:ascii="Times New Roman" w:hAnsi="Times New Roman" w:cs="Times New Roman"/>
          <w:noProof/>
          <w:sz w:val="24"/>
          <w:szCs w:val="24"/>
        </w:rPr>
        <w:t xml:space="preserve">, thereby requiring intensified efforts in terms </w:t>
      </w:r>
      <w:r w:rsidR="00C22636">
        <w:rPr>
          <w:rFonts w:ascii="Times New Roman" w:hAnsi="Times New Roman" w:cs="Times New Roman"/>
          <w:noProof/>
          <w:sz w:val="24"/>
          <w:szCs w:val="24"/>
        </w:rPr>
        <w:t xml:space="preserve">of </w:t>
      </w:r>
      <w:r w:rsidR="00B22D02">
        <w:rPr>
          <w:rFonts w:ascii="Times New Roman" w:hAnsi="Times New Roman" w:cs="Times New Roman"/>
          <w:noProof/>
          <w:sz w:val="24"/>
          <w:szCs w:val="24"/>
        </w:rPr>
        <w:t xml:space="preserve">collection and enforcement to avoid them. </w:t>
      </w:r>
    </w:p>
    <w:p w14:paraId="359A4AC3" w14:textId="77777777" w:rsidR="00F86F51" w:rsidRDefault="00F86F51" w:rsidP="00F86F51">
      <w:pPr>
        <w:jc w:val="both"/>
        <w:rPr>
          <w:rFonts w:ascii="Times New Roman" w:hAnsi="Times New Roman" w:cs="Times New Roman"/>
          <w:noProof/>
          <w:sz w:val="24"/>
          <w:szCs w:val="24"/>
        </w:rPr>
      </w:pPr>
      <w:r>
        <w:rPr>
          <w:rFonts w:ascii="Times New Roman" w:hAnsi="Times New Roman" w:cs="Times New Roman"/>
          <w:noProof/>
          <w:sz w:val="24"/>
          <w:szCs w:val="24"/>
        </w:rPr>
        <w:t xml:space="preserve">The particular case of waste oils from ships is addressed by </w:t>
      </w:r>
      <w:r w:rsidRPr="007F0724">
        <w:rPr>
          <w:rFonts w:ascii="Times New Roman" w:hAnsi="Times New Roman" w:cs="Times New Roman"/>
          <w:noProof/>
          <w:sz w:val="24"/>
          <w:szCs w:val="24"/>
          <w:lang w:val="en-US"/>
        </w:rPr>
        <w:t>Directive 2000/59/EC</w:t>
      </w:r>
      <w:r w:rsidRPr="007F0724">
        <w:rPr>
          <w:rStyle w:val="FootnoteReference"/>
          <w:rFonts w:ascii="Times New Roman" w:hAnsi="Times New Roman" w:cs="Times New Roman"/>
          <w:noProof/>
          <w:sz w:val="24"/>
          <w:szCs w:val="24"/>
          <w:lang w:val="en-US"/>
        </w:rPr>
        <w:footnoteReference w:id="14"/>
      </w:r>
      <w:r w:rsidRPr="007F0724">
        <w:rPr>
          <w:rFonts w:ascii="Times New Roman" w:hAnsi="Times New Roman" w:cs="Times New Roman"/>
          <w:noProof/>
          <w:sz w:val="24"/>
          <w:szCs w:val="24"/>
          <w:lang w:val="en-US"/>
        </w:rPr>
        <w:t xml:space="preserve"> </w:t>
      </w:r>
      <w:r w:rsidRPr="009A5CA0">
        <w:rPr>
          <w:rFonts w:ascii="Times New Roman" w:hAnsi="Times New Roman" w:cs="Times New Roman"/>
          <w:noProof/>
          <w:sz w:val="24"/>
          <w:szCs w:val="24"/>
          <w:lang w:val="en-US"/>
        </w:rPr>
        <w:t xml:space="preserve">on </w:t>
      </w:r>
      <w:r w:rsidRPr="009666FC">
        <w:rPr>
          <w:rFonts w:ascii="Times New Roman" w:hAnsi="Times New Roman" w:cs="Times New Roman"/>
          <w:noProof/>
          <w:sz w:val="24"/>
          <w:szCs w:val="24"/>
          <w:lang w:val="en-US"/>
        </w:rPr>
        <w:t>port reception facilities</w:t>
      </w:r>
      <w:r w:rsidRPr="007F0724">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which aims</w:t>
      </w:r>
      <w:r w:rsidRPr="007F0724">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 xml:space="preserve">to </w:t>
      </w:r>
      <w:r w:rsidRPr="007F0724">
        <w:rPr>
          <w:rFonts w:ascii="Times New Roman" w:hAnsi="Times New Roman" w:cs="Times New Roman"/>
          <w:noProof/>
          <w:sz w:val="24"/>
          <w:szCs w:val="24"/>
          <w:lang w:val="en-US"/>
        </w:rPr>
        <w:t>substantially reduc</w:t>
      </w:r>
      <w:r>
        <w:rPr>
          <w:rFonts w:ascii="Times New Roman" w:hAnsi="Times New Roman" w:cs="Times New Roman"/>
          <w:noProof/>
          <w:sz w:val="24"/>
          <w:szCs w:val="24"/>
          <w:lang w:val="en-US"/>
        </w:rPr>
        <w:t>e</w:t>
      </w:r>
      <w:r w:rsidRPr="007F0724">
        <w:rPr>
          <w:rFonts w:ascii="Times New Roman" w:hAnsi="Times New Roman" w:cs="Times New Roman"/>
          <w:noProof/>
          <w:sz w:val="24"/>
          <w:szCs w:val="24"/>
          <w:lang w:val="en-US"/>
        </w:rPr>
        <w:t xml:space="preserve"> discharges of ship-generated waste and cargo residues into the sea.</w:t>
      </w:r>
      <w:r>
        <w:rPr>
          <w:rFonts w:ascii="Times New Roman" w:hAnsi="Times New Roman" w:cs="Times New Roman"/>
          <w:noProof/>
          <w:sz w:val="24"/>
          <w:szCs w:val="24"/>
          <w:lang w:val="en-US"/>
        </w:rPr>
        <w:t xml:space="preserve"> The </w:t>
      </w:r>
      <w:r w:rsidRPr="008F58D3">
        <w:rPr>
          <w:rFonts w:ascii="Times New Roman" w:hAnsi="Times New Roman" w:cs="Times New Roman"/>
          <w:noProof/>
          <w:sz w:val="24"/>
          <w:szCs w:val="24"/>
          <w:lang w:val="en-US"/>
        </w:rPr>
        <w:t>European Maritime Safety Agency provid</w:t>
      </w:r>
      <w:r>
        <w:rPr>
          <w:rFonts w:ascii="Times New Roman" w:hAnsi="Times New Roman" w:cs="Times New Roman"/>
          <w:noProof/>
          <w:sz w:val="24"/>
          <w:szCs w:val="24"/>
          <w:lang w:val="en-US"/>
        </w:rPr>
        <w:t xml:space="preserve">es </w:t>
      </w:r>
      <w:r w:rsidRPr="008F58D3">
        <w:rPr>
          <w:rFonts w:ascii="Times New Roman" w:hAnsi="Times New Roman" w:cs="Times New Roman"/>
          <w:noProof/>
          <w:sz w:val="24"/>
          <w:szCs w:val="24"/>
          <w:lang w:val="en-US"/>
        </w:rPr>
        <w:t>a pollution prevention service</w:t>
      </w:r>
      <w:r>
        <w:rPr>
          <w:rFonts w:ascii="Times New Roman" w:hAnsi="Times New Roman" w:cs="Times New Roman"/>
          <w:noProof/>
          <w:sz w:val="24"/>
          <w:szCs w:val="24"/>
          <w:lang w:val="en-US"/>
        </w:rPr>
        <w:t xml:space="preserve"> including </w:t>
      </w:r>
      <w:r w:rsidRPr="008F58D3">
        <w:rPr>
          <w:rFonts w:ascii="Times New Roman" w:hAnsi="Times New Roman" w:cs="Times New Roman"/>
          <w:noProof/>
          <w:sz w:val="24"/>
          <w:szCs w:val="24"/>
          <w:lang w:val="en-US"/>
        </w:rPr>
        <w:t>earth observation services using satellite imagery</w:t>
      </w:r>
      <w:r>
        <w:rPr>
          <w:rStyle w:val="FootnoteReference"/>
          <w:rFonts w:ascii="Times New Roman" w:hAnsi="Times New Roman" w:cs="Times New Roman"/>
          <w:noProof/>
          <w:sz w:val="24"/>
          <w:szCs w:val="24"/>
          <w:lang w:val="en-US"/>
        </w:rPr>
        <w:footnoteReference w:id="15"/>
      </w:r>
      <w:r w:rsidRPr="008F58D3">
        <w:rPr>
          <w:rFonts w:ascii="Times New Roman" w:hAnsi="Times New Roman" w:cs="Times New Roman"/>
          <w:noProof/>
          <w:sz w:val="24"/>
          <w:szCs w:val="24"/>
          <w:lang w:val="en-US"/>
        </w:rPr>
        <w:t xml:space="preserve">. </w:t>
      </w:r>
    </w:p>
    <w:p w14:paraId="00970CD8" w14:textId="19E37DEB" w:rsidR="00763BD5" w:rsidRDefault="460DD338" w:rsidP="00763BD5">
      <w:pPr>
        <w:jc w:val="both"/>
        <w:rPr>
          <w:rFonts w:ascii="Times New Roman" w:hAnsi="Times New Roman" w:cs="Times New Roman"/>
          <w:noProof/>
          <w:sz w:val="24"/>
          <w:szCs w:val="24"/>
        </w:rPr>
      </w:pPr>
      <w:r>
        <w:rPr>
          <w:rFonts w:ascii="Times New Roman" w:hAnsi="Times New Roman" w:cs="Times New Roman"/>
          <w:noProof/>
          <w:sz w:val="24"/>
          <w:szCs w:val="24"/>
        </w:rPr>
        <w:t xml:space="preserve">The approach taken to manage </w:t>
      </w:r>
      <w:r w:rsidR="00442A9E">
        <w:rPr>
          <w:rFonts w:ascii="Times New Roman" w:hAnsi="Times New Roman" w:cs="Times New Roman"/>
          <w:noProof/>
          <w:sz w:val="24"/>
          <w:szCs w:val="24"/>
        </w:rPr>
        <w:t>waste</w:t>
      </w:r>
      <w:r w:rsidRPr="009F59C3">
        <w:rPr>
          <w:rFonts w:ascii="Times New Roman" w:hAnsi="Times New Roman" w:cs="Times New Roman"/>
          <w:noProof/>
          <w:sz w:val="24"/>
          <w:szCs w:val="24"/>
        </w:rPr>
        <w:t xml:space="preserve"> oils </w:t>
      </w:r>
      <w:r>
        <w:rPr>
          <w:rFonts w:ascii="Times New Roman" w:hAnsi="Times New Roman" w:cs="Times New Roman"/>
          <w:noProof/>
          <w:sz w:val="24"/>
          <w:szCs w:val="24"/>
        </w:rPr>
        <w:t xml:space="preserve">differs largely </w:t>
      </w:r>
      <w:r w:rsidRPr="009F59C3">
        <w:rPr>
          <w:rFonts w:ascii="Times New Roman" w:hAnsi="Times New Roman" w:cs="Times New Roman"/>
          <w:noProof/>
          <w:sz w:val="24"/>
          <w:szCs w:val="24"/>
        </w:rPr>
        <w:t xml:space="preserve">among the Member States. </w:t>
      </w:r>
      <w:r w:rsidR="6EF8DFCB">
        <w:rPr>
          <w:rFonts w:ascii="Times New Roman" w:hAnsi="Times New Roman" w:cs="Times New Roman"/>
          <w:noProof/>
          <w:sz w:val="24"/>
          <w:szCs w:val="24"/>
        </w:rPr>
        <w:t>Extended Producer Responsibility (EP</w:t>
      </w:r>
      <w:r w:rsidR="01E402B0">
        <w:rPr>
          <w:rFonts w:ascii="Times New Roman" w:hAnsi="Times New Roman" w:cs="Times New Roman"/>
          <w:noProof/>
          <w:sz w:val="24"/>
          <w:szCs w:val="24"/>
        </w:rPr>
        <w:t>R</w:t>
      </w:r>
      <w:r w:rsidR="6EF8DFCB">
        <w:rPr>
          <w:rFonts w:ascii="Times New Roman" w:hAnsi="Times New Roman" w:cs="Times New Roman"/>
          <w:noProof/>
          <w:sz w:val="24"/>
          <w:szCs w:val="24"/>
        </w:rPr>
        <w:t xml:space="preserve">) </w:t>
      </w:r>
      <w:r w:rsidR="62F6088E" w:rsidRPr="00B1553F">
        <w:rPr>
          <w:rFonts w:ascii="Times New Roman" w:hAnsi="Times New Roman" w:cs="Times New Roman"/>
          <w:noProof/>
          <w:sz w:val="24"/>
          <w:szCs w:val="24"/>
        </w:rPr>
        <w:t>schemes for waste lubricant</w:t>
      </w:r>
      <w:r w:rsidR="10C3F46D" w:rsidRPr="00B1553F">
        <w:rPr>
          <w:rFonts w:ascii="Times New Roman" w:hAnsi="Times New Roman" w:cs="Times New Roman"/>
          <w:noProof/>
          <w:sz w:val="24"/>
          <w:szCs w:val="24"/>
        </w:rPr>
        <w:t xml:space="preserve"> oil</w:t>
      </w:r>
      <w:r w:rsidR="62F6088E" w:rsidRPr="00B1553F">
        <w:rPr>
          <w:rFonts w:ascii="Times New Roman" w:hAnsi="Times New Roman" w:cs="Times New Roman"/>
          <w:noProof/>
          <w:sz w:val="24"/>
          <w:szCs w:val="24"/>
        </w:rPr>
        <w:t xml:space="preserve">s are implemented in </w:t>
      </w:r>
      <w:r w:rsidR="2C0A2E0B">
        <w:rPr>
          <w:rFonts w:ascii="Times New Roman" w:hAnsi="Times New Roman" w:cs="Times New Roman"/>
          <w:noProof/>
          <w:sz w:val="24"/>
          <w:szCs w:val="24"/>
        </w:rPr>
        <w:t>11</w:t>
      </w:r>
      <w:r w:rsidR="3CBFA6AB">
        <w:rPr>
          <w:rFonts w:ascii="Times New Roman" w:hAnsi="Times New Roman" w:cs="Times New Roman"/>
          <w:noProof/>
          <w:sz w:val="24"/>
          <w:szCs w:val="24"/>
        </w:rPr>
        <w:t xml:space="preserve"> </w:t>
      </w:r>
      <w:r w:rsidR="62F6088E" w:rsidRPr="00B1553F">
        <w:rPr>
          <w:rFonts w:ascii="Times New Roman" w:hAnsi="Times New Roman" w:cs="Times New Roman"/>
          <w:noProof/>
          <w:sz w:val="24"/>
          <w:szCs w:val="24"/>
        </w:rPr>
        <w:t>Member States</w:t>
      </w:r>
      <w:r w:rsidR="00B1553F">
        <w:rPr>
          <w:rStyle w:val="FootnoteReference"/>
          <w:rFonts w:ascii="Times New Roman" w:hAnsi="Times New Roman" w:cs="Times New Roman"/>
          <w:noProof/>
          <w:sz w:val="24"/>
          <w:szCs w:val="24"/>
        </w:rPr>
        <w:footnoteReference w:id="16"/>
      </w:r>
      <w:r w:rsidR="2C0A2E0B">
        <w:rPr>
          <w:rFonts w:ascii="Times New Roman" w:hAnsi="Times New Roman" w:cs="Times New Roman"/>
          <w:noProof/>
          <w:sz w:val="24"/>
          <w:szCs w:val="24"/>
        </w:rPr>
        <w:t xml:space="preserve">. </w:t>
      </w:r>
    </w:p>
    <w:p w14:paraId="6B46E092" w14:textId="5AA8AA5A" w:rsidR="002F7BE7" w:rsidRDefault="002F7BE7" w:rsidP="002F7BE7">
      <w:pPr>
        <w:jc w:val="both"/>
        <w:rPr>
          <w:rFonts w:ascii="Times New Roman" w:hAnsi="Times New Roman" w:cs="Times New Roman"/>
          <w:noProof/>
          <w:sz w:val="24"/>
          <w:szCs w:val="24"/>
        </w:rPr>
      </w:pPr>
      <w:r w:rsidRPr="002E298A">
        <w:rPr>
          <w:rFonts w:ascii="Times New Roman" w:hAnsi="Times New Roman" w:cs="Times New Roman"/>
          <w:noProof/>
          <w:sz w:val="24"/>
          <w:szCs w:val="24"/>
        </w:rPr>
        <w:t>It is reported</w:t>
      </w:r>
      <w:r w:rsidRPr="00B6136E">
        <w:rPr>
          <w:rFonts w:ascii="Times New Roman" w:hAnsi="Times New Roman" w:cs="Times New Roman"/>
          <w:noProof/>
          <w:vertAlign w:val="superscript"/>
        </w:rPr>
        <w:footnoteReference w:id="17"/>
      </w:r>
      <w:r w:rsidRPr="002E298A">
        <w:rPr>
          <w:rFonts w:ascii="Times New Roman" w:hAnsi="Times New Roman" w:cs="Times New Roman"/>
          <w:noProof/>
          <w:sz w:val="24"/>
          <w:szCs w:val="24"/>
        </w:rPr>
        <w:t xml:space="preserve"> that approximately 61% of the waste oils collected are regenerated into base oils, whereas 24% </w:t>
      </w:r>
      <w:r>
        <w:rPr>
          <w:rFonts w:ascii="Times New Roman" w:hAnsi="Times New Roman" w:cs="Times New Roman"/>
          <w:noProof/>
          <w:sz w:val="24"/>
          <w:szCs w:val="24"/>
        </w:rPr>
        <w:t>are</w:t>
      </w:r>
      <w:r w:rsidRPr="002E298A">
        <w:rPr>
          <w:rFonts w:ascii="Times New Roman" w:hAnsi="Times New Roman" w:cs="Times New Roman"/>
          <w:noProof/>
          <w:sz w:val="24"/>
          <w:szCs w:val="24"/>
        </w:rPr>
        <w:t xml:space="preserve"> treated to produce fuels and 11% used for </w:t>
      </w:r>
      <w:r w:rsidR="00626DDF">
        <w:rPr>
          <w:rFonts w:ascii="Times New Roman" w:hAnsi="Times New Roman" w:cs="Times New Roman"/>
          <w:noProof/>
          <w:sz w:val="24"/>
          <w:szCs w:val="24"/>
        </w:rPr>
        <w:t xml:space="preserve">direct </w:t>
      </w:r>
      <w:r w:rsidRPr="002E298A">
        <w:rPr>
          <w:rFonts w:ascii="Times New Roman" w:hAnsi="Times New Roman" w:cs="Times New Roman"/>
          <w:noProof/>
          <w:sz w:val="24"/>
          <w:szCs w:val="24"/>
        </w:rPr>
        <w:t xml:space="preserve">energy recovery in cement, lime, steel and power plants, with the remainder being incinerated as hazardous waste. </w:t>
      </w:r>
      <w:r w:rsidR="00326A4E">
        <w:rPr>
          <w:rFonts w:ascii="Times New Roman" w:hAnsi="Times New Roman" w:cs="Times New Roman"/>
          <w:noProof/>
          <w:sz w:val="24"/>
          <w:szCs w:val="24"/>
        </w:rPr>
        <w:t>I</w:t>
      </w:r>
      <w:r w:rsidRPr="002E298A">
        <w:rPr>
          <w:rFonts w:ascii="Times New Roman" w:hAnsi="Times New Roman" w:cs="Times New Roman"/>
          <w:noProof/>
          <w:sz w:val="24"/>
          <w:szCs w:val="24"/>
        </w:rPr>
        <w:t>n 2019 there were 2</w:t>
      </w:r>
      <w:r>
        <w:rPr>
          <w:rFonts w:ascii="Times New Roman" w:hAnsi="Times New Roman" w:cs="Times New Roman"/>
          <w:noProof/>
          <w:sz w:val="24"/>
          <w:szCs w:val="24"/>
        </w:rPr>
        <w:t>7</w:t>
      </w:r>
      <w:r w:rsidRPr="002E298A">
        <w:rPr>
          <w:rFonts w:ascii="Times New Roman" w:hAnsi="Times New Roman" w:cs="Times New Roman"/>
          <w:noProof/>
          <w:sz w:val="24"/>
          <w:szCs w:val="24"/>
        </w:rPr>
        <w:t xml:space="preserve"> waste-oil regeneration plants</w:t>
      </w:r>
      <w:r>
        <w:rPr>
          <w:rFonts w:ascii="Times New Roman" w:hAnsi="Times New Roman" w:cs="Times New Roman"/>
          <w:noProof/>
          <w:sz w:val="24"/>
          <w:szCs w:val="24"/>
        </w:rPr>
        <w:t xml:space="preserve"> </w:t>
      </w:r>
      <w:r w:rsidRPr="002E298A">
        <w:rPr>
          <w:rFonts w:ascii="Times New Roman" w:hAnsi="Times New Roman" w:cs="Times New Roman"/>
          <w:noProof/>
          <w:sz w:val="24"/>
          <w:szCs w:val="24"/>
        </w:rPr>
        <w:t>in the EU</w:t>
      </w:r>
      <w:r w:rsidR="002F4C84">
        <w:rPr>
          <w:rFonts w:ascii="Times New Roman" w:hAnsi="Times New Roman" w:cs="Times New Roman"/>
          <w:noProof/>
          <w:sz w:val="24"/>
          <w:szCs w:val="24"/>
        </w:rPr>
        <w:t>28</w:t>
      </w:r>
      <w:r w:rsidRPr="00763BD5">
        <w:rPr>
          <w:noProof/>
          <w:vertAlign w:val="superscript"/>
        </w:rPr>
        <w:footnoteReference w:id="18"/>
      </w:r>
      <w:r w:rsidRPr="002E298A">
        <w:rPr>
          <w:rFonts w:ascii="Times New Roman" w:hAnsi="Times New Roman" w:cs="Times New Roman"/>
          <w:noProof/>
          <w:sz w:val="24"/>
          <w:szCs w:val="24"/>
        </w:rPr>
        <w:t xml:space="preserve">, </w:t>
      </w:r>
      <w:r>
        <w:rPr>
          <w:rFonts w:ascii="Times New Roman" w:hAnsi="Times New Roman" w:cs="Times New Roman"/>
          <w:noProof/>
          <w:sz w:val="24"/>
          <w:szCs w:val="24"/>
        </w:rPr>
        <w:t>distributed throughout</w:t>
      </w:r>
      <w:r w:rsidRPr="002E298A">
        <w:rPr>
          <w:rFonts w:ascii="Times New Roman" w:hAnsi="Times New Roman" w:cs="Times New Roman"/>
          <w:noProof/>
          <w:sz w:val="24"/>
          <w:szCs w:val="24"/>
        </w:rPr>
        <w:t xml:space="preserve"> 1</w:t>
      </w:r>
      <w:r>
        <w:rPr>
          <w:rFonts w:ascii="Times New Roman" w:hAnsi="Times New Roman" w:cs="Times New Roman"/>
          <w:noProof/>
          <w:sz w:val="24"/>
          <w:szCs w:val="24"/>
        </w:rPr>
        <w:t>1</w:t>
      </w:r>
      <w:r w:rsidRPr="002E298A">
        <w:rPr>
          <w:rFonts w:ascii="Times New Roman" w:hAnsi="Times New Roman" w:cs="Times New Roman"/>
          <w:noProof/>
          <w:sz w:val="24"/>
          <w:szCs w:val="24"/>
        </w:rPr>
        <w:t xml:space="preserve"> Member States, with an approximate capacity to treat 1.</w:t>
      </w:r>
      <w:r>
        <w:rPr>
          <w:rFonts w:ascii="Times New Roman" w:hAnsi="Times New Roman" w:cs="Times New Roman"/>
          <w:noProof/>
          <w:sz w:val="24"/>
          <w:szCs w:val="24"/>
        </w:rPr>
        <w:t>5</w:t>
      </w:r>
      <w:r w:rsidRPr="002E298A">
        <w:rPr>
          <w:rFonts w:ascii="Times New Roman" w:hAnsi="Times New Roman" w:cs="Times New Roman"/>
          <w:noProof/>
          <w:sz w:val="24"/>
          <w:szCs w:val="24"/>
        </w:rPr>
        <w:t xml:space="preserve"> million tonnes of waste oil</w:t>
      </w:r>
      <w:r w:rsidR="00552C7D">
        <w:rPr>
          <w:rFonts w:ascii="Times New Roman" w:hAnsi="Times New Roman" w:cs="Times New Roman"/>
          <w:noProof/>
          <w:sz w:val="24"/>
          <w:szCs w:val="24"/>
        </w:rPr>
        <w:t>s</w:t>
      </w:r>
      <w:r>
        <w:rPr>
          <w:rFonts w:ascii="Times New Roman" w:hAnsi="Times New Roman" w:cs="Times New Roman"/>
          <w:noProof/>
          <w:sz w:val="24"/>
          <w:szCs w:val="24"/>
        </w:rPr>
        <w:t>.</w:t>
      </w:r>
      <w:r w:rsidRPr="002E298A">
        <w:rPr>
          <w:rFonts w:ascii="Times New Roman" w:hAnsi="Times New Roman" w:cs="Times New Roman"/>
          <w:noProof/>
          <w:sz w:val="24"/>
          <w:szCs w:val="24"/>
        </w:rPr>
        <w:t xml:space="preserve"> </w:t>
      </w:r>
      <w:r w:rsidRPr="003703FB">
        <w:rPr>
          <w:rFonts w:ascii="Times New Roman" w:hAnsi="Times New Roman" w:cs="Times New Roman"/>
          <w:noProof/>
          <w:sz w:val="24"/>
          <w:szCs w:val="24"/>
        </w:rPr>
        <w:t xml:space="preserve">In total about 0.95 million tonnes of waste oils were treated in regeneration plants in the EU resulting in approximately 0.68 million tonnes of regenerated base oil. These figures </w:t>
      </w:r>
      <w:r>
        <w:rPr>
          <w:rFonts w:ascii="Times New Roman" w:hAnsi="Times New Roman" w:cs="Times New Roman"/>
          <w:noProof/>
          <w:sz w:val="24"/>
          <w:szCs w:val="24"/>
        </w:rPr>
        <w:t>show</w:t>
      </w:r>
      <w:r w:rsidRPr="003703FB">
        <w:rPr>
          <w:rFonts w:ascii="Times New Roman" w:hAnsi="Times New Roman" w:cs="Times New Roman"/>
          <w:noProof/>
          <w:sz w:val="24"/>
          <w:szCs w:val="24"/>
        </w:rPr>
        <w:t xml:space="preserve"> that regenerated base oils represent approximately 8%</w:t>
      </w:r>
      <w:r w:rsidRPr="00B6136E">
        <w:rPr>
          <w:rFonts w:ascii="Times New Roman" w:hAnsi="Times New Roman" w:cs="Times New Roman"/>
          <w:noProof/>
          <w:sz w:val="24"/>
          <w:szCs w:val="24"/>
          <w:vertAlign w:val="superscript"/>
        </w:rPr>
        <w:footnoteReference w:id="19"/>
      </w:r>
      <w:r w:rsidRPr="00B6136E">
        <w:rPr>
          <w:rFonts w:ascii="Times New Roman" w:hAnsi="Times New Roman" w:cs="Times New Roman"/>
          <w:noProof/>
          <w:sz w:val="24"/>
          <w:szCs w:val="24"/>
        </w:rPr>
        <w:t xml:space="preserve"> </w:t>
      </w:r>
      <w:r w:rsidRPr="003703FB">
        <w:rPr>
          <w:rFonts w:ascii="Times New Roman" w:hAnsi="Times New Roman" w:cs="Times New Roman"/>
          <w:noProof/>
          <w:sz w:val="24"/>
          <w:szCs w:val="24"/>
        </w:rPr>
        <w:t xml:space="preserve">of the yearly amount of base oil </w:t>
      </w:r>
      <w:r w:rsidR="008B4C6C">
        <w:rPr>
          <w:rFonts w:ascii="Times New Roman" w:hAnsi="Times New Roman" w:cs="Times New Roman"/>
          <w:noProof/>
          <w:sz w:val="24"/>
          <w:szCs w:val="24"/>
        </w:rPr>
        <w:t>produced in the</w:t>
      </w:r>
      <w:r w:rsidRPr="003703FB">
        <w:rPr>
          <w:rFonts w:ascii="Times New Roman" w:hAnsi="Times New Roman" w:cs="Times New Roman"/>
          <w:noProof/>
          <w:sz w:val="24"/>
          <w:szCs w:val="24"/>
        </w:rPr>
        <w:t xml:space="preserve"> EU and indicates that even if all waste oil</w:t>
      </w:r>
      <w:r w:rsidR="00552C7D">
        <w:rPr>
          <w:rFonts w:ascii="Times New Roman" w:hAnsi="Times New Roman" w:cs="Times New Roman"/>
          <w:noProof/>
          <w:sz w:val="24"/>
          <w:szCs w:val="24"/>
        </w:rPr>
        <w:t>s</w:t>
      </w:r>
      <w:r w:rsidRPr="003703FB">
        <w:rPr>
          <w:rFonts w:ascii="Times New Roman" w:hAnsi="Times New Roman" w:cs="Times New Roman"/>
          <w:noProof/>
          <w:sz w:val="24"/>
          <w:szCs w:val="24"/>
        </w:rPr>
        <w:t xml:space="preserve"> available to be collected w</w:t>
      </w:r>
      <w:r w:rsidR="00552C7D">
        <w:rPr>
          <w:rFonts w:ascii="Times New Roman" w:hAnsi="Times New Roman" w:cs="Times New Roman"/>
          <w:noProof/>
          <w:sz w:val="24"/>
          <w:szCs w:val="24"/>
        </w:rPr>
        <w:t>ere</w:t>
      </w:r>
      <w:r w:rsidRPr="003703FB">
        <w:rPr>
          <w:rFonts w:ascii="Times New Roman" w:hAnsi="Times New Roman" w:cs="Times New Roman"/>
          <w:noProof/>
          <w:sz w:val="24"/>
          <w:szCs w:val="24"/>
        </w:rPr>
        <w:t xml:space="preserve"> collected and regenerated back into base oil, only a fraction of the demand can be covered by regeneration.  </w:t>
      </w:r>
    </w:p>
    <w:p w14:paraId="0D6809A6" w14:textId="77777777" w:rsidR="002F7BE7" w:rsidRDefault="002F7BE7" w:rsidP="00763BD5">
      <w:pPr>
        <w:jc w:val="both"/>
        <w:rPr>
          <w:rFonts w:ascii="Times New Roman" w:hAnsi="Times New Roman" w:cs="Times New Roman"/>
          <w:noProof/>
          <w:sz w:val="24"/>
          <w:szCs w:val="24"/>
        </w:rPr>
      </w:pPr>
    </w:p>
    <w:p w14:paraId="5B0EEAFB" w14:textId="0ADAA275" w:rsidR="00FA1176" w:rsidRDefault="00FA1176" w:rsidP="00763BD5">
      <w:pPr>
        <w:jc w:val="center"/>
        <w:rPr>
          <w:rFonts w:ascii="Times New Roman" w:hAnsi="Times New Roman" w:cs="Times New Roman"/>
          <w:noProof/>
          <w:sz w:val="24"/>
          <w:szCs w:val="24"/>
        </w:rPr>
      </w:pPr>
      <w:r w:rsidRPr="00723591">
        <w:rPr>
          <w:noProof/>
          <w:lang w:eastAsia="en-GB"/>
        </w:rPr>
        <w:drawing>
          <wp:inline distT="0" distB="0" distL="0" distR="0" wp14:anchorId="3AA62FD0" wp14:editId="2C383761">
            <wp:extent cx="5316385" cy="3562817"/>
            <wp:effectExtent l="0" t="0" r="0" b="0"/>
            <wp:docPr id="25" name="Picture 2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Map&#10;&#10;Description automatically generated"/>
                    <pic:cNvPicPr/>
                  </pic:nvPicPr>
                  <pic:blipFill>
                    <a:blip r:embed="rId15" cstate="screen">
                      <a:extLst>
                        <a:ext uri="{28A0092B-C50C-407E-A947-70E740481C1C}">
                          <a14:useLocalDpi xmlns:a14="http://schemas.microsoft.com/office/drawing/2010/main"/>
                        </a:ext>
                      </a:extLst>
                    </a:blip>
                    <a:stretch>
                      <a:fillRect/>
                    </a:stretch>
                  </pic:blipFill>
                  <pic:spPr>
                    <a:xfrm>
                      <a:off x="0" y="0"/>
                      <a:ext cx="5357418" cy="3590316"/>
                    </a:xfrm>
                    <a:prstGeom prst="rect">
                      <a:avLst/>
                    </a:prstGeom>
                    <a:ln>
                      <a:noFill/>
                    </a:ln>
                  </pic:spPr>
                </pic:pic>
              </a:graphicData>
            </a:graphic>
          </wp:inline>
        </w:drawing>
      </w:r>
    </w:p>
    <w:p w14:paraId="2151309C" w14:textId="3A7D51C7" w:rsidR="00FA1176" w:rsidRPr="005E0036" w:rsidRDefault="00FA1176" w:rsidP="00FA1176">
      <w:pPr>
        <w:spacing w:before="120" w:after="120" w:line="240" w:lineRule="auto"/>
        <w:jc w:val="both"/>
        <w:rPr>
          <w:rFonts w:ascii="Times New Roman" w:eastAsia="Times New Roman" w:hAnsi="Times New Roman" w:cs="Times New Roman"/>
          <w:bCs/>
          <w:noProof/>
          <w:sz w:val="20"/>
          <w:szCs w:val="20"/>
        </w:rPr>
      </w:pPr>
      <w:r w:rsidRPr="00FA1176">
        <w:rPr>
          <w:rFonts w:ascii="Times New Roman" w:hAnsi="Times New Roman" w:cs="Times New Roman"/>
          <w:noProof/>
          <w:sz w:val="20"/>
          <w:szCs w:val="20"/>
        </w:rPr>
        <w:t xml:space="preserve">Figure </w:t>
      </w:r>
      <w:r w:rsidR="009D3105">
        <w:rPr>
          <w:rFonts w:ascii="Times New Roman" w:hAnsi="Times New Roman" w:cs="Times New Roman"/>
          <w:noProof/>
          <w:sz w:val="20"/>
          <w:szCs w:val="20"/>
        </w:rPr>
        <w:t>1</w:t>
      </w:r>
      <w:r w:rsidRPr="00FA1176">
        <w:rPr>
          <w:rFonts w:ascii="Times New Roman" w:hAnsi="Times New Roman" w:cs="Times New Roman"/>
          <w:noProof/>
          <w:sz w:val="20"/>
          <w:szCs w:val="20"/>
        </w:rPr>
        <w:t xml:space="preserve">: Waste oil management in </w:t>
      </w:r>
      <w:r>
        <w:rPr>
          <w:rFonts w:ascii="Times New Roman" w:hAnsi="Times New Roman" w:cs="Times New Roman"/>
          <w:noProof/>
          <w:sz w:val="20"/>
          <w:szCs w:val="20"/>
        </w:rPr>
        <w:t>EU</w:t>
      </w:r>
      <w:r w:rsidR="00E568BB">
        <w:rPr>
          <w:rFonts w:ascii="Times New Roman" w:hAnsi="Times New Roman" w:cs="Times New Roman"/>
          <w:noProof/>
          <w:sz w:val="20"/>
          <w:szCs w:val="20"/>
        </w:rPr>
        <w:t>27</w:t>
      </w:r>
      <w:r>
        <w:rPr>
          <w:rFonts w:ascii="Times New Roman" w:hAnsi="Times New Roman" w:cs="Times New Roman"/>
          <w:noProof/>
          <w:sz w:val="20"/>
          <w:szCs w:val="20"/>
        </w:rPr>
        <w:t xml:space="preserve"> Member States</w:t>
      </w:r>
      <w:r>
        <w:rPr>
          <w:rStyle w:val="FootnoteReference"/>
          <w:rFonts w:ascii="Times New Roman" w:eastAsia="Times New Roman" w:hAnsi="Times New Roman" w:cs="Times New Roman"/>
          <w:bCs/>
          <w:noProof/>
          <w:sz w:val="20"/>
          <w:szCs w:val="20"/>
        </w:rPr>
        <w:footnoteReference w:id="20"/>
      </w:r>
      <w:r w:rsidR="005E1E88">
        <w:rPr>
          <w:rFonts w:ascii="Times New Roman" w:hAnsi="Times New Roman" w:cs="Times New Roman"/>
          <w:noProof/>
          <w:sz w:val="20"/>
          <w:szCs w:val="20"/>
        </w:rPr>
        <w:t>.</w:t>
      </w:r>
    </w:p>
    <w:p w14:paraId="5876EC57" w14:textId="29116BB5" w:rsidR="005130F1" w:rsidRDefault="005130F1" w:rsidP="00497BDC">
      <w:pPr>
        <w:spacing w:after="120"/>
        <w:jc w:val="both"/>
        <w:rPr>
          <w:rFonts w:ascii="Times New Roman" w:hAnsi="Times New Roman" w:cs="Times New Roman"/>
          <w:noProof/>
          <w:sz w:val="24"/>
          <w:szCs w:val="24"/>
        </w:rPr>
      </w:pPr>
      <w:r>
        <w:rPr>
          <w:rFonts w:ascii="Times New Roman" w:hAnsi="Times New Roman" w:cs="Times New Roman"/>
          <w:noProof/>
          <w:sz w:val="24"/>
          <w:szCs w:val="24"/>
        </w:rPr>
        <w:t>Despite uncertainties in the estimation of the amount</w:t>
      </w:r>
      <w:r w:rsidR="00B6136E">
        <w:rPr>
          <w:rFonts w:ascii="Times New Roman" w:hAnsi="Times New Roman" w:cs="Times New Roman"/>
          <w:noProof/>
          <w:sz w:val="24"/>
          <w:szCs w:val="24"/>
        </w:rPr>
        <w:t>s</w:t>
      </w:r>
      <w:r>
        <w:rPr>
          <w:rFonts w:ascii="Times New Roman" w:hAnsi="Times New Roman" w:cs="Times New Roman"/>
          <w:noProof/>
          <w:sz w:val="24"/>
          <w:szCs w:val="24"/>
        </w:rPr>
        <w:t xml:space="preserve"> of oils placed </w:t>
      </w:r>
      <w:r w:rsidR="00B6136E">
        <w:rPr>
          <w:rFonts w:ascii="Times New Roman" w:hAnsi="Times New Roman" w:cs="Times New Roman"/>
          <w:noProof/>
          <w:sz w:val="24"/>
          <w:szCs w:val="24"/>
        </w:rPr>
        <w:t>o</w:t>
      </w:r>
      <w:r>
        <w:rPr>
          <w:rFonts w:ascii="Times New Roman" w:hAnsi="Times New Roman" w:cs="Times New Roman"/>
          <w:noProof/>
          <w:sz w:val="24"/>
          <w:szCs w:val="24"/>
        </w:rPr>
        <w:t xml:space="preserve">n the market that can be collected, evidence </w:t>
      </w:r>
      <w:r w:rsidR="004562CB">
        <w:rPr>
          <w:rFonts w:ascii="Times New Roman" w:hAnsi="Times New Roman" w:cs="Times New Roman"/>
          <w:noProof/>
          <w:sz w:val="24"/>
          <w:szCs w:val="24"/>
        </w:rPr>
        <w:t xml:space="preserve">shows </w:t>
      </w:r>
      <w:r>
        <w:rPr>
          <w:rFonts w:ascii="Times New Roman" w:hAnsi="Times New Roman" w:cs="Times New Roman"/>
          <w:noProof/>
          <w:sz w:val="24"/>
          <w:szCs w:val="24"/>
        </w:rPr>
        <w:t xml:space="preserve">there </w:t>
      </w:r>
      <w:r w:rsidR="00763BD5">
        <w:rPr>
          <w:rFonts w:ascii="Times New Roman" w:hAnsi="Times New Roman" w:cs="Times New Roman"/>
          <w:noProof/>
          <w:sz w:val="24"/>
          <w:szCs w:val="24"/>
        </w:rPr>
        <w:t>is still</w:t>
      </w:r>
      <w:r>
        <w:rPr>
          <w:rFonts w:ascii="Times New Roman" w:hAnsi="Times New Roman" w:cs="Times New Roman"/>
          <w:noProof/>
          <w:sz w:val="24"/>
          <w:szCs w:val="24"/>
        </w:rPr>
        <w:t xml:space="preserve"> room for improvement, not only in the amount and quality of waste oils collected, but also in the amount of collected oil</w:t>
      </w:r>
      <w:r w:rsidR="00552C7D">
        <w:rPr>
          <w:rFonts w:ascii="Times New Roman" w:hAnsi="Times New Roman" w:cs="Times New Roman"/>
          <w:noProof/>
          <w:sz w:val="24"/>
          <w:szCs w:val="24"/>
        </w:rPr>
        <w:t>s</w:t>
      </w:r>
      <w:r>
        <w:rPr>
          <w:rFonts w:ascii="Times New Roman" w:hAnsi="Times New Roman" w:cs="Times New Roman"/>
          <w:noProof/>
          <w:sz w:val="24"/>
          <w:szCs w:val="24"/>
        </w:rPr>
        <w:t xml:space="preserve"> that </w:t>
      </w:r>
      <w:r w:rsidR="00552C7D">
        <w:rPr>
          <w:rFonts w:ascii="Times New Roman" w:hAnsi="Times New Roman" w:cs="Times New Roman"/>
          <w:noProof/>
          <w:sz w:val="24"/>
          <w:szCs w:val="24"/>
        </w:rPr>
        <w:t>are</w:t>
      </w:r>
      <w:r>
        <w:rPr>
          <w:rFonts w:ascii="Times New Roman" w:hAnsi="Times New Roman" w:cs="Times New Roman"/>
          <w:noProof/>
          <w:sz w:val="24"/>
          <w:szCs w:val="24"/>
        </w:rPr>
        <w:t xml:space="preserve"> </w:t>
      </w:r>
      <w:r w:rsidR="00763BD5">
        <w:rPr>
          <w:rFonts w:ascii="Times New Roman" w:hAnsi="Times New Roman" w:cs="Times New Roman"/>
          <w:noProof/>
          <w:sz w:val="24"/>
          <w:szCs w:val="24"/>
        </w:rPr>
        <w:t>re</w:t>
      </w:r>
      <w:r>
        <w:rPr>
          <w:rFonts w:ascii="Times New Roman" w:hAnsi="Times New Roman" w:cs="Times New Roman"/>
          <w:noProof/>
          <w:sz w:val="24"/>
          <w:szCs w:val="24"/>
        </w:rPr>
        <w:t xml:space="preserve">generated. The sections below </w:t>
      </w:r>
      <w:r w:rsidR="00552C7D">
        <w:rPr>
          <w:rFonts w:ascii="Times New Roman" w:hAnsi="Times New Roman" w:cs="Times New Roman"/>
          <w:noProof/>
          <w:sz w:val="24"/>
          <w:szCs w:val="24"/>
        </w:rPr>
        <w:t xml:space="preserve">outline </w:t>
      </w:r>
      <w:r>
        <w:rPr>
          <w:rFonts w:ascii="Times New Roman" w:hAnsi="Times New Roman" w:cs="Times New Roman"/>
          <w:noProof/>
          <w:sz w:val="24"/>
          <w:szCs w:val="24"/>
        </w:rPr>
        <w:t>approaches to bring about an improvement in both aspects, recognising that the starting point and the context associated to waste oil management differs large</w:t>
      </w:r>
      <w:r w:rsidR="00B6136E">
        <w:rPr>
          <w:rFonts w:ascii="Times New Roman" w:hAnsi="Times New Roman" w:cs="Times New Roman"/>
          <w:noProof/>
          <w:sz w:val="24"/>
          <w:szCs w:val="24"/>
        </w:rPr>
        <w:t>ly</w:t>
      </w:r>
      <w:r>
        <w:rPr>
          <w:rFonts w:ascii="Times New Roman" w:hAnsi="Times New Roman" w:cs="Times New Roman"/>
          <w:noProof/>
          <w:sz w:val="24"/>
          <w:szCs w:val="24"/>
        </w:rPr>
        <w:t xml:space="preserve"> from one Member State to another. </w:t>
      </w:r>
    </w:p>
    <w:p w14:paraId="26B38333" w14:textId="0ACAAC89" w:rsidR="000471A5" w:rsidRPr="00196B57" w:rsidRDefault="000471A5" w:rsidP="009666FC">
      <w:pPr>
        <w:pStyle w:val="ListParagraph"/>
        <w:numPr>
          <w:ilvl w:val="0"/>
          <w:numId w:val="1"/>
        </w:numPr>
        <w:rPr>
          <w:rFonts w:ascii="Times New Roman" w:hAnsi="Times New Roman" w:cs="Times New Roman"/>
          <w:b/>
          <w:bCs/>
          <w:noProof/>
          <w:sz w:val="24"/>
          <w:szCs w:val="24"/>
        </w:rPr>
      </w:pPr>
      <w:r w:rsidRPr="00196B57">
        <w:rPr>
          <w:rFonts w:ascii="Times New Roman" w:hAnsi="Times New Roman" w:cs="Times New Roman"/>
          <w:b/>
          <w:bCs/>
          <w:noProof/>
          <w:sz w:val="24"/>
          <w:szCs w:val="24"/>
        </w:rPr>
        <w:t>Collection of waste oils</w:t>
      </w:r>
    </w:p>
    <w:p w14:paraId="2D77D2F7" w14:textId="5F675914" w:rsidR="00C6044F" w:rsidRDefault="4FC5F055" w:rsidP="00C6044F">
      <w:pPr>
        <w:jc w:val="both"/>
        <w:rPr>
          <w:rFonts w:ascii="Times New Roman" w:hAnsi="Times New Roman" w:cs="Times New Roman"/>
          <w:noProof/>
          <w:sz w:val="24"/>
          <w:szCs w:val="24"/>
        </w:rPr>
      </w:pPr>
      <w:r w:rsidRPr="009A4822">
        <w:rPr>
          <w:rFonts w:ascii="Times New Roman" w:hAnsi="Times New Roman" w:cs="Times New Roman"/>
          <w:noProof/>
          <w:sz w:val="24"/>
          <w:szCs w:val="24"/>
        </w:rPr>
        <w:t xml:space="preserve">Collection rates of waste oils vary greatly between Member States. </w:t>
      </w:r>
      <w:r w:rsidR="0ED654D0" w:rsidRPr="009A4822">
        <w:rPr>
          <w:rFonts w:ascii="Times New Roman" w:hAnsi="Times New Roman" w:cs="Times New Roman"/>
          <w:noProof/>
          <w:sz w:val="24"/>
          <w:szCs w:val="24"/>
        </w:rPr>
        <w:t>I</w:t>
      </w:r>
      <w:r w:rsidRPr="009A4822">
        <w:rPr>
          <w:rFonts w:ascii="Times New Roman" w:hAnsi="Times New Roman" w:cs="Times New Roman"/>
          <w:noProof/>
          <w:sz w:val="24"/>
          <w:szCs w:val="24"/>
        </w:rPr>
        <w:t xml:space="preserve">n 2018 </w:t>
      </w:r>
      <w:r w:rsidR="05E10F3C" w:rsidRPr="009A4822">
        <w:rPr>
          <w:rFonts w:ascii="Times New Roman" w:hAnsi="Times New Roman" w:cs="Times New Roman"/>
          <w:noProof/>
          <w:sz w:val="24"/>
          <w:szCs w:val="24"/>
        </w:rPr>
        <w:t xml:space="preserve">they </w:t>
      </w:r>
      <w:r w:rsidRPr="009A4822">
        <w:rPr>
          <w:rFonts w:ascii="Times New Roman" w:hAnsi="Times New Roman" w:cs="Times New Roman"/>
          <w:noProof/>
          <w:sz w:val="24"/>
          <w:szCs w:val="24"/>
        </w:rPr>
        <w:t>ranged between 38 and 100%</w:t>
      </w:r>
      <w:r w:rsidR="00321E38">
        <w:rPr>
          <w:rFonts w:ascii="Times New Roman" w:hAnsi="Times New Roman" w:cs="Times New Roman"/>
          <w:noProof/>
          <w:sz w:val="24"/>
          <w:szCs w:val="24"/>
        </w:rPr>
        <w:t xml:space="preserve"> of the collect</w:t>
      </w:r>
      <w:r w:rsidR="00552C7D">
        <w:rPr>
          <w:rFonts w:ascii="Times New Roman" w:hAnsi="Times New Roman" w:cs="Times New Roman"/>
          <w:noProof/>
          <w:sz w:val="24"/>
          <w:szCs w:val="24"/>
        </w:rPr>
        <w:t>a</w:t>
      </w:r>
      <w:r w:rsidR="00321E38">
        <w:rPr>
          <w:rFonts w:ascii="Times New Roman" w:hAnsi="Times New Roman" w:cs="Times New Roman"/>
          <w:noProof/>
          <w:sz w:val="24"/>
          <w:szCs w:val="24"/>
        </w:rPr>
        <w:t>ble oils</w:t>
      </w:r>
      <w:r w:rsidR="00744DE5">
        <w:rPr>
          <w:rStyle w:val="FootnoteReference"/>
          <w:rFonts w:ascii="Times New Roman" w:hAnsi="Times New Roman" w:cs="Times New Roman"/>
          <w:noProof/>
          <w:sz w:val="24"/>
          <w:szCs w:val="24"/>
        </w:rPr>
        <w:footnoteReference w:id="21"/>
      </w:r>
      <w:r w:rsidRPr="009A4822">
        <w:rPr>
          <w:rFonts w:ascii="Times New Roman" w:hAnsi="Times New Roman" w:cs="Times New Roman"/>
          <w:noProof/>
          <w:sz w:val="24"/>
          <w:szCs w:val="24"/>
        </w:rPr>
        <w:t xml:space="preserve">. </w:t>
      </w:r>
      <w:r w:rsidR="08E51306" w:rsidRPr="00C6044F">
        <w:rPr>
          <w:rFonts w:ascii="Times New Roman" w:hAnsi="Times New Roman" w:cs="Times New Roman"/>
          <w:noProof/>
          <w:sz w:val="24"/>
          <w:szCs w:val="24"/>
        </w:rPr>
        <w:t>The</w:t>
      </w:r>
      <w:r w:rsidR="00F91D6D">
        <w:rPr>
          <w:rFonts w:ascii="Times New Roman" w:hAnsi="Times New Roman" w:cs="Times New Roman"/>
          <w:noProof/>
          <w:sz w:val="24"/>
          <w:szCs w:val="24"/>
        </w:rPr>
        <w:t xml:space="preserve"> limited </w:t>
      </w:r>
      <w:r w:rsidR="08E51306" w:rsidRPr="00C6044F">
        <w:rPr>
          <w:rFonts w:ascii="Times New Roman" w:hAnsi="Times New Roman" w:cs="Times New Roman"/>
          <w:noProof/>
          <w:sz w:val="24"/>
          <w:szCs w:val="24"/>
        </w:rPr>
        <w:t xml:space="preserve">information </w:t>
      </w:r>
      <w:r w:rsidR="08E51306">
        <w:rPr>
          <w:rFonts w:ascii="Times New Roman" w:hAnsi="Times New Roman" w:cs="Times New Roman"/>
          <w:noProof/>
          <w:sz w:val="24"/>
          <w:szCs w:val="24"/>
        </w:rPr>
        <w:t xml:space="preserve">on illegal </w:t>
      </w:r>
      <w:r w:rsidR="08E51306" w:rsidRPr="00C6044F">
        <w:rPr>
          <w:rFonts w:ascii="Times New Roman" w:hAnsi="Times New Roman" w:cs="Times New Roman"/>
          <w:noProof/>
          <w:sz w:val="24"/>
          <w:szCs w:val="24"/>
        </w:rPr>
        <w:t>practices</w:t>
      </w:r>
      <w:r w:rsidR="08E51306">
        <w:rPr>
          <w:rFonts w:ascii="Times New Roman" w:hAnsi="Times New Roman" w:cs="Times New Roman"/>
          <w:noProof/>
          <w:sz w:val="24"/>
          <w:szCs w:val="24"/>
        </w:rPr>
        <w:t xml:space="preserve"> that impact collection rates</w:t>
      </w:r>
      <w:r w:rsidR="08E51306" w:rsidRPr="00C6044F">
        <w:rPr>
          <w:rFonts w:ascii="Times New Roman" w:hAnsi="Times New Roman" w:cs="Times New Roman"/>
          <w:noProof/>
          <w:sz w:val="24"/>
          <w:szCs w:val="24"/>
        </w:rPr>
        <w:t xml:space="preserve"> </w:t>
      </w:r>
      <w:r w:rsidR="08E51306">
        <w:rPr>
          <w:rFonts w:ascii="Times New Roman" w:hAnsi="Times New Roman" w:cs="Times New Roman"/>
          <w:noProof/>
          <w:sz w:val="24"/>
          <w:szCs w:val="24"/>
        </w:rPr>
        <w:t>suggest</w:t>
      </w:r>
      <w:r w:rsidR="00F91D6D">
        <w:rPr>
          <w:rFonts w:ascii="Times New Roman" w:hAnsi="Times New Roman" w:cs="Times New Roman"/>
          <w:noProof/>
          <w:sz w:val="24"/>
          <w:szCs w:val="24"/>
        </w:rPr>
        <w:t>s</w:t>
      </w:r>
      <w:r w:rsidR="08E51306">
        <w:rPr>
          <w:rFonts w:ascii="Times New Roman" w:hAnsi="Times New Roman" w:cs="Times New Roman"/>
          <w:noProof/>
          <w:sz w:val="24"/>
          <w:szCs w:val="24"/>
        </w:rPr>
        <w:t xml:space="preserve"> </w:t>
      </w:r>
      <w:r w:rsidR="08E51306" w:rsidRPr="00C6044F">
        <w:rPr>
          <w:rFonts w:ascii="Times New Roman" w:hAnsi="Times New Roman" w:cs="Times New Roman"/>
          <w:noProof/>
          <w:sz w:val="24"/>
          <w:szCs w:val="24"/>
        </w:rPr>
        <w:t xml:space="preserve">that the main practice </w:t>
      </w:r>
      <w:r w:rsidR="42139F63">
        <w:rPr>
          <w:rFonts w:ascii="Times New Roman" w:hAnsi="Times New Roman" w:cs="Times New Roman"/>
          <w:noProof/>
          <w:sz w:val="24"/>
          <w:szCs w:val="24"/>
        </w:rPr>
        <w:t xml:space="preserve">that </w:t>
      </w:r>
      <w:r w:rsidR="08E51306" w:rsidRPr="00C6044F">
        <w:rPr>
          <w:rFonts w:ascii="Times New Roman" w:hAnsi="Times New Roman" w:cs="Times New Roman"/>
          <w:noProof/>
          <w:sz w:val="24"/>
          <w:szCs w:val="24"/>
        </w:rPr>
        <w:t>negatively affect</w:t>
      </w:r>
      <w:r w:rsidR="42139F63">
        <w:rPr>
          <w:rFonts w:ascii="Times New Roman" w:hAnsi="Times New Roman" w:cs="Times New Roman"/>
          <w:noProof/>
          <w:sz w:val="24"/>
          <w:szCs w:val="24"/>
        </w:rPr>
        <w:t>s</w:t>
      </w:r>
      <w:r w:rsidR="08E51306" w:rsidRPr="00C6044F">
        <w:rPr>
          <w:rFonts w:ascii="Times New Roman" w:hAnsi="Times New Roman" w:cs="Times New Roman"/>
          <w:noProof/>
          <w:sz w:val="24"/>
          <w:szCs w:val="24"/>
        </w:rPr>
        <w:t xml:space="preserve"> the collection of waste oils is their illegal burning</w:t>
      </w:r>
      <w:r w:rsidR="2DC519B3">
        <w:rPr>
          <w:rFonts w:ascii="Times New Roman" w:hAnsi="Times New Roman" w:cs="Times New Roman"/>
          <w:noProof/>
          <w:sz w:val="24"/>
          <w:szCs w:val="24"/>
        </w:rPr>
        <w:t>.</w:t>
      </w:r>
      <w:r w:rsidR="08E51306" w:rsidRPr="00C6044F">
        <w:rPr>
          <w:rFonts w:ascii="Times New Roman" w:hAnsi="Times New Roman" w:cs="Times New Roman"/>
          <w:noProof/>
          <w:sz w:val="24"/>
          <w:szCs w:val="24"/>
        </w:rPr>
        <w:t xml:space="preserve"> </w:t>
      </w:r>
      <w:r w:rsidR="08E51306">
        <w:rPr>
          <w:rFonts w:ascii="Times New Roman" w:hAnsi="Times New Roman" w:cs="Times New Roman"/>
          <w:noProof/>
          <w:sz w:val="24"/>
          <w:szCs w:val="24"/>
        </w:rPr>
        <w:t xml:space="preserve">Direct discharge to </w:t>
      </w:r>
      <w:r w:rsidR="08E51306" w:rsidRPr="00C6044F">
        <w:rPr>
          <w:rFonts w:ascii="Times New Roman" w:hAnsi="Times New Roman" w:cs="Times New Roman"/>
          <w:noProof/>
          <w:sz w:val="24"/>
          <w:szCs w:val="24"/>
        </w:rPr>
        <w:t xml:space="preserve">the environment appears to be rare and </w:t>
      </w:r>
      <w:r w:rsidR="08E51306">
        <w:rPr>
          <w:rFonts w:ascii="Times New Roman" w:hAnsi="Times New Roman" w:cs="Times New Roman"/>
          <w:noProof/>
          <w:sz w:val="24"/>
          <w:szCs w:val="24"/>
        </w:rPr>
        <w:t xml:space="preserve">not sufficiently significant to </w:t>
      </w:r>
      <w:r w:rsidR="08E51306" w:rsidRPr="00C6044F">
        <w:rPr>
          <w:rFonts w:ascii="Times New Roman" w:hAnsi="Times New Roman" w:cs="Times New Roman"/>
          <w:noProof/>
          <w:sz w:val="24"/>
          <w:szCs w:val="24"/>
        </w:rPr>
        <w:t xml:space="preserve">explain </w:t>
      </w:r>
      <w:r w:rsidR="08E51306">
        <w:rPr>
          <w:rFonts w:ascii="Times New Roman" w:hAnsi="Times New Roman" w:cs="Times New Roman"/>
          <w:noProof/>
          <w:sz w:val="24"/>
          <w:szCs w:val="24"/>
        </w:rPr>
        <w:t xml:space="preserve">differences in </w:t>
      </w:r>
      <w:r w:rsidR="08E51306" w:rsidRPr="00C6044F">
        <w:rPr>
          <w:rFonts w:ascii="Times New Roman" w:hAnsi="Times New Roman" w:cs="Times New Roman"/>
          <w:noProof/>
          <w:sz w:val="24"/>
          <w:szCs w:val="24"/>
        </w:rPr>
        <w:t>collection rates.</w:t>
      </w:r>
    </w:p>
    <w:p w14:paraId="2BAA6FBB" w14:textId="59794C36" w:rsidR="00FE0C06" w:rsidRPr="00FE0C06" w:rsidRDefault="00FE0C06" w:rsidP="00C6044F">
      <w:pPr>
        <w:jc w:val="both"/>
        <w:rPr>
          <w:rFonts w:ascii="Times New Roman" w:hAnsi="Times New Roman" w:cs="Times New Roman"/>
          <w:i/>
          <w:iCs/>
          <w:noProof/>
          <w:sz w:val="24"/>
          <w:szCs w:val="24"/>
        </w:rPr>
      </w:pPr>
      <w:r w:rsidRPr="00FE0C06">
        <w:rPr>
          <w:rFonts w:ascii="Times New Roman" w:hAnsi="Times New Roman" w:cs="Times New Roman"/>
          <w:i/>
          <w:iCs/>
          <w:noProof/>
          <w:sz w:val="24"/>
          <w:szCs w:val="24"/>
        </w:rPr>
        <w:t>EPR and collection schemes</w:t>
      </w:r>
    </w:p>
    <w:p w14:paraId="09B67380" w14:textId="5D68C94A" w:rsidR="004562CB" w:rsidRDefault="1AA24DB2" w:rsidP="004562CB">
      <w:pPr>
        <w:jc w:val="both"/>
        <w:rPr>
          <w:rFonts w:ascii="Times New Roman" w:hAnsi="Times New Roman" w:cs="Times New Roman"/>
          <w:noProof/>
          <w:sz w:val="24"/>
          <w:szCs w:val="24"/>
        </w:rPr>
      </w:pPr>
      <w:r w:rsidRPr="00110535">
        <w:rPr>
          <w:rFonts w:ascii="Times New Roman" w:hAnsi="Times New Roman" w:cs="Times New Roman"/>
          <w:noProof/>
          <w:sz w:val="24"/>
          <w:szCs w:val="24"/>
        </w:rPr>
        <w:t>Member States with high collection rate</w:t>
      </w:r>
      <w:r w:rsidR="4D3A5FB7">
        <w:rPr>
          <w:rFonts w:ascii="Times New Roman" w:hAnsi="Times New Roman" w:cs="Times New Roman"/>
          <w:noProof/>
          <w:sz w:val="24"/>
          <w:szCs w:val="24"/>
        </w:rPr>
        <w:t>s</w:t>
      </w:r>
      <w:r w:rsidRPr="00110535">
        <w:rPr>
          <w:rFonts w:ascii="Times New Roman" w:hAnsi="Times New Roman" w:cs="Times New Roman"/>
          <w:noProof/>
          <w:sz w:val="24"/>
          <w:szCs w:val="24"/>
        </w:rPr>
        <w:t xml:space="preserve"> do not </w:t>
      </w:r>
      <w:r>
        <w:rPr>
          <w:rFonts w:ascii="Times New Roman" w:hAnsi="Times New Roman" w:cs="Times New Roman"/>
          <w:noProof/>
          <w:sz w:val="24"/>
          <w:szCs w:val="24"/>
        </w:rPr>
        <w:t xml:space="preserve">necessarily apply a </w:t>
      </w:r>
      <w:r w:rsidR="25195792">
        <w:rPr>
          <w:rFonts w:ascii="Times New Roman" w:hAnsi="Times New Roman" w:cs="Times New Roman"/>
          <w:noProof/>
          <w:sz w:val="24"/>
          <w:szCs w:val="24"/>
        </w:rPr>
        <w:t>common</w:t>
      </w:r>
      <w:r>
        <w:rPr>
          <w:rFonts w:ascii="Times New Roman" w:hAnsi="Times New Roman" w:cs="Times New Roman"/>
          <w:noProof/>
          <w:sz w:val="24"/>
          <w:szCs w:val="24"/>
        </w:rPr>
        <w:t xml:space="preserve"> approach</w:t>
      </w:r>
      <w:r w:rsidR="00295B68">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S</w:t>
      </w:r>
      <w:r w:rsidRPr="00110535">
        <w:rPr>
          <w:rFonts w:ascii="Times New Roman" w:hAnsi="Times New Roman" w:cs="Times New Roman"/>
          <w:noProof/>
          <w:sz w:val="24"/>
          <w:szCs w:val="24"/>
        </w:rPr>
        <w:t>ome have an EPR</w:t>
      </w:r>
      <w:r>
        <w:rPr>
          <w:rFonts w:ascii="Times New Roman" w:hAnsi="Times New Roman" w:cs="Times New Roman"/>
          <w:noProof/>
          <w:sz w:val="24"/>
          <w:szCs w:val="24"/>
        </w:rPr>
        <w:t xml:space="preserve"> system in place</w:t>
      </w:r>
      <w:r w:rsidRPr="00110535">
        <w:rPr>
          <w:rFonts w:ascii="Times New Roman" w:hAnsi="Times New Roman" w:cs="Times New Roman"/>
          <w:noProof/>
          <w:sz w:val="24"/>
          <w:szCs w:val="24"/>
        </w:rPr>
        <w:t xml:space="preserve"> (e.g. Portugal, Italy) while </w:t>
      </w:r>
      <w:r w:rsidR="25195792">
        <w:rPr>
          <w:rFonts w:ascii="Times New Roman" w:hAnsi="Times New Roman" w:cs="Times New Roman"/>
          <w:noProof/>
          <w:sz w:val="24"/>
          <w:szCs w:val="24"/>
        </w:rPr>
        <w:t xml:space="preserve">others </w:t>
      </w:r>
      <w:r w:rsidRPr="00110535">
        <w:rPr>
          <w:rFonts w:ascii="Times New Roman" w:hAnsi="Times New Roman" w:cs="Times New Roman"/>
          <w:noProof/>
          <w:sz w:val="24"/>
          <w:szCs w:val="24"/>
        </w:rPr>
        <w:t>do not (e.g. Germany, Austria). Similarly, for Member States with a low collection rate</w:t>
      </w:r>
      <w:r w:rsidRPr="00B130B3">
        <w:rPr>
          <w:rFonts w:ascii="Times New Roman" w:hAnsi="Times New Roman" w:cs="Times New Roman"/>
          <w:noProof/>
          <w:sz w:val="24"/>
          <w:szCs w:val="24"/>
        </w:rPr>
        <w:t>, a common pattern c</w:t>
      </w:r>
      <w:r w:rsidR="0264B744">
        <w:rPr>
          <w:rFonts w:ascii="Times New Roman" w:hAnsi="Times New Roman" w:cs="Times New Roman"/>
          <w:noProof/>
          <w:sz w:val="24"/>
          <w:szCs w:val="24"/>
        </w:rPr>
        <w:t xml:space="preserve">ould not </w:t>
      </w:r>
      <w:r w:rsidRPr="00B130B3">
        <w:rPr>
          <w:rFonts w:ascii="Times New Roman" w:hAnsi="Times New Roman" w:cs="Times New Roman"/>
          <w:noProof/>
          <w:sz w:val="24"/>
          <w:szCs w:val="24"/>
        </w:rPr>
        <w:t>be found</w:t>
      </w:r>
      <w:r w:rsidR="25195792">
        <w:rPr>
          <w:rFonts w:ascii="Times New Roman" w:hAnsi="Times New Roman" w:cs="Times New Roman"/>
          <w:noProof/>
          <w:sz w:val="24"/>
          <w:szCs w:val="24"/>
        </w:rPr>
        <w:t>. S</w:t>
      </w:r>
      <w:r w:rsidRPr="00B130B3">
        <w:rPr>
          <w:rFonts w:ascii="Times New Roman" w:hAnsi="Times New Roman" w:cs="Times New Roman"/>
          <w:noProof/>
          <w:sz w:val="24"/>
          <w:szCs w:val="24"/>
        </w:rPr>
        <w:t>ome have an EPR (e.g.</w:t>
      </w:r>
      <w:r w:rsidRPr="00110535">
        <w:rPr>
          <w:rFonts w:ascii="Times New Roman" w:hAnsi="Times New Roman" w:cs="Times New Roman"/>
          <w:noProof/>
          <w:sz w:val="24"/>
          <w:szCs w:val="24"/>
        </w:rPr>
        <w:t xml:space="preserve"> Bulgaria) and some do not (e.g. Romania).</w:t>
      </w:r>
      <w:r>
        <w:rPr>
          <w:rFonts w:ascii="Times New Roman" w:hAnsi="Times New Roman" w:cs="Times New Roman"/>
          <w:noProof/>
          <w:sz w:val="24"/>
          <w:szCs w:val="24"/>
        </w:rPr>
        <w:t xml:space="preserve"> </w:t>
      </w:r>
      <w:r w:rsidRPr="00295B68">
        <w:rPr>
          <w:rFonts w:ascii="Times New Roman" w:hAnsi="Times New Roman" w:cs="Times New Roman"/>
          <w:noProof/>
          <w:sz w:val="24"/>
          <w:szCs w:val="24"/>
        </w:rPr>
        <w:t xml:space="preserve">All other things being equal, collection performance appears </w:t>
      </w:r>
      <w:r>
        <w:rPr>
          <w:rFonts w:ascii="Times New Roman" w:hAnsi="Times New Roman" w:cs="Times New Roman"/>
          <w:noProof/>
          <w:sz w:val="24"/>
          <w:szCs w:val="24"/>
        </w:rPr>
        <w:t xml:space="preserve">to be </w:t>
      </w:r>
      <w:r w:rsidRPr="00295B68">
        <w:rPr>
          <w:rFonts w:ascii="Times New Roman" w:hAnsi="Times New Roman" w:cs="Times New Roman"/>
          <w:noProof/>
          <w:sz w:val="24"/>
          <w:szCs w:val="24"/>
        </w:rPr>
        <w:t xml:space="preserve">higher in countries </w:t>
      </w:r>
      <w:r w:rsidR="0264B744">
        <w:rPr>
          <w:rFonts w:ascii="Times New Roman" w:hAnsi="Times New Roman" w:cs="Times New Roman"/>
          <w:noProof/>
          <w:sz w:val="24"/>
          <w:szCs w:val="24"/>
        </w:rPr>
        <w:t xml:space="preserve">that have a </w:t>
      </w:r>
      <w:r w:rsidRPr="00295B68">
        <w:rPr>
          <w:rFonts w:ascii="Times New Roman" w:hAnsi="Times New Roman" w:cs="Times New Roman"/>
          <w:noProof/>
          <w:sz w:val="24"/>
          <w:szCs w:val="24"/>
        </w:rPr>
        <w:t>high population density</w:t>
      </w:r>
      <w:r w:rsidR="0264B744">
        <w:rPr>
          <w:rFonts w:ascii="Times New Roman" w:hAnsi="Times New Roman" w:cs="Times New Roman"/>
          <w:noProof/>
          <w:sz w:val="24"/>
          <w:szCs w:val="24"/>
        </w:rPr>
        <w:t xml:space="preserve">, </w:t>
      </w:r>
      <w:r w:rsidRPr="00295B68">
        <w:rPr>
          <w:rFonts w:ascii="Times New Roman" w:hAnsi="Times New Roman" w:cs="Times New Roman"/>
          <w:noProof/>
          <w:sz w:val="24"/>
          <w:szCs w:val="24"/>
        </w:rPr>
        <w:t>significant industrial activit</w:t>
      </w:r>
      <w:r>
        <w:rPr>
          <w:rFonts w:ascii="Times New Roman" w:hAnsi="Times New Roman" w:cs="Times New Roman"/>
          <w:noProof/>
          <w:sz w:val="24"/>
          <w:szCs w:val="24"/>
        </w:rPr>
        <w:t>y</w:t>
      </w:r>
      <w:r w:rsidRPr="00295B68">
        <w:rPr>
          <w:rFonts w:ascii="Times New Roman" w:hAnsi="Times New Roman" w:cs="Times New Roman"/>
          <w:noProof/>
          <w:sz w:val="24"/>
          <w:szCs w:val="24"/>
        </w:rPr>
        <w:t xml:space="preserve"> and </w:t>
      </w:r>
      <w:r w:rsidR="008B4C6C">
        <w:rPr>
          <w:rFonts w:ascii="Times New Roman" w:hAnsi="Times New Roman" w:cs="Times New Roman"/>
          <w:noProof/>
          <w:sz w:val="24"/>
          <w:szCs w:val="24"/>
        </w:rPr>
        <w:t>close-by</w:t>
      </w:r>
      <w:r w:rsidRPr="00295B68">
        <w:rPr>
          <w:rFonts w:ascii="Times New Roman" w:hAnsi="Times New Roman" w:cs="Times New Roman"/>
          <w:noProof/>
          <w:sz w:val="24"/>
          <w:szCs w:val="24"/>
        </w:rPr>
        <w:t xml:space="preserve"> regeneration or energy recovery capacity. </w:t>
      </w:r>
    </w:p>
    <w:p w14:paraId="17FF13C5" w14:textId="31BF087E" w:rsidR="00A259BC" w:rsidRDefault="00A259BC" w:rsidP="004562CB">
      <w:pPr>
        <w:jc w:val="both"/>
        <w:rPr>
          <w:rFonts w:ascii="Times New Roman" w:hAnsi="Times New Roman" w:cs="Times New Roman"/>
          <w:noProof/>
          <w:sz w:val="24"/>
          <w:szCs w:val="24"/>
        </w:rPr>
      </w:pPr>
      <w:r>
        <w:rPr>
          <w:noProof/>
          <w:lang w:eastAsia="en-GB"/>
        </w:rPr>
        <w:drawing>
          <wp:inline distT="0" distB="0" distL="0" distR="0" wp14:anchorId="08B58F63" wp14:editId="1C761564">
            <wp:extent cx="4953000" cy="3363545"/>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00710" cy="3395945"/>
                    </a:xfrm>
                    <a:prstGeom prst="rect">
                      <a:avLst/>
                    </a:prstGeom>
                    <a:ln>
                      <a:noFill/>
                    </a:ln>
                  </pic:spPr>
                </pic:pic>
              </a:graphicData>
            </a:graphic>
          </wp:inline>
        </w:drawing>
      </w:r>
    </w:p>
    <w:p w14:paraId="181E2AD7" w14:textId="6450A5E8" w:rsidR="00881C35" w:rsidRPr="005E0036" w:rsidRDefault="00881C35" w:rsidP="00881C35">
      <w:pPr>
        <w:spacing w:before="120" w:after="120" w:line="240" w:lineRule="auto"/>
        <w:jc w:val="both"/>
        <w:rPr>
          <w:rFonts w:ascii="Times New Roman" w:eastAsia="Times New Roman" w:hAnsi="Times New Roman" w:cs="Times New Roman"/>
          <w:bCs/>
          <w:noProof/>
          <w:sz w:val="20"/>
          <w:szCs w:val="20"/>
        </w:rPr>
      </w:pPr>
      <w:r w:rsidRPr="005E0036">
        <w:rPr>
          <w:rFonts w:ascii="Times New Roman" w:eastAsia="Times New Roman" w:hAnsi="Times New Roman" w:cs="Times New Roman"/>
          <w:bCs/>
          <w:noProof/>
          <w:sz w:val="20"/>
          <w:szCs w:val="20"/>
        </w:rPr>
        <w:t xml:space="preserve">Figure </w:t>
      </w:r>
      <w:r w:rsidR="009D3105">
        <w:rPr>
          <w:rFonts w:ascii="Times New Roman" w:eastAsia="Times New Roman" w:hAnsi="Times New Roman" w:cs="Times New Roman"/>
          <w:bCs/>
          <w:noProof/>
          <w:sz w:val="20"/>
          <w:szCs w:val="20"/>
        </w:rPr>
        <w:t>2</w:t>
      </w:r>
      <w:r w:rsidRPr="005E0036">
        <w:rPr>
          <w:rFonts w:ascii="Times New Roman" w:eastAsia="Times New Roman" w:hAnsi="Times New Roman" w:cs="Times New Roman"/>
          <w:bCs/>
          <w:noProof/>
          <w:sz w:val="20"/>
          <w:szCs w:val="20"/>
        </w:rPr>
        <w:t>: Waste oil collection rate</w:t>
      </w:r>
      <w:r w:rsidR="009D3105">
        <w:rPr>
          <w:rFonts w:ascii="Times New Roman" w:eastAsia="Times New Roman" w:hAnsi="Times New Roman" w:cs="Times New Roman"/>
          <w:bCs/>
          <w:noProof/>
          <w:sz w:val="20"/>
          <w:szCs w:val="20"/>
        </w:rPr>
        <w:t>s</w:t>
      </w:r>
      <w:r w:rsidRPr="005E0036">
        <w:rPr>
          <w:rFonts w:ascii="Times New Roman" w:eastAsia="Times New Roman" w:hAnsi="Times New Roman" w:cs="Times New Roman"/>
          <w:bCs/>
          <w:noProof/>
          <w:sz w:val="20"/>
          <w:szCs w:val="20"/>
        </w:rPr>
        <w:t xml:space="preserve"> in 2018 (collected/collectable)</w:t>
      </w:r>
      <w:r>
        <w:rPr>
          <w:rStyle w:val="FootnoteReference"/>
          <w:rFonts w:ascii="Times New Roman" w:eastAsia="Times New Roman" w:hAnsi="Times New Roman" w:cs="Times New Roman"/>
          <w:bCs/>
          <w:noProof/>
          <w:sz w:val="20"/>
          <w:szCs w:val="20"/>
        </w:rPr>
        <w:footnoteReference w:id="23"/>
      </w:r>
    </w:p>
    <w:p w14:paraId="2458C7D8" w14:textId="4F21ADE7" w:rsidR="00256099" w:rsidRDefault="2DC519B3" w:rsidP="00C6044F">
      <w:pPr>
        <w:jc w:val="both"/>
        <w:rPr>
          <w:rFonts w:ascii="Times New Roman" w:hAnsi="Times New Roman" w:cs="Times New Roman"/>
          <w:noProof/>
          <w:sz w:val="24"/>
          <w:szCs w:val="24"/>
        </w:rPr>
      </w:pPr>
      <w:r>
        <w:rPr>
          <w:rFonts w:ascii="Times New Roman" w:hAnsi="Times New Roman" w:cs="Times New Roman"/>
          <w:noProof/>
          <w:sz w:val="24"/>
          <w:szCs w:val="24"/>
        </w:rPr>
        <w:t>A</w:t>
      </w:r>
      <w:r w:rsidR="594732E3">
        <w:rPr>
          <w:rFonts w:ascii="Times New Roman" w:hAnsi="Times New Roman" w:cs="Times New Roman"/>
          <w:noProof/>
          <w:sz w:val="24"/>
          <w:szCs w:val="24"/>
        </w:rPr>
        <w:t>ccording to a recent study</w:t>
      </w:r>
      <w:r w:rsidR="00256099">
        <w:rPr>
          <w:rStyle w:val="FootnoteReference"/>
          <w:rFonts w:ascii="Times New Roman" w:hAnsi="Times New Roman" w:cs="Times New Roman"/>
          <w:noProof/>
          <w:sz w:val="24"/>
          <w:szCs w:val="24"/>
        </w:rPr>
        <w:footnoteReference w:id="24"/>
      </w:r>
      <w:r w:rsidR="594732E3">
        <w:rPr>
          <w:rFonts w:ascii="Times New Roman" w:hAnsi="Times New Roman" w:cs="Times New Roman"/>
          <w:noProof/>
          <w:sz w:val="24"/>
          <w:szCs w:val="24"/>
        </w:rPr>
        <w:t>, t</w:t>
      </w:r>
      <w:r w:rsidR="594732E3" w:rsidRPr="00256099">
        <w:rPr>
          <w:rFonts w:ascii="Times New Roman" w:hAnsi="Times New Roman" w:cs="Times New Roman"/>
          <w:noProof/>
          <w:sz w:val="24"/>
          <w:szCs w:val="24"/>
        </w:rPr>
        <w:t xml:space="preserve">here is no clear conclusion as to whether an EPR or other </w:t>
      </w:r>
      <w:r w:rsidR="524021A6" w:rsidRPr="00256099">
        <w:rPr>
          <w:rFonts w:ascii="Times New Roman" w:hAnsi="Times New Roman" w:cs="Times New Roman"/>
          <w:noProof/>
          <w:sz w:val="24"/>
          <w:szCs w:val="24"/>
        </w:rPr>
        <w:t xml:space="preserve">formalised </w:t>
      </w:r>
      <w:r w:rsidR="594732E3" w:rsidRPr="00256099">
        <w:rPr>
          <w:rFonts w:ascii="Times New Roman" w:hAnsi="Times New Roman" w:cs="Times New Roman"/>
          <w:noProof/>
          <w:sz w:val="24"/>
          <w:szCs w:val="24"/>
        </w:rPr>
        <w:t>collection scheme</w:t>
      </w:r>
      <w:r w:rsidR="0264B744">
        <w:rPr>
          <w:rFonts w:ascii="Times New Roman" w:hAnsi="Times New Roman" w:cs="Times New Roman"/>
          <w:noProof/>
          <w:sz w:val="24"/>
          <w:szCs w:val="24"/>
        </w:rPr>
        <w:t>s</w:t>
      </w:r>
      <w:r w:rsidR="594732E3" w:rsidRPr="00256099">
        <w:rPr>
          <w:rFonts w:ascii="Times New Roman" w:hAnsi="Times New Roman" w:cs="Times New Roman"/>
          <w:noProof/>
          <w:sz w:val="24"/>
          <w:szCs w:val="24"/>
        </w:rPr>
        <w:t xml:space="preserve"> (e.g. deposit-refund scheme</w:t>
      </w:r>
      <w:r>
        <w:rPr>
          <w:rFonts w:ascii="Times New Roman" w:hAnsi="Times New Roman" w:cs="Times New Roman"/>
          <w:noProof/>
          <w:sz w:val="24"/>
          <w:szCs w:val="24"/>
        </w:rPr>
        <w:t>s</w:t>
      </w:r>
      <w:r w:rsidR="594732E3" w:rsidRPr="00256099">
        <w:rPr>
          <w:rFonts w:ascii="Times New Roman" w:hAnsi="Times New Roman" w:cs="Times New Roman"/>
          <w:noProof/>
          <w:sz w:val="24"/>
          <w:szCs w:val="24"/>
        </w:rPr>
        <w:t xml:space="preserve">) </w:t>
      </w:r>
      <w:r w:rsidR="594732E3">
        <w:rPr>
          <w:rFonts w:ascii="Times New Roman" w:hAnsi="Times New Roman" w:cs="Times New Roman"/>
          <w:noProof/>
          <w:sz w:val="24"/>
          <w:szCs w:val="24"/>
        </w:rPr>
        <w:t>are</w:t>
      </w:r>
      <w:r w:rsidR="594732E3" w:rsidRPr="00256099">
        <w:rPr>
          <w:rFonts w:ascii="Times New Roman" w:hAnsi="Times New Roman" w:cs="Times New Roman"/>
          <w:noProof/>
          <w:sz w:val="24"/>
          <w:szCs w:val="24"/>
        </w:rPr>
        <w:t xml:space="preserve"> necessary to ensure high collection rates.</w:t>
      </w:r>
      <w:r w:rsidR="594732E3">
        <w:rPr>
          <w:rFonts w:ascii="Times New Roman" w:hAnsi="Times New Roman" w:cs="Times New Roman"/>
          <w:noProof/>
          <w:sz w:val="24"/>
          <w:szCs w:val="24"/>
        </w:rPr>
        <w:t xml:space="preserve"> It seems clear however that two main factors drive waste oil collection performance: </w:t>
      </w:r>
    </w:p>
    <w:p w14:paraId="2FA89C4F" w14:textId="443AEF4D" w:rsidR="00256099" w:rsidRPr="00256099" w:rsidRDefault="00256099" w:rsidP="00256099">
      <w:pPr>
        <w:pStyle w:val="ListParagraph"/>
        <w:numPr>
          <w:ilvl w:val="0"/>
          <w:numId w:val="2"/>
        </w:numPr>
        <w:spacing w:after="120"/>
        <w:ind w:left="714" w:hanging="357"/>
        <w:contextualSpacing w:val="0"/>
        <w:jc w:val="both"/>
        <w:rPr>
          <w:rFonts w:ascii="Times New Roman" w:hAnsi="Times New Roman" w:cs="Times New Roman"/>
          <w:noProof/>
          <w:sz w:val="24"/>
          <w:szCs w:val="24"/>
        </w:rPr>
      </w:pPr>
      <w:r w:rsidRPr="00256099">
        <w:rPr>
          <w:rFonts w:ascii="Times New Roman" w:hAnsi="Times New Roman" w:cs="Times New Roman"/>
          <w:noProof/>
          <w:sz w:val="24"/>
          <w:szCs w:val="24"/>
          <w:u w:val="single"/>
        </w:rPr>
        <w:t>cost/benefit for waste holders</w:t>
      </w:r>
      <w:r w:rsidR="00552C7D">
        <w:rPr>
          <w:rFonts w:ascii="Times New Roman" w:hAnsi="Times New Roman" w:cs="Times New Roman"/>
          <w:noProof/>
          <w:sz w:val="24"/>
          <w:szCs w:val="24"/>
          <w:u w:val="single"/>
        </w:rPr>
        <w:t>:</w:t>
      </w:r>
      <w:r w:rsidRPr="00256099">
        <w:rPr>
          <w:rFonts w:ascii="Times New Roman" w:hAnsi="Times New Roman" w:cs="Times New Roman"/>
          <w:noProof/>
          <w:sz w:val="24"/>
          <w:szCs w:val="24"/>
        </w:rPr>
        <w:t xml:space="preserve"> </w:t>
      </w:r>
      <w:r w:rsidR="00552C7D">
        <w:rPr>
          <w:rFonts w:ascii="Times New Roman" w:hAnsi="Times New Roman" w:cs="Times New Roman"/>
          <w:noProof/>
          <w:sz w:val="24"/>
          <w:szCs w:val="24"/>
        </w:rPr>
        <w:t>i</w:t>
      </w:r>
      <w:r w:rsidRPr="00256099">
        <w:rPr>
          <w:rFonts w:ascii="Times New Roman" w:hAnsi="Times New Roman" w:cs="Times New Roman"/>
          <w:noProof/>
          <w:sz w:val="24"/>
          <w:szCs w:val="24"/>
        </w:rPr>
        <w:t xml:space="preserve">f the waste holder </w:t>
      </w:r>
      <w:r>
        <w:rPr>
          <w:rFonts w:ascii="Times New Roman" w:hAnsi="Times New Roman" w:cs="Times New Roman"/>
          <w:noProof/>
          <w:sz w:val="24"/>
          <w:szCs w:val="24"/>
        </w:rPr>
        <w:t>is</w:t>
      </w:r>
      <w:r w:rsidRPr="00256099">
        <w:rPr>
          <w:rFonts w:ascii="Times New Roman" w:hAnsi="Times New Roman" w:cs="Times New Roman"/>
          <w:noProof/>
          <w:sz w:val="24"/>
          <w:szCs w:val="24"/>
        </w:rPr>
        <w:t xml:space="preserve"> paid for the waste oil</w:t>
      </w:r>
      <w:r>
        <w:rPr>
          <w:rFonts w:ascii="Times New Roman" w:hAnsi="Times New Roman" w:cs="Times New Roman"/>
          <w:noProof/>
          <w:sz w:val="24"/>
          <w:szCs w:val="24"/>
        </w:rPr>
        <w:t xml:space="preserve"> the</w:t>
      </w:r>
      <w:r w:rsidRPr="00256099">
        <w:rPr>
          <w:rFonts w:ascii="Times New Roman" w:hAnsi="Times New Roman" w:cs="Times New Roman"/>
          <w:noProof/>
          <w:sz w:val="24"/>
          <w:szCs w:val="24"/>
        </w:rPr>
        <w:t xml:space="preserve"> collection rates increase</w:t>
      </w:r>
      <w:r w:rsidR="00552C7D">
        <w:rPr>
          <w:rFonts w:ascii="Times New Roman" w:hAnsi="Times New Roman" w:cs="Times New Roman"/>
          <w:noProof/>
          <w:sz w:val="24"/>
          <w:szCs w:val="24"/>
        </w:rPr>
        <w:t>;</w:t>
      </w:r>
      <w:r w:rsidRPr="00256099">
        <w:rPr>
          <w:rFonts w:ascii="Times New Roman" w:hAnsi="Times New Roman" w:cs="Times New Roman"/>
          <w:noProof/>
          <w:sz w:val="24"/>
          <w:szCs w:val="24"/>
        </w:rPr>
        <w:t xml:space="preserve"> </w:t>
      </w:r>
    </w:p>
    <w:p w14:paraId="72815DBC" w14:textId="1ACA3D10" w:rsidR="00256099" w:rsidRPr="00256099" w:rsidRDefault="00256099" w:rsidP="00256099">
      <w:pPr>
        <w:pStyle w:val="ListParagraph"/>
        <w:numPr>
          <w:ilvl w:val="0"/>
          <w:numId w:val="2"/>
        </w:numPr>
        <w:spacing w:after="120"/>
        <w:ind w:left="714" w:hanging="357"/>
        <w:contextualSpacing w:val="0"/>
        <w:jc w:val="both"/>
        <w:rPr>
          <w:rFonts w:ascii="Times New Roman" w:hAnsi="Times New Roman" w:cs="Times New Roman"/>
          <w:noProof/>
          <w:sz w:val="24"/>
          <w:szCs w:val="24"/>
        </w:rPr>
      </w:pPr>
      <w:r w:rsidRPr="00256099">
        <w:rPr>
          <w:rFonts w:ascii="Times New Roman" w:hAnsi="Times New Roman" w:cs="Times New Roman"/>
          <w:noProof/>
          <w:sz w:val="24"/>
          <w:szCs w:val="24"/>
          <w:u w:val="single"/>
        </w:rPr>
        <w:t>willingness of waste holders to manage their waste legally</w:t>
      </w:r>
      <w:r w:rsidR="00552C7D">
        <w:rPr>
          <w:rFonts w:ascii="Times New Roman" w:hAnsi="Times New Roman" w:cs="Times New Roman"/>
          <w:noProof/>
          <w:sz w:val="24"/>
          <w:szCs w:val="24"/>
          <w:u w:val="single"/>
        </w:rPr>
        <w:t>:</w:t>
      </w:r>
      <w:r w:rsidRPr="00256099">
        <w:rPr>
          <w:rFonts w:ascii="Times New Roman" w:hAnsi="Times New Roman" w:cs="Times New Roman"/>
          <w:noProof/>
          <w:sz w:val="24"/>
          <w:szCs w:val="24"/>
        </w:rPr>
        <w:t xml:space="preserve"> </w:t>
      </w:r>
      <w:r w:rsidR="00552C7D">
        <w:rPr>
          <w:rFonts w:ascii="Times New Roman" w:hAnsi="Times New Roman" w:cs="Times New Roman"/>
          <w:noProof/>
          <w:sz w:val="24"/>
          <w:szCs w:val="24"/>
        </w:rPr>
        <w:t>t</w:t>
      </w:r>
      <w:r w:rsidR="005C6423">
        <w:rPr>
          <w:rFonts w:ascii="Times New Roman" w:hAnsi="Times New Roman" w:cs="Times New Roman"/>
          <w:noProof/>
          <w:sz w:val="24"/>
          <w:szCs w:val="24"/>
        </w:rPr>
        <w:t>his</w:t>
      </w:r>
      <w:r w:rsidR="003F2D0A">
        <w:rPr>
          <w:rFonts w:ascii="Times New Roman" w:hAnsi="Times New Roman" w:cs="Times New Roman"/>
          <w:noProof/>
          <w:sz w:val="24"/>
          <w:szCs w:val="24"/>
        </w:rPr>
        <w:t xml:space="preserve"> is highly dependent </w:t>
      </w:r>
      <w:r w:rsidRPr="00256099">
        <w:rPr>
          <w:rFonts w:ascii="Times New Roman" w:hAnsi="Times New Roman" w:cs="Times New Roman"/>
          <w:noProof/>
          <w:sz w:val="24"/>
          <w:szCs w:val="24"/>
        </w:rPr>
        <w:t xml:space="preserve">on </w:t>
      </w:r>
      <w:r w:rsidR="003F2D0A">
        <w:rPr>
          <w:rFonts w:ascii="Times New Roman" w:hAnsi="Times New Roman" w:cs="Times New Roman"/>
          <w:noProof/>
          <w:sz w:val="24"/>
          <w:szCs w:val="24"/>
        </w:rPr>
        <w:t xml:space="preserve">the </w:t>
      </w:r>
      <w:r w:rsidRPr="00256099">
        <w:rPr>
          <w:rFonts w:ascii="Times New Roman" w:hAnsi="Times New Roman" w:cs="Times New Roman"/>
          <w:noProof/>
          <w:sz w:val="24"/>
          <w:szCs w:val="24"/>
        </w:rPr>
        <w:t xml:space="preserve">awareness </w:t>
      </w:r>
      <w:r w:rsidR="003F2D0A">
        <w:rPr>
          <w:rFonts w:ascii="Times New Roman" w:hAnsi="Times New Roman" w:cs="Times New Roman"/>
          <w:noProof/>
          <w:sz w:val="24"/>
          <w:szCs w:val="24"/>
        </w:rPr>
        <w:t>of holders and on</w:t>
      </w:r>
      <w:r w:rsidRPr="00256099">
        <w:rPr>
          <w:rFonts w:ascii="Times New Roman" w:hAnsi="Times New Roman" w:cs="Times New Roman"/>
          <w:noProof/>
          <w:sz w:val="24"/>
          <w:szCs w:val="24"/>
        </w:rPr>
        <w:t xml:space="preserve"> enforcement by Member States.</w:t>
      </w:r>
    </w:p>
    <w:p w14:paraId="26F6C69C" w14:textId="12C6BCCD" w:rsidR="00256099" w:rsidRDefault="594732E3" w:rsidP="00256099">
      <w:pPr>
        <w:jc w:val="both"/>
        <w:rPr>
          <w:rFonts w:ascii="Times New Roman" w:hAnsi="Times New Roman" w:cs="Times New Roman"/>
          <w:noProof/>
          <w:sz w:val="24"/>
          <w:szCs w:val="24"/>
        </w:rPr>
      </w:pPr>
      <w:r w:rsidRPr="5747FA50">
        <w:rPr>
          <w:rFonts w:ascii="Times New Roman" w:hAnsi="Times New Roman" w:cs="Times New Roman"/>
          <w:noProof/>
          <w:sz w:val="24"/>
          <w:szCs w:val="24"/>
        </w:rPr>
        <w:t>Therefore, collection rates are high where collection is profitable, that is, where waste holders receive money for their waste</w:t>
      </w:r>
      <w:r w:rsidR="42139F63" w:rsidRPr="5747FA50">
        <w:rPr>
          <w:rFonts w:ascii="Times New Roman" w:hAnsi="Times New Roman" w:cs="Times New Roman"/>
          <w:noProof/>
          <w:sz w:val="24"/>
          <w:szCs w:val="24"/>
        </w:rPr>
        <w:t xml:space="preserve">, </w:t>
      </w:r>
      <w:r w:rsidRPr="5747FA50">
        <w:rPr>
          <w:rFonts w:ascii="Times New Roman" w:hAnsi="Times New Roman" w:cs="Times New Roman"/>
          <w:noProof/>
          <w:sz w:val="24"/>
          <w:szCs w:val="24"/>
        </w:rPr>
        <w:t xml:space="preserve">collection is for free or </w:t>
      </w:r>
      <w:r w:rsidR="42139F63" w:rsidRPr="5747FA50">
        <w:rPr>
          <w:rFonts w:ascii="Times New Roman" w:hAnsi="Times New Roman" w:cs="Times New Roman"/>
          <w:noProof/>
          <w:sz w:val="24"/>
          <w:szCs w:val="24"/>
        </w:rPr>
        <w:t xml:space="preserve">they </w:t>
      </w:r>
      <w:r w:rsidR="773E8AAD" w:rsidRPr="5747FA50">
        <w:rPr>
          <w:rFonts w:ascii="Times New Roman" w:hAnsi="Times New Roman" w:cs="Times New Roman"/>
          <w:noProof/>
          <w:sz w:val="24"/>
          <w:szCs w:val="24"/>
        </w:rPr>
        <w:t xml:space="preserve">are otherwise </w:t>
      </w:r>
      <w:r w:rsidRPr="5747FA50">
        <w:rPr>
          <w:rFonts w:ascii="Times New Roman" w:hAnsi="Times New Roman" w:cs="Times New Roman"/>
          <w:noProof/>
          <w:sz w:val="24"/>
          <w:szCs w:val="24"/>
        </w:rPr>
        <w:t>willing to pay the market price for manag</w:t>
      </w:r>
      <w:r w:rsidR="0264B744" w:rsidRPr="5747FA50">
        <w:rPr>
          <w:rFonts w:ascii="Times New Roman" w:hAnsi="Times New Roman" w:cs="Times New Roman"/>
          <w:noProof/>
          <w:sz w:val="24"/>
          <w:szCs w:val="24"/>
        </w:rPr>
        <w:t>ing their waste</w:t>
      </w:r>
      <w:r w:rsidRPr="5747FA50">
        <w:rPr>
          <w:rFonts w:ascii="Times New Roman" w:hAnsi="Times New Roman" w:cs="Times New Roman"/>
          <w:noProof/>
          <w:sz w:val="24"/>
          <w:szCs w:val="24"/>
        </w:rPr>
        <w:t xml:space="preserve">. </w:t>
      </w:r>
      <w:r w:rsidR="00B2567D">
        <w:rPr>
          <w:rFonts w:ascii="Times New Roman" w:hAnsi="Times New Roman" w:cs="Times New Roman"/>
          <w:noProof/>
          <w:sz w:val="24"/>
          <w:szCs w:val="24"/>
        </w:rPr>
        <w:t>Geographical a</w:t>
      </w:r>
      <w:r w:rsidRPr="5747FA50">
        <w:rPr>
          <w:rFonts w:ascii="Times New Roman" w:hAnsi="Times New Roman" w:cs="Times New Roman"/>
          <w:noProof/>
          <w:sz w:val="24"/>
          <w:szCs w:val="24"/>
        </w:rPr>
        <w:t>reas where the cost exceeds the willingness to pay may not be serviced and this can result in illegal management.</w:t>
      </w:r>
      <w:r w:rsidR="773E8AAD" w:rsidRPr="5747FA50">
        <w:rPr>
          <w:rFonts w:ascii="Times New Roman" w:hAnsi="Times New Roman" w:cs="Times New Roman"/>
          <w:noProof/>
          <w:sz w:val="24"/>
          <w:szCs w:val="24"/>
        </w:rPr>
        <w:t xml:space="preserve"> Ultimately, the characteristics of the </w:t>
      </w:r>
      <w:r w:rsidR="00B2567D">
        <w:rPr>
          <w:rFonts w:ascii="Times New Roman" w:hAnsi="Times New Roman" w:cs="Times New Roman"/>
          <w:noProof/>
          <w:sz w:val="24"/>
          <w:szCs w:val="24"/>
        </w:rPr>
        <w:t xml:space="preserve">incentive </w:t>
      </w:r>
      <w:r w:rsidR="773E8AAD" w:rsidRPr="5747FA50">
        <w:rPr>
          <w:rFonts w:ascii="Times New Roman" w:hAnsi="Times New Roman" w:cs="Times New Roman"/>
          <w:noProof/>
          <w:sz w:val="24"/>
          <w:szCs w:val="24"/>
        </w:rPr>
        <w:t xml:space="preserve">scheme appear to have more influence on collection rates than whether an EPR </w:t>
      </w:r>
      <w:r w:rsidR="4D3A5FB7" w:rsidRPr="5747FA50">
        <w:rPr>
          <w:rFonts w:ascii="Times New Roman" w:hAnsi="Times New Roman" w:cs="Times New Roman"/>
          <w:noProof/>
          <w:sz w:val="24"/>
          <w:szCs w:val="24"/>
        </w:rPr>
        <w:t>is</w:t>
      </w:r>
      <w:r w:rsidR="773E8AAD" w:rsidRPr="5747FA50">
        <w:rPr>
          <w:rFonts w:ascii="Times New Roman" w:hAnsi="Times New Roman" w:cs="Times New Roman"/>
          <w:noProof/>
          <w:sz w:val="24"/>
          <w:szCs w:val="24"/>
        </w:rPr>
        <w:t xml:space="preserve"> in place or not.</w:t>
      </w:r>
    </w:p>
    <w:p w14:paraId="0F9C0A63" w14:textId="299A745D" w:rsidR="00FE0C06" w:rsidRPr="00FE0C06" w:rsidRDefault="00FE0C06" w:rsidP="00256099">
      <w:pPr>
        <w:jc w:val="both"/>
        <w:rPr>
          <w:rFonts w:ascii="Times New Roman" w:hAnsi="Times New Roman" w:cs="Times New Roman"/>
          <w:i/>
          <w:iCs/>
          <w:noProof/>
          <w:sz w:val="24"/>
          <w:szCs w:val="24"/>
        </w:rPr>
      </w:pPr>
      <w:r w:rsidRPr="00FE0C06">
        <w:rPr>
          <w:rFonts w:ascii="Times New Roman" w:hAnsi="Times New Roman" w:cs="Times New Roman"/>
          <w:i/>
          <w:iCs/>
          <w:noProof/>
          <w:sz w:val="24"/>
          <w:szCs w:val="24"/>
        </w:rPr>
        <w:t>Electric vehicles and impact on waste oil volumes</w:t>
      </w:r>
    </w:p>
    <w:p w14:paraId="59B67D61" w14:textId="7CCF4722" w:rsidR="00470DA8" w:rsidRDefault="701D1DBC" w:rsidP="00E37802">
      <w:pPr>
        <w:spacing w:after="120"/>
        <w:jc w:val="both"/>
        <w:rPr>
          <w:rFonts w:ascii="Times New Roman" w:hAnsi="Times New Roman" w:cs="Times New Roman"/>
          <w:noProof/>
          <w:sz w:val="24"/>
          <w:szCs w:val="24"/>
          <w:lang w:val="en-IE"/>
        </w:rPr>
      </w:pPr>
      <w:r w:rsidRPr="009D03A6">
        <w:rPr>
          <w:rFonts w:ascii="Times New Roman" w:hAnsi="Times New Roman" w:cs="Times New Roman"/>
          <w:noProof/>
          <w:sz w:val="24"/>
          <w:szCs w:val="24"/>
          <w:lang w:val="en-IE"/>
        </w:rPr>
        <w:t>The study</w:t>
      </w:r>
      <w:r w:rsidR="00470DA8" w:rsidRPr="00470DA8">
        <w:rPr>
          <w:rFonts w:ascii="Times New Roman" w:hAnsi="Times New Roman" w:cs="Times New Roman"/>
          <w:noProof/>
          <w:sz w:val="24"/>
          <w:szCs w:val="24"/>
          <w:vertAlign w:val="superscript"/>
          <w:lang w:val="en-IE"/>
        </w:rPr>
        <w:footnoteReference w:id="25"/>
      </w:r>
      <w:r w:rsidRPr="009D03A6">
        <w:rPr>
          <w:rFonts w:ascii="Times New Roman" w:hAnsi="Times New Roman" w:cs="Times New Roman"/>
          <w:noProof/>
          <w:sz w:val="24"/>
          <w:szCs w:val="24"/>
          <w:lang w:val="en-IE"/>
        </w:rPr>
        <w:t xml:space="preserve"> also</w:t>
      </w:r>
      <w:r w:rsidR="4689B9AA" w:rsidRPr="00470DA8">
        <w:rPr>
          <w:rFonts w:ascii="Times New Roman" w:hAnsi="Times New Roman" w:cs="Times New Roman"/>
          <w:noProof/>
          <w:sz w:val="24"/>
          <w:szCs w:val="24"/>
          <w:lang w:val="en-IE"/>
        </w:rPr>
        <w:t xml:space="preserve"> </w:t>
      </w:r>
      <w:r w:rsidRPr="009D03A6">
        <w:rPr>
          <w:rFonts w:ascii="Times New Roman" w:hAnsi="Times New Roman" w:cs="Times New Roman"/>
          <w:noProof/>
          <w:sz w:val="24"/>
          <w:szCs w:val="24"/>
          <w:lang w:val="en-IE"/>
        </w:rPr>
        <w:t>provided projections for the generation of waste oils in EU-27</w:t>
      </w:r>
      <w:r w:rsidR="4689B9AA" w:rsidRPr="00470DA8">
        <w:rPr>
          <w:rFonts w:ascii="Times New Roman" w:hAnsi="Times New Roman" w:cs="Times New Roman"/>
          <w:noProof/>
          <w:sz w:val="24"/>
          <w:szCs w:val="24"/>
          <w:lang w:val="en-IE"/>
        </w:rPr>
        <w:t xml:space="preserve"> up to</w:t>
      </w:r>
      <w:r w:rsidRPr="009D03A6">
        <w:rPr>
          <w:rFonts w:ascii="Times New Roman" w:hAnsi="Times New Roman" w:cs="Times New Roman"/>
          <w:noProof/>
          <w:sz w:val="24"/>
          <w:szCs w:val="24"/>
          <w:lang w:val="en-IE"/>
        </w:rPr>
        <w:t xml:space="preserve"> the year </w:t>
      </w:r>
      <w:r w:rsidR="4689B9AA" w:rsidRPr="00470DA8">
        <w:rPr>
          <w:rFonts w:ascii="Times New Roman" w:hAnsi="Times New Roman" w:cs="Times New Roman"/>
          <w:noProof/>
          <w:sz w:val="24"/>
          <w:szCs w:val="24"/>
          <w:lang w:val="en-IE"/>
        </w:rPr>
        <w:t xml:space="preserve">2050 </w:t>
      </w:r>
      <w:r w:rsidRPr="009D03A6">
        <w:rPr>
          <w:rFonts w:ascii="Times New Roman" w:hAnsi="Times New Roman" w:cs="Times New Roman"/>
          <w:noProof/>
          <w:sz w:val="24"/>
          <w:szCs w:val="24"/>
          <w:lang w:val="en-IE"/>
        </w:rPr>
        <w:t xml:space="preserve">based on </w:t>
      </w:r>
      <w:r w:rsidR="4689B9AA" w:rsidRPr="00470DA8">
        <w:rPr>
          <w:rFonts w:ascii="Times New Roman" w:hAnsi="Times New Roman" w:cs="Times New Roman"/>
          <w:noProof/>
          <w:sz w:val="24"/>
          <w:szCs w:val="24"/>
          <w:lang w:val="en-IE"/>
        </w:rPr>
        <w:t>two modelling approaches</w:t>
      </w:r>
      <w:r w:rsidRPr="009D03A6">
        <w:rPr>
          <w:rFonts w:ascii="Times New Roman" w:hAnsi="Times New Roman" w:cs="Times New Roman"/>
          <w:noProof/>
          <w:sz w:val="24"/>
          <w:szCs w:val="24"/>
          <w:lang w:val="en-IE"/>
        </w:rPr>
        <w:t xml:space="preserve">, one </w:t>
      </w:r>
      <w:r w:rsidR="4689B9AA" w:rsidRPr="00470DA8">
        <w:rPr>
          <w:rFonts w:ascii="Times New Roman" w:hAnsi="Times New Roman" w:cs="Times New Roman"/>
          <w:noProof/>
          <w:sz w:val="24"/>
          <w:szCs w:val="24"/>
          <w:lang w:val="en-IE"/>
        </w:rPr>
        <w:t>based on lubricant demand forecasts by McKinsey &amp; Company</w:t>
      </w:r>
      <w:r w:rsidR="00470DA8" w:rsidRPr="00470DA8">
        <w:rPr>
          <w:rFonts w:ascii="Times New Roman" w:hAnsi="Times New Roman" w:cs="Times New Roman"/>
          <w:noProof/>
          <w:sz w:val="24"/>
          <w:szCs w:val="24"/>
          <w:vertAlign w:val="superscript"/>
          <w:lang w:val="en-IE"/>
        </w:rPr>
        <w:footnoteReference w:id="26"/>
      </w:r>
      <w:r w:rsidRPr="009D03A6">
        <w:rPr>
          <w:rFonts w:ascii="Times New Roman" w:hAnsi="Times New Roman" w:cs="Times New Roman"/>
          <w:noProof/>
          <w:sz w:val="24"/>
          <w:szCs w:val="24"/>
          <w:lang w:val="en-IE"/>
        </w:rPr>
        <w:t xml:space="preserve"> </w:t>
      </w:r>
      <w:r w:rsidR="4689B9AA" w:rsidRPr="00470DA8">
        <w:rPr>
          <w:rFonts w:ascii="Times New Roman" w:hAnsi="Times New Roman" w:cs="Times New Roman"/>
          <w:noProof/>
          <w:sz w:val="24"/>
          <w:szCs w:val="24"/>
          <w:lang w:val="en-IE"/>
        </w:rPr>
        <w:t xml:space="preserve">and </w:t>
      </w:r>
      <w:r w:rsidRPr="009D03A6">
        <w:rPr>
          <w:rFonts w:ascii="Times New Roman" w:hAnsi="Times New Roman" w:cs="Times New Roman"/>
          <w:noProof/>
          <w:sz w:val="24"/>
          <w:szCs w:val="24"/>
          <w:lang w:val="en-IE"/>
        </w:rPr>
        <w:t xml:space="preserve">a second </w:t>
      </w:r>
      <w:r w:rsidR="4689B9AA" w:rsidRPr="00470DA8">
        <w:rPr>
          <w:rFonts w:ascii="Times New Roman" w:hAnsi="Times New Roman" w:cs="Times New Roman"/>
          <w:noProof/>
          <w:sz w:val="24"/>
          <w:szCs w:val="24"/>
          <w:lang w:val="en-IE"/>
        </w:rPr>
        <w:t>based on the same demand growth and considering the EU regulatory targets to decrease GHG emissions from vehicles</w:t>
      </w:r>
      <w:r w:rsidR="009D03A6" w:rsidRPr="009D03A6">
        <w:rPr>
          <w:rStyle w:val="FootnoteReference"/>
          <w:rFonts w:ascii="Times New Roman" w:hAnsi="Times New Roman" w:cs="Times New Roman"/>
          <w:noProof/>
          <w:sz w:val="24"/>
          <w:szCs w:val="24"/>
          <w:lang w:val="en-IE"/>
        </w:rPr>
        <w:footnoteReference w:id="27"/>
      </w:r>
      <w:r w:rsidR="6EEB8087">
        <w:rPr>
          <w:rFonts w:ascii="Times New Roman" w:hAnsi="Times New Roman" w:cs="Times New Roman"/>
          <w:noProof/>
          <w:sz w:val="24"/>
          <w:szCs w:val="24"/>
          <w:lang w:val="en-IE"/>
        </w:rPr>
        <w:t xml:space="preserve"> </w:t>
      </w:r>
      <w:r w:rsidR="2DC519B3">
        <w:rPr>
          <w:rFonts w:ascii="Times New Roman" w:hAnsi="Times New Roman" w:cs="Times New Roman"/>
          <w:noProof/>
          <w:sz w:val="24"/>
          <w:szCs w:val="24"/>
          <w:lang w:val="en-IE"/>
        </w:rPr>
        <w:t>and</w:t>
      </w:r>
      <w:r w:rsidRPr="009D03A6">
        <w:rPr>
          <w:rFonts w:ascii="Times New Roman" w:hAnsi="Times New Roman" w:cs="Times New Roman"/>
          <w:noProof/>
          <w:sz w:val="24"/>
          <w:szCs w:val="24"/>
          <w:lang w:val="en-IE"/>
        </w:rPr>
        <w:t xml:space="preserve"> </w:t>
      </w:r>
      <w:r w:rsidR="00781762">
        <w:rPr>
          <w:rFonts w:ascii="Times New Roman" w:hAnsi="Times New Roman" w:cs="Times New Roman"/>
          <w:noProof/>
          <w:sz w:val="24"/>
          <w:szCs w:val="24"/>
          <w:lang w:val="en-IE"/>
        </w:rPr>
        <w:t>information</w:t>
      </w:r>
      <w:r w:rsidRPr="009D03A6">
        <w:rPr>
          <w:rFonts w:ascii="Times New Roman" w:hAnsi="Times New Roman" w:cs="Times New Roman"/>
          <w:noProof/>
          <w:sz w:val="24"/>
          <w:szCs w:val="24"/>
          <w:lang w:val="en-IE"/>
        </w:rPr>
        <w:t xml:space="preserve"> on lubricant</w:t>
      </w:r>
      <w:r w:rsidR="2DC519B3">
        <w:rPr>
          <w:rFonts w:ascii="Times New Roman" w:hAnsi="Times New Roman" w:cs="Times New Roman"/>
          <w:noProof/>
          <w:sz w:val="24"/>
          <w:szCs w:val="24"/>
          <w:lang w:val="en-IE"/>
        </w:rPr>
        <w:t xml:space="preserve"> use in</w:t>
      </w:r>
      <w:r w:rsidRPr="009D03A6">
        <w:rPr>
          <w:rFonts w:ascii="Times New Roman" w:hAnsi="Times New Roman" w:cs="Times New Roman"/>
          <w:noProof/>
          <w:sz w:val="24"/>
          <w:szCs w:val="24"/>
          <w:lang w:val="en-IE"/>
        </w:rPr>
        <w:t xml:space="preserve"> electric vehicles</w:t>
      </w:r>
      <w:r w:rsidR="00470DA8" w:rsidRPr="00470DA8">
        <w:rPr>
          <w:rFonts w:ascii="Times New Roman" w:hAnsi="Times New Roman" w:cs="Times New Roman"/>
          <w:noProof/>
          <w:sz w:val="24"/>
          <w:szCs w:val="24"/>
          <w:vertAlign w:val="superscript"/>
          <w:lang w:val="en-IE"/>
        </w:rPr>
        <w:footnoteReference w:id="28"/>
      </w:r>
      <w:r w:rsidR="4689B9AA" w:rsidRPr="00470DA8">
        <w:rPr>
          <w:rFonts w:ascii="Times New Roman" w:hAnsi="Times New Roman" w:cs="Times New Roman"/>
          <w:noProof/>
          <w:sz w:val="24"/>
          <w:szCs w:val="24"/>
          <w:lang w:val="en-IE"/>
        </w:rPr>
        <w:t>. These assume that the demand for lubricant in the EU electric and fuel cell fleet will be 10% of that from a conventional fleet</w:t>
      </w:r>
      <w:r w:rsidR="432695AF" w:rsidRPr="00470DA8">
        <w:rPr>
          <w:rFonts w:ascii="Times New Roman" w:hAnsi="Times New Roman" w:cs="Times New Roman"/>
          <w:noProof/>
          <w:sz w:val="24"/>
          <w:szCs w:val="24"/>
          <w:lang w:val="en-IE"/>
        </w:rPr>
        <w:t>,</w:t>
      </w:r>
      <w:r w:rsidR="4689B9AA" w:rsidRPr="00470DA8">
        <w:rPr>
          <w:rFonts w:ascii="Times New Roman" w:hAnsi="Times New Roman" w:cs="Times New Roman"/>
          <w:noProof/>
          <w:sz w:val="24"/>
          <w:szCs w:val="24"/>
          <w:lang w:val="en-IE"/>
        </w:rPr>
        <w:t xml:space="preserve"> </w:t>
      </w:r>
      <w:r w:rsidR="00781762">
        <w:rPr>
          <w:rFonts w:ascii="Times New Roman" w:hAnsi="Times New Roman" w:cs="Times New Roman"/>
          <w:noProof/>
          <w:sz w:val="24"/>
          <w:szCs w:val="24"/>
          <w:lang w:val="en-IE"/>
        </w:rPr>
        <w:t xml:space="preserve">predicting a decrease in use of </w:t>
      </w:r>
      <w:r w:rsidR="4689B9AA" w:rsidRPr="00470DA8">
        <w:rPr>
          <w:rFonts w:ascii="Times New Roman" w:hAnsi="Times New Roman" w:cs="Times New Roman"/>
          <w:noProof/>
          <w:sz w:val="24"/>
          <w:szCs w:val="24"/>
          <w:lang w:val="en-IE"/>
        </w:rPr>
        <w:t xml:space="preserve">engine oils in the EU. </w:t>
      </w:r>
      <w:r w:rsidR="00781762">
        <w:rPr>
          <w:rFonts w:ascii="Times New Roman" w:hAnsi="Times New Roman" w:cs="Times New Roman"/>
          <w:noProof/>
          <w:sz w:val="24"/>
          <w:szCs w:val="24"/>
          <w:lang w:val="en-IE"/>
        </w:rPr>
        <w:t>I</w:t>
      </w:r>
      <w:r w:rsidR="4689B9AA" w:rsidRPr="00470DA8">
        <w:rPr>
          <w:rFonts w:ascii="Times New Roman" w:hAnsi="Times New Roman" w:cs="Times New Roman"/>
          <w:noProof/>
          <w:sz w:val="24"/>
          <w:szCs w:val="24"/>
          <w:lang w:val="en-IE"/>
        </w:rPr>
        <w:t>t is assumed that the waste oil generation from the automotive sector</w:t>
      </w:r>
      <w:r w:rsidR="007D3558">
        <w:rPr>
          <w:rFonts w:ascii="Times New Roman" w:hAnsi="Times New Roman" w:cs="Times New Roman"/>
          <w:noProof/>
          <w:sz w:val="24"/>
          <w:szCs w:val="24"/>
          <w:lang w:val="en-IE"/>
        </w:rPr>
        <w:t>, which currently represents approximately 40% of the lubricating oils market,</w:t>
      </w:r>
      <w:r w:rsidR="4689B9AA" w:rsidRPr="00470DA8">
        <w:rPr>
          <w:rFonts w:ascii="Times New Roman" w:hAnsi="Times New Roman" w:cs="Times New Roman"/>
          <w:noProof/>
          <w:sz w:val="24"/>
          <w:szCs w:val="24"/>
          <w:lang w:val="en-IE"/>
        </w:rPr>
        <w:t xml:space="preserve"> </w:t>
      </w:r>
      <w:r w:rsidR="2DC519B3">
        <w:rPr>
          <w:rFonts w:ascii="Times New Roman" w:hAnsi="Times New Roman" w:cs="Times New Roman"/>
          <w:noProof/>
          <w:sz w:val="24"/>
          <w:szCs w:val="24"/>
          <w:lang w:val="en-IE"/>
        </w:rPr>
        <w:t xml:space="preserve">will </w:t>
      </w:r>
      <w:r w:rsidR="4689B9AA" w:rsidRPr="00470DA8">
        <w:rPr>
          <w:rFonts w:ascii="Times New Roman" w:hAnsi="Times New Roman" w:cs="Times New Roman"/>
          <w:noProof/>
          <w:sz w:val="24"/>
          <w:szCs w:val="24"/>
          <w:lang w:val="en-IE"/>
        </w:rPr>
        <w:t xml:space="preserve">decrease gradually from its 2035 level to 32.5 % </w:t>
      </w:r>
      <w:r w:rsidR="00B87A7D">
        <w:rPr>
          <w:rFonts w:ascii="Times New Roman" w:hAnsi="Times New Roman" w:cs="Times New Roman"/>
          <w:noProof/>
          <w:sz w:val="24"/>
          <w:szCs w:val="24"/>
          <w:lang w:val="en-IE"/>
        </w:rPr>
        <w:t xml:space="preserve">of it </w:t>
      </w:r>
      <w:r w:rsidR="4689B9AA" w:rsidRPr="00470DA8">
        <w:rPr>
          <w:rFonts w:ascii="Times New Roman" w:hAnsi="Times New Roman" w:cs="Times New Roman"/>
          <w:noProof/>
          <w:sz w:val="24"/>
          <w:szCs w:val="24"/>
          <w:lang w:val="en-IE"/>
        </w:rPr>
        <w:t>in 2050</w:t>
      </w:r>
      <w:r w:rsidR="2DC519B3">
        <w:rPr>
          <w:rFonts w:ascii="Times New Roman" w:hAnsi="Times New Roman" w:cs="Times New Roman"/>
          <w:noProof/>
          <w:sz w:val="24"/>
          <w:szCs w:val="24"/>
          <w:lang w:val="en-IE"/>
        </w:rPr>
        <w:t>.</w:t>
      </w:r>
      <w:r w:rsidR="4689B9AA" w:rsidRPr="00470DA8">
        <w:rPr>
          <w:rFonts w:ascii="Times New Roman" w:hAnsi="Times New Roman" w:cs="Times New Roman"/>
          <w:noProof/>
          <w:sz w:val="24"/>
          <w:szCs w:val="24"/>
          <w:lang w:val="en-IE"/>
        </w:rPr>
        <w:t xml:space="preserve"> According</w:t>
      </w:r>
      <w:r w:rsidR="007D3558">
        <w:rPr>
          <w:rFonts w:ascii="Times New Roman" w:hAnsi="Times New Roman" w:cs="Times New Roman"/>
          <w:noProof/>
          <w:sz w:val="24"/>
          <w:szCs w:val="24"/>
          <w:lang w:val="en-IE"/>
        </w:rPr>
        <w:t xml:space="preserve"> to the referred study, </w:t>
      </w:r>
      <w:r w:rsidR="00781762">
        <w:rPr>
          <w:rFonts w:ascii="Times New Roman" w:hAnsi="Times New Roman" w:cs="Times New Roman"/>
          <w:noProof/>
          <w:sz w:val="24"/>
          <w:szCs w:val="24"/>
          <w:lang w:val="en-IE"/>
        </w:rPr>
        <w:t>t</w:t>
      </w:r>
      <w:r w:rsidR="4689B9AA" w:rsidRPr="00470DA8">
        <w:rPr>
          <w:rFonts w:ascii="Times New Roman" w:hAnsi="Times New Roman" w:cs="Times New Roman"/>
          <w:noProof/>
          <w:sz w:val="24"/>
          <w:szCs w:val="24"/>
          <w:lang w:val="en-IE"/>
        </w:rPr>
        <w:t xml:space="preserve">he EU-27 </w:t>
      </w:r>
      <w:r w:rsidR="5AB75715" w:rsidRPr="00470DA8">
        <w:rPr>
          <w:rFonts w:ascii="Times New Roman" w:hAnsi="Times New Roman" w:cs="Times New Roman"/>
          <w:noProof/>
          <w:sz w:val="24"/>
          <w:szCs w:val="24"/>
          <w:lang w:val="en-IE"/>
        </w:rPr>
        <w:t xml:space="preserve">total </w:t>
      </w:r>
      <w:r w:rsidR="4689B9AA" w:rsidRPr="00470DA8">
        <w:rPr>
          <w:rFonts w:ascii="Times New Roman" w:hAnsi="Times New Roman" w:cs="Times New Roman"/>
          <w:noProof/>
          <w:sz w:val="24"/>
          <w:szCs w:val="24"/>
          <w:lang w:val="en-IE"/>
        </w:rPr>
        <w:t>waste oil generation will be between 1.7 and 2 million tonnes in 2050</w:t>
      </w:r>
      <w:r w:rsidR="00EB64BB">
        <w:rPr>
          <w:rFonts w:ascii="Times New Roman" w:hAnsi="Times New Roman" w:cs="Times New Roman"/>
          <w:noProof/>
          <w:sz w:val="24"/>
          <w:szCs w:val="24"/>
          <w:lang w:val="en-IE"/>
        </w:rPr>
        <w:t xml:space="preserve">, </w:t>
      </w:r>
      <w:r w:rsidR="00EB64BB" w:rsidRPr="00EB64BB">
        <w:rPr>
          <w:rFonts w:ascii="Times New Roman" w:hAnsi="Times New Roman" w:cs="Times New Roman"/>
          <w:noProof/>
          <w:sz w:val="24"/>
          <w:szCs w:val="24"/>
          <w:lang w:val="en-IE"/>
        </w:rPr>
        <w:t xml:space="preserve">a value </w:t>
      </w:r>
      <w:r w:rsidR="00EB64BB">
        <w:rPr>
          <w:rFonts w:ascii="Times New Roman" w:hAnsi="Times New Roman" w:cs="Times New Roman"/>
          <w:noProof/>
          <w:sz w:val="24"/>
          <w:szCs w:val="24"/>
          <w:lang w:val="en-IE"/>
        </w:rPr>
        <w:t xml:space="preserve">similar to the </w:t>
      </w:r>
      <w:r w:rsidR="00552C7D">
        <w:rPr>
          <w:rFonts w:ascii="Times New Roman" w:hAnsi="Times New Roman" w:cs="Times New Roman"/>
          <w:noProof/>
          <w:sz w:val="24"/>
          <w:szCs w:val="24"/>
          <w:lang w:val="en-IE"/>
        </w:rPr>
        <w:t xml:space="preserve">amount of </w:t>
      </w:r>
      <w:r w:rsidR="00EB64BB" w:rsidRPr="00EB64BB">
        <w:rPr>
          <w:rFonts w:ascii="Times New Roman" w:hAnsi="Times New Roman" w:cs="Times New Roman"/>
          <w:noProof/>
          <w:sz w:val="24"/>
          <w:szCs w:val="24"/>
          <w:lang w:val="en-IE"/>
        </w:rPr>
        <w:t>collectab</w:t>
      </w:r>
      <w:r w:rsidR="00EB64BB">
        <w:rPr>
          <w:rFonts w:ascii="Times New Roman" w:hAnsi="Times New Roman" w:cs="Times New Roman"/>
          <w:noProof/>
          <w:sz w:val="24"/>
          <w:szCs w:val="24"/>
          <w:lang w:val="en-IE"/>
        </w:rPr>
        <w:t>l</w:t>
      </w:r>
      <w:r w:rsidR="00EB64BB" w:rsidRPr="00EB64BB">
        <w:rPr>
          <w:rFonts w:ascii="Times New Roman" w:hAnsi="Times New Roman" w:cs="Times New Roman"/>
          <w:noProof/>
          <w:sz w:val="24"/>
          <w:szCs w:val="24"/>
          <w:lang w:val="en-IE"/>
        </w:rPr>
        <w:t>e waste oil</w:t>
      </w:r>
      <w:r w:rsidR="00552C7D">
        <w:rPr>
          <w:rFonts w:ascii="Times New Roman" w:hAnsi="Times New Roman" w:cs="Times New Roman"/>
          <w:noProof/>
          <w:sz w:val="24"/>
          <w:szCs w:val="24"/>
          <w:lang w:val="en-IE"/>
        </w:rPr>
        <w:t>s</w:t>
      </w:r>
      <w:r w:rsidR="00EB64BB" w:rsidRPr="00EB64BB">
        <w:rPr>
          <w:rFonts w:ascii="Times New Roman" w:hAnsi="Times New Roman" w:cs="Times New Roman"/>
          <w:noProof/>
          <w:sz w:val="24"/>
          <w:szCs w:val="24"/>
          <w:lang w:val="en-IE"/>
        </w:rPr>
        <w:t xml:space="preserve"> reported for</w:t>
      </w:r>
      <w:r w:rsidR="00EB64BB">
        <w:rPr>
          <w:rFonts w:ascii="Times New Roman" w:hAnsi="Times New Roman" w:cs="Times New Roman"/>
          <w:noProof/>
          <w:sz w:val="24"/>
          <w:szCs w:val="24"/>
          <w:lang w:val="en-IE"/>
        </w:rPr>
        <w:t xml:space="preserve"> 2017</w:t>
      </w:r>
      <w:r w:rsidR="4689B9AA" w:rsidRPr="00470DA8">
        <w:rPr>
          <w:rFonts w:ascii="Times New Roman" w:hAnsi="Times New Roman" w:cs="Times New Roman"/>
          <w:noProof/>
          <w:sz w:val="24"/>
          <w:szCs w:val="24"/>
          <w:lang w:val="en-IE"/>
        </w:rPr>
        <w:t>.</w:t>
      </w:r>
      <w:r w:rsidR="00EB64BB">
        <w:rPr>
          <w:rFonts w:ascii="Times New Roman" w:hAnsi="Times New Roman" w:cs="Times New Roman"/>
          <w:noProof/>
          <w:sz w:val="24"/>
          <w:szCs w:val="24"/>
          <w:lang w:val="en-IE"/>
        </w:rPr>
        <w:t xml:space="preserve"> These projections indicate that</w:t>
      </w:r>
      <w:r w:rsidR="00EB64BB" w:rsidRPr="00EB64BB">
        <w:rPr>
          <w:rFonts w:ascii="Times New Roman" w:hAnsi="Times New Roman" w:cs="Times New Roman"/>
          <w:noProof/>
          <w:sz w:val="24"/>
          <w:szCs w:val="24"/>
          <w:lang w:val="en-IE"/>
        </w:rPr>
        <w:t xml:space="preserve"> </w:t>
      </w:r>
      <w:r w:rsidR="00EB64BB">
        <w:rPr>
          <w:rFonts w:ascii="Times New Roman" w:hAnsi="Times New Roman" w:cs="Times New Roman"/>
          <w:noProof/>
          <w:sz w:val="24"/>
          <w:szCs w:val="24"/>
          <w:lang w:val="en-IE"/>
        </w:rPr>
        <w:t xml:space="preserve">the </w:t>
      </w:r>
      <w:r w:rsidR="00EB64BB" w:rsidRPr="00EB64BB">
        <w:rPr>
          <w:rFonts w:ascii="Times New Roman" w:hAnsi="Times New Roman" w:cs="Times New Roman"/>
          <w:noProof/>
          <w:sz w:val="24"/>
          <w:szCs w:val="24"/>
          <w:lang w:val="en-IE"/>
        </w:rPr>
        <w:t xml:space="preserve">overall </w:t>
      </w:r>
      <w:r w:rsidR="00EB64BB">
        <w:rPr>
          <w:rFonts w:ascii="Times New Roman" w:hAnsi="Times New Roman" w:cs="Times New Roman"/>
          <w:noProof/>
          <w:sz w:val="24"/>
          <w:szCs w:val="24"/>
          <w:lang w:val="en-IE"/>
        </w:rPr>
        <w:t xml:space="preserve">amount of </w:t>
      </w:r>
      <w:r w:rsidR="00EB64BB" w:rsidRPr="00EB64BB">
        <w:rPr>
          <w:rFonts w:ascii="Times New Roman" w:hAnsi="Times New Roman" w:cs="Times New Roman"/>
          <w:noProof/>
          <w:sz w:val="24"/>
          <w:szCs w:val="24"/>
          <w:lang w:val="en-IE"/>
        </w:rPr>
        <w:t xml:space="preserve">the waste oil </w:t>
      </w:r>
      <w:r w:rsidR="00EB64BB">
        <w:rPr>
          <w:rFonts w:ascii="Times New Roman" w:hAnsi="Times New Roman" w:cs="Times New Roman"/>
          <w:noProof/>
          <w:sz w:val="24"/>
          <w:szCs w:val="24"/>
          <w:lang w:val="en-IE"/>
        </w:rPr>
        <w:t>available for treatment is</w:t>
      </w:r>
      <w:r w:rsidR="00EB64BB" w:rsidRPr="00EB64BB">
        <w:rPr>
          <w:rFonts w:ascii="Times New Roman" w:hAnsi="Times New Roman" w:cs="Times New Roman"/>
          <w:noProof/>
          <w:sz w:val="24"/>
          <w:szCs w:val="24"/>
          <w:lang w:val="en-IE"/>
        </w:rPr>
        <w:t xml:space="preserve"> unlikely to change very much </w:t>
      </w:r>
      <w:r w:rsidR="00EB64BB">
        <w:rPr>
          <w:rFonts w:ascii="Times New Roman" w:hAnsi="Times New Roman" w:cs="Times New Roman"/>
          <w:noProof/>
          <w:sz w:val="24"/>
          <w:szCs w:val="24"/>
          <w:lang w:val="en-IE"/>
        </w:rPr>
        <w:t>i</w:t>
      </w:r>
      <w:r w:rsidR="00EB64BB" w:rsidRPr="00EB64BB">
        <w:rPr>
          <w:rFonts w:ascii="Times New Roman" w:hAnsi="Times New Roman" w:cs="Times New Roman"/>
          <w:noProof/>
          <w:sz w:val="24"/>
          <w:szCs w:val="24"/>
          <w:lang w:val="en-IE"/>
        </w:rPr>
        <w:t>n the next decades</w:t>
      </w:r>
      <w:r w:rsidR="00EB64BB">
        <w:rPr>
          <w:rFonts w:ascii="Times New Roman" w:hAnsi="Times New Roman" w:cs="Times New Roman"/>
          <w:noProof/>
          <w:sz w:val="24"/>
          <w:szCs w:val="24"/>
          <w:lang w:val="en-IE"/>
        </w:rPr>
        <w:t xml:space="preserve"> and can be explained by the estimation that the referred </w:t>
      </w:r>
      <w:r w:rsidR="00EB64BB" w:rsidRPr="00EB64BB">
        <w:rPr>
          <w:rFonts w:ascii="Times New Roman" w:hAnsi="Times New Roman" w:cs="Times New Roman"/>
          <w:noProof/>
          <w:sz w:val="24"/>
          <w:szCs w:val="24"/>
          <w:lang w:val="en-IE"/>
        </w:rPr>
        <w:t xml:space="preserve">reductions in road transport oil generation will be largely offset by growth from other transport </w:t>
      </w:r>
      <w:r w:rsidR="00EB64BB">
        <w:rPr>
          <w:rFonts w:ascii="Times New Roman" w:hAnsi="Times New Roman" w:cs="Times New Roman"/>
          <w:noProof/>
          <w:sz w:val="24"/>
          <w:szCs w:val="24"/>
          <w:lang w:val="en-IE"/>
        </w:rPr>
        <w:t>m</w:t>
      </w:r>
      <w:r w:rsidR="00EB64BB" w:rsidRPr="00EB64BB">
        <w:rPr>
          <w:rFonts w:ascii="Times New Roman" w:hAnsi="Times New Roman" w:cs="Times New Roman"/>
          <w:noProof/>
          <w:sz w:val="24"/>
          <w:szCs w:val="24"/>
          <w:lang w:val="en-IE"/>
        </w:rPr>
        <w:t xml:space="preserve">odes and from industrial </w:t>
      </w:r>
      <w:r w:rsidR="00EB64BB">
        <w:rPr>
          <w:rFonts w:ascii="Times New Roman" w:hAnsi="Times New Roman" w:cs="Times New Roman"/>
          <w:noProof/>
          <w:sz w:val="24"/>
          <w:szCs w:val="24"/>
          <w:lang w:val="en-IE"/>
        </w:rPr>
        <w:t xml:space="preserve">/ non-transport uses. </w:t>
      </w:r>
    </w:p>
    <w:p w14:paraId="24C7C886" w14:textId="77777777" w:rsidR="00F70809" w:rsidRPr="00470DA8" w:rsidRDefault="00F70809" w:rsidP="00E37802">
      <w:pPr>
        <w:spacing w:after="120"/>
        <w:jc w:val="both"/>
        <w:rPr>
          <w:rFonts w:ascii="Times New Roman" w:hAnsi="Times New Roman" w:cs="Times New Roman"/>
          <w:noProof/>
          <w:sz w:val="24"/>
          <w:szCs w:val="24"/>
          <w:lang w:val="en-IE"/>
        </w:rPr>
      </w:pPr>
    </w:p>
    <w:p w14:paraId="55B6AC18" w14:textId="53CDB8C2" w:rsidR="00FE0C06" w:rsidRPr="00FE0C06" w:rsidRDefault="00FE0C06" w:rsidP="00E92F2F">
      <w:pPr>
        <w:jc w:val="both"/>
        <w:rPr>
          <w:rFonts w:ascii="Times New Roman" w:hAnsi="Times New Roman" w:cs="Times New Roman"/>
          <w:i/>
          <w:iCs/>
          <w:noProof/>
          <w:sz w:val="24"/>
          <w:szCs w:val="24"/>
        </w:rPr>
      </w:pPr>
      <w:r w:rsidRPr="00FE0C06">
        <w:rPr>
          <w:rFonts w:ascii="Times New Roman" w:hAnsi="Times New Roman" w:cs="Times New Roman"/>
          <w:i/>
          <w:iCs/>
          <w:noProof/>
          <w:sz w:val="24"/>
          <w:szCs w:val="24"/>
        </w:rPr>
        <w:t xml:space="preserve">Measures to increase </w:t>
      </w:r>
      <w:r w:rsidR="009D1BA6">
        <w:rPr>
          <w:rFonts w:ascii="Times New Roman" w:hAnsi="Times New Roman" w:cs="Times New Roman"/>
          <w:i/>
          <w:iCs/>
          <w:noProof/>
          <w:sz w:val="24"/>
          <w:szCs w:val="24"/>
        </w:rPr>
        <w:t xml:space="preserve">waste oil </w:t>
      </w:r>
      <w:r w:rsidRPr="00FE0C06">
        <w:rPr>
          <w:rFonts w:ascii="Times New Roman" w:hAnsi="Times New Roman" w:cs="Times New Roman"/>
          <w:i/>
          <w:iCs/>
          <w:noProof/>
          <w:sz w:val="24"/>
          <w:szCs w:val="24"/>
        </w:rPr>
        <w:t xml:space="preserve">collection </w:t>
      </w:r>
      <w:r w:rsidR="009D1BA6">
        <w:rPr>
          <w:rFonts w:ascii="Times New Roman" w:hAnsi="Times New Roman" w:cs="Times New Roman"/>
          <w:i/>
          <w:iCs/>
          <w:noProof/>
          <w:sz w:val="24"/>
          <w:szCs w:val="24"/>
        </w:rPr>
        <w:t>and quality</w:t>
      </w:r>
    </w:p>
    <w:p w14:paraId="30079D8A" w14:textId="13C4A979" w:rsidR="00A95E5B" w:rsidRDefault="0B5E3FEA" w:rsidP="5747FA50">
      <w:pPr>
        <w:jc w:val="both"/>
        <w:rPr>
          <w:rFonts w:ascii="Times New Roman" w:hAnsi="Times New Roman" w:cs="Times New Roman"/>
          <w:noProof/>
          <w:sz w:val="24"/>
          <w:szCs w:val="24"/>
        </w:rPr>
      </w:pPr>
      <w:r>
        <w:rPr>
          <w:rFonts w:ascii="Times New Roman" w:hAnsi="Times New Roman" w:cs="Times New Roman"/>
          <w:noProof/>
          <w:sz w:val="24"/>
          <w:szCs w:val="24"/>
        </w:rPr>
        <w:t>Currently</w:t>
      </w:r>
      <w:r w:rsidR="181DE06F">
        <w:rPr>
          <w:rFonts w:ascii="Times New Roman" w:hAnsi="Times New Roman" w:cs="Times New Roman"/>
          <w:noProof/>
          <w:sz w:val="24"/>
          <w:szCs w:val="24"/>
        </w:rPr>
        <w:t>,</w:t>
      </w:r>
      <w:r>
        <w:rPr>
          <w:rFonts w:ascii="Times New Roman" w:hAnsi="Times New Roman" w:cs="Times New Roman"/>
          <w:noProof/>
          <w:sz w:val="24"/>
          <w:szCs w:val="24"/>
        </w:rPr>
        <w:t xml:space="preserve"> the average EU collection rate for waste oils is about 8</w:t>
      </w:r>
      <w:r w:rsidR="00321E38">
        <w:rPr>
          <w:rFonts w:ascii="Times New Roman" w:hAnsi="Times New Roman" w:cs="Times New Roman"/>
          <w:noProof/>
          <w:sz w:val="24"/>
          <w:szCs w:val="24"/>
        </w:rPr>
        <w:t>2</w:t>
      </w:r>
      <w:r>
        <w:rPr>
          <w:rFonts w:ascii="Times New Roman" w:hAnsi="Times New Roman" w:cs="Times New Roman"/>
          <w:noProof/>
          <w:sz w:val="24"/>
          <w:szCs w:val="24"/>
        </w:rPr>
        <w:t>%</w:t>
      </w:r>
      <w:r w:rsidR="00A93FDE">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but </w:t>
      </w:r>
      <w:r w:rsidR="1E77F89E" w:rsidRPr="00A93FDE">
        <w:rPr>
          <w:rFonts w:ascii="Times New Roman" w:hAnsi="Times New Roman" w:cs="Times New Roman"/>
          <w:noProof/>
          <w:sz w:val="24"/>
          <w:szCs w:val="24"/>
        </w:rPr>
        <w:t>with wide variation</w:t>
      </w:r>
      <w:r w:rsidRPr="00A93FDE">
        <w:rPr>
          <w:rFonts w:ascii="Times New Roman" w:hAnsi="Times New Roman" w:cs="Times New Roman"/>
          <w:noProof/>
          <w:sz w:val="24"/>
          <w:szCs w:val="24"/>
        </w:rPr>
        <w:t xml:space="preserve"> </w:t>
      </w:r>
      <w:r w:rsidR="0E4F622D">
        <w:rPr>
          <w:rFonts w:ascii="Times New Roman" w:hAnsi="Times New Roman" w:cs="Times New Roman"/>
          <w:noProof/>
          <w:sz w:val="24"/>
          <w:szCs w:val="24"/>
        </w:rPr>
        <w:t>between</w:t>
      </w:r>
      <w:r>
        <w:rPr>
          <w:rFonts w:ascii="Times New Roman" w:hAnsi="Times New Roman" w:cs="Times New Roman"/>
          <w:noProof/>
          <w:sz w:val="24"/>
          <w:szCs w:val="24"/>
        </w:rPr>
        <w:t xml:space="preserve"> Member States </w:t>
      </w:r>
      <w:r w:rsidR="00864C5F">
        <w:rPr>
          <w:rFonts w:ascii="Times New Roman" w:hAnsi="Times New Roman" w:cs="Times New Roman"/>
          <w:noProof/>
          <w:sz w:val="24"/>
          <w:szCs w:val="24"/>
        </w:rPr>
        <w:t>due to</w:t>
      </w:r>
      <w:r w:rsidR="5815D71A">
        <w:rPr>
          <w:rFonts w:ascii="Times New Roman" w:hAnsi="Times New Roman" w:cs="Times New Roman"/>
          <w:noProof/>
          <w:sz w:val="24"/>
          <w:szCs w:val="24"/>
        </w:rPr>
        <w:t xml:space="preserve"> </w:t>
      </w:r>
      <w:r>
        <w:rPr>
          <w:rFonts w:ascii="Times New Roman" w:hAnsi="Times New Roman" w:cs="Times New Roman"/>
          <w:noProof/>
          <w:sz w:val="24"/>
          <w:szCs w:val="24"/>
        </w:rPr>
        <w:t>national and context</w:t>
      </w:r>
      <w:r w:rsidR="5815D71A">
        <w:rPr>
          <w:rFonts w:ascii="Times New Roman" w:hAnsi="Times New Roman" w:cs="Times New Roman"/>
          <w:noProof/>
          <w:sz w:val="24"/>
          <w:szCs w:val="24"/>
        </w:rPr>
        <w:t>-</w:t>
      </w:r>
      <w:r>
        <w:rPr>
          <w:rFonts w:ascii="Times New Roman" w:hAnsi="Times New Roman" w:cs="Times New Roman"/>
          <w:noProof/>
          <w:sz w:val="24"/>
          <w:szCs w:val="24"/>
        </w:rPr>
        <w:t xml:space="preserve">specific aspects. </w:t>
      </w:r>
      <w:r w:rsidR="656B31BF">
        <w:rPr>
          <w:rFonts w:ascii="Times New Roman" w:hAnsi="Times New Roman" w:cs="Times New Roman"/>
          <w:noProof/>
          <w:sz w:val="24"/>
          <w:szCs w:val="24"/>
        </w:rPr>
        <w:t>Seven Member States have legally</w:t>
      </w:r>
      <w:r w:rsidR="4D4ABD18">
        <w:rPr>
          <w:rFonts w:ascii="Times New Roman" w:hAnsi="Times New Roman" w:cs="Times New Roman"/>
          <w:noProof/>
          <w:sz w:val="24"/>
          <w:szCs w:val="24"/>
        </w:rPr>
        <w:t xml:space="preserve"> </w:t>
      </w:r>
      <w:r w:rsidR="656B31BF">
        <w:rPr>
          <w:rFonts w:ascii="Times New Roman" w:hAnsi="Times New Roman" w:cs="Times New Roman"/>
          <w:noProof/>
          <w:sz w:val="24"/>
          <w:szCs w:val="24"/>
        </w:rPr>
        <w:t>binding waste oil collection targets in their legislation</w:t>
      </w:r>
      <w:r w:rsidR="00927E4A">
        <w:rPr>
          <w:rStyle w:val="FootnoteReference"/>
          <w:rFonts w:ascii="Times New Roman" w:hAnsi="Times New Roman" w:cs="Times New Roman"/>
          <w:noProof/>
          <w:sz w:val="24"/>
          <w:szCs w:val="24"/>
        </w:rPr>
        <w:footnoteReference w:id="30"/>
      </w:r>
      <w:r w:rsidR="656B31BF">
        <w:rPr>
          <w:rFonts w:ascii="Times New Roman" w:hAnsi="Times New Roman" w:cs="Times New Roman"/>
          <w:noProof/>
          <w:sz w:val="24"/>
          <w:szCs w:val="24"/>
        </w:rPr>
        <w:t>. A</w:t>
      </w:r>
      <w:r w:rsidR="000304ED">
        <w:rPr>
          <w:rFonts w:ascii="Times New Roman" w:hAnsi="Times New Roman" w:cs="Times New Roman"/>
          <w:noProof/>
          <w:sz w:val="24"/>
          <w:szCs w:val="24"/>
        </w:rPr>
        <w:t>s illustrated by the analysis</w:t>
      </w:r>
      <w:r w:rsidR="000304ED">
        <w:rPr>
          <w:rStyle w:val="FootnoteReference"/>
          <w:rFonts w:ascii="Times New Roman" w:hAnsi="Times New Roman" w:cs="Times New Roman"/>
          <w:noProof/>
          <w:sz w:val="24"/>
          <w:szCs w:val="24"/>
        </w:rPr>
        <w:footnoteReference w:id="31"/>
      </w:r>
      <w:r w:rsidR="000304ED">
        <w:rPr>
          <w:rFonts w:ascii="Times New Roman" w:hAnsi="Times New Roman" w:cs="Times New Roman"/>
          <w:noProof/>
          <w:sz w:val="24"/>
          <w:szCs w:val="24"/>
        </w:rPr>
        <w:t xml:space="preserve"> made of reporting made by Member States for the year 2020, </w:t>
      </w:r>
      <w:r w:rsidR="5815D71A">
        <w:rPr>
          <w:rFonts w:ascii="Times New Roman" w:hAnsi="Times New Roman" w:cs="Times New Roman"/>
          <w:noProof/>
          <w:sz w:val="24"/>
          <w:szCs w:val="24"/>
        </w:rPr>
        <w:t xml:space="preserve">the </w:t>
      </w:r>
      <w:r w:rsidR="00864C5F">
        <w:rPr>
          <w:rFonts w:ascii="Times New Roman" w:hAnsi="Times New Roman" w:cs="Times New Roman"/>
          <w:noProof/>
          <w:sz w:val="24"/>
          <w:szCs w:val="24"/>
        </w:rPr>
        <w:t xml:space="preserve">available </w:t>
      </w:r>
      <w:r w:rsidR="656B31BF">
        <w:rPr>
          <w:rFonts w:ascii="Times New Roman" w:hAnsi="Times New Roman" w:cs="Times New Roman"/>
          <w:noProof/>
          <w:sz w:val="24"/>
          <w:szCs w:val="24"/>
        </w:rPr>
        <w:t xml:space="preserve">statistical information on waste oil collection and management </w:t>
      </w:r>
      <w:r w:rsidR="00552C7D" w:rsidRPr="00552C7D">
        <w:rPr>
          <w:rFonts w:ascii="Times New Roman" w:hAnsi="Times New Roman" w:cs="Times New Roman"/>
          <w:noProof/>
          <w:sz w:val="24"/>
          <w:szCs w:val="24"/>
        </w:rPr>
        <w:t xml:space="preserve">is not sufficiently robust </w:t>
      </w:r>
      <w:r w:rsidR="656B31BF">
        <w:rPr>
          <w:rFonts w:ascii="Times New Roman" w:hAnsi="Times New Roman" w:cs="Times New Roman"/>
          <w:noProof/>
          <w:sz w:val="24"/>
          <w:szCs w:val="24"/>
        </w:rPr>
        <w:t>to set mandatory EU collection targets</w:t>
      </w:r>
      <w:r w:rsidR="000304ED">
        <w:rPr>
          <w:rFonts w:ascii="Times New Roman" w:hAnsi="Times New Roman" w:cs="Times New Roman"/>
          <w:noProof/>
          <w:sz w:val="24"/>
          <w:szCs w:val="24"/>
        </w:rPr>
        <w:t>. A</w:t>
      </w:r>
      <w:r w:rsidR="5815D71A">
        <w:rPr>
          <w:rFonts w:ascii="Times New Roman" w:hAnsi="Times New Roman" w:cs="Times New Roman"/>
          <w:noProof/>
          <w:sz w:val="24"/>
          <w:szCs w:val="24"/>
        </w:rPr>
        <w:t xml:space="preserve">n approach relying on national </w:t>
      </w:r>
      <w:r w:rsidR="656B31BF">
        <w:rPr>
          <w:rFonts w:ascii="Times New Roman" w:hAnsi="Times New Roman" w:cs="Times New Roman"/>
          <w:noProof/>
          <w:sz w:val="24"/>
          <w:szCs w:val="24"/>
        </w:rPr>
        <w:t>targets</w:t>
      </w:r>
      <w:r w:rsidR="5815D71A">
        <w:rPr>
          <w:rFonts w:ascii="Times New Roman" w:hAnsi="Times New Roman" w:cs="Times New Roman"/>
          <w:noProof/>
          <w:sz w:val="24"/>
          <w:szCs w:val="24"/>
        </w:rPr>
        <w:t xml:space="preserve"> could </w:t>
      </w:r>
      <w:r w:rsidR="000304ED">
        <w:rPr>
          <w:rFonts w:ascii="Times New Roman" w:hAnsi="Times New Roman" w:cs="Times New Roman"/>
          <w:noProof/>
          <w:sz w:val="24"/>
          <w:szCs w:val="24"/>
        </w:rPr>
        <w:t>however be considered by Member States</w:t>
      </w:r>
      <w:r w:rsidR="5815D71A">
        <w:rPr>
          <w:rFonts w:ascii="Times New Roman" w:hAnsi="Times New Roman" w:cs="Times New Roman"/>
          <w:noProof/>
          <w:sz w:val="24"/>
          <w:szCs w:val="24"/>
        </w:rPr>
        <w:t xml:space="preserve">. </w:t>
      </w:r>
    </w:p>
    <w:p w14:paraId="28A90D6B" w14:textId="7E407D59" w:rsidR="00A90CB9" w:rsidRDefault="4E379E02" w:rsidP="00176CD9">
      <w:pPr>
        <w:jc w:val="both"/>
        <w:rPr>
          <w:rFonts w:ascii="Times New Roman" w:hAnsi="Times New Roman" w:cs="Times New Roman"/>
          <w:noProof/>
          <w:sz w:val="24"/>
          <w:szCs w:val="24"/>
        </w:rPr>
      </w:pPr>
      <w:r>
        <w:rPr>
          <w:rFonts w:ascii="Times New Roman" w:hAnsi="Times New Roman" w:cs="Times New Roman"/>
          <w:noProof/>
          <w:sz w:val="24"/>
          <w:szCs w:val="24"/>
        </w:rPr>
        <w:t xml:space="preserve">Such approach could </w:t>
      </w:r>
      <w:r w:rsidR="6193E681">
        <w:rPr>
          <w:rFonts w:ascii="Times New Roman" w:hAnsi="Times New Roman" w:cs="Times New Roman"/>
          <w:noProof/>
          <w:sz w:val="24"/>
          <w:szCs w:val="24"/>
        </w:rPr>
        <w:t xml:space="preserve">pivot on </w:t>
      </w:r>
      <w:r w:rsidR="656B31BF">
        <w:rPr>
          <w:rFonts w:ascii="Times New Roman" w:hAnsi="Times New Roman" w:cs="Times New Roman"/>
          <w:noProof/>
          <w:sz w:val="24"/>
          <w:szCs w:val="24"/>
        </w:rPr>
        <w:t xml:space="preserve">two target values </w:t>
      </w:r>
      <w:r w:rsidR="6193E681">
        <w:rPr>
          <w:rFonts w:ascii="Times New Roman" w:hAnsi="Times New Roman" w:cs="Times New Roman"/>
          <w:noProof/>
          <w:sz w:val="24"/>
          <w:szCs w:val="24"/>
        </w:rPr>
        <w:t>f</w:t>
      </w:r>
      <w:r w:rsidR="5815D71A">
        <w:rPr>
          <w:rFonts w:ascii="Times New Roman" w:hAnsi="Times New Roman" w:cs="Times New Roman"/>
          <w:noProof/>
          <w:sz w:val="24"/>
          <w:szCs w:val="24"/>
        </w:rPr>
        <w:t xml:space="preserve">or the year 2030, set at </w:t>
      </w:r>
      <w:r w:rsidR="656B31BF">
        <w:rPr>
          <w:rFonts w:ascii="Times New Roman" w:hAnsi="Times New Roman" w:cs="Times New Roman"/>
          <w:noProof/>
          <w:sz w:val="24"/>
          <w:szCs w:val="24"/>
        </w:rPr>
        <w:t>80% and 95%</w:t>
      </w:r>
      <w:r w:rsidR="00941B9C">
        <w:rPr>
          <w:rStyle w:val="FootnoteReference"/>
          <w:rFonts w:ascii="Times New Roman" w:hAnsi="Times New Roman" w:cs="Times New Roman"/>
          <w:noProof/>
          <w:sz w:val="24"/>
          <w:szCs w:val="24"/>
        </w:rPr>
        <w:footnoteReference w:id="32"/>
      </w:r>
      <w:r w:rsidR="39B06842">
        <w:rPr>
          <w:rFonts w:ascii="Times New Roman" w:hAnsi="Times New Roman" w:cs="Times New Roman"/>
          <w:noProof/>
          <w:sz w:val="24"/>
          <w:szCs w:val="24"/>
        </w:rPr>
        <w:t xml:space="preserve"> </w:t>
      </w:r>
      <w:r w:rsidR="4D4ABD18">
        <w:rPr>
          <w:rFonts w:ascii="Times New Roman" w:hAnsi="Times New Roman" w:cs="Times New Roman"/>
          <w:noProof/>
          <w:sz w:val="24"/>
          <w:szCs w:val="24"/>
        </w:rPr>
        <w:t xml:space="preserve">with respect to </w:t>
      </w:r>
      <w:r w:rsidR="39B06842">
        <w:rPr>
          <w:rFonts w:ascii="Times New Roman" w:hAnsi="Times New Roman" w:cs="Times New Roman"/>
          <w:noProof/>
          <w:sz w:val="24"/>
          <w:szCs w:val="24"/>
        </w:rPr>
        <w:t xml:space="preserve">the </w:t>
      </w:r>
      <w:r w:rsidR="00B2567D">
        <w:rPr>
          <w:rFonts w:ascii="Times New Roman" w:hAnsi="Times New Roman" w:cs="Times New Roman"/>
          <w:noProof/>
          <w:sz w:val="24"/>
          <w:szCs w:val="24"/>
        </w:rPr>
        <w:t>collectable</w:t>
      </w:r>
      <w:r w:rsidR="39B06842">
        <w:rPr>
          <w:rFonts w:ascii="Times New Roman" w:hAnsi="Times New Roman" w:cs="Times New Roman"/>
          <w:noProof/>
          <w:sz w:val="24"/>
          <w:szCs w:val="24"/>
        </w:rPr>
        <w:t xml:space="preserve"> waste oil</w:t>
      </w:r>
      <w:r w:rsidR="00213F8B">
        <w:rPr>
          <w:rStyle w:val="FootnoteReference"/>
          <w:rFonts w:ascii="Times New Roman" w:hAnsi="Times New Roman" w:cs="Times New Roman"/>
          <w:noProof/>
          <w:sz w:val="24"/>
          <w:szCs w:val="24"/>
        </w:rPr>
        <w:footnoteReference w:id="33"/>
      </w:r>
      <w:r w:rsidR="39B06842">
        <w:rPr>
          <w:rFonts w:ascii="Times New Roman" w:hAnsi="Times New Roman" w:cs="Times New Roman"/>
          <w:noProof/>
          <w:sz w:val="24"/>
          <w:szCs w:val="24"/>
        </w:rPr>
        <w:t xml:space="preserve"> quantities. Member States performing best could consider immediately applying the higher target</w:t>
      </w:r>
      <w:r w:rsidR="00176CD9">
        <w:rPr>
          <w:rStyle w:val="FootnoteReference"/>
          <w:rFonts w:ascii="Times New Roman" w:hAnsi="Times New Roman" w:cs="Times New Roman"/>
          <w:noProof/>
          <w:sz w:val="24"/>
          <w:szCs w:val="24"/>
        </w:rPr>
        <w:footnoteReference w:id="34"/>
      </w:r>
      <w:r w:rsidR="39B06842">
        <w:rPr>
          <w:rFonts w:ascii="Times New Roman" w:hAnsi="Times New Roman" w:cs="Times New Roman"/>
          <w:noProof/>
          <w:sz w:val="24"/>
          <w:szCs w:val="24"/>
        </w:rPr>
        <w:t xml:space="preserve"> or, if already met, ensuring </w:t>
      </w:r>
      <w:r w:rsidR="715D1167">
        <w:rPr>
          <w:rFonts w:ascii="Times New Roman" w:hAnsi="Times New Roman" w:cs="Times New Roman"/>
          <w:noProof/>
          <w:sz w:val="24"/>
          <w:szCs w:val="24"/>
        </w:rPr>
        <w:t xml:space="preserve">it is </w:t>
      </w:r>
      <w:r w:rsidR="39B06842">
        <w:rPr>
          <w:rFonts w:ascii="Times New Roman" w:hAnsi="Times New Roman" w:cs="Times New Roman"/>
          <w:noProof/>
          <w:sz w:val="24"/>
          <w:szCs w:val="24"/>
        </w:rPr>
        <w:t xml:space="preserve">at least maintained. </w:t>
      </w:r>
      <w:r w:rsidR="715D1167">
        <w:rPr>
          <w:rFonts w:ascii="Times New Roman" w:hAnsi="Times New Roman" w:cs="Times New Roman"/>
          <w:noProof/>
          <w:sz w:val="24"/>
          <w:szCs w:val="24"/>
        </w:rPr>
        <w:t>L</w:t>
      </w:r>
      <w:r w:rsidR="39B06842">
        <w:rPr>
          <w:rFonts w:ascii="Times New Roman" w:hAnsi="Times New Roman" w:cs="Times New Roman"/>
          <w:noProof/>
          <w:sz w:val="24"/>
          <w:szCs w:val="24"/>
        </w:rPr>
        <w:t>ower perform</w:t>
      </w:r>
      <w:r w:rsidR="715D1167">
        <w:rPr>
          <w:rFonts w:ascii="Times New Roman" w:hAnsi="Times New Roman" w:cs="Times New Roman"/>
          <w:noProof/>
          <w:sz w:val="24"/>
          <w:szCs w:val="24"/>
        </w:rPr>
        <w:t xml:space="preserve">ers </w:t>
      </w:r>
      <w:r w:rsidR="5815D71A">
        <w:rPr>
          <w:rFonts w:ascii="Times New Roman" w:hAnsi="Times New Roman" w:cs="Times New Roman"/>
          <w:noProof/>
          <w:sz w:val="24"/>
          <w:szCs w:val="24"/>
        </w:rPr>
        <w:t>should</w:t>
      </w:r>
      <w:r w:rsidR="39B06842">
        <w:rPr>
          <w:rFonts w:ascii="Times New Roman" w:hAnsi="Times New Roman" w:cs="Times New Roman"/>
          <w:noProof/>
          <w:sz w:val="24"/>
          <w:szCs w:val="24"/>
        </w:rPr>
        <w:t xml:space="preserve"> focus their efforts </w:t>
      </w:r>
      <w:r w:rsidR="181DE06F">
        <w:rPr>
          <w:rFonts w:ascii="Times New Roman" w:hAnsi="Times New Roman" w:cs="Times New Roman"/>
          <w:noProof/>
          <w:sz w:val="24"/>
          <w:szCs w:val="24"/>
        </w:rPr>
        <w:t>o</w:t>
      </w:r>
      <w:r w:rsidR="39B06842">
        <w:rPr>
          <w:rFonts w:ascii="Times New Roman" w:hAnsi="Times New Roman" w:cs="Times New Roman"/>
          <w:noProof/>
          <w:sz w:val="24"/>
          <w:szCs w:val="24"/>
        </w:rPr>
        <w:t>n achieving the 80% collection target by 2030 and the 95% target by 2035.</w:t>
      </w:r>
      <w:r w:rsidR="170FD403">
        <w:rPr>
          <w:rFonts w:ascii="Times New Roman" w:hAnsi="Times New Roman" w:cs="Times New Roman"/>
          <w:noProof/>
          <w:sz w:val="24"/>
          <w:szCs w:val="24"/>
        </w:rPr>
        <w:t xml:space="preserve"> </w:t>
      </w:r>
      <w:r w:rsidR="6193E681">
        <w:rPr>
          <w:rFonts w:ascii="Times New Roman" w:hAnsi="Times New Roman" w:cs="Times New Roman"/>
          <w:noProof/>
          <w:sz w:val="24"/>
          <w:szCs w:val="24"/>
        </w:rPr>
        <w:t xml:space="preserve">This </w:t>
      </w:r>
      <w:r w:rsidR="170FD403">
        <w:rPr>
          <w:rFonts w:ascii="Times New Roman" w:hAnsi="Times New Roman" w:cs="Times New Roman"/>
          <w:noProof/>
          <w:sz w:val="24"/>
          <w:szCs w:val="24"/>
        </w:rPr>
        <w:t>approach</w:t>
      </w:r>
      <w:r w:rsidR="5815D71A">
        <w:rPr>
          <w:rFonts w:ascii="Times New Roman" w:hAnsi="Times New Roman" w:cs="Times New Roman"/>
          <w:noProof/>
          <w:sz w:val="24"/>
          <w:szCs w:val="24"/>
        </w:rPr>
        <w:t xml:space="preserve"> </w:t>
      </w:r>
      <w:r w:rsidR="170FD403">
        <w:rPr>
          <w:rFonts w:ascii="Times New Roman" w:hAnsi="Times New Roman" w:cs="Times New Roman"/>
          <w:noProof/>
          <w:sz w:val="24"/>
          <w:szCs w:val="24"/>
        </w:rPr>
        <w:t xml:space="preserve">has the advantage </w:t>
      </w:r>
      <w:r w:rsidR="6193E681">
        <w:rPr>
          <w:rFonts w:ascii="Times New Roman" w:hAnsi="Times New Roman" w:cs="Times New Roman"/>
          <w:noProof/>
          <w:sz w:val="24"/>
          <w:szCs w:val="24"/>
        </w:rPr>
        <w:t xml:space="preserve">of </w:t>
      </w:r>
      <w:r w:rsidR="15E6D0D6" w:rsidRPr="00176CD9">
        <w:rPr>
          <w:rFonts w:ascii="Times New Roman" w:hAnsi="Times New Roman" w:cs="Times New Roman"/>
          <w:noProof/>
          <w:sz w:val="24"/>
          <w:szCs w:val="24"/>
        </w:rPr>
        <w:t>directly address</w:t>
      </w:r>
      <w:r w:rsidR="6193E681">
        <w:rPr>
          <w:rFonts w:ascii="Times New Roman" w:hAnsi="Times New Roman" w:cs="Times New Roman"/>
          <w:noProof/>
          <w:sz w:val="24"/>
          <w:szCs w:val="24"/>
        </w:rPr>
        <w:t>ing</w:t>
      </w:r>
      <w:r w:rsidR="15E6D0D6" w:rsidRPr="00176CD9">
        <w:rPr>
          <w:rFonts w:ascii="Times New Roman" w:hAnsi="Times New Roman" w:cs="Times New Roman"/>
          <w:noProof/>
          <w:sz w:val="24"/>
          <w:szCs w:val="24"/>
        </w:rPr>
        <w:t xml:space="preserve"> the </w:t>
      </w:r>
      <w:r w:rsidR="170FD403">
        <w:rPr>
          <w:rFonts w:ascii="Times New Roman" w:hAnsi="Times New Roman" w:cs="Times New Roman"/>
          <w:noProof/>
          <w:sz w:val="24"/>
          <w:szCs w:val="24"/>
        </w:rPr>
        <w:t xml:space="preserve">objective of </w:t>
      </w:r>
      <w:r w:rsidR="15E6D0D6" w:rsidRPr="00176CD9">
        <w:rPr>
          <w:rFonts w:ascii="Times New Roman" w:hAnsi="Times New Roman" w:cs="Times New Roman"/>
          <w:noProof/>
          <w:sz w:val="24"/>
          <w:szCs w:val="24"/>
        </w:rPr>
        <w:t>collect</w:t>
      </w:r>
      <w:r w:rsidR="170FD403">
        <w:rPr>
          <w:rFonts w:ascii="Times New Roman" w:hAnsi="Times New Roman" w:cs="Times New Roman"/>
          <w:noProof/>
          <w:sz w:val="24"/>
          <w:szCs w:val="24"/>
        </w:rPr>
        <w:t>ing</w:t>
      </w:r>
      <w:r w:rsidR="15E6D0D6" w:rsidRPr="00176CD9">
        <w:rPr>
          <w:rFonts w:ascii="Times New Roman" w:hAnsi="Times New Roman" w:cs="Times New Roman"/>
          <w:noProof/>
          <w:sz w:val="24"/>
          <w:szCs w:val="24"/>
        </w:rPr>
        <w:t xml:space="preserve"> more waste oil</w:t>
      </w:r>
      <w:r w:rsidR="00973BEF">
        <w:rPr>
          <w:rFonts w:ascii="Times New Roman" w:hAnsi="Times New Roman" w:cs="Times New Roman"/>
          <w:noProof/>
          <w:sz w:val="24"/>
          <w:szCs w:val="24"/>
        </w:rPr>
        <w:t>s</w:t>
      </w:r>
      <w:r w:rsidR="5F22377A">
        <w:rPr>
          <w:rFonts w:ascii="Times New Roman" w:hAnsi="Times New Roman" w:cs="Times New Roman"/>
          <w:noProof/>
          <w:sz w:val="24"/>
          <w:szCs w:val="24"/>
        </w:rPr>
        <w:t xml:space="preserve"> while providing </w:t>
      </w:r>
      <w:r w:rsidR="181DE06F">
        <w:rPr>
          <w:rFonts w:ascii="Times New Roman" w:hAnsi="Times New Roman" w:cs="Times New Roman"/>
          <w:noProof/>
          <w:sz w:val="24"/>
          <w:szCs w:val="24"/>
        </w:rPr>
        <w:t xml:space="preserve">some </w:t>
      </w:r>
      <w:r w:rsidR="5F22377A">
        <w:rPr>
          <w:rFonts w:ascii="Times New Roman" w:hAnsi="Times New Roman" w:cs="Times New Roman"/>
          <w:noProof/>
          <w:sz w:val="24"/>
          <w:szCs w:val="24"/>
        </w:rPr>
        <w:t>flexibility to Member States</w:t>
      </w:r>
      <w:r w:rsidR="15E6D0D6" w:rsidRPr="00176CD9">
        <w:rPr>
          <w:rFonts w:ascii="Times New Roman" w:hAnsi="Times New Roman" w:cs="Times New Roman"/>
          <w:noProof/>
          <w:sz w:val="24"/>
          <w:szCs w:val="24"/>
        </w:rPr>
        <w:t>.</w:t>
      </w:r>
      <w:r w:rsidR="10267868">
        <w:rPr>
          <w:rFonts w:ascii="Times New Roman" w:hAnsi="Times New Roman" w:cs="Times New Roman"/>
          <w:noProof/>
          <w:sz w:val="24"/>
          <w:szCs w:val="24"/>
        </w:rPr>
        <w:t xml:space="preserve"> </w:t>
      </w:r>
    </w:p>
    <w:p w14:paraId="270AEF54" w14:textId="0C73C5D1" w:rsidR="005E1333" w:rsidRDefault="0060783F" w:rsidP="00176CD9">
      <w:pPr>
        <w:jc w:val="both"/>
        <w:rPr>
          <w:rFonts w:ascii="Times New Roman" w:hAnsi="Times New Roman" w:cs="Times New Roman"/>
          <w:noProof/>
          <w:sz w:val="24"/>
          <w:szCs w:val="24"/>
        </w:rPr>
      </w:pPr>
      <w:r>
        <w:rPr>
          <w:rFonts w:ascii="Times New Roman" w:hAnsi="Times New Roman" w:cs="Times New Roman"/>
          <w:noProof/>
          <w:sz w:val="24"/>
          <w:szCs w:val="24"/>
        </w:rPr>
        <w:t>Based on t</w:t>
      </w:r>
      <w:r w:rsidR="00864C5F">
        <w:rPr>
          <w:rFonts w:ascii="Times New Roman" w:hAnsi="Times New Roman" w:cs="Times New Roman"/>
          <w:noProof/>
          <w:sz w:val="24"/>
          <w:szCs w:val="24"/>
        </w:rPr>
        <w:t xml:space="preserve">he </w:t>
      </w:r>
      <w:r w:rsidR="00A90CB9">
        <w:rPr>
          <w:rFonts w:ascii="Times New Roman" w:hAnsi="Times New Roman" w:cs="Times New Roman"/>
          <w:noProof/>
          <w:sz w:val="24"/>
          <w:szCs w:val="24"/>
        </w:rPr>
        <w:t>analysis of existing waste oil management systems</w:t>
      </w:r>
      <w:r w:rsidR="000110AF">
        <w:rPr>
          <w:rFonts w:ascii="Times New Roman" w:hAnsi="Times New Roman" w:cs="Times New Roman"/>
          <w:noProof/>
          <w:sz w:val="24"/>
          <w:szCs w:val="24"/>
        </w:rPr>
        <w:t xml:space="preserve"> and collection schemes</w:t>
      </w:r>
      <w:r w:rsidR="00A90CB9">
        <w:rPr>
          <w:rFonts w:ascii="Times New Roman" w:hAnsi="Times New Roman" w:cs="Times New Roman"/>
          <w:noProof/>
          <w:sz w:val="24"/>
          <w:szCs w:val="24"/>
        </w:rPr>
        <w:t xml:space="preserve"> in the EU </w:t>
      </w:r>
      <w:r w:rsidR="009D1BA6">
        <w:rPr>
          <w:rFonts w:ascii="Times New Roman" w:hAnsi="Times New Roman" w:cs="Times New Roman"/>
          <w:noProof/>
          <w:sz w:val="24"/>
          <w:szCs w:val="24"/>
        </w:rPr>
        <w:t>(</w:t>
      </w:r>
      <w:r w:rsidR="00CB46BB">
        <w:rPr>
          <w:rFonts w:ascii="Times New Roman" w:hAnsi="Times New Roman" w:cs="Times New Roman"/>
          <w:noProof/>
          <w:sz w:val="24"/>
          <w:szCs w:val="24"/>
        </w:rPr>
        <w:t>and beyond</w:t>
      </w:r>
      <w:r w:rsidR="009D1BA6">
        <w:rPr>
          <w:rFonts w:ascii="Times New Roman" w:hAnsi="Times New Roman" w:cs="Times New Roman"/>
          <w:noProof/>
          <w:sz w:val="24"/>
          <w:szCs w:val="24"/>
        </w:rPr>
        <w:t>)</w:t>
      </w:r>
      <w:r w:rsidR="00CB46BB">
        <w:rPr>
          <w:rFonts w:ascii="Times New Roman" w:hAnsi="Times New Roman" w:cs="Times New Roman"/>
          <w:noProof/>
          <w:sz w:val="24"/>
          <w:szCs w:val="24"/>
        </w:rPr>
        <w:t xml:space="preserve"> </w:t>
      </w:r>
      <w:r w:rsidR="00A90CB9">
        <w:rPr>
          <w:rFonts w:ascii="Times New Roman" w:hAnsi="Times New Roman" w:cs="Times New Roman"/>
          <w:noProof/>
          <w:sz w:val="24"/>
          <w:szCs w:val="24"/>
        </w:rPr>
        <w:t>and of the best practices applied</w:t>
      </w:r>
      <w:r w:rsidR="00A95E5B">
        <w:rPr>
          <w:rFonts w:ascii="Times New Roman" w:hAnsi="Times New Roman" w:cs="Times New Roman"/>
          <w:noProof/>
          <w:sz w:val="24"/>
          <w:szCs w:val="24"/>
        </w:rPr>
        <w:t>,</w:t>
      </w:r>
      <w:r w:rsidR="00A90CB9">
        <w:rPr>
          <w:rFonts w:ascii="Times New Roman" w:hAnsi="Times New Roman" w:cs="Times New Roman"/>
          <w:noProof/>
          <w:sz w:val="24"/>
          <w:szCs w:val="24"/>
        </w:rPr>
        <w:t xml:space="preserve"> </w:t>
      </w:r>
      <w:r w:rsidR="00EC7243">
        <w:rPr>
          <w:rFonts w:ascii="Times New Roman" w:hAnsi="Times New Roman" w:cs="Times New Roman"/>
          <w:noProof/>
          <w:sz w:val="24"/>
          <w:szCs w:val="24"/>
        </w:rPr>
        <w:t xml:space="preserve">and on the limited information on waste oil collection and regeneration in the EU Member States, </w:t>
      </w:r>
      <w:r w:rsidR="00A90CB9">
        <w:rPr>
          <w:rFonts w:ascii="Times New Roman" w:hAnsi="Times New Roman" w:cs="Times New Roman"/>
          <w:noProof/>
          <w:sz w:val="24"/>
          <w:szCs w:val="24"/>
        </w:rPr>
        <w:t>a number of measures</w:t>
      </w:r>
      <w:r w:rsidR="003E7509">
        <w:rPr>
          <w:rFonts w:ascii="Times New Roman" w:hAnsi="Times New Roman" w:cs="Times New Roman"/>
          <w:noProof/>
          <w:sz w:val="24"/>
          <w:szCs w:val="24"/>
        </w:rPr>
        <w:t xml:space="preserve"> to increase the quantity and </w:t>
      </w:r>
      <w:r w:rsidR="00A95E5B">
        <w:rPr>
          <w:rFonts w:ascii="Times New Roman" w:hAnsi="Times New Roman" w:cs="Times New Roman"/>
          <w:noProof/>
          <w:sz w:val="24"/>
          <w:szCs w:val="24"/>
        </w:rPr>
        <w:t xml:space="preserve">the </w:t>
      </w:r>
      <w:r w:rsidR="003E7509">
        <w:rPr>
          <w:rFonts w:ascii="Times New Roman" w:hAnsi="Times New Roman" w:cs="Times New Roman"/>
          <w:noProof/>
          <w:sz w:val="24"/>
          <w:szCs w:val="24"/>
        </w:rPr>
        <w:t xml:space="preserve">quality </w:t>
      </w:r>
      <w:r w:rsidR="00A95E5B">
        <w:rPr>
          <w:rFonts w:ascii="Times New Roman" w:hAnsi="Times New Roman" w:cs="Times New Roman"/>
          <w:noProof/>
          <w:sz w:val="24"/>
          <w:szCs w:val="24"/>
        </w:rPr>
        <w:t xml:space="preserve">of </w:t>
      </w:r>
      <w:r w:rsidR="003E7509">
        <w:rPr>
          <w:rFonts w:ascii="Times New Roman" w:hAnsi="Times New Roman" w:cs="Times New Roman"/>
          <w:noProof/>
          <w:sz w:val="24"/>
          <w:szCs w:val="24"/>
        </w:rPr>
        <w:t>waste oils</w:t>
      </w:r>
      <w:r w:rsidR="00A95E5B">
        <w:rPr>
          <w:rFonts w:ascii="Times New Roman" w:hAnsi="Times New Roman" w:cs="Times New Roman"/>
          <w:noProof/>
          <w:sz w:val="24"/>
          <w:szCs w:val="24"/>
        </w:rPr>
        <w:t xml:space="preserve"> collected</w:t>
      </w:r>
      <w:r w:rsidR="00A90CB9">
        <w:rPr>
          <w:rFonts w:ascii="Times New Roman" w:hAnsi="Times New Roman" w:cs="Times New Roman"/>
          <w:noProof/>
          <w:sz w:val="24"/>
          <w:szCs w:val="24"/>
        </w:rPr>
        <w:t xml:space="preserve"> </w:t>
      </w:r>
      <w:r w:rsidR="00EA74B4">
        <w:rPr>
          <w:rFonts w:ascii="Times New Roman" w:hAnsi="Times New Roman" w:cs="Times New Roman"/>
          <w:noProof/>
          <w:sz w:val="24"/>
          <w:szCs w:val="24"/>
        </w:rPr>
        <w:t xml:space="preserve">could </w:t>
      </w:r>
      <w:r>
        <w:rPr>
          <w:rFonts w:ascii="Times New Roman" w:hAnsi="Times New Roman" w:cs="Times New Roman"/>
          <w:noProof/>
          <w:sz w:val="24"/>
          <w:szCs w:val="24"/>
        </w:rPr>
        <w:t xml:space="preserve">be </w:t>
      </w:r>
      <w:r w:rsidR="00EA74B4">
        <w:rPr>
          <w:rFonts w:ascii="Times New Roman" w:hAnsi="Times New Roman" w:cs="Times New Roman"/>
          <w:noProof/>
          <w:sz w:val="24"/>
          <w:szCs w:val="24"/>
        </w:rPr>
        <w:t>considered</w:t>
      </w:r>
      <w:r w:rsidR="00A90CB9">
        <w:rPr>
          <w:rFonts w:ascii="Times New Roman" w:hAnsi="Times New Roman" w:cs="Times New Roman"/>
          <w:noProof/>
          <w:sz w:val="24"/>
          <w:szCs w:val="24"/>
        </w:rPr>
        <w:t xml:space="preserve">: </w:t>
      </w:r>
    </w:p>
    <w:p w14:paraId="6105FF2D" w14:textId="54E85685" w:rsidR="00BD6E3B" w:rsidRPr="00BD6E3B" w:rsidRDefault="00DE2DC7" w:rsidP="00ED3AE2">
      <w:pPr>
        <w:pStyle w:val="ListParagraph"/>
        <w:numPr>
          <w:ilvl w:val="1"/>
          <w:numId w:val="1"/>
        </w:numPr>
        <w:spacing w:after="120"/>
        <w:contextualSpacing w:val="0"/>
        <w:jc w:val="both"/>
        <w:rPr>
          <w:rFonts w:ascii="Times New Roman" w:hAnsi="Times New Roman" w:cs="Times New Roman"/>
          <w:noProof/>
          <w:sz w:val="24"/>
          <w:szCs w:val="24"/>
        </w:rPr>
      </w:pPr>
      <w:r>
        <w:rPr>
          <w:rFonts w:ascii="Times New Roman" w:hAnsi="Times New Roman" w:cs="Times New Roman"/>
          <w:b/>
          <w:bCs/>
          <w:noProof/>
          <w:sz w:val="24"/>
          <w:szCs w:val="24"/>
        </w:rPr>
        <w:t xml:space="preserve">The possibility </w:t>
      </w:r>
      <w:r w:rsidR="005A679C">
        <w:rPr>
          <w:rFonts w:ascii="Times New Roman" w:hAnsi="Times New Roman" w:cs="Times New Roman"/>
          <w:b/>
          <w:bCs/>
          <w:noProof/>
          <w:sz w:val="24"/>
          <w:szCs w:val="24"/>
        </w:rPr>
        <w:t xml:space="preserve">for Member States </w:t>
      </w:r>
      <w:r>
        <w:rPr>
          <w:rFonts w:ascii="Times New Roman" w:hAnsi="Times New Roman" w:cs="Times New Roman"/>
          <w:b/>
          <w:bCs/>
          <w:noProof/>
          <w:sz w:val="24"/>
          <w:szCs w:val="24"/>
        </w:rPr>
        <w:t>to s</w:t>
      </w:r>
      <w:r w:rsidR="003E7509" w:rsidRPr="00A95E5B">
        <w:rPr>
          <w:rFonts w:ascii="Times New Roman" w:hAnsi="Times New Roman" w:cs="Times New Roman"/>
          <w:b/>
          <w:bCs/>
          <w:noProof/>
          <w:sz w:val="24"/>
          <w:szCs w:val="24"/>
        </w:rPr>
        <w:t xml:space="preserve">et </w:t>
      </w:r>
      <w:r w:rsidR="00A95E5B" w:rsidRPr="00A95E5B">
        <w:rPr>
          <w:rFonts w:ascii="Times New Roman" w:hAnsi="Times New Roman" w:cs="Times New Roman"/>
          <w:b/>
          <w:bCs/>
          <w:noProof/>
          <w:sz w:val="24"/>
          <w:szCs w:val="24"/>
        </w:rPr>
        <w:t xml:space="preserve">mandatory </w:t>
      </w:r>
      <w:r w:rsidR="003E7509" w:rsidRPr="00A95E5B">
        <w:rPr>
          <w:rFonts w:ascii="Times New Roman" w:hAnsi="Times New Roman" w:cs="Times New Roman"/>
          <w:b/>
          <w:bCs/>
          <w:noProof/>
          <w:sz w:val="24"/>
          <w:szCs w:val="24"/>
        </w:rPr>
        <w:t xml:space="preserve">collection targets. </w:t>
      </w:r>
    </w:p>
    <w:p w14:paraId="2ED95B3C" w14:textId="2C699B7B" w:rsidR="00BD6E3B" w:rsidRDefault="00BD6E3B" w:rsidP="00BD6E3B">
      <w:pPr>
        <w:pStyle w:val="ListParagraph"/>
        <w:numPr>
          <w:ilvl w:val="2"/>
          <w:numId w:val="1"/>
        </w:numPr>
        <w:spacing w:after="120"/>
        <w:contextualSpacing w:val="0"/>
        <w:jc w:val="both"/>
        <w:rPr>
          <w:rFonts w:ascii="Times New Roman" w:hAnsi="Times New Roman" w:cs="Times New Roman"/>
          <w:noProof/>
          <w:sz w:val="24"/>
          <w:szCs w:val="24"/>
        </w:rPr>
      </w:pPr>
      <w:r w:rsidRPr="00BD6E3B">
        <w:rPr>
          <w:rFonts w:ascii="Times New Roman" w:hAnsi="Times New Roman" w:cs="Times New Roman"/>
          <w:noProof/>
          <w:sz w:val="24"/>
          <w:szCs w:val="24"/>
        </w:rPr>
        <w:t>80% of</w:t>
      </w:r>
      <w:r>
        <w:rPr>
          <w:rFonts w:ascii="Times New Roman" w:hAnsi="Times New Roman" w:cs="Times New Roman"/>
          <w:noProof/>
          <w:sz w:val="24"/>
          <w:szCs w:val="24"/>
        </w:rPr>
        <w:t xml:space="preserve"> </w:t>
      </w:r>
      <w:r w:rsidR="009E3A52">
        <w:rPr>
          <w:rFonts w:ascii="Times New Roman" w:hAnsi="Times New Roman" w:cs="Times New Roman"/>
          <w:noProof/>
          <w:sz w:val="24"/>
          <w:szCs w:val="24"/>
        </w:rPr>
        <w:t xml:space="preserve">generated </w:t>
      </w:r>
      <w:r>
        <w:rPr>
          <w:rFonts w:ascii="Times New Roman" w:hAnsi="Times New Roman" w:cs="Times New Roman"/>
          <w:noProof/>
          <w:sz w:val="24"/>
          <w:szCs w:val="24"/>
        </w:rPr>
        <w:t>waste oil</w:t>
      </w:r>
      <w:r w:rsidR="00807E71">
        <w:rPr>
          <w:rFonts w:ascii="Times New Roman" w:hAnsi="Times New Roman" w:cs="Times New Roman"/>
          <w:noProof/>
          <w:sz w:val="24"/>
          <w:szCs w:val="24"/>
        </w:rPr>
        <w:t>s (dry weight)</w:t>
      </w:r>
      <w:r>
        <w:rPr>
          <w:rFonts w:ascii="Times New Roman" w:hAnsi="Times New Roman" w:cs="Times New Roman"/>
          <w:noProof/>
          <w:sz w:val="24"/>
          <w:szCs w:val="24"/>
        </w:rPr>
        <w:t xml:space="preserve"> </w:t>
      </w:r>
      <w:r w:rsidR="004B1122">
        <w:rPr>
          <w:rFonts w:ascii="Times New Roman" w:hAnsi="Times New Roman" w:cs="Times New Roman"/>
          <w:noProof/>
          <w:sz w:val="24"/>
          <w:szCs w:val="24"/>
        </w:rPr>
        <w:t xml:space="preserve">to be collected </w:t>
      </w:r>
      <w:r>
        <w:rPr>
          <w:rFonts w:ascii="Times New Roman" w:hAnsi="Times New Roman" w:cs="Times New Roman"/>
          <w:noProof/>
          <w:sz w:val="24"/>
          <w:szCs w:val="24"/>
        </w:rPr>
        <w:t xml:space="preserve">by </w:t>
      </w:r>
      <w:r w:rsidR="003E7509" w:rsidRPr="00BD6E3B">
        <w:rPr>
          <w:rFonts w:ascii="Times New Roman" w:hAnsi="Times New Roman" w:cs="Times New Roman"/>
          <w:noProof/>
          <w:sz w:val="24"/>
          <w:szCs w:val="24"/>
        </w:rPr>
        <w:t>2030</w:t>
      </w:r>
      <w:r>
        <w:rPr>
          <w:rFonts w:ascii="Times New Roman" w:hAnsi="Times New Roman" w:cs="Times New Roman"/>
          <w:noProof/>
          <w:sz w:val="24"/>
          <w:szCs w:val="24"/>
        </w:rPr>
        <w:t xml:space="preserve"> .</w:t>
      </w:r>
    </w:p>
    <w:p w14:paraId="3F9588C6" w14:textId="24CAAC42" w:rsidR="00BD6E3B" w:rsidRDefault="00BD6E3B" w:rsidP="537BC721">
      <w:pPr>
        <w:pStyle w:val="ListParagraph"/>
        <w:numPr>
          <w:ilvl w:val="2"/>
          <w:numId w:val="1"/>
        </w:numPr>
        <w:spacing w:after="120"/>
        <w:jc w:val="both"/>
        <w:rPr>
          <w:rFonts w:ascii="Times New Roman" w:hAnsi="Times New Roman" w:cs="Times New Roman"/>
          <w:noProof/>
          <w:sz w:val="24"/>
          <w:szCs w:val="24"/>
        </w:rPr>
      </w:pPr>
      <w:r w:rsidRPr="537BC721">
        <w:rPr>
          <w:rFonts w:ascii="Times New Roman" w:hAnsi="Times New Roman" w:cs="Times New Roman"/>
          <w:noProof/>
          <w:sz w:val="24"/>
          <w:szCs w:val="24"/>
        </w:rPr>
        <w:t xml:space="preserve">95% </w:t>
      </w:r>
      <w:r w:rsidR="00807E71" w:rsidRPr="00807E71">
        <w:rPr>
          <w:rFonts w:ascii="Times New Roman" w:hAnsi="Times New Roman" w:cs="Times New Roman"/>
          <w:noProof/>
          <w:sz w:val="24"/>
          <w:szCs w:val="24"/>
        </w:rPr>
        <w:t xml:space="preserve">of generated waste oils (dry weight) </w:t>
      </w:r>
      <w:r w:rsidR="00807E71">
        <w:rPr>
          <w:rFonts w:ascii="Times New Roman" w:hAnsi="Times New Roman" w:cs="Times New Roman"/>
          <w:noProof/>
          <w:sz w:val="24"/>
          <w:szCs w:val="24"/>
        </w:rPr>
        <w:t xml:space="preserve">to be collected </w:t>
      </w:r>
      <w:r w:rsidRPr="537BC721">
        <w:rPr>
          <w:rFonts w:ascii="Times New Roman" w:hAnsi="Times New Roman" w:cs="Times New Roman"/>
          <w:noProof/>
          <w:sz w:val="24"/>
          <w:szCs w:val="24"/>
        </w:rPr>
        <w:t xml:space="preserve">by 2030  for Member </w:t>
      </w:r>
      <w:r w:rsidR="00807E71">
        <w:rPr>
          <w:rFonts w:ascii="Times New Roman" w:hAnsi="Times New Roman" w:cs="Times New Roman"/>
          <w:noProof/>
          <w:sz w:val="24"/>
          <w:szCs w:val="24"/>
        </w:rPr>
        <w:t>S</w:t>
      </w:r>
      <w:r w:rsidRPr="537BC721">
        <w:rPr>
          <w:rFonts w:ascii="Times New Roman" w:hAnsi="Times New Roman" w:cs="Times New Roman"/>
          <w:noProof/>
          <w:sz w:val="24"/>
          <w:szCs w:val="24"/>
        </w:rPr>
        <w:t xml:space="preserve">tates </w:t>
      </w:r>
      <w:r w:rsidR="00807E71">
        <w:rPr>
          <w:rFonts w:ascii="Times New Roman" w:hAnsi="Times New Roman" w:cs="Times New Roman"/>
          <w:noProof/>
          <w:sz w:val="24"/>
          <w:szCs w:val="24"/>
        </w:rPr>
        <w:t xml:space="preserve">that </w:t>
      </w:r>
      <w:r w:rsidRPr="537BC721">
        <w:rPr>
          <w:rFonts w:ascii="Times New Roman" w:hAnsi="Times New Roman" w:cs="Times New Roman"/>
          <w:noProof/>
          <w:sz w:val="24"/>
          <w:szCs w:val="24"/>
        </w:rPr>
        <w:t xml:space="preserve">already </w:t>
      </w:r>
      <w:r w:rsidR="00807E71">
        <w:rPr>
          <w:rFonts w:ascii="Times New Roman" w:hAnsi="Times New Roman" w:cs="Times New Roman"/>
          <w:noProof/>
          <w:sz w:val="24"/>
          <w:szCs w:val="24"/>
        </w:rPr>
        <w:t>collect more than 80%</w:t>
      </w:r>
      <w:r w:rsidRPr="537BC721">
        <w:rPr>
          <w:rFonts w:ascii="Times New Roman" w:hAnsi="Times New Roman" w:cs="Times New Roman"/>
          <w:noProof/>
          <w:sz w:val="24"/>
          <w:szCs w:val="24"/>
        </w:rPr>
        <w:t xml:space="preserve">. </w:t>
      </w:r>
    </w:p>
    <w:p w14:paraId="3B3D711A" w14:textId="77777777" w:rsidR="00B2567D" w:rsidRPr="00B2567D" w:rsidRDefault="00B2567D" w:rsidP="00B2567D">
      <w:pPr>
        <w:spacing w:after="120"/>
        <w:ind w:left="1620"/>
        <w:jc w:val="both"/>
        <w:rPr>
          <w:rFonts w:ascii="Times New Roman" w:hAnsi="Times New Roman" w:cs="Times New Roman"/>
          <w:noProof/>
          <w:sz w:val="24"/>
          <w:szCs w:val="24"/>
        </w:rPr>
      </w:pPr>
    </w:p>
    <w:p w14:paraId="1B12BF1C" w14:textId="3D599854" w:rsidR="00ED3AE2" w:rsidRPr="00ED3AE2" w:rsidRDefault="00ED3AE2" w:rsidP="00ED3AE2">
      <w:pPr>
        <w:pStyle w:val="ListParagraph"/>
        <w:numPr>
          <w:ilvl w:val="1"/>
          <w:numId w:val="1"/>
        </w:numPr>
        <w:spacing w:after="120"/>
        <w:contextualSpacing w:val="0"/>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Other </w:t>
      </w:r>
      <w:r w:rsidR="00DE2DC7">
        <w:rPr>
          <w:rFonts w:ascii="Times New Roman" w:hAnsi="Times New Roman" w:cs="Times New Roman"/>
          <w:b/>
          <w:bCs/>
          <w:noProof/>
          <w:sz w:val="24"/>
          <w:szCs w:val="24"/>
        </w:rPr>
        <w:t xml:space="preserve">possible </w:t>
      </w:r>
      <w:r>
        <w:rPr>
          <w:rFonts w:ascii="Times New Roman" w:hAnsi="Times New Roman" w:cs="Times New Roman"/>
          <w:b/>
          <w:bCs/>
          <w:noProof/>
          <w:sz w:val="24"/>
          <w:szCs w:val="24"/>
        </w:rPr>
        <w:t xml:space="preserve">measures to </w:t>
      </w:r>
      <w:r w:rsidRPr="00ED3AE2">
        <w:rPr>
          <w:rFonts w:ascii="Times New Roman" w:hAnsi="Times New Roman" w:cs="Times New Roman"/>
          <w:b/>
          <w:bCs/>
          <w:noProof/>
          <w:sz w:val="24"/>
          <w:szCs w:val="24"/>
        </w:rPr>
        <w:t xml:space="preserve">increase </w:t>
      </w:r>
      <w:r w:rsidR="00807E71">
        <w:rPr>
          <w:rFonts w:ascii="Times New Roman" w:hAnsi="Times New Roman" w:cs="Times New Roman"/>
          <w:b/>
          <w:bCs/>
          <w:noProof/>
          <w:sz w:val="24"/>
          <w:szCs w:val="24"/>
        </w:rPr>
        <w:t xml:space="preserve">waste oils </w:t>
      </w:r>
      <w:r w:rsidRPr="00ED3AE2">
        <w:rPr>
          <w:rFonts w:ascii="Times New Roman" w:hAnsi="Times New Roman" w:cs="Times New Roman"/>
          <w:b/>
          <w:bCs/>
          <w:noProof/>
          <w:sz w:val="24"/>
          <w:szCs w:val="24"/>
        </w:rPr>
        <w:t>collect</w:t>
      </w:r>
      <w:r w:rsidR="00807E71">
        <w:rPr>
          <w:rFonts w:ascii="Times New Roman" w:hAnsi="Times New Roman" w:cs="Times New Roman"/>
          <w:b/>
          <w:bCs/>
          <w:noProof/>
          <w:sz w:val="24"/>
          <w:szCs w:val="24"/>
        </w:rPr>
        <w:t>ion</w:t>
      </w:r>
      <w:r w:rsidR="00807E71">
        <w:rPr>
          <w:rStyle w:val="FootnoteReference"/>
          <w:rFonts w:ascii="Times New Roman" w:hAnsi="Times New Roman" w:cs="Times New Roman"/>
          <w:noProof/>
          <w:sz w:val="24"/>
          <w:szCs w:val="24"/>
        </w:rPr>
        <w:footnoteReference w:id="35"/>
      </w:r>
      <w:r w:rsidR="00807E71">
        <w:rPr>
          <w:rFonts w:ascii="Times New Roman" w:hAnsi="Times New Roman" w:cs="Times New Roman"/>
          <w:b/>
          <w:bCs/>
          <w:noProof/>
          <w:sz w:val="24"/>
          <w:szCs w:val="24"/>
        </w:rPr>
        <w:t xml:space="preserve"> </w:t>
      </w:r>
    </w:p>
    <w:p w14:paraId="76B9FF29" w14:textId="6B3A299D" w:rsidR="003E7509" w:rsidRPr="003E7509" w:rsidRDefault="003E7509" w:rsidP="00ED3AE2">
      <w:pPr>
        <w:pStyle w:val="ListParagraph"/>
        <w:numPr>
          <w:ilvl w:val="2"/>
          <w:numId w:val="1"/>
        </w:numPr>
        <w:spacing w:after="120"/>
        <w:contextualSpacing w:val="0"/>
        <w:jc w:val="both"/>
        <w:rPr>
          <w:rFonts w:ascii="Times New Roman" w:hAnsi="Times New Roman" w:cs="Times New Roman"/>
          <w:noProof/>
          <w:sz w:val="24"/>
          <w:szCs w:val="24"/>
        </w:rPr>
      </w:pPr>
      <w:r w:rsidRPr="00017288">
        <w:rPr>
          <w:rFonts w:ascii="Times New Roman" w:hAnsi="Times New Roman" w:cs="Times New Roman"/>
          <w:noProof/>
          <w:sz w:val="24"/>
          <w:szCs w:val="24"/>
        </w:rPr>
        <w:t>Introduce a subsidy for</w:t>
      </w:r>
      <w:r w:rsidRPr="003E7509">
        <w:rPr>
          <w:rFonts w:ascii="Times New Roman" w:hAnsi="Times New Roman" w:cs="Times New Roman"/>
          <w:noProof/>
          <w:sz w:val="24"/>
          <w:szCs w:val="24"/>
        </w:rPr>
        <w:t xml:space="preserve"> small waste holders</w:t>
      </w:r>
      <w:r w:rsidR="00D43914">
        <w:rPr>
          <w:rFonts w:ascii="Times New Roman" w:hAnsi="Times New Roman" w:cs="Times New Roman"/>
          <w:noProof/>
          <w:sz w:val="24"/>
          <w:szCs w:val="24"/>
        </w:rPr>
        <w:t xml:space="preserve">. </w:t>
      </w:r>
      <w:r w:rsidR="00D43914" w:rsidRPr="00D43914">
        <w:rPr>
          <w:rFonts w:ascii="Times New Roman" w:hAnsi="Times New Roman" w:cs="Times New Roman"/>
          <w:noProof/>
          <w:sz w:val="24"/>
          <w:szCs w:val="24"/>
        </w:rPr>
        <w:t xml:space="preserve">Approved small waste holders </w:t>
      </w:r>
      <w:r w:rsidR="00807E71">
        <w:rPr>
          <w:rFonts w:ascii="Times New Roman" w:hAnsi="Times New Roman" w:cs="Times New Roman"/>
          <w:noProof/>
          <w:sz w:val="24"/>
          <w:szCs w:val="24"/>
        </w:rPr>
        <w:t>c</w:t>
      </w:r>
      <w:r w:rsidR="009D1BA6">
        <w:rPr>
          <w:rFonts w:ascii="Times New Roman" w:hAnsi="Times New Roman" w:cs="Times New Roman"/>
          <w:noProof/>
          <w:sz w:val="24"/>
          <w:szCs w:val="24"/>
        </w:rPr>
        <w:t xml:space="preserve">ould </w:t>
      </w:r>
      <w:r w:rsidR="00D43914" w:rsidRPr="00D43914">
        <w:rPr>
          <w:rFonts w:ascii="Times New Roman" w:hAnsi="Times New Roman" w:cs="Times New Roman"/>
          <w:noProof/>
          <w:sz w:val="24"/>
          <w:szCs w:val="24"/>
        </w:rPr>
        <w:t>receive a flat</w:t>
      </w:r>
      <w:r w:rsidR="00CB46BB">
        <w:rPr>
          <w:rFonts w:ascii="Times New Roman" w:hAnsi="Times New Roman" w:cs="Times New Roman"/>
          <w:noProof/>
          <w:sz w:val="24"/>
          <w:szCs w:val="24"/>
        </w:rPr>
        <w:t>-</w:t>
      </w:r>
      <w:r w:rsidR="00D43914" w:rsidRPr="00D43914">
        <w:rPr>
          <w:rFonts w:ascii="Times New Roman" w:hAnsi="Times New Roman" w:cs="Times New Roman"/>
          <w:noProof/>
          <w:sz w:val="24"/>
          <w:szCs w:val="24"/>
        </w:rPr>
        <w:t>rate annual subsidy upon request to cover collection cost</w:t>
      </w:r>
      <w:r w:rsidR="00DA3CC7">
        <w:rPr>
          <w:rFonts w:ascii="Times New Roman" w:hAnsi="Times New Roman" w:cs="Times New Roman"/>
          <w:noProof/>
          <w:sz w:val="24"/>
          <w:szCs w:val="24"/>
        </w:rPr>
        <w:t>s</w:t>
      </w:r>
      <w:r w:rsidR="00D43914">
        <w:rPr>
          <w:rFonts w:ascii="Times New Roman" w:hAnsi="Times New Roman" w:cs="Times New Roman"/>
          <w:noProof/>
          <w:sz w:val="24"/>
          <w:szCs w:val="24"/>
        </w:rPr>
        <w:t>.</w:t>
      </w:r>
    </w:p>
    <w:p w14:paraId="587EBB35" w14:textId="535E7A33" w:rsidR="003E7509" w:rsidRPr="003E7509" w:rsidRDefault="003E7509" w:rsidP="00ED3AE2">
      <w:pPr>
        <w:pStyle w:val="ListParagraph"/>
        <w:numPr>
          <w:ilvl w:val="2"/>
          <w:numId w:val="1"/>
        </w:numPr>
        <w:spacing w:after="120"/>
        <w:contextualSpacing w:val="0"/>
        <w:jc w:val="both"/>
        <w:rPr>
          <w:rFonts w:ascii="Times New Roman" w:hAnsi="Times New Roman" w:cs="Times New Roman"/>
          <w:noProof/>
          <w:sz w:val="24"/>
          <w:szCs w:val="24"/>
        </w:rPr>
      </w:pPr>
      <w:r w:rsidRPr="003E7509">
        <w:rPr>
          <w:rFonts w:ascii="Times New Roman" w:hAnsi="Times New Roman" w:cs="Times New Roman"/>
          <w:noProof/>
          <w:sz w:val="24"/>
          <w:szCs w:val="24"/>
        </w:rPr>
        <w:t>Prohibit cha</w:t>
      </w:r>
      <w:r>
        <w:rPr>
          <w:rFonts w:ascii="Times New Roman" w:hAnsi="Times New Roman" w:cs="Times New Roman"/>
          <w:noProof/>
          <w:sz w:val="24"/>
          <w:szCs w:val="24"/>
        </w:rPr>
        <w:t>rging</w:t>
      </w:r>
      <w:r w:rsidRPr="003E7509">
        <w:rPr>
          <w:rFonts w:ascii="Times New Roman" w:hAnsi="Times New Roman" w:cs="Times New Roman"/>
          <w:noProof/>
          <w:sz w:val="24"/>
          <w:szCs w:val="24"/>
        </w:rPr>
        <w:t xml:space="preserve"> waste holders for collection</w:t>
      </w:r>
      <w:r w:rsidR="00D43914">
        <w:rPr>
          <w:rFonts w:ascii="Times New Roman" w:hAnsi="Times New Roman" w:cs="Times New Roman"/>
          <w:noProof/>
          <w:sz w:val="24"/>
          <w:szCs w:val="24"/>
        </w:rPr>
        <w:t xml:space="preserve"> (free collection or collector is paid)</w:t>
      </w:r>
      <w:r w:rsidR="00807E71">
        <w:rPr>
          <w:rFonts w:ascii="Times New Roman" w:hAnsi="Times New Roman" w:cs="Times New Roman"/>
          <w:noProof/>
          <w:sz w:val="24"/>
          <w:szCs w:val="24"/>
        </w:rPr>
        <w:t>, p</w:t>
      </w:r>
      <w:r w:rsidR="00D43914">
        <w:rPr>
          <w:rFonts w:ascii="Times New Roman" w:hAnsi="Times New Roman" w:cs="Times New Roman"/>
          <w:noProof/>
          <w:sz w:val="24"/>
          <w:szCs w:val="24"/>
        </w:rPr>
        <w:t>otentially subject to conditions such as minimum collection volume or quality requirements.</w:t>
      </w:r>
    </w:p>
    <w:p w14:paraId="10E0CF13" w14:textId="69A15559" w:rsidR="003E7509" w:rsidRPr="003E7509" w:rsidRDefault="7097D231" w:rsidP="0060783F">
      <w:pPr>
        <w:pStyle w:val="ListParagraph"/>
        <w:numPr>
          <w:ilvl w:val="2"/>
          <w:numId w:val="1"/>
        </w:numPr>
        <w:spacing w:after="120"/>
        <w:ind w:left="1803" w:hanging="181"/>
        <w:contextualSpacing w:val="0"/>
        <w:jc w:val="both"/>
        <w:rPr>
          <w:rFonts w:ascii="Times New Roman" w:hAnsi="Times New Roman" w:cs="Times New Roman"/>
          <w:noProof/>
          <w:sz w:val="24"/>
          <w:szCs w:val="24"/>
        </w:rPr>
      </w:pPr>
      <w:r w:rsidRPr="5747FA50">
        <w:rPr>
          <w:rFonts w:ascii="Times New Roman" w:hAnsi="Times New Roman" w:cs="Times New Roman"/>
          <w:noProof/>
          <w:sz w:val="24"/>
          <w:szCs w:val="24"/>
        </w:rPr>
        <w:t xml:space="preserve">Make it mandatory for waste oil collectors to provide </w:t>
      </w:r>
      <w:r w:rsidR="6193E681" w:rsidRPr="5747FA50">
        <w:rPr>
          <w:rFonts w:ascii="Times New Roman" w:hAnsi="Times New Roman" w:cs="Times New Roman"/>
          <w:noProof/>
          <w:sz w:val="24"/>
          <w:szCs w:val="24"/>
        </w:rPr>
        <w:t xml:space="preserve">a </w:t>
      </w:r>
      <w:r w:rsidR="001159EA" w:rsidRPr="001159EA">
        <w:rPr>
          <w:rFonts w:ascii="Times New Roman" w:hAnsi="Times New Roman" w:cs="Times New Roman"/>
          <w:noProof/>
          <w:sz w:val="24"/>
          <w:szCs w:val="24"/>
        </w:rPr>
        <w:t>spatially inclusive and comprehensive</w:t>
      </w:r>
      <w:r w:rsidR="001159EA">
        <w:rPr>
          <w:rFonts w:ascii="Times New Roman" w:hAnsi="Times New Roman" w:cs="Times New Roman"/>
          <w:noProof/>
          <w:sz w:val="24"/>
          <w:szCs w:val="24"/>
        </w:rPr>
        <w:t xml:space="preserve"> </w:t>
      </w:r>
      <w:r w:rsidRPr="5747FA50">
        <w:rPr>
          <w:rFonts w:ascii="Times New Roman" w:hAnsi="Times New Roman" w:cs="Times New Roman"/>
          <w:noProof/>
          <w:sz w:val="24"/>
          <w:szCs w:val="24"/>
        </w:rPr>
        <w:t>collection service</w:t>
      </w:r>
      <w:r w:rsidR="76EAE485" w:rsidRPr="5747FA50">
        <w:rPr>
          <w:rFonts w:ascii="Times New Roman" w:hAnsi="Times New Roman" w:cs="Times New Roman"/>
          <w:noProof/>
          <w:sz w:val="24"/>
          <w:szCs w:val="24"/>
        </w:rPr>
        <w:t>, thereby</w:t>
      </w:r>
      <w:r w:rsidRPr="5747FA50">
        <w:rPr>
          <w:rFonts w:ascii="Times New Roman" w:hAnsi="Times New Roman" w:cs="Times New Roman"/>
          <w:noProof/>
          <w:sz w:val="24"/>
          <w:szCs w:val="24"/>
        </w:rPr>
        <w:t xml:space="preserve"> </w:t>
      </w:r>
      <w:r w:rsidR="6A6FA392" w:rsidRPr="5747FA50">
        <w:rPr>
          <w:rFonts w:ascii="Times New Roman" w:hAnsi="Times New Roman" w:cs="Times New Roman"/>
          <w:noProof/>
          <w:sz w:val="24"/>
          <w:szCs w:val="24"/>
        </w:rPr>
        <w:t xml:space="preserve">guaranteeing </w:t>
      </w:r>
      <w:r w:rsidR="76EAE485" w:rsidRPr="5747FA50">
        <w:rPr>
          <w:rFonts w:ascii="Times New Roman" w:hAnsi="Times New Roman" w:cs="Times New Roman"/>
          <w:noProof/>
          <w:sz w:val="24"/>
          <w:szCs w:val="24"/>
        </w:rPr>
        <w:t xml:space="preserve">collection in less profitable </w:t>
      </w:r>
      <w:r w:rsidR="6A6FA392" w:rsidRPr="5747FA50">
        <w:rPr>
          <w:rFonts w:ascii="Times New Roman" w:hAnsi="Times New Roman" w:cs="Times New Roman"/>
          <w:noProof/>
          <w:sz w:val="24"/>
          <w:szCs w:val="24"/>
        </w:rPr>
        <w:t>cases</w:t>
      </w:r>
      <w:r w:rsidR="76EAE485" w:rsidRPr="5747FA50">
        <w:rPr>
          <w:rFonts w:ascii="Times New Roman" w:hAnsi="Times New Roman" w:cs="Times New Roman"/>
          <w:noProof/>
          <w:sz w:val="24"/>
          <w:szCs w:val="24"/>
        </w:rPr>
        <w:t xml:space="preserve"> (remote areas, small waste oil producers, etc).</w:t>
      </w:r>
    </w:p>
    <w:p w14:paraId="1B74D82F" w14:textId="4039A121" w:rsidR="003E7509" w:rsidRPr="003E7509" w:rsidRDefault="003E7509" w:rsidP="0060783F">
      <w:pPr>
        <w:pStyle w:val="ListParagraph"/>
        <w:numPr>
          <w:ilvl w:val="2"/>
          <w:numId w:val="1"/>
        </w:numPr>
        <w:spacing w:after="120"/>
        <w:ind w:left="1803" w:hanging="181"/>
        <w:contextualSpacing w:val="0"/>
        <w:jc w:val="both"/>
        <w:rPr>
          <w:rFonts w:ascii="Times New Roman" w:hAnsi="Times New Roman" w:cs="Times New Roman"/>
          <w:noProof/>
          <w:sz w:val="24"/>
          <w:szCs w:val="24"/>
        </w:rPr>
      </w:pPr>
      <w:r>
        <w:rPr>
          <w:rFonts w:ascii="Times New Roman" w:hAnsi="Times New Roman" w:cs="Times New Roman"/>
          <w:noProof/>
          <w:sz w:val="24"/>
          <w:szCs w:val="24"/>
        </w:rPr>
        <w:t>Give s</w:t>
      </w:r>
      <w:r w:rsidRPr="003E7509">
        <w:rPr>
          <w:rFonts w:ascii="Times New Roman" w:hAnsi="Times New Roman" w:cs="Times New Roman"/>
          <w:noProof/>
          <w:sz w:val="24"/>
          <w:szCs w:val="24"/>
        </w:rPr>
        <w:t xml:space="preserve">mall waste holders </w:t>
      </w:r>
      <w:r>
        <w:rPr>
          <w:rFonts w:ascii="Times New Roman" w:hAnsi="Times New Roman" w:cs="Times New Roman"/>
          <w:noProof/>
          <w:sz w:val="24"/>
          <w:szCs w:val="24"/>
        </w:rPr>
        <w:t xml:space="preserve">access </w:t>
      </w:r>
      <w:r w:rsidRPr="003E7509">
        <w:rPr>
          <w:rFonts w:ascii="Times New Roman" w:hAnsi="Times New Roman" w:cs="Times New Roman"/>
          <w:noProof/>
          <w:sz w:val="24"/>
          <w:szCs w:val="24"/>
        </w:rPr>
        <w:t>to municipal collection facilities</w:t>
      </w:r>
      <w:r w:rsidR="00D43914">
        <w:rPr>
          <w:rFonts w:ascii="Times New Roman" w:hAnsi="Times New Roman" w:cs="Times New Roman"/>
          <w:noProof/>
          <w:sz w:val="24"/>
          <w:szCs w:val="24"/>
        </w:rPr>
        <w:t xml:space="preserve"> (</w:t>
      </w:r>
      <w:r w:rsidR="00CB46BB">
        <w:rPr>
          <w:rFonts w:ascii="Times New Roman" w:hAnsi="Times New Roman" w:cs="Times New Roman"/>
          <w:noProof/>
          <w:sz w:val="24"/>
          <w:szCs w:val="24"/>
        </w:rPr>
        <w:t xml:space="preserve">e.g. </w:t>
      </w:r>
      <w:r w:rsidR="00D43914">
        <w:rPr>
          <w:rFonts w:ascii="Times New Roman" w:hAnsi="Times New Roman" w:cs="Times New Roman"/>
          <w:noProof/>
          <w:sz w:val="24"/>
          <w:szCs w:val="24"/>
        </w:rPr>
        <w:t xml:space="preserve">civic amenity sites). This </w:t>
      </w:r>
      <w:r w:rsidR="00DE2DC7">
        <w:rPr>
          <w:rFonts w:ascii="Times New Roman" w:hAnsi="Times New Roman" w:cs="Times New Roman"/>
          <w:noProof/>
          <w:sz w:val="24"/>
          <w:szCs w:val="24"/>
        </w:rPr>
        <w:t>would</w:t>
      </w:r>
      <w:r w:rsidR="00D43914">
        <w:rPr>
          <w:rFonts w:ascii="Times New Roman" w:hAnsi="Times New Roman" w:cs="Times New Roman"/>
          <w:noProof/>
          <w:sz w:val="24"/>
          <w:szCs w:val="24"/>
        </w:rPr>
        <w:t xml:space="preserve"> p</w:t>
      </w:r>
      <w:r w:rsidR="00D43914" w:rsidRPr="00D43914">
        <w:rPr>
          <w:rFonts w:ascii="Times New Roman" w:hAnsi="Times New Roman" w:cs="Times New Roman"/>
          <w:noProof/>
          <w:sz w:val="24"/>
          <w:szCs w:val="24"/>
        </w:rPr>
        <w:t>rovide a convenient service for small waste oil producers</w:t>
      </w:r>
      <w:r w:rsidR="000660E1">
        <w:rPr>
          <w:rFonts w:ascii="Times New Roman" w:hAnsi="Times New Roman" w:cs="Times New Roman"/>
          <w:noProof/>
          <w:sz w:val="24"/>
          <w:szCs w:val="24"/>
        </w:rPr>
        <w:t>,</w:t>
      </w:r>
      <w:r w:rsidR="00D43914" w:rsidRPr="00D43914">
        <w:rPr>
          <w:rFonts w:ascii="Times New Roman" w:hAnsi="Times New Roman" w:cs="Times New Roman"/>
          <w:noProof/>
          <w:sz w:val="24"/>
          <w:szCs w:val="24"/>
        </w:rPr>
        <w:t xml:space="preserve"> </w:t>
      </w:r>
      <w:r w:rsidR="00D43914">
        <w:rPr>
          <w:rFonts w:ascii="Times New Roman" w:hAnsi="Times New Roman" w:cs="Times New Roman"/>
          <w:noProof/>
          <w:sz w:val="24"/>
          <w:szCs w:val="24"/>
        </w:rPr>
        <w:t>reducing risk of illegal disposal</w:t>
      </w:r>
      <w:r w:rsidR="00D43914" w:rsidRPr="00D43914">
        <w:rPr>
          <w:rFonts w:ascii="Times New Roman" w:hAnsi="Times New Roman" w:cs="Times New Roman"/>
          <w:noProof/>
          <w:sz w:val="24"/>
          <w:szCs w:val="24"/>
        </w:rPr>
        <w:t>.</w:t>
      </w:r>
    </w:p>
    <w:p w14:paraId="07ADFB83" w14:textId="343B83D6" w:rsidR="00CB0F97" w:rsidRPr="00CB0F97" w:rsidRDefault="003E7509" w:rsidP="00CB0F97">
      <w:pPr>
        <w:pStyle w:val="ListParagraph"/>
        <w:numPr>
          <w:ilvl w:val="2"/>
          <w:numId w:val="1"/>
        </w:numPr>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Define s</w:t>
      </w:r>
      <w:r w:rsidRPr="003E7509">
        <w:rPr>
          <w:rFonts w:ascii="Times New Roman" w:hAnsi="Times New Roman" w:cs="Times New Roman"/>
          <w:noProof/>
          <w:sz w:val="24"/>
          <w:szCs w:val="24"/>
        </w:rPr>
        <w:t xml:space="preserve">pecific criteria to license </w:t>
      </w:r>
      <w:r w:rsidR="00CB0F97">
        <w:rPr>
          <w:rFonts w:ascii="Times New Roman" w:hAnsi="Times New Roman" w:cs="Times New Roman"/>
          <w:noProof/>
          <w:sz w:val="24"/>
          <w:szCs w:val="24"/>
        </w:rPr>
        <w:t xml:space="preserve">waste oil </w:t>
      </w:r>
      <w:r w:rsidRPr="003E7509">
        <w:rPr>
          <w:rFonts w:ascii="Times New Roman" w:hAnsi="Times New Roman" w:cs="Times New Roman"/>
          <w:noProof/>
          <w:sz w:val="24"/>
          <w:szCs w:val="24"/>
        </w:rPr>
        <w:t>collectors</w:t>
      </w:r>
      <w:r w:rsidR="000660E1">
        <w:rPr>
          <w:rFonts w:ascii="Times New Roman" w:hAnsi="Times New Roman" w:cs="Times New Roman"/>
          <w:noProof/>
          <w:sz w:val="24"/>
          <w:szCs w:val="24"/>
        </w:rPr>
        <w:t xml:space="preserve">, </w:t>
      </w:r>
      <w:r w:rsidR="00CB0F97">
        <w:rPr>
          <w:rFonts w:ascii="Times New Roman" w:hAnsi="Times New Roman" w:cs="Times New Roman"/>
          <w:noProof/>
          <w:sz w:val="24"/>
          <w:szCs w:val="24"/>
        </w:rPr>
        <w:t>defining minimum requirements e.g.</w:t>
      </w:r>
      <w:r w:rsidR="00807E71">
        <w:rPr>
          <w:rFonts w:ascii="Times New Roman" w:hAnsi="Times New Roman" w:cs="Times New Roman"/>
          <w:noProof/>
          <w:sz w:val="24"/>
          <w:szCs w:val="24"/>
        </w:rPr>
        <w:t>,</w:t>
      </w:r>
      <w:r w:rsidR="00CB0F97">
        <w:rPr>
          <w:rFonts w:ascii="Times New Roman" w:hAnsi="Times New Roman" w:cs="Times New Roman"/>
          <w:noProof/>
          <w:sz w:val="24"/>
          <w:szCs w:val="24"/>
        </w:rPr>
        <w:t xml:space="preserve"> in relation to geographical coverage of service, storage and quality control capacity, etc. </w:t>
      </w:r>
    </w:p>
    <w:p w14:paraId="07DD496E" w14:textId="346EE549" w:rsidR="00ED3AE2" w:rsidRPr="00ED3AE2" w:rsidRDefault="00DE2DC7" w:rsidP="00456BAE">
      <w:pPr>
        <w:pStyle w:val="ListParagraph"/>
        <w:numPr>
          <w:ilvl w:val="1"/>
          <w:numId w:val="1"/>
        </w:numPr>
        <w:spacing w:after="120"/>
        <w:contextualSpacing w:val="0"/>
        <w:jc w:val="both"/>
        <w:rPr>
          <w:rFonts w:ascii="Times New Roman" w:hAnsi="Times New Roman" w:cs="Times New Roman"/>
          <w:b/>
          <w:bCs/>
          <w:noProof/>
          <w:sz w:val="24"/>
          <w:szCs w:val="24"/>
        </w:rPr>
      </w:pPr>
      <w:r>
        <w:rPr>
          <w:rFonts w:ascii="Times New Roman" w:hAnsi="Times New Roman" w:cs="Times New Roman"/>
          <w:b/>
          <w:bCs/>
          <w:noProof/>
          <w:sz w:val="24"/>
          <w:szCs w:val="24"/>
        </w:rPr>
        <w:t>Possible m</w:t>
      </w:r>
      <w:r w:rsidR="00ED3AE2" w:rsidRPr="00ED3AE2">
        <w:rPr>
          <w:rFonts w:ascii="Times New Roman" w:hAnsi="Times New Roman" w:cs="Times New Roman"/>
          <w:b/>
          <w:bCs/>
          <w:noProof/>
          <w:sz w:val="24"/>
          <w:szCs w:val="24"/>
        </w:rPr>
        <w:t>easures to increase collected waste oil quality</w:t>
      </w:r>
      <w:r w:rsidR="00881C35">
        <w:rPr>
          <w:rStyle w:val="FootnoteReference"/>
          <w:rFonts w:ascii="Times New Roman" w:hAnsi="Times New Roman" w:cs="Times New Roman"/>
          <w:b/>
          <w:bCs/>
          <w:noProof/>
          <w:sz w:val="24"/>
          <w:szCs w:val="24"/>
        </w:rPr>
        <w:footnoteReference w:id="36"/>
      </w:r>
    </w:p>
    <w:p w14:paraId="487838D5" w14:textId="77777777" w:rsidR="00880FA1" w:rsidRDefault="00F82455" w:rsidP="00ED3AE2">
      <w:pPr>
        <w:pStyle w:val="ListParagraph"/>
        <w:numPr>
          <w:ilvl w:val="2"/>
          <w:numId w:val="1"/>
        </w:numPr>
        <w:spacing w:after="120"/>
        <w:contextualSpacing w:val="0"/>
        <w:jc w:val="both"/>
        <w:rPr>
          <w:rFonts w:ascii="Times New Roman" w:hAnsi="Times New Roman" w:cs="Times New Roman"/>
          <w:noProof/>
          <w:sz w:val="24"/>
          <w:szCs w:val="24"/>
        </w:rPr>
      </w:pPr>
      <w:r w:rsidRPr="00880FA1">
        <w:rPr>
          <w:rFonts w:ascii="Times New Roman" w:hAnsi="Times New Roman" w:cs="Times New Roman"/>
          <w:noProof/>
          <w:sz w:val="24"/>
          <w:szCs w:val="24"/>
        </w:rPr>
        <w:t>Define m</w:t>
      </w:r>
      <w:r w:rsidR="00ED3AE2" w:rsidRPr="00880FA1">
        <w:rPr>
          <w:rFonts w:ascii="Times New Roman" w:hAnsi="Times New Roman" w:cs="Times New Roman"/>
          <w:noProof/>
          <w:sz w:val="24"/>
          <w:szCs w:val="24"/>
        </w:rPr>
        <w:t>andatory quality control by waste collectors</w:t>
      </w:r>
      <w:r w:rsidR="00CB0F97" w:rsidRPr="00880FA1">
        <w:rPr>
          <w:rFonts w:ascii="Times New Roman" w:hAnsi="Times New Roman" w:cs="Times New Roman"/>
          <w:noProof/>
          <w:sz w:val="24"/>
          <w:szCs w:val="24"/>
        </w:rPr>
        <w:t xml:space="preserve"> (including control points, frequency, parameters, etc). </w:t>
      </w:r>
    </w:p>
    <w:p w14:paraId="1BBA0047" w14:textId="7C9FE360" w:rsidR="00880FA1" w:rsidRPr="00880FA1" w:rsidRDefault="06092165" w:rsidP="0060783F">
      <w:pPr>
        <w:pStyle w:val="ListParagraph"/>
        <w:numPr>
          <w:ilvl w:val="2"/>
          <w:numId w:val="1"/>
        </w:numPr>
        <w:spacing w:after="120"/>
        <w:ind w:left="1803" w:hanging="181"/>
        <w:contextualSpacing w:val="0"/>
        <w:jc w:val="both"/>
        <w:rPr>
          <w:rFonts w:ascii="Times New Roman" w:hAnsi="Times New Roman" w:cs="Times New Roman"/>
          <w:noProof/>
          <w:sz w:val="24"/>
          <w:szCs w:val="24"/>
        </w:rPr>
      </w:pPr>
      <w:r w:rsidRPr="5747FA50">
        <w:rPr>
          <w:rFonts w:ascii="Times New Roman" w:hAnsi="Times New Roman" w:cs="Times New Roman"/>
          <w:noProof/>
          <w:sz w:val="24"/>
          <w:szCs w:val="24"/>
        </w:rPr>
        <w:t xml:space="preserve">Ensure separate collection of waste streams </w:t>
      </w:r>
      <w:r w:rsidR="0DA06F0A" w:rsidRPr="5747FA50">
        <w:rPr>
          <w:rFonts w:ascii="Times New Roman" w:hAnsi="Times New Roman" w:cs="Times New Roman"/>
          <w:noProof/>
          <w:sz w:val="24"/>
          <w:szCs w:val="24"/>
        </w:rPr>
        <w:t xml:space="preserve">with potential to </w:t>
      </w:r>
      <w:r w:rsidRPr="5747FA50">
        <w:rPr>
          <w:rFonts w:ascii="Times New Roman" w:hAnsi="Times New Roman" w:cs="Times New Roman"/>
          <w:noProof/>
          <w:sz w:val="24"/>
          <w:szCs w:val="24"/>
        </w:rPr>
        <w:t>contaminate waste oils (e.g. vegetable and cooking oil, brake fluids)</w:t>
      </w:r>
      <w:r w:rsidR="233A4F34" w:rsidRPr="5747FA50">
        <w:rPr>
          <w:rFonts w:ascii="Times New Roman" w:hAnsi="Times New Roman" w:cs="Times New Roman"/>
          <w:noProof/>
          <w:sz w:val="24"/>
          <w:szCs w:val="24"/>
        </w:rPr>
        <w:t>.</w:t>
      </w:r>
    </w:p>
    <w:p w14:paraId="467BA03D" w14:textId="320F28C1" w:rsidR="00ED3AE2" w:rsidRPr="00ED3AE2" w:rsidRDefault="38DF98C3" w:rsidP="0060783F">
      <w:pPr>
        <w:pStyle w:val="ListParagraph"/>
        <w:numPr>
          <w:ilvl w:val="2"/>
          <w:numId w:val="1"/>
        </w:numPr>
        <w:spacing w:after="120"/>
        <w:ind w:left="1803" w:hanging="181"/>
        <w:contextualSpacing w:val="0"/>
        <w:jc w:val="both"/>
        <w:rPr>
          <w:rFonts w:ascii="Times New Roman" w:hAnsi="Times New Roman" w:cs="Times New Roman"/>
          <w:noProof/>
          <w:sz w:val="24"/>
          <w:szCs w:val="24"/>
        </w:rPr>
      </w:pPr>
      <w:r w:rsidRPr="5747FA50">
        <w:rPr>
          <w:rFonts w:ascii="Times New Roman" w:hAnsi="Times New Roman" w:cs="Times New Roman"/>
          <w:noProof/>
          <w:sz w:val="24"/>
          <w:szCs w:val="24"/>
        </w:rPr>
        <w:t>Require w</w:t>
      </w:r>
      <w:r w:rsidR="4AD76DE1" w:rsidRPr="5747FA50">
        <w:rPr>
          <w:rFonts w:ascii="Times New Roman" w:hAnsi="Times New Roman" w:cs="Times New Roman"/>
          <w:noProof/>
          <w:sz w:val="24"/>
          <w:szCs w:val="24"/>
        </w:rPr>
        <w:t>aste holders that contaminate the waste oil</w:t>
      </w:r>
      <w:r w:rsidR="00807E71">
        <w:rPr>
          <w:rFonts w:ascii="Times New Roman" w:hAnsi="Times New Roman" w:cs="Times New Roman"/>
          <w:noProof/>
          <w:sz w:val="24"/>
          <w:szCs w:val="24"/>
        </w:rPr>
        <w:t>s</w:t>
      </w:r>
      <w:r w:rsidR="4AD76DE1" w:rsidRPr="5747FA50">
        <w:rPr>
          <w:rFonts w:ascii="Times New Roman" w:hAnsi="Times New Roman" w:cs="Times New Roman"/>
          <w:noProof/>
          <w:sz w:val="24"/>
          <w:szCs w:val="24"/>
        </w:rPr>
        <w:t xml:space="preserve"> </w:t>
      </w:r>
      <w:r w:rsidRPr="5747FA50">
        <w:rPr>
          <w:rFonts w:ascii="Times New Roman" w:hAnsi="Times New Roman" w:cs="Times New Roman"/>
          <w:noProof/>
          <w:sz w:val="24"/>
          <w:szCs w:val="24"/>
        </w:rPr>
        <w:t xml:space="preserve">(e.g. by improper segregation and subsequent contamination </w:t>
      </w:r>
      <w:r w:rsidR="001159EA">
        <w:rPr>
          <w:rFonts w:ascii="Times New Roman" w:hAnsi="Times New Roman" w:cs="Times New Roman"/>
          <w:noProof/>
          <w:sz w:val="24"/>
          <w:szCs w:val="24"/>
        </w:rPr>
        <w:t xml:space="preserve">of </w:t>
      </w:r>
      <w:r w:rsidRPr="5747FA50">
        <w:rPr>
          <w:rFonts w:ascii="Times New Roman" w:hAnsi="Times New Roman" w:cs="Times New Roman"/>
          <w:noProof/>
          <w:sz w:val="24"/>
          <w:szCs w:val="24"/>
        </w:rPr>
        <w:t>batches</w:t>
      </w:r>
      <w:r w:rsidR="67C6ACF9" w:rsidRPr="5747FA50">
        <w:rPr>
          <w:rFonts w:ascii="Times New Roman" w:hAnsi="Times New Roman" w:cs="Times New Roman"/>
          <w:noProof/>
          <w:sz w:val="24"/>
          <w:szCs w:val="24"/>
        </w:rPr>
        <w:t xml:space="preserve"> in a lorry or storage tank</w:t>
      </w:r>
      <w:r w:rsidRPr="5747FA50">
        <w:rPr>
          <w:rFonts w:ascii="Times New Roman" w:hAnsi="Times New Roman" w:cs="Times New Roman"/>
          <w:noProof/>
          <w:sz w:val="24"/>
          <w:szCs w:val="24"/>
        </w:rPr>
        <w:t xml:space="preserve">) </w:t>
      </w:r>
      <w:r w:rsidR="233A4F34" w:rsidRPr="5747FA50">
        <w:rPr>
          <w:rFonts w:ascii="Times New Roman" w:hAnsi="Times New Roman" w:cs="Times New Roman"/>
          <w:noProof/>
          <w:sz w:val="24"/>
          <w:szCs w:val="24"/>
        </w:rPr>
        <w:t xml:space="preserve">to </w:t>
      </w:r>
      <w:r w:rsidR="4AD76DE1" w:rsidRPr="5747FA50">
        <w:rPr>
          <w:rFonts w:ascii="Times New Roman" w:hAnsi="Times New Roman" w:cs="Times New Roman"/>
          <w:noProof/>
          <w:sz w:val="24"/>
          <w:szCs w:val="24"/>
        </w:rPr>
        <w:t xml:space="preserve">pay for </w:t>
      </w:r>
      <w:r w:rsidRPr="5747FA50">
        <w:rPr>
          <w:rFonts w:ascii="Times New Roman" w:hAnsi="Times New Roman" w:cs="Times New Roman"/>
          <w:noProof/>
          <w:sz w:val="24"/>
          <w:szCs w:val="24"/>
        </w:rPr>
        <w:t>its</w:t>
      </w:r>
      <w:r w:rsidR="4AD76DE1" w:rsidRPr="5747FA50">
        <w:rPr>
          <w:rFonts w:ascii="Times New Roman" w:hAnsi="Times New Roman" w:cs="Times New Roman"/>
          <w:noProof/>
          <w:sz w:val="24"/>
          <w:szCs w:val="24"/>
        </w:rPr>
        <w:t xml:space="preserve"> treatment</w:t>
      </w:r>
      <w:r w:rsidR="50F14BF4" w:rsidRPr="5747FA50">
        <w:rPr>
          <w:rFonts w:ascii="Times New Roman" w:hAnsi="Times New Roman" w:cs="Times New Roman"/>
          <w:noProof/>
          <w:sz w:val="24"/>
          <w:szCs w:val="24"/>
        </w:rPr>
        <w:t>.</w:t>
      </w:r>
    </w:p>
    <w:p w14:paraId="5745E08E" w14:textId="234BB647" w:rsidR="00ED3AE2" w:rsidRPr="003E7509" w:rsidRDefault="00ED3AE2" w:rsidP="0060783F">
      <w:pPr>
        <w:pStyle w:val="ListParagraph"/>
        <w:numPr>
          <w:ilvl w:val="2"/>
          <w:numId w:val="1"/>
        </w:numPr>
        <w:spacing w:after="120"/>
        <w:ind w:left="1803" w:hanging="181"/>
        <w:contextualSpacing w:val="0"/>
        <w:jc w:val="both"/>
        <w:rPr>
          <w:rFonts w:ascii="Times New Roman" w:hAnsi="Times New Roman" w:cs="Times New Roman"/>
          <w:noProof/>
          <w:sz w:val="24"/>
          <w:szCs w:val="24"/>
        </w:rPr>
      </w:pPr>
      <w:r w:rsidRPr="00ED3AE2">
        <w:rPr>
          <w:rFonts w:ascii="Times New Roman" w:hAnsi="Times New Roman" w:cs="Times New Roman"/>
          <w:noProof/>
          <w:sz w:val="24"/>
          <w:szCs w:val="24"/>
        </w:rPr>
        <w:t xml:space="preserve">Establish </w:t>
      </w:r>
      <w:r w:rsidR="00F82455">
        <w:rPr>
          <w:rFonts w:ascii="Times New Roman" w:hAnsi="Times New Roman" w:cs="Times New Roman"/>
          <w:noProof/>
          <w:sz w:val="24"/>
          <w:szCs w:val="24"/>
        </w:rPr>
        <w:t xml:space="preserve">detailed </w:t>
      </w:r>
      <w:r w:rsidRPr="00ED3AE2">
        <w:rPr>
          <w:rFonts w:ascii="Times New Roman" w:hAnsi="Times New Roman" w:cs="Times New Roman"/>
          <w:noProof/>
          <w:sz w:val="24"/>
          <w:szCs w:val="24"/>
        </w:rPr>
        <w:t xml:space="preserve">guidelines </w:t>
      </w:r>
      <w:r w:rsidR="00B46C02">
        <w:rPr>
          <w:rFonts w:ascii="Times New Roman" w:hAnsi="Times New Roman" w:cs="Times New Roman"/>
          <w:noProof/>
          <w:sz w:val="24"/>
          <w:szCs w:val="24"/>
        </w:rPr>
        <w:t xml:space="preserve">and provide training </w:t>
      </w:r>
      <w:r w:rsidR="00F82455">
        <w:rPr>
          <w:rFonts w:ascii="Times New Roman" w:hAnsi="Times New Roman" w:cs="Times New Roman"/>
          <w:noProof/>
          <w:sz w:val="24"/>
          <w:szCs w:val="24"/>
        </w:rPr>
        <w:t xml:space="preserve">to </w:t>
      </w:r>
      <w:r w:rsidRPr="00ED3AE2">
        <w:rPr>
          <w:rFonts w:ascii="Times New Roman" w:hAnsi="Times New Roman" w:cs="Times New Roman"/>
          <w:noProof/>
          <w:sz w:val="24"/>
          <w:szCs w:val="24"/>
        </w:rPr>
        <w:t xml:space="preserve">clarify </w:t>
      </w:r>
      <w:r w:rsidR="009D1BA6">
        <w:rPr>
          <w:rFonts w:ascii="Times New Roman" w:hAnsi="Times New Roman" w:cs="Times New Roman"/>
          <w:noProof/>
          <w:sz w:val="24"/>
          <w:szCs w:val="24"/>
        </w:rPr>
        <w:t xml:space="preserve">which </w:t>
      </w:r>
      <w:r w:rsidRPr="00ED3AE2">
        <w:rPr>
          <w:rFonts w:ascii="Times New Roman" w:hAnsi="Times New Roman" w:cs="Times New Roman"/>
          <w:noProof/>
          <w:sz w:val="24"/>
          <w:szCs w:val="24"/>
        </w:rPr>
        <w:t>waste oils should be kept segregated by the waste holder</w:t>
      </w:r>
      <w:r w:rsidR="006F2BAB">
        <w:rPr>
          <w:rFonts w:ascii="Times New Roman" w:hAnsi="Times New Roman" w:cs="Times New Roman"/>
          <w:noProof/>
          <w:sz w:val="24"/>
          <w:szCs w:val="24"/>
        </w:rPr>
        <w:t xml:space="preserve"> (e.g. avoid mixing with </w:t>
      </w:r>
      <w:r w:rsidR="00484800">
        <w:rPr>
          <w:rFonts w:ascii="Times New Roman" w:hAnsi="Times New Roman" w:cs="Times New Roman"/>
          <w:noProof/>
          <w:sz w:val="24"/>
          <w:szCs w:val="24"/>
        </w:rPr>
        <w:t>p</w:t>
      </w:r>
      <w:r w:rsidR="00044430" w:rsidRPr="00044430">
        <w:rPr>
          <w:rFonts w:ascii="Times New Roman" w:hAnsi="Times New Roman" w:cs="Times New Roman"/>
          <w:noProof/>
          <w:sz w:val="24"/>
          <w:szCs w:val="24"/>
        </w:rPr>
        <w:t>olychlorinated biphenyl</w:t>
      </w:r>
      <w:r w:rsidR="006F2BAB">
        <w:rPr>
          <w:rFonts w:ascii="Times New Roman" w:hAnsi="Times New Roman" w:cs="Times New Roman"/>
          <w:noProof/>
          <w:sz w:val="24"/>
          <w:szCs w:val="24"/>
        </w:rPr>
        <w:t xml:space="preserve"> oils, brake fluids, etc).</w:t>
      </w:r>
    </w:p>
    <w:p w14:paraId="6B1F17DD" w14:textId="48BAE660" w:rsidR="00E92F2F" w:rsidRDefault="00D43914" w:rsidP="00E92F2F">
      <w:pPr>
        <w:jc w:val="both"/>
        <w:rPr>
          <w:rFonts w:ascii="Times New Roman" w:hAnsi="Times New Roman" w:cs="Times New Roman"/>
          <w:noProof/>
          <w:sz w:val="24"/>
          <w:szCs w:val="24"/>
        </w:rPr>
      </w:pPr>
      <w:r>
        <w:rPr>
          <w:rFonts w:ascii="Times New Roman" w:hAnsi="Times New Roman" w:cs="Times New Roman"/>
          <w:noProof/>
          <w:sz w:val="24"/>
          <w:szCs w:val="24"/>
        </w:rPr>
        <w:t>It should be noted that not all listed measures can be combined (e</w:t>
      </w:r>
      <w:r w:rsidR="00807E71">
        <w:rPr>
          <w:rFonts w:ascii="Times New Roman" w:hAnsi="Times New Roman" w:cs="Times New Roman"/>
          <w:noProof/>
          <w:sz w:val="24"/>
          <w:szCs w:val="24"/>
        </w:rPr>
        <w:t>.</w:t>
      </w:r>
      <w:r>
        <w:rPr>
          <w:rFonts w:ascii="Times New Roman" w:hAnsi="Times New Roman" w:cs="Times New Roman"/>
          <w:noProof/>
          <w:sz w:val="24"/>
          <w:szCs w:val="24"/>
        </w:rPr>
        <w:t>g</w:t>
      </w:r>
      <w:r w:rsidR="00807E71">
        <w:rPr>
          <w:rFonts w:ascii="Times New Roman" w:hAnsi="Times New Roman" w:cs="Times New Roman"/>
          <w:noProof/>
          <w:sz w:val="24"/>
          <w:szCs w:val="24"/>
        </w:rPr>
        <w:t>.</w:t>
      </w:r>
      <w:r>
        <w:rPr>
          <w:rFonts w:ascii="Times New Roman" w:hAnsi="Times New Roman" w:cs="Times New Roman"/>
          <w:noProof/>
          <w:sz w:val="24"/>
          <w:szCs w:val="24"/>
        </w:rPr>
        <w:t>, subsidies for small waste holders + free/paid collection) and that the best way to implement measures can be very specific to the national context including</w:t>
      </w:r>
      <w:r w:rsidR="00DA3CC7">
        <w:rPr>
          <w:rFonts w:ascii="Times New Roman" w:hAnsi="Times New Roman" w:cs="Times New Roman"/>
          <w:noProof/>
          <w:sz w:val="24"/>
          <w:szCs w:val="24"/>
        </w:rPr>
        <w:t>,</w:t>
      </w:r>
      <w:r>
        <w:rPr>
          <w:rFonts w:ascii="Times New Roman" w:hAnsi="Times New Roman" w:cs="Times New Roman"/>
          <w:noProof/>
          <w:sz w:val="24"/>
          <w:szCs w:val="24"/>
        </w:rPr>
        <w:t xml:space="preserve"> for instance</w:t>
      </w:r>
      <w:r w:rsidR="00DA3CC7">
        <w:rPr>
          <w:rFonts w:ascii="Times New Roman" w:hAnsi="Times New Roman" w:cs="Times New Roman"/>
          <w:noProof/>
          <w:sz w:val="24"/>
          <w:szCs w:val="24"/>
        </w:rPr>
        <w:t>,</w:t>
      </w:r>
      <w:r>
        <w:rPr>
          <w:rFonts w:ascii="Times New Roman" w:hAnsi="Times New Roman" w:cs="Times New Roman"/>
          <w:noProof/>
          <w:sz w:val="24"/>
          <w:szCs w:val="24"/>
        </w:rPr>
        <w:t xml:space="preserve"> whether measures are adopted as part of an EPR scheme or otherwise via specific legal provisions, guidance</w:t>
      </w:r>
      <w:r w:rsidR="00807E71">
        <w:rPr>
          <w:rFonts w:ascii="Times New Roman" w:hAnsi="Times New Roman" w:cs="Times New Roman"/>
          <w:noProof/>
          <w:sz w:val="24"/>
          <w:szCs w:val="24"/>
        </w:rPr>
        <w:t>,</w:t>
      </w:r>
      <w:r>
        <w:rPr>
          <w:rFonts w:ascii="Times New Roman" w:hAnsi="Times New Roman" w:cs="Times New Roman"/>
          <w:noProof/>
          <w:sz w:val="24"/>
          <w:szCs w:val="24"/>
        </w:rPr>
        <w:t xml:space="preserve"> or other</w:t>
      </w:r>
      <w:r w:rsidR="00D76CD6">
        <w:rPr>
          <w:rFonts w:ascii="Times New Roman" w:hAnsi="Times New Roman" w:cs="Times New Roman"/>
          <w:noProof/>
          <w:sz w:val="24"/>
          <w:szCs w:val="24"/>
        </w:rPr>
        <w:t xml:space="preserve"> means</w:t>
      </w:r>
      <w:r w:rsidR="005A679C">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w:t>
      </w:r>
      <w:r w:rsidR="00881C35">
        <w:rPr>
          <w:rFonts w:ascii="Times New Roman" w:hAnsi="Times New Roman" w:cs="Times New Roman"/>
          <w:noProof/>
          <w:sz w:val="24"/>
          <w:szCs w:val="24"/>
        </w:rPr>
        <w:t xml:space="preserve">These measures should be further complemented </w:t>
      </w:r>
      <w:r w:rsidR="009F5957">
        <w:rPr>
          <w:rFonts w:ascii="Times New Roman" w:hAnsi="Times New Roman" w:cs="Times New Roman"/>
          <w:noProof/>
          <w:sz w:val="24"/>
          <w:szCs w:val="24"/>
        </w:rPr>
        <w:t xml:space="preserve">with enforcement by Member States and </w:t>
      </w:r>
      <w:r w:rsidR="00881C35">
        <w:rPr>
          <w:rFonts w:ascii="Times New Roman" w:hAnsi="Times New Roman" w:cs="Times New Roman"/>
          <w:noProof/>
          <w:sz w:val="24"/>
          <w:szCs w:val="24"/>
        </w:rPr>
        <w:t>with information and awareness</w:t>
      </w:r>
      <w:r w:rsidR="00DA3CC7">
        <w:rPr>
          <w:rFonts w:ascii="Times New Roman" w:hAnsi="Times New Roman" w:cs="Times New Roman"/>
          <w:noProof/>
          <w:sz w:val="24"/>
          <w:szCs w:val="24"/>
        </w:rPr>
        <w:t>-</w:t>
      </w:r>
      <w:r w:rsidR="00881C35">
        <w:rPr>
          <w:rFonts w:ascii="Times New Roman" w:hAnsi="Times New Roman" w:cs="Times New Roman"/>
          <w:noProof/>
          <w:sz w:val="24"/>
          <w:szCs w:val="24"/>
        </w:rPr>
        <w:t xml:space="preserve">raising activities addressed to waste oil producers and to the general public. </w:t>
      </w:r>
    </w:p>
    <w:p w14:paraId="13F7312E" w14:textId="27A88563" w:rsidR="000471A5" w:rsidRPr="00196B57" w:rsidRDefault="000471A5" w:rsidP="000471A5">
      <w:pPr>
        <w:pStyle w:val="ListParagraph"/>
        <w:numPr>
          <w:ilvl w:val="0"/>
          <w:numId w:val="1"/>
        </w:numPr>
        <w:rPr>
          <w:rFonts w:ascii="Times New Roman" w:hAnsi="Times New Roman" w:cs="Times New Roman"/>
          <w:b/>
          <w:bCs/>
          <w:noProof/>
          <w:sz w:val="24"/>
          <w:szCs w:val="24"/>
        </w:rPr>
      </w:pPr>
      <w:r w:rsidRPr="00196B57">
        <w:rPr>
          <w:rFonts w:ascii="Times New Roman" w:hAnsi="Times New Roman" w:cs="Times New Roman"/>
          <w:b/>
          <w:bCs/>
          <w:noProof/>
          <w:sz w:val="24"/>
          <w:szCs w:val="24"/>
        </w:rPr>
        <w:t>Regeneration of waste oils</w:t>
      </w:r>
    </w:p>
    <w:p w14:paraId="1B8C80F3" w14:textId="6315881E" w:rsidR="00F804A1" w:rsidRDefault="006049CF" w:rsidP="006049CF">
      <w:pPr>
        <w:jc w:val="both"/>
        <w:rPr>
          <w:rFonts w:ascii="Times New Roman" w:hAnsi="Times New Roman" w:cs="Times New Roman"/>
          <w:noProof/>
          <w:sz w:val="24"/>
          <w:szCs w:val="24"/>
        </w:rPr>
      </w:pPr>
      <w:r>
        <w:rPr>
          <w:rFonts w:ascii="Times New Roman" w:hAnsi="Times New Roman" w:cs="Times New Roman"/>
          <w:noProof/>
          <w:sz w:val="24"/>
          <w:szCs w:val="24"/>
        </w:rPr>
        <w:t>The C</w:t>
      </w:r>
      <w:r w:rsidRPr="006049CF">
        <w:rPr>
          <w:rFonts w:ascii="Times New Roman" w:hAnsi="Times New Roman" w:cs="Times New Roman"/>
          <w:noProof/>
          <w:sz w:val="24"/>
          <w:szCs w:val="24"/>
        </w:rPr>
        <w:t>ircular Economy Action Plan</w:t>
      </w:r>
      <w:r>
        <w:rPr>
          <w:rFonts w:ascii="Times New Roman" w:hAnsi="Times New Roman" w:cs="Times New Roman"/>
          <w:noProof/>
          <w:sz w:val="24"/>
          <w:szCs w:val="24"/>
        </w:rPr>
        <w:t xml:space="preserve"> </w:t>
      </w:r>
      <w:r w:rsidRPr="006049CF">
        <w:rPr>
          <w:rFonts w:ascii="Times New Roman" w:hAnsi="Times New Roman" w:cs="Times New Roman"/>
          <w:noProof/>
          <w:sz w:val="24"/>
          <w:szCs w:val="24"/>
        </w:rPr>
        <w:t xml:space="preserve">aims to foster and encourage a sustainable, resource efficient and competitive economy, in which the value of materials and products is kept in circulation for as long as possible. Given that </w:t>
      </w:r>
      <w:r>
        <w:rPr>
          <w:rFonts w:ascii="Times New Roman" w:hAnsi="Times New Roman" w:cs="Times New Roman"/>
          <w:noProof/>
          <w:sz w:val="24"/>
          <w:szCs w:val="24"/>
        </w:rPr>
        <w:t xml:space="preserve">waste oils </w:t>
      </w:r>
      <w:r w:rsidRPr="006049CF">
        <w:rPr>
          <w:rFonts w:ascii="Times New Roman" w:hAnsi="Times New Roman" w:cs="Times New Roman"/>
          <w:noProof/>
          <w:sz w:val="24"/>
          <w:szCs w:val="24"/>
        </w:rPr>
        <w:t xml:space="preserve">can be recycled </w:t>
      </w:r>
      <w:r w:rsidR="00143505">
        <w:rPr>
          <w:rFonts w:ascii="Times New Roman" w:hAnsi="Times New Roman" w:cs="Times New Roman"/>
          <w:noProof/>
          <w:sz w:val="24"/>
          <w:szCs w:val="24"/>
        </w:rPr>
        <w:t xml:space="preserve">via </w:t>
      </w:r>
      <w:r w:rsidRPr="006049CF">
        <w:rPr>
          <w:rFonts w:ascii="Times New Roman" w:hAnsi="Times New Roman" w:cs="Times New Roman"/>
          <w:noProof/>
          <w:sz w:val="24"/>
          <w:szCs w:val="24"/>
        </w:rPr>
        <w:t>technically well-established proces</w:t>
      </w:r>
      <w:r>
        <w:rPr>
          <w:rFonts w:ascii="Times New Roman" w:hAnsi="Times New Roman" w:cs="Times New Roman"/>
          <w:noProof/>
          <w:sz w:val="24"/>
          <w:szCs w:val="24"/>
        </w:rPr>
        <w:t>se</w:t>
      </w:r>
      <w:r w:rsidRPr="006049CF">
        <w:rPr>
          <w:rFonts w:ascii="Times New Roman" w:hAnsi="Times New Roman" w:cs="Times New Roman"/>
          <w:noProof/>
          <w:sz w:val="24"/>
          <w:szCs w:val="24"/>
        </w:rPr>
        <w:t xml:space="preserve">s </w:t>
      </w:r>
      <w:r>
        <w:rPr>
          <w:rFonts w:ascii="Times New Roman" w:hAnsi="Times New Roman" w:cs="Times New Roman"/>
          <w:noProof/>
          <w:sz w:val="24"/>
          <w:szCs w:val="24"/>
        </w:rPr>
        <w:t>they</w:t>
      </w:r>
      <w:r w:rsidRPr="006049CF">
        <w:rPr>
          <w:rFonts w:ascii="Times New Roman" w:hAnsi="Times New Roman" w:cs="Times New Roman"/>
          <w:noProof/>
          <w:sz w:val="24"/>
          <w:szCs w:val="24"/>
        </w:rPr>
        <w:t xml:space="preserve"> ha</w:t>
      </w:r>
      <w:r w:rsidR="00143505">
        <w:rPr>
          <w:rFonts w:ascii="Times New Roman" w:hAnsi="Times New Roman" w:cs="Times New Roman"/>
          <w:noProof/>
          <w:sz w:val="24"/>
          <w:szCs w:val="24"/>
        </w:rPr>
        <w:t>ve</w:t>
      </w:r>
      <w:r w:rsidRPr="006049CF">
        <w:rPr>
          <w:rFonts w:ascii="Times New Roman" w:hAnsi="Times New Roman" w:cs="Times New Roman"/>
          <w:noProof/>
          <w:sz w:val="24"/>
          <w:szCs w:val="24"/>
        </w:rPr>
        <w:t xml:space="preserve"> </w:t>
      </w:r>
      <w:r w:rsidR="00143505">
        <w:rPr>
          <w:rFonts w:ascii="Times New Roman" w:hAnsi="Times New Roman" w:cs="Times New Roman"/>
          <w:noProof/>
          <w:sz w:val="24"/>
          <w:szCs w:val="24"/>
        </w:rPr>
        <w:t xml:space="preserve">the </w:t>
      </w:r>
      <w:r w:rsidRPr="006049CF">
        <w:rPr>
          <w:rFonts w:ascii="Times New Roman" w:hAnsi="Times New Roman" w:cs="Times New Roman"/>
          <w:noProof/>
          <w:sz w:val="24"/>
          <w:szCs w:val="24"/>
        </w:rPr>
        <w:t xml:space="preserve">potential to </w:t>
      </w:r>
      <w:r>
        <w:rPr>
          <w:rFonts w:ascii="Times New Roman" w:hAnsi="Times New Roman" w:cs="Times New Roman"/>
          <w:noProof/>
          <w:sz w:val="24"/>
          <w:szCs w:val="24"/>
        </w:rPr>
        <w:t xml:space="preserve">significantly </w:t>
      </w:r>
      <w:r w:rsidRPr="006049CF">
        <w:rPr>
          <w:rFonts w:ascii="Times New Roman" w:hAnsi="Times New Roman" w:cs="Times New Roman"/>
          <w:noProof/>
          <w:sz w:val="24"/>
          <w:szCs w:val="24"/>
        </w:rPr>
        <w:t xml:space="preserve">contribute to </w:t>
      </w:r>
      <w:r w:rsidR="009D3105">
        <w:rPr>
          <w:rFonts w:ascii="Times New Roman" w:hAnsi="Times New Roman" w:cs="Times New Roman"/>
          <w:noProof/>
          <w:sz w:val="24"/>
          <w:szCs w:val="24"/>
        </w:rPr>
        <w:t xml:space="preserve">the </w:t>
      </w:r>
      <w:r w:rsidRPr="006049CF">
        <w:rPr>
          <w:rFonts w:ascii="Times New Roman" w:hAnsi="Times New Roman" w:cs="Times New Roman"/>
          <w:noProof/>
          <w:sz w:val="24"/>
          <w:szCs w:val="24"/>
        </w:rPr>
        <w:t>circular economy</w:t>
      </w:r>
      <w:r>
        <w:rPr>
          <w:rFonts w:ascii="Times New Roman" w:hAnsi="Times New Roman" w:cs="Times New Roman"/>
          <w:noProof/>
          <w:sz w:val="24"/>
          <w:szCs w:val="24"/>
        </w:rPr>
        <w:t xml:space="preserve"> </w:t>
      </w:r>
      <w:r w:rsidRPr="006049CF">
        <w:rPr>
          <w:rFonts w:ascii="Times New Roman" w:hAnsi="Times New Roman" w:cs="Times New Roman"/>
          <w:noProof/>
          <w:sz w:val="24"/>
          <w:szCs w:val="24"/>
        </w:rPr>
        <w:t>objectives</w:t>
      </w:r>
      <w:r>
        <w:rPr>
          <w:rFonts w:ascii="Times New Roman" w:hAnsi="Times New Roman" w:cs="Times New Roman"/>
          <w:noProof/>
          <w:sz w:val="24"/>
          <w:szCs w:val="24"/>
        </w:rPr>
        <w:t xml:space="preserve">. </w:t>
      </w:r>
    </w:p>
    <w:p w14:paraId="4927634F" w14:textId="4E0DE851" w:rsidR="00E20EDF" w:rsidRDefault="001B6CAB" w:rsidP="00E20EDF">
      <w:pPr>
        <w:jc w:val="both"/>
        <w:rPr>
          <w:rFonts w:ascii="Times New Roman" w:hAnsi="Times New Roman" w:cs="Times New Roman"/>
          <w:noProof/>
          <w:sz w:val="24"/>
          <w:szCs w:val="24"/>
        </w:rPr>
      </w:pPr>
      <w:r>
        <w:rPr>
          <w:rFonts w:ascii="Times New Roman" w:hAnsi="Times New Roman" w:cs="Times New Roman"/>
          <w:noProof/>
          <w:sz w:val="24"/>
          <w:szCs w:val="24"/>
        </w:rPr>
        <w:t>The Waste Framework Directive define</w:t>
      </w:r>
      <w:r w:rsidR="00C25DDC">
        <w:rPr>
          <w:rFonts w:ascii="Times New Roman" w:hAnsi="Times New Roman" w:cs="Times New Roman"/>
          <w:noProof/>
          <w:sz w:val="24"/>
          <w:szCs w:val="24"/>
        </w:rPr>
        <w:t>s</w:t>
      </w:r>
      <w:r>
        <w:rPr>
          <w:rFonts w:ascii="Times New Roman" w:hAnsi="Times New Roman" w:cs="Times New Roman"/>
          <w:noProof/>
          <w:sz w:val="24"/>
          <w:szCs w:val="24"/>
        </w:rPr>
        <w:t xml:space="preserve"> the </w:t>
      </w:r>
      <w:r w:rsidRPr="001B6CAB">
        <w:rPr>
          <w:rFonts w:ascii="Times New Roman" w:hAnsi="Times New Roman" w:cs="Times New Roman"/>
          <w:noProof/>
          <w:sz w:val="24"/>
          <w:szCs w:val="24"/>
        </w:rPr>
        <w:t>regeneration of waste oils</w:t>
      </w:r>
      <w:r>
        <w:rPr>
          <w:rFonts w:ascii="Times New Roman" w:hAnsi="Times New Roman" w:cs="Times New Roman"/>
          <w:noProof/>
          <w:sz w:val="24"/>
          <w:szCs w:val="24"/>
        </w:rPr>
        <w:t xml:space="preserve"> as “</w:t>
      </w:r>
      <w:r w:rsidRPr="005C298F">
        <w:rPr>
          <w:rFonts w:ascii="Times New Roman" w:hAnsi="Times New Roman" w:cs="Times New Roman"/>
          <w:i/>
          <w:iCs/>
          <w:noProof/>
          <w:sz w:val="24"/>
          <w:szCs w:val="24"/>
        </w:rPr>
        <w:t>any recycling operation whereby base oils can be produced by refining waste oils, in particular by removing the contaminants, the oxidation products and the additives contained in such oils</w:t>
      </w:r>
      <w:r>
        <w:rPr>
          <w:rFonts w:ascii="Times New Roman" w:hAnsi="Times New Roman" w:cs="Times New Roman"/>
          <w:noProof/>
          <w:sz w:val="24"/>
          <w:szCs w:val="24"/>
        </w:rPr>
        <w:t>”</w:t>
      </w:r>
      <w:r w:rsidR="00DE2DC7">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xml:space="preserve">. </w:t>
      </w:r>
      <w:r w:rsidR="001828ED">
        <w:rPr>
          <w:rFonts w:ascii="Times New Roman" w:hAnsi="Times New Roman" w:cs="Times New Roman"/>
          <w:noProof/>
          <w:sz w:val="24"/>
          <w:szCs w:val="24"/>
        </w:rPr>
        <w:t xml:space="preserve">It also </w:t>
      </w:r>
      <w:r w:rsidR="001828ED" w:rsidRPr="001828ED">
        <w:rPr>
          <w:rFonts w:ascii="Times New Roman" w:hAnsi="Times New Roman" w:cs="Times New Roman"/>
          <w:noProof/>
          <w:sz w:val="24"/>
          <w:szCs w:val="24"/>
        </w:rPr>
        <w:t xml:space="preserve">establishes a waste hierarchy </w:t>
      </w:r>
      <w:r w:rsidR="001828ED">
        <w:rPr>
          <w:rFonts w:ascii="Times New Roman" w:hAnsi="Times New Roman" w:cs="Times New Roman"/>
          <w:noProof/>
          <w:sz w:val="24"/>
          <w:szCs w:val="24"/>
        </w:rPr>
        <w:t xml:space="preserve">that </w:t>
      </w:r>
      <w:r w:rsidR="001828ED" w:rsidRPr="001828ED">
        <w:rPr>
          <w:rFonts w:ascii="Times New Roman" w:hAnsi="Times New Roman" w:cs="Times New Roman"/>
          <w:noProof/>
          <w:sz w:val="24"/>
          <w:szCs w:val="24"/>
        </w:rPr>
        <w:t>sets a preference for preparing for reuse and recycling</w:t>
      </w:r>
      <w:r w:rsidR="001828ED">
        <w:rPr>
          <w:rFonts w:ascii="Times New Roman" w:hAnsi="Times New Roman" w:cs="Times New Roman"/>
          <w:noProof/>
          <w:sz w:val="24"/>
          <w:szCs w:val="24"/>
        </w:rPr>
        <w:t xml:space="preserve"> over energy</w:t>
      </w:r>
      <w:r w:rsidR="001828ED" w:rsidRPr="001828ED">
        <w:rPr>
          <w:rFonts w:ascii="Times New Roman" w:hAnsi="Times New Roman" w:cs="Times New Roman"/>
          <w:noProof/>
          <w:sz w:val="24"/>
          <w:szCs w:val="24"/>
        </w:rPr>
        <w:t xml:space="preserve"> recovery. </w:t>
      </w:r>
      <w:r w:rsidR="00143505">
        <w:rPr>
          <w:rFonts w:ascii="Times New Roman" w:hAnsi="Times New Roman" w:cs="Times New Roman"/>
          <w:noProof/>
          <w:sz w:val="24"/>
          <w:szCs w:val="24"/>
        </w:rPr>
        <w:t>For</w:t>
      </w:r>
      <w:r w:rsidR="001828ED" w:rsidRPr="001828ED">
        <w:rPr>
          <w:rFonts w:ascii="Times New Roman" w:hAnsi="Times New Roman" w:cs="Times New Roman"/>
          <w:noProof/>
          <w:sz w:val="24"/>
          <w:szCs w:val="24"/>
        </w:rPr>
        <w:t xml:space="preserve"> waste oils, </w:t>
      </w:r>
      <w:r w:rsidR="001828ED">
        <w:rPr>
          <w:rFonts w:ascii="Times New Roman" w:hAnsi="Times New Roman" w:cs="Times New Roman"/>
          <w:noProof/>
          <w:sz w:val="24"/>
          <w:szCs w:val="24"/>
        </w:rPr>
        <w:t>A</w:t>
      </w:r>
      <w:r w:rsidR="001828ED" w:rsidRPr="001828ED">
        <w:rPr>
          <w:rFonts w:ascii="Times New Roman" w:hAnsi="Times New Roman" w:cs="Times New Roman"/>
          <w:noProof/>
          <w:sz w:val="24"/>
          <w:szCs w:val="24"/>
        </w:rPr>
        <w:t xml:space="preserve">rticle 21 indicates a priority for regeneration over </w:t>
      </w:r>
      <w:r w:rsidR="00384B50">
        <w:rPr>
          <w:rFonts w:ascii="Times New Roman" w:hAnsi="Times New Roman" w:cs="Times New Roman"/>
          <w:noProof/>
          <w:sz w:val="24"/>
          <w:szCs w:val="24"/>
        </w:rPr>
        <w:t>other treatment options</w:t>
      </w:r>
      <w:r w:rsidR="001828ED" w:rsidRPr="001828ED">
        <w:rPr>
          <w:rFonts w:ascii="Times New Roman" w:hAnsi="Times New Roman" w:cs="Times New Roman"/>
          <w:noProof/>
          <w:sz w:val="24"/>
          <w:szCs w:val="24"/>
        </w:rPr>
        <w:t xml:space="preserve">. </w:t>
      </w:r>
    </w:p>
    <w:p w14:paraId="12C4F86A" w14:textId="05A0DBC9" w:rsidR="001B6CAB" w:rsidRDefault="001B6CAB" w:rsidP="00E20EDF">
      <w:pPr>
        <w:jc w:val="both"/>
        <w:rPr>
          <w:noProof/>
        </w:rPr>
      </w:pPr>
    </w:p>
    <w:p w14:paraId="72C94AE3" w14:textId="6CEE3DD6" w:rsidR="00D700BF" w:rsidRDefault="00D55D0A" w:rsidP="00E20EDF">
      <w:pPr>
        <w:jc w:val="both"/>
        <w:rPr>
          <w:noProof/>
        </w:rPr>
      </w:pPr>
      <w:r>
        <w:rPr>
          <w:noProof/>
          <w:lang w:eastAsia="en-GB"/>
        </w:rPr>
        <w:drawing>
          <wp:inline distT="0" distB="0" distL="0" distR="0" wp14:anchorId="0AC728D1" wp14:editId="67A7B5B5">
            <wp:extent cx="5674659" cy="3922058"/>
            <wp:effectExtent l="0" t="0" r="2540" b="254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CA010D" w14:textId="2CE68AE2" w:rsidR="00682828" w:rsidRPr="005E0036" w:rsidRDefault="00682828" w:rsidP="00682828">
      <w:pPr>
        <w:spacing w:before="120" w:after="120" w:line="240" w:lineRule="auto"/>
        <w:jc w:val="both"/>
        <w:rPr>
          <w:rFonts w:ascii="Times New Roman" w:eastAsia="Times New Roman" w:hAnsi="Times New Roman" w:cs="Times New Roman"/>
          <w:bCs/>
          <w:noProof/>
          <w:sz w:val="20"/>
          <w:szCs w:val="20"/>
        </w:rPr>
      </w:pPr>
      <w:r w:rsidRPr="00682828">
        <w:rPr>
          <w:rFonts w:ascii="Times New Roman" w:eastAsia="Verdana" w:hAnsi="Times New Roman" w:cs="Times New Roman"/>
          <w:noProof/>
          <w:color w:val="000000"/>
          <w:sz w:val="20"/>
          <w:szCs w:val="20"/>
        </w:rPr>
        <w:t xml:space="preserve">Figure </w:t>
      </w:r>
      <w:r w:rsidR="009D3105">
        <w:rPr>
          <w:rFonts w:ascii="Times New Roman" w:eastAsia="Verdana" w:hAnsi="Times New Roman" w:cs="Times New Roman"/>
          <w:noProof/>
          <w:color w:val="000000"/>
          <w:sz w:val="20"/>
          <w:szCs w:val="20"/>
        </w:rPr>
        <w:t>3</w:t>
      </w:r>
      <w:r w:rsidRPr="00682828">
        <w:rPr>
          <w:rFonts w:ascii="Times New Roman" w:eastAsia="Verdana" w:hAnsi="Times New Roman" w:cs="Times New Roman"/>
          <w:noProof/>
          <w:color w:val="000000"/>
          <w:sz w:val="20"/>
          <w:szCs w:val="20"/>
        </w:rPr>
        <w:t xml:space="preserve">: </w:t>
      </w:r>
      <w:r w:rsidRPr="00682828">
        <w:rPr>
          <w:rFonts w:ascii="Times New Roman" w:eastAsia="Calibri" w:hAnsi="Times New Roman" w:cs="Times New Roman"/>
          <w:noProof/>
        </w:rPr>
        <w:t xml:space="preserve">Waste oil </w:t>
      </w:r>
      <w:r w:rsidR="002872BA">
        <w:rPr>
          <w:rFonts w:ascii="Times New Roman" w:eastAsia="Calibri" w:hAnsi="Times New Roman" w:cs="Times New Roman"/>
          <w:noProof/>
        </w:rPr>
        <w:t>use per</w:t>
      </w:r>
      <w:r w:rsidR="00AF77FB">
        <w:rPr>
          <w:rFonts w:ascii="Times New Roman" w:eastAsia="Calibri" w:hAnsi="Times New Roman" w:cs="Times New Roman"/>
          <w:noProof/>
        </w:rPr>
        <w:t xml:space="preserve"> treatment</w:t>
      </w:r>
      <w:r>
        <w:rPr>
          <w:rStyle w:val="FootnoteReference"/>
          <w:rFonts w:ascii="Times New Roman" w:eastAsia="Times New Roman" w:hAnsi="Times New Roman" w:cs="Times New Roman"/>
          <w:bCs/>
          <w:noProof/>
          <w:sz w:val="20"/>
          <w:szCs w:val="20"/>
        </w:rPr>
        <w:footnoteReference w:id="39"/>
      </w:r>
    </w:p>
    <w:p w14:paraId="2EEDB680" w14:textId="77777777" w:rsidR="00235BCD" w:rsidRDefault="00235BCD" w:rsidP="00143505">
      <w:pPr>
        <w:spacing w:after="240"/>
        <w:jc w:val="both"/>
        <w:rPr>
          <w:rFonts w:ascii="Times New Roman" w:eastAsia="Verdana" w:hAnsi="Times New Roman" w:cs="Times New Roman"/>
          <w:noProof/>
          <w:color w:val="000000"/>
          <w:sz w:val="24"/>
          <w:szCs w:val="24"/>
        </w:rPr>
      </w:pPr>
    </w:p>
    <w:p w14:paraId="19FA3C18" w14:textId="24FEA458" w:rsidR="00682828" w:rsidRDefault="220DBD29" w:rsidP="00143505">
      <w:pPr>
        <w:spacing w:after="240"/>
        <w:jc w:val="both"/>
        <w:rPr>
          <w:rFonts w:ascii="Times New Roman" w:eastAsia="Verdana" w:hAnsi="Times New Roman" w:cs="Times New Roman"/>
          <w:noProof/>
          <w:color w:val="000000"/>
          <w:sz w:val="24"/>
          <w:szCs w:val="24"/>
        </w:rPr>
      </w:pPr>
      <w:r w:rsidRPr="00AF77FB">
        <w:rPr>
          <w:rFonts w:ascii="Times New Roman" w:eastAsia="Verdana" w:hAnsi="Times New Roman" w:cs="Times New Roman"/>
          <w:noProof/>
          <w:color w:val="000000"/>
          <w:sz w:val="24"/>
          <w:szCs w:val="24"/>
        </w:rPr>
        <w:t>Seven Member States</w:t>
      </w:r>
      <w:r w:rsidR="00DC2C85">
        <w:rPr>
          <w:rStyle w:val="FootnoteReference"/>
          <w:rFonts w:ascii="Times New Roman" w:eastAsia="Verdana" w:hAnsi="Times New Roman" w:cs="Times New Roman"/>
          <w:noProof/>
          <w:color w:val="000000"/>
          <w:sz w:val="24"/>
          <w:szCs w:val="24"/>
        </w:rPr>
        <w:footnoteReference w:id="40"/>
      </w:r>
      <w:r w:rsidRPr="00AF77FB">
        <w:rPr>
          <w:rFonts w:ascii="Times New Roman" w:eastAsia="Verdana" w:hAnsi="Times New Roman" w:cs="Times New Roman"/>
          <w:noProof/>
          <w:color w:val="000000"/>
          <w:sz w:val="24"/>
          <w:szCs w:val="24"/>
        </w:rPr>
        <w:t xml:space="preserve"> </w:t>
      </w:r>
      <w:r w:rsidR="6494982F" w:rsidRPr="5747FA50">
        <w:rPr>
          <w:rFonts w:ascii="Times New Roman" w:eastAsia="Verdana" w:hAnsi="Times New Roman" w:cs="Times New Roman"/>
          <w:noProof/>
          <w:color w:val="000000" w:themeColor="text1"/>
          <w:sz w:val="24"/>
          <w:szCs w:val="24"/>
        </w:rPr>
        <w:t xml:space="preserve">report </w:t>
      </w:r>
      <w:r w:rsidRPr="00AF77FB">
        <w:rPr>
          <w:rFonts w:ascii="Times New Roman" w:eastAsia="Verdana" w:hAnsi="Times New Roman" w:cs="Times New Roman"/>
          <w:noProof/>
          <w:color w:val="000000"/>
          <w:sz w:val="24"/>
          <w:szCs w:val="24"/>
        </w:rPr>
        <w:t>regeneration rates of 90% or more</w:t>
      </w:r>
      <w:r w:rsidR="0097286F" w:rsidRPr="00AF77FB">
        <w:rPr>
          <w:rStyle w:val="FootnoteReference"/>
          <w:rFonts w:ascii="Times New Roman" w:eastAsia="Verdana" w:hAnsi="Times New Roman" w:cs="Times New Roman"/>
          <w:noProof/>
          <w:color w:val="000000"/>
          <w:sz w:val="24"/>
          <w:szCs w:val="24"/>
        </w:rPr>
        <w:footnoteReference w:id="41"/>
      </w:r>
      <w:r w:rsidRPr="00AF77FB">
        <w:rPr>
          <w:rFonts w:ascii="Times New Roman" w:eastAsia="Verdana" w:hAnsi="Times New Roman" w:cs="Times New Roman"/>
          <w:noProof/>
          <w:color w:val="000000"/>
          <w:sz w:val="24"/>
          <w:szCs w:val="24"/>
        </w:rPr>
        <w:t xml:space="preserve"> whereas </w:t>
      </w:r>
      <w:r w:rsidR="296C32F0">
        <w:rPr>
          <w:rFonts w:ascii="Times New Roman" w:eastAsia="Verdana" w:hAnsi="Times New Roman" w:cs="Times New Roman"/>
          <w:noProof/>
          <w:color w:val="000000"/>
          <w:sz w:val="24"/>
          <w:szCs w:val="24"/>
        </w:rPr>
        <w:t>10</w:t>
      </w:r>
      <w:r w:rsidRPr="00AF77FB">
        <w:rPr>
          <w:rFonts w:ascii="Times New Roman" w:eastAsia="Verdana" w:hAnsi="Times New Roman" w:cs="Times New Roman"/>
          <w:noProof/>
          <w:color w:val="000000"/>
          <w:sz w:val="24"/>
          <w:szCs w:val="24"/>
        </w:rPr>
        <w:t xml:space="preserve"> have rates below 10%. Use in cement kilns and power plants is overall not very significant, but in three Member States</w:t>
      </w:r>
      <w:r w:rsidR="005A7E4C">
        <w:rPr>
          <w:rStyle w:val="FootnoteReference"/>
          <w:rFonts w:ascii="Times New Roman" w:eastAsia="Verdana" w:hAnsi="Times New Roman" w:cs="Times New Roman"/>
          <w:noProof/>
          <w:color w:val="000000"/>
          <w:sz w:val="24"/>
          <w:szCs w:val="24"/>
        </w:rPr>
        <w:footnoteReference w:id="42"/>
      </w:r>
      <w:r w:rsidRPr="00AF77FB">
        <w:rPr>
          <w:rFonts w:ascii="Times New Roman" w:eastAsia="Verdana" w:hAnsi="Times New Roman" w:cs="Times New Roman"/>
          <w:noProof/>
          <w:color w:val="000000"/>
          <w:sz w:val="24"/>
          <w:szCs w:val="24"/>
        </w:rPr>
        <w:t xml:space="preserve"> it accounts for more than 50% of oils collected. </w:t>
      </w:r>
      <w:r w:rsidR="296C32F0">
        <w:rPr>
          <w:rFonts w:ascii="Times New Roman" w:eastAsia="Verdana" w:hAnsi="Times New Roman" w:cs="Times New Roman"/>
          <w:noProof/>
          <w:color w:val="000000"/>
          <w:sz w:val="24"/>
          <w:szCs w:val="24"/>
        </w:rPr>
        <w:t>I</w:t>
      </w:r>
      <w:r w:rsidR="0832F733" w:rsidRPr="00AF77FB">
        <w:rPr>
          <w:rFonts w:ascii="Times New Roman" w:eastAsia="Verdana" w:hAnsi="Times New Roman" w:cs="Times New Roman"/>
          <w:noProof/>
          <w:color w:val="000000"/>
          <w:sz w:val="24"/>
          <w:szCs w:val="24"/>
        </w:rPr>
        <w:t xml:space="preserve">t is estimated that </w:t>
      </w:r>
      <w:r w:rsidR="005D3668">
        <w:rPr>
          <w:rFonts w:ascii="Times New Roman" w:eastAsia="Verdana" w:hAnsi="Times New Roman" w:cs="Times New Roman"/>
          <w:noProof/>
          <w:color w:val="000000"/>
          <w:sz w:val="24"/>
          <w:szCs w:val="24"/>
        </w:rPr>
        <w:t>5 - 15% of collected waste oil</w:t>
      </w:r>
      <w:r w:rsidR="00D92DFA">
        <w:rPr>
          <w:rFonts w:ascii="Times New Roman" w:eastAsia="Verdana" w:hAnsi="Times New Roman" w:cs="Times New Roman"/>
          <w:noProof/>
          <w:color w:val="000000"/>
          <w:sz w:val="24"/>
          <w:szCs w:val="24"/>
        </w:rPr>
        <w:t>s are</w:t>
      </w:r>
      <w:r w:rsidR="005D3668">
        <w:rPr>
          <w:rFonts w:ascii="Times New Roman" w:eastAsia="Verdana" w:hAnsi="Times New Roman" w:cs="Times New Roman"/>
          <w:noProof/>
          <w:color w:val="000000"/>
          <w:sz w:val="24"/>
          <w:szCs w:val="24"/>
        </w:rPr>
        <w:t xml:space="preserve"> of </w:t>
      </w:r>
      <w:r w:rsidR="0832F733" w:rsidRPr="00AF77FB">
        <w:rPr>
          <w:rFonts w:ascii="Times New Roman" w:eastAsia="Verdana" w:hAnsi="Times New Roman" w:cs="Times New Roman"/>
          <w:noProof/>
          <w:color w:val="000000"/>
          <w:sz w:val="24"/>
          <w:szCs w:val="24"/>
        </w:rPr>
        <w:t>low</w:t>
      </w:r>
      <w:r w:rsidR="14802B47">
        <w:rPr>
          <w:rFonts w:ascii="Times New Roman" w:eastAsia="Verdana" w:hAnsi="Times New Roman" w:cs="Times New Roman"/>
          <w:noProof/>
          <w:color w:val="000000"/>
          <w:sz w:val="24"/>
          <w:szCs w:val="24"/>
        </w:rPr>
        <w:t>-</w:t>
      </w:r>
      <w:r w:rsidR="0832F733" w:rsidRPr="00AF77FB">
        <w:rPr>
          <w:rFonts w:ascii="Times New Roman" w:eastAsia="Verdana" w:hAnsi="Times New Roman" w:cs="Times New Roman"/>
          <w:noProof/>
          <w:color w:val="000000"/>
          <w:sz w:val="24"/>
          <w:szCs w:val="24"/>
        </w:rPr>
        <w:t>quality</w:t>
      </w:r>
      <w:r w:rsidR="005D3668">
        <w:rPr>
          <w:rFonts w:ascii="Times New Roman" w:eastAsia="Verdana" w:hAnsi="Times New Roman" w:cs="Times New Roman"/>
          <w:noProof/>
          <w:color w:val="000000"/>
          <w:sz w:val="24"/>
          <w:szCs w:val="24"/>
        </w:rPr>
        <w:t xml:space="preserve"> </w:t>
      </w:r>
      <w:r w:rsidR="003B2BDD">
        <w:rPr>
          <w:rFonts w:ascii="Times New Roman" w:eastAsia="Verdana" w:hAnsi="Times New Roman" w:cs="Times New Roman"/>
          <w:noProof/>
          <w:color w:val="000000"/>
          <w:sz w:val="24"/>
          <w:szCs w:val="24"/>
        </w:rPr>
        <w:t xml:space="preserve">and </w:t>
      </w:r>
      <w:r w:rsidR="005D3668">
        <w:rPr>
          <w:rFonts w:ascii="Times New Roman" w:eastAsia="Verdana" w:hAnsi="Times New Roman" w:cs="Times New Roman"/>
          <w:noProof/>
          <w:color w:val="000000"/>
          <w:sz w:val="24"/>
          <w:szCs w:val="24"/>
        </w:rPr>
        <w:t>unsuita</w:t>
      </w:r>
      <w:r w:rsidR="003B2BDD">
        <w:rPr>
          <w:rFonts w:ascii="Times New Roman" w:eastAsia="Verdana" w:hAnsi="Times New Roman" w:cs="Times New Roman"/>
          <w:noProof/>
          <w:color w:val="000000"/>
          <w:sz w:val="24"/>
          <w:szCs w:val="24"/>
        </w:rPr>
        <w:t>b</w:t>
      </w:r>
      <w:r w:rsidR="005D3668">
        <w:rPr>
          <w:rFonts w:ascii="Times New Roman" w:eastAsia="Verdana" w:hAnsi="Times New Roman" w:cs="Times New Roman"/>
          <w:noProof/>
          <w:color w:val="000000"/>
          <w:sz w:val="24"/>
          <w:szCs w:val="24"/>
        </w:rPr>
        <w:t>le for regeneration and</w:t>
      </w:r>
      <w:r w:rsidR="003B2BDD">
        <w:rPr>
          <w:rFonts w:ascii="Times New Roman" w:eastAsia="Verdana" w:hAnsi="Times New Roman" w:cs="Times New Roman"/>
          <w:noProof/>
          <w:color w:val="000000"/>
          <w:sz w:val="24"/>
          <w:szCs w:val="24"/>
        </w:rPr>
        <w:t xml:space="preserve"> </w:t>
      </w:r>
      <w:r w:rsidR="002646D6">
        <w:rPr>
          <w:rFonts w:ascii="Times New Roman" w:eastAsia="Verdana" w:hAnsi="Times New Roman" w:cs="Times New Roman"/>
          <w:noProof/>
          <w:color w:val="000000"/>
          <w:sz w:val="24"/>
          <w:szCs w:val="24"/>
        </w:rPr>
        <w:t xml:space="preserve">is </w:t>
      </w:r>
      <w:r w:rsidR="003B2BDD">
        <w:rPr>
          <w:rFonts w:ascii="Times New Roman" w:eastAsia="Verdana" w:hAnsi="Times New Roman" w:cs="Times New Roman"/>
          <w:noProof/>
          <w:color w:val="000000"/>
          <w:sz w:val="24"/>
          <w:szCs w:val="24"/>
        </w:rPr>
        <w:t xml:space="preserve">thereby generally </w:t>
      </w:r>
      <w:r w:rsidR="0832F733" w:rsidRPr="00AF77FB">
        <w:rPr>
          <w:rFonts w:ascii="Times New Roman" w:eastAsia="Verdana" w:hAnsi="Times New Roman" w:cs="Times New Roman"/>
          <w:noProof/>
          <w:color w:val="000000"/>
          <w:sz w:val="24"/>
          <w:szCs w:val="24"/>
        </w:rPr>
        <w:t xml:space="preserve">used in cement kilns, industrial boilers and hazardous waste incinerators.  This </w:t>
      </w:r>
      <w:r w:rsidR="70C50617" w:rsidRPr="00AF77FB">
        <w:rPr>
          <w:rFonts w:ascii="Times New Roman" w:eastAsia="Verdana" w:hAnsi="Times New Roman" w:cs="Times New Roman"/>
          <w:noProof/>
          <w:color w:val="000000"/>
          <w:sz w:val="24"/>
          <w:szCs w:val="24"/>
        </w:rPr>
        <w:t>implies</w:t>
      </w:r>
      <w:r w:rsidR="0832F733" w:rsidRPr="00AF77FB">
        <w:rPr>
          <w:rFonts w:ascii="Times New Roman" w:eastAsia="Verdana" w:hAnsi="Times New Roman" w:cs="Times New Roman"/>
          <w:noProof/>
          <w:color w:val="000000"/>
          <w:sz w:val="24"/>
          <w:szCs w:val="24"/>
        </w:rPr>
        <w:t xml:space="preserve"> a conservative upper limit of 85% collected waste oil</w:t>
      </w:r>
      <w:r w:rsidR="00D92DFA">
        <w:rPr>
          <w:rFonts w:ascii="Times New Roman" w:eastAsia="Verdana" w:hAnsi="Times New Roman" w:cs="Times New Roman"/>
          <w:noProof/>
          <w:color w:val="000000"/>
          <w:sz w:val="24"/>
          <w:szCs w:val="24"/>
        </w:rPr>
        <w:t>s</w:t>
      </w:r>
      <w:r w:rsidR="0832F733" w:rsidRPr="00AF77FB">
        <w:rPr>
          <w:rFonts w:ascii="Times New Roman" w:eastAsia="Verdana" w:hAnsi="Times New Roman" w:cs="Times New Roman"/>
          <w:noProof/>
          <w:color w:val="000000"/>
          <w:sz w:val="24"/>
          <w:szCs w:val="24"/>
        </w:rPr>
        <w:t xml:space="preserve"> that c</w:t>
      </w:r>
      <w:r w:rsidR="3DA89B42">
        <w:rPr>
          <w:rFonts w:ascii="Times New Roman" w:eastAsia="Verdana" w:hAnsi="Times New Roman" w:cs="Times New Roman"/>
          <w:noProof/>
          <w:color w:val="000000"/>
          <w:sz w:val="24"/>
          <w:szCs w:val="24"/>
        </w:rPr>
        <w:t>an</w:t>
      </w:r>
      <w:r w:rsidR="0832F733" w:rsidRPr="00AF77FB">
        <w:rPr>
          <w:rFonts w:ascii="Times New Roman" w:eastAsia="Verdana" w:hAnsi="Times New Roman" w:cs="Times New Roman"/>
          <w:noProof/>
          <w:color w:val="000000"/>
          <w:sz w:val="24"/>
          <w:szCs w:val="24"/>
        </w:rPr>
        <w:t xml:space="preserve"> be regenerated (based on current collection outcomes and technologies).</w:t>
      </w:r>
    </w:p>
    <w:p w14:paraId="53BE0F29" w14:textId="2C9F5EC0" w:rsidR="001C361D" w:rsidRDefault="0EBC5DE2" w:rsidP="00466A5F">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As reported in </w:t>
      </w:r>
      <w:r w:rsidR="003B2BDD">
        <w:rPr>
          <w:rFonts w:ascii="Times New Roman" w:hAnsi="Times New Roman" w:cs="Times New Roman"/>
          <w:noProof/>
          <w:sz w:val="24"/>
          <w:szCs w:val="24"/>
        </w:rPr>
        <w:t>several studies</w:t>
      </w:r>
      <w:r w:rsidR="003B2BDD">
        <w:rPr>
          <w:rStyle w:val="FootnoteReference"/>
          <w:rFonts w:ascii="Times New Roman" w:hAnsi="Times New Roman" w:cs="Times New Roman"/>
          <w:noProof/>
          <w:sz w:val="24"/>
          <w:szCs w:val="24"/>
        </w:rPr>
        <w:footnoteReference w:id="43"/>
      </w:r>
      <w:r>
        <w:rPr>
          <w:rFonts w:ascii="Times New Roman" w:hAnsi="Times New Roman" w:cs="Times New Roman"/>
          <w:noProof/>
          <w:sz w:val="24"/>
          <w:szCs w:val="24"/>
        </w:rPr>
        <w:t xml:space="preserve">, </w:t>
      </w:r>
      <w:r w:rsidR="7D2B6E63">
        <w:rPr>
          <w:rFonts w:ascii="Times New Roman" w:hAnsi="Times New Roman" w:cs="Times New Roman"/>
          <w:noProof/>
          <w:sz w:val="24"/>
          <w:szCs w:val="24"/>
        </w:rPr>
        <w:t>waste oil</w:t>
      </w:r>
      <w:r w:rsidR="4E7FE49F">
        <w:rPr>
          <w:rFonts w:ascii="Times New Roman" w:hAnsi="Times New Roman" w:cs="Times New Roman"/>
          <w:noProof/>
          <w:sz w:val="24"/>
          <w:szCs w:val="24"/>
        </w:rPr>
        <w:t>s</w:t>
      </w:r>
      <w:r w:rsidR="7D2B6E63">
        <w:rPr>
          <w:rFonts w:ascii="Times New Roman" w:hAnsi="Times New Roman" w:cs="Times New Roman"/>
          <w:noProof/>
          <w:sz w:val="24"/>
          <w:szCs w:val="24"/>
        </w:rPr>
        <w:t xml:space="preserve"> can be regenerated by different processes: in the EU </w:t>
      </w:r>
      <w:r w:rsidRPr="001D69A2">
        <w:rPr>
          <w:rFonts w:ascii="Times New Roman" w:hAnsi="Times New Roman" w:cs="Times New Roman"/>
          <w:noProof/>
          <w:sz w:val="24"/>
          <w:szCs w:val="24"/>
        </w:rPr>
        <w:t xml:space="preserve">approximately 32% </w:t>
      </w:r>
      <w:r>
        <w:rPr>
          <w:rFonts w:ascii="Times New Roman" w:hAnsi="Times New Roman" w:cs="Times New Roman"/>
          <w:noProof/>
          <w:sz w:val="24"/>
          <w:szCs w:val="24"/>
        </w:rPr>
        <w:t>of collected waste oil</w:t>
      </w:r>
      <w:r w:rsidR="00D92DFA">
        <w:rPr>
          <w:rFonts w:ascii="Times New Roman" w:hAnsi="Times New Roman" w:cs="Times New Roman"/>
          <w:noProof/>
          <w:sz w:val="24"/>
          <w:szCs w:val="24"/>
        </w:rPr>
        <w:t>s are</w:t>
      </w:r>
      <w:r>
        <w:rPr>
          <w:rFonts w:ascii="Times New Roman" w:hAnsi="Times New Roman" w:cs="Times New Roman"/>
          <w:noProof/>
          <w:sz w:val="24"/>
          <w:szCs w:val="24"/>
        </w:rPr>
        <w:t xml:space="preserve"> regenerated </w:t>
      </w:r>
      <w:r w:rsidR="06BE336D">
        <w:rPr>
          <w:rFonts w:ascii="Times New Roman" w:hAnsi="Times New Roman" w:cs="Times New Roman"/>
          <w:noProof/>
          <w:sz w:val="24"/>
          <w:szCs w:val="24"/>
        </w:rPr>
        <w:t>through</w:t>
      </w:r>
      <w:r>
        <w:rPr>
          <w:rFonts w:ascii="Times New Roman" w:hAnsi="Times New Roman" w:cs="Times New Roman"/>
          <w:noProof/>
          <w:sz w:val="24"/>
          <w:szCs w:val="24"/>
        </w:rPr>
        <w:t xml:space="preserve"> </w:t>
      </w:r>
      <w:r w:rsidRPr="001D69A2">
        <w:rPr>
          <w:rFonts w:ascii="Times New Roman" w:hAnsi="Times New Roman" w:cs="Times New Roman"/>
          <w:noProof/>
          <w:sz w:val="24"/>
          <w:szCs w:val="24"/>
        </w:rPr>
        <w:t xml:space="preserve">hydro-treatment, 46% </w:t>
      </w:r>
      <w:r w:rsidR="421494CC" w:rsidRPr="001D69A2">
        <w:rPr>
          <w:rFonts w:ascii="Times New Roman" w:hAnsi="Times New Roman" w:cs="Times New Roman"/>
          <w:noProof/>
          <w:sz w:val="24"/>
          <w:szCs w:val="24"/>
        </w:rPr>
        <w:t>by</w:t>
      </w:r>
      <w:r w:rsidRPr="001D69A2">
        <w:rPr>
          <w:rFonts w:ascii="Times New Roman" w:hAnsi="Times New Roman" w:cs="Times New Roman"/>
          <w:noProof/>
          <w:sz w:val="24"/>
          <w:szCs w:val="24"/>
        </w:rPr>
        <w:t xml:space="preserve"> solvent extraction and 22% </w:t>
      </w:r>
      <w:r w:rsidR="6610C5F0" w:rsidRPr="001D69A2">
        <w:rPr>
          <w:rFonts w:ascii="Times New Roman" w:hAnsi="Times New Roman" w:cs="Times New Roman"/>
          <w:noProof/>
          <w:sz w:val="24"/>
          <w:szCs w:val="24"/>
        </w:rPr>
        <w:t>by</w:t>
      </w:r>
      <w:r w:rsidRPr="001D69A2">
        <w:rPr>
          <w:rFonts w:ascii="Times New Roman" w:hAnsi="Times New Roman" w:cs="Times New Roman"/>
          <w:noProof/>
          <w:sz w:val="24"/>
          <w:szCs w:val="24"/>
        </w:rPr>
        <w:t xml:space="preserve"> distillation. </w:t>
      </w:r>
      <w:r w:rsidR="00DBCF2B" w:rsidRPr="00BA1A06">
        <w:rPr>
          <w:rFonts w:ascii="Times New Roman" w:hAnsi="Times New Roman" w:cs="Times New Roman"/>
          <w:noProof/>
          <w:sz w:val="24"/>
          <w:szCs w:val="24"/>
        </w:rPr>
        <w:t>Available</w:t>
      </w:r>
      <w:r w:rsidR="0CA16638" w:rsidRPr="00BA1A06">
        <w:rPr>
          <w:rFonts w:ascii="Times New Roman" w:hAnsi="Times New Roman" w:cs="Times New Roman"/>
          <w:noProof/>
          <w:sz w:val="24"/>
          <w:szCs w:val="24"/>
        </w:rPr>
        <w:t xml:space="preserve"> regeneration capacit</w:t>
      </w:r>
      <w:r w:rsidR="002646D6">
        <w:rPr>
          <w:rFonts w:ascii="Times New Roman" w:hAnsi="Times New Roman" w:cs="Times New Roman"/>
          <w:noProof/>
          <w:sz w:val="24"/>
          <w:szCs w:val="24"/>
        </w:rPr>
        <w:t>y</w:t>
      </w:r>
      <w:r w:rsidR="0CA16638" w:rsidRPr="00BA1A06">
        <w:rPr>
          <w:rFonts w:ascii="Times New Roman" w:hAnsi="Times New Roman" w:cs="Times New Roman"/>
          <w:noProof/>
          <w:sz w:val="24"/>
          <w:szCs w:val="24"/>
        </w:rPr>
        <w:t xml:space="preserve"> in the EU </w:t>
      </w:r>
      <w:r w:rsidR="78F6A7BE">
        <w:rPr>
          <w:rFonts w:ascii="Times New Roman" w:hAnsi="Times New Roman" w:cs="Times New Roman"/>
          <w:noProof/>
          <w:sz w:val="24"/>
          <w:szCs w:val="24"/>
        </w:rPr>
        <w:t>do</w:t>
      </w:r>
      <w:r w:rsidR="002646D6">
        <w:rPr>
          <w:rFonts w:ascii="Times New Roman" w:hAnsi="Times New Roman" w:cs="Times New Roman"/>
          <w:noProof/>
          <w:sz w:val="24"/>
          <w:szCs w:val="24"/>
        </w:rPr>
        <w:t>es</w:t>
      </w:r>
      <w:r w:rsidR="78F6A7BE">
        <w:rPr>
          <w:rFonts w:ascii="Times New Roman" w:hAnsi="Times New Roman" w:cs="Times New Roman"/>
          <w:noProof/>
          <w:sz w:val="24"/>
          <w:szCs w:val="24"/>
        </w:rPr>
        <w:t xml:space="preserve"> not appear to be </w:t>
      </w:r>
      <w:r w:rsidR="602E41C3">
        <w:rPr>
          <w:rFonts w:ascii="Times New Roman" w:hAnsi="Times New Roman" w:cs="Times New Roman"/>
          <w:noProof/>
          <w:sz w:val="24"/>
          <w:szCs w:val="24"/>
        </w:rPr>
        <w:t>a</w:t>
      </w:r>
      <w:r w:rsidR="78F6A7BE">
        <w:rPr>
          <w:rFonts w:ascii="Times New Roman" w:hAnsi="Times New Roman" w:cs="Times New Roman"/>
          <w:noProof/>
          <w:sz w:val="24"/>
          <w:szCs w:val="24"/>
        </w:rPr>
        <w:t xml:space="preserve"> limiting factor</w:t>
      </w:r>
      <w:r w:rsidR="0CA16638" w:rsidRPr="00BA1A06">
        <w:rPr>
          <w:rFonts w:ascii="Times New Roman" w:hAnsi="Times New Roman" w:cs="Times New Roman"/>
          <w:noProof/>
          <w:sz w:val="24"/>
          <w:szCs w:val="24"/>
        </w:rPr>
        <w:t xml:space="preserve"> since it exceeds what is </w:t>
      </w:r>
      <w:r w:rsidR="7585CF50" w:rsidRPr="00BA1A06">
        <w:rPr>
          <w:rFonts w:ascii="Times New Roman" w:hAnsi="Times New Roman" w:cs="Times New Roman"/>
          <w:noProof/>
          <w:sz w:val="24"/>
          <w:szCs w:val="24"/>
        </w:rPr>
        <w:t>currently</w:t>
      </w:r>
      <w:r w:rsidR="0CA16638" w:rsidRPr="00BA1A06">
        <w:rPr>
          <w:rFonts w:ascii="Times New Roman" w:hAnsi="Times New Roman" w:cs="Times New Roman"/>
          <w:noProof/>
          <w:sz w:val="24"/>
          <w:szCs w:val="24"/>
        </w:rPr>
        <w:t xml:space="preserve"> treated by regeneration and new re-refineries projects have been identified (e.g. in Portugal). However, more capacities would be needed if all waste oils being collected were sent to re</w:t>
      </w:r>
      <w:r w:rsidR="42959FAC">
        <w:rPr>
          <w:rFonts w:ascii="Times New Roman" w:hAnsi="Times New Roman" w:cs="Times New Roman"/>
          <w:noProof/>
          <w:sz w:val="24"/>
          <w:szCs w:val="24"/>
        </w:rPr>
        <w:t>generation</w:t>
      </w:r>
      <w:r w:rsidR="0CA16638" w:rsidRPr="00BA1A06">
        <w:rPr>
          <w:rFonts w:ascii="Times New Roman" w:hAnsi="Times New Roman" w:cs="Times New Roman"/>
          <w:noProof/>
          <w:sz w:val="24"/>
          <w:szCs w:val="24"/>
        </w:rPr>
        <w:t xml:space="preserve"> (and if collection rates increase</w:t>
      </w:r>
      <w:r w:rsidR="001A7A17">
        <w:rPr>
          <w:rFonts w:ascii="Times New Roman" w:hAnsi="Times New Roman" w:cs="Times New Roman"/>
          <w:noProof/>
          <w:sz w:val="24"/>
          <w:szCs w:val="24"/>
        </w:rPr>
        <w:t>d</w:t>
      </w:r>
      <w:r w:rsidR="0CA16638" w:rsidRPr="00BA1A06">
        <w:rPr>
          <w:rFonts w:ascii="Times New Roman" w:hAnsi="Times New Roman" w:cs="Times New Roman"/>
          <w:noProof/>
          <w:sz w:val="24"/>
          <w:szCs w:val="24"/>
        </w:rPr>
        <w:t>).</w:t>
      </w:r>
      <w:r w:rsidR="78F6A7BE">
        <w:rPr>
          <w:rFonts w:ascii="Times New Roman" w:hAnsi="Times New Roman" w:cs="Times New Roman"/>
          <w:noProof/>
          <w:sz w:val="24"/>
          <w:szCs w:val="24"/>
        </w:rPr>
        <w:t xml:space="preserve"> </w:t>
      </w:r>
    </w:p>
    <w:p w14:paraId="4CD2082D" w14:textId="636C9905" w:rsidR="00466A5F" w:rsidRDefault="7CED5DFD" w:rsidP="00466A5F">
      <w:pPr>
        <w:spacing w:after="120"/>
        <w:jc w:val="both"/>
        <w:rPr>
          <w:rFonts w:ascii="Times New Roman" w:hAnsi="Times New Roman" w:cs="Times New Roman"/>
          <w:noProof/>
          <w:sz w:val="24"/>
          <w:szCs w:val="24"/>
        </w:rPr>
      </w:pPr>
      <w:r w:rsidRPr="5747FA50">
        <w:rPr>
          <w:rFonts w:ascii="Times New Roman" w:hAnsi="Times New Roman" w:cs="Times New Roman"/>
          <w:noProof/>
          <w:sz w:val="24"/>
          <w:szCs w:val="24"/>
        </w:rPr>
        <w:t>The main reasons that seem to explain why a significant fraction of waste oil</w:t>
      </w:r>
      <w:r w:rsidR="00D92DFA">
        <w:rPr>
          <w:rFonts w:ascii="Times New Roman" w:hAnsi="Times New Roman" w:cs="Times New Roman"/>
          <w:noProof/>
          <w:sz w:val="24"/>
          <w:szCs w:val="24"/>
        </w:rPr>
        <w:t>s</w:t>
      </w:r>
      <w:r w:rsidRPr="5747FA50">
        <w:rPr>
          <w:rFonts w:ascii="Times New Roman" w:hAnsi="Times New Roman" w:cs="Times New Roman"/>
          <w:noProof/>
          <w:sz w:val="24"/>
          <w:szCs w:val="24"/>
        </w:rPr>
        <w:t xml:space="preserve"> collected does not enter the regeneration pathway include: 1) uneven spread of regeneration capacities </w:t>
      </w:r>
      <w:r w:rsidR="42959FAC" w:rsidRPr="5747FA50">
        <w:rPr>
          <w:rFonts w:ascii="Times New Roman" w:hAnsi="Times New Roman" w:cs="Times New Roman"/>
          <w:noProof/>
          <w:sz w:val="24"/>
          <w:szCs w:val="24"/>
        </w:rPr>
        <w:t>among Member States</w:t>
      </w:r>
      <w:r w:rsidRPr="5747FA50">
        <w:rPr>
          <w:rFonts w:ascii="Times New Roman" w:hAnsi="Times New Roman" w:cs="Times New Roman"/>
          <w:noProof/>
          <w:sz w:val="24"/>
          <w:szCs w:val="24"/>
        </w:rPr>
        <w:t xml:space="preserve">; 2) lack of incentives for regeneration due to </w:t>
      </w:r>
      <w:r w:rsidR="42959FAC" w:rsidRPr="5747FA50">
        <w:rPr>
          <w:rFonts w:ascii="Times New Roman" w:hAnsi="Times New Roman" w:cs="Times New Roman"/>
          <w:noProof/>
          <w:sz w:val="24"/>
          <w:szCs w:val="24"/>
        </w:rPr>
        <w:t xml:space="preserve">absence </w:t>
      </w:r>
      <w:r w:rsidRPr="5747FA50">
        <w:rPr>
          <w:rFonts w:ascii="Times New Roman" w:hAnsi="Times New Roman" w:cs="Times New Roman"/>
          <w:noProof/>
          <w:sz w:val="24"/>
          <w:szCs w:val="24"/>
        </w:rPr>
        <w:t xml:space="preserve">in some Member States of specific instruments to support regeneration (financial support, targets) </w:t>
      </w:r>
      <w:r w:rsidR="00555CDD">
        <w:rPr>
          <w:rFonts w:ascii="Times New Roman" w:hAnsi="Times New Roman" w:cs="Times New Roman"/>
          <w:noProof/>
          <w:sz w:val="24"/>
          <w:szCs w:val="24"/>
        </w:rPr>
        <w:t>3) increased</w:t>
      </w:r>
      <w:r w:rsidR="00555CDD" w:rsidRPr="5747FA50">
        <w:rPr>
          <w:rFonts w:ascii="Times New Roman" w:hAnsi="Times New Roman" w:cs="Times New Roman"/>
          <w:noProof/>
          <w:sz w:val="24"/>
          <w:szCs w:val="24"/>
        </w:rPr>
        <w:t xml:space="preserve"> </w:t>
      </w:r>
      <w:r w:rsidRPr="5747FA50">
        <w:rPr>
          <w:rFonts w:ascii="Times New Roman" w:hAnsi="Times New Roman" w:cs="Times New Roman"/>
          <w:noProof/>
          <w:sz w:val="24"/>
          <w:szCs w:val="24"/>
        </w:rPr>
        <w:t>demand of low-sulphur fuels</w:t>
      </w:r>
      <w:r w:rsidR="00555CDD">
        <w:rPr>
          <w:rFonts w:ascii="Times New Roman" w:hAnsi="Times New Roman" w:cs="Times New Roman"/>
          <w:noProof/>
          <w:sz w:val="24"/>
          <w:szCs w:val="24"/>
        </w:rPr>
        <w:t>, especially for the marine fuels market</w:t>
      </w:r>
      <w:r w:rsidRPr="5747FA50">
        <w:rPr>
          <w:rFonts w:ascii="Times New Roman" w:hAnsi="Times New Roman" w:cs="Times New Roman"/>
          <w:noProof/>
          <w:sz w:val="24"/>
          <w:szCs w:val="24"/>
        </w:rPr>
        <w:t xml:space="preserve"> and </w:t>
      </w:r>
      <w:r w:rsidR="00555CDD">
        <w:rPr>
          <w:rFonts w:ascii="Times New Roman" w:hAnsi="Times New Roman" w:cs="Times New Roman"/>
          <w:noProof/>
          <w:sz w:val="24"/>
          <w:szCs w:val="24"/>
        </w:rPr>
        <w:t>4</w:t>
      </w:r>
      <w:r w:rsidRPr="5747FA50">
        <w:rPr>
          <w:rFonts w:ascii="Times New Roman" w:hAnsi="Times New Roman" w:cs="Times New Roman"/>
          <w:noProof/>
          <w:sz w:val="24"/>
          <w:szCs w:val="24"/>
        </w:rPr>
        <w:t>) variability of virgin oil prices, making regeneration less competitive than energy recovery when virgin oil prices are on the lower end.</w:t>
      </w:r>
    </w:p>
    <w:p w14:paraId="085B935B" w14:textId="77777777" w:rsidR="006F664A" w:rsidRDefault="006F664A" w:rsidP="006049CF">
      <w:pPr>
        <w:spacing w:after="120"/>
        <w:jc w:val="both"/>
        <w:rPr>
          <w:rFonts w:ascii="Times New Roman" w:hAnsi="Times New Roman" w:cs="Times New Roman"/>
          <w:noProof/>
          <w:sz w:val="24"/>
          <w:szCs w:val="24"/>
        </w:rPr>
      </w:pPr>
    </w:p>
    <w:p w14:paraId="0DE63380" w14:textId="2015B601" w:rsidR="00A55DD5" w:rsidRPr="00A55DD5" w:rsidRDefault="00A55DD5" w:rsidP="006049CF">
      <w:pPr>
        <w:spacing w:after="120"/>
        <w:jc w:val="both"/>
        <w:rPr>
          <w:rFonts w:ascii="Times New Roman" w:hAnsi="Times New Roman" w:cs="Times New Roman"/>
          <w:i/>
          <w:iCs/>
          <w:noProof/>
          <w:sz w:val="24"/>
          <w:szCs w:val="24"/>
        </w:rPr>
      </w:pPr>
      <w:r w:rsidRPr="00A55DD5">
        <w:rPr>
          <w:rFonts w:ascii="Times New Roman" w:hAnsi="Times New Roman" w:cs="Times New Roman"/>
          <w:i/>
          <w:iCs/>
          <w:noProof/>
          <w:sz w:val="24"/>
          <w:szCs w:val="24"/>
        </w:rPr>
        <w:t>Comparison of waste oil regeneration vs energy recovery</w:t>
      </w:r>
    </w:p>
    <w:p w14:paraId="1E58108D" w14:textId="5607F40D" w:rsidR="00A55DD5" w:rsidRDefault="5B956C77" w:rsidP="006049CF">
      <w:pPr>
        <w:spacing w:after="120"/>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recently concluded a </w:t>
      </w:r>
      <w:r w:rsidR="62BA7110">
        <w:rPr>
          <w:rFonts w:ascii="Times New Roman" w:hAnsi="Times New Roman" w:cs="Times New Roman"/>
          <w:noProof/>
          <w:sz w:val="24"/>
          <w:szCs w:val="24"/>
        </w:rPr>
        <w:t xml:space="preserve">new state-of-art </w:t>
      </w:r>
      <w:r w:rsidR="62BA7110" w:rsidRPr="00CC0379">
        <w:rPr>
          <w:rFonts w:ascii="Times New Roman" w:hAnsi="Times New Roman" w:cs="Times New Roman"/>
          <w:noProof/>
          <w:sz w:val="24"/>
          <w:szCs w:val="24"/>
        </w:rPr>
        <w:t xml:space="preserve">life cycle-based </w:t>
      </w:r>
      <w:r>
        <w:rPr>
          <w:rFonts w:ascii="Times New Roman" w:hAnsi="Times New Roman" w:cs="Times New Roman"/>
          <w:noProof/>
          <w:sz w:val="24"/>
          <w:szCs w:val="24"/>
        </w:rPr>
        <w:t>study</w:t>
      </w:r>
      <w:r w:rsidR="00CC0379">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xml:space="preserve"> to compare the overall performance of </w:t>
      </w:r>
      <w:r w:rsidR="730CD3D1">
        <w:rPr>
          <w:rFonts w:ascii="Times New Roman" w:hAnsi="Times New Roman" w:cs="Times New Roman"/>
          <w:noProof/>
          <w:sz w:val="24"/>
          <w:szCs w:val="24"/>
        </w:rPr>
        <w:t xml:space="preserve">the three main </w:t>
      </w:r>
      <w:r>
        <w:rPr>
          <w:rFonts w:ascii="Times New Roman" w:hAnsi="Times New Roman" w:cs="Times New Roman"/>
          <w:noProof/>
          <w:sz w:val="24"/>
          <w:szCs w:val="24"/>
        </w:rPr>
        <w:t>waste oil regeneration technologies</w:t>
      </w:r>
      <w:r w:rsidR="00852B0D">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with different options to recover energy from waste oil</w:t>
      </w:r>
      <w:r w:rsidR="00D92DFA">
        <w:rPr>
          <w:rFonts w:ascii="Times New Roman" w:hAnsi="Times New Roman" w:cs="Times New Roman"/>
          <w:noProof/>
          <w:sz w:val="24"/>
          <w:szCs w:val="24"/>
        </w:rPr>
        <w:t>s</w:t>
      </w:r>
      <w:r w:rsidR="00852B0D">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xml:space="preserve">. </w:t>
      </w:r>
      <w:r w:rsidR="55B345E7">
        <w:rPr>
          <w:rFonts w:ascii="Times New Roman" w:hAnsi="Times New Roman" w:cs="Times New Roman"/>
          <w:noProof/>
          <w:sz w:val="24"/>
          <w:szCs w:val="24"/>
        </w:rPr>
        <w:t>The analysis was carried</w:t>
      </w:r>
      <w:r w:rsidR="6AAA1F8B">
        <w:rPr>
          <w:rFonts w:ascii="Times New Roman" w:hAnsi="Times New Roman" w:cs="Times New Roman"/>
          <w:noProof/>
          <w:sz w:val="24"/>
          <w:szCs w:val="24"/>
        </w:rPr>
        <w:t xml:space="preserve"> </w:t>
      </w:r>
      <w:r w:rsidR="55B345E7">
        <w:rPr>
          <w:rFonts w:ascii="Times New Roman" w:hAnsi="Times New Roman" w:cs="Times New Roman"/>
          <w:noProof/>
          <w:sz w:val="24"/>
          <w:szCs w:val="24"/>
        </w:rPr>
        <w:t xml:space="preserve">out using </w:t>
      </w:r>
      <w:r w:rsidR="020B5900">
        <w:rPr>
          <w:rFonts w:ascii="Times New Roman" w:hAnsi="Times New Roman" w:cs="Times New Roman"/>
          <w:noProof/>
          <w:sz w:val="24"/>
          <w:szCs w:val="24"/>
        </w:rPr>
        <w:t xml:space="preserve">a </w:t>
      </w:r>
      <w:r w:rsidR="55B345E7">
        <w:rPr>
          <w:rFonts w:ascii="Times New Roman" w:hAnsi="Times New Roman" w:cs="Times New Roman"/>
          <w:noProof/>
          <w:sz w:val="24"/>
          <w:szCs w:val="24"/>
        </w:rPr>
        <w:t xml:space="preserve">specific </w:t>
      </w:r>
      <w:r w:rsidR="00F32F43">
        <w:rPr>
          <w:rFonts w:ascii="Times New Roman" w:hAnsi="Times New Roman" w:cs="Times New Roman"/>
          <w:noProof/>
          <w:sz w:val="24"/>
          <w:szCs w:val="24"/>
        </w:rPr>
        <w:t>life cycle assessment (</w:t>
      </w:r>
      <w:r w:rsidR="55B345E7" w:rsidRPr="00A732DE">
        <w:rPr>
          <w:rFonts w:ascii="Times New Roman" w:hAnsi="Times New Roman" w:cs="Times New Roman"/>
          <w:noProof/>
          <w:sz w:val="24"/>
          <w:szCs w:val="24"/>
        </w:rPr>
        <w:t>LCA</w:t>
      </w:r>
      <w:r w:rsidR="00F32F43">
        <w:rPr>
          <w:rFonts w:ascii="Times New Roman" w:hAnsi="Times New Roman" w:cs="Times New Roman"/>
          <w:noProof/>
          <w:sz w:val="24"/>
          <w:szCs w:val="24"/>
        </w:rPr>
        <w:t>)</w:t>
      </w:r>
      <w:r w:rsidR="55B345E7" w:rsidRPr="00A732DE">
        <w:rPr>
          <w:rFonts w:ascii="Times New Roman" w:hAnsi="Times New Roman" w:cs="Times New Roman"/>
          <w:noProof/>
          <w:sz w:val="24"/>
          <w:szCs w:val="24"/>
        </w:rPr>
        <w:t xml:space="preserve"> </w:t>
      </w:r>
      <w:r w:rsidR="62817F6C" w:rsidRPr="00A732DE">
        <w:rPr>
          <w:rFonts w:ascii="Times New Roman" w:hAnsi="Times New Roman" w:cs="Times New Roman"/>
          <w:noProof/>
          <w:sz w:val="24"/>
          <w:szCs w:val="24"/>
        </w:rPr>
        <w:t>modelling tool</w:t>
      </w:r>
      <w:r w:rsidR="00A732DE">
        <w:rPr>
          <w:rStyle w:val="FootnoteReference"/>
          <w:rFonts w:ascii="Times New Roman" w:hAnsi="Times New Roman" w:cs="Times New Roman"/>
          <w:noProof/>
          <w:sz w:val="24"/>
          <w:szCs w:val="24"/>
        </w:rPr>
        <w:footnoteReference w:id="47"/>
      </w:r>
      <w:r w:rsidR="55B345E7" w:rsidRPr="00A732DE">
        <w:rPr>
          <w:rFonts w:ascii="Times New Roman" w:hAnsi="Times New Roman" w:cs="Times New Roman"/>
          <w:noProof/>
          <w:sz w:val="24"/>
          <w:szCs w:val="24"/>
        </w:rPr>
        <w:t xml:space="preserve"> </w:t>
      </w:r>
      <w:r w:rsidR="55B345E7">
        <w:rPr>
          <w:rFonts w:ascii="Times New Roman" w:hAnsi="Times New Roman" w:cs="Times New Roman"/>
          <w:noProof/>
          <w:sz w:val="24"/>
          <w:szCs w:val="24"/>
        </w:rPr>
        <w:t>which was</w:t>
      </w:r>
      <w:r w:rsidR="55B345E7" w:rsidRPr="00A732DE">
        <w:rPr>
          <w:rFonts w:ascii="Times New Roman" w:hAnsi="Times New Roman" w:cs="Times New Roman"/>
          <w:noProof/>
          <w:sz w:val="24"/>
          <w:szCs w:val="24"/>
        </w:rPr>
        <w:t xml:space="preserve"> applied to </w:t>
      </w:r>
      <w:r w:rsidR="08348BC2" w:rsidRPr="00A732DE">
        <w:rPr>
          <w:rFonts w:ascii="Times New Roman" w:hAnsi="Times New Roman" w:cs="Times New Roman"/>
          <w:noProof/>
          <w:sz w:val="24"/>
          <w:szCs w:val="24"/>
        </w:rPr>
        <w:t>simulate</w:t>
      </w:r>
      <w:r w:rsidR="55B345E7" w:rsidRPr="00A732DE">
        <w:rPr>
          <w:rFonts w:ascii="Times New Roman" w:hAnsi="Times New Roman" w:cs="Times New Roman"/>
          <w:noProof/>
          <w:sz w:val="24"/>
          <w:szCs w:val="24"/>
        </w:rPr>
        <w:t xml:space="preserve"> the different waste management activities and processes included in each </w:t>
      </w:r>
      <w:r w:rsidR="496A0D8F" w:rsidRPr="00A732DE">
        <w:rPr>
          <w:rFonts w:ascii="Times New Roman" w:hAnsi="Times New Roman" w:cs="Times New Roman"/>
          <w:noProof/>
          <w:sz w:val="24"/>
          <w:szCs w:val="24"/>
        </w:rPr>
        <w:t>technology</w:t>
      </w:r>
      <w:r w:rsidR="55B345E7" w:rsidRPr="00A732DE">
        <w:rPr>
          <w:rFonts w:ascii="Times New Roman" w:hAnsi="Times New Roman" w:cs="Times New Roman"/>
          <w:noProof/>
          <w:sz w:val="24"/>
          <w:szCs w:val="24"/>
        </w:rPr>
        <w:t>, and to calculate the respective potential environmental impacts</w:t>
      </w:r>
      <w:r w:rsidR="00DB024D">
        <w:rPr>
          <w:rStyle w:val="FootnoteReference"/>
          <w:rFonts w:ascii="Times New Roman" w:hAnsi="Times New Roman" w:cs="Times New Roman"/>
          <w:noProof/>
          <w:sz w:val="24"/>
          <w:szCs w:val="24"/>
        </w:rPr>
        <w:footnoteReference w:id="48"/>
      </w:r>
      <w:r w:rsidR="55B345E7" w:rsidRPr="00A732DE">
        <w:rPr>
          <w:rFonts w:ascii="Times New Roman" w:hAnsi="Times New Roman" w:cs="Times New Roman"/>
          <w:noProof/>
          <w:sz w:val="24"/>
          <w:szCs w:val="24"/>
        </w:rPr>
        <w:t xml:space="preserve"> and life cycle costs</w:t>
      </w:r>
      <w:r w:rsidR="5969FC1E">
        <w:rPr>
          <w:rFonts w:ascii="Times New Roman" w:hAnsi="Times New Roman" w:cs="Times New Roman"/>
          <w:noProof/>
          <w:sz w:val="24"/>
          <w:szCs w:val="24"/>
        </w:rPr>
        <w:t xml:space="preserve"> (LCC)</w:t>
      </w:r>
      <w:r w:rsidR="55B345E7">
        <w:rPr>
          <w:rFonts w:ascii="Times New Roman" w:hAnsi="Times New Roman" w:cs="Times New Roman"/>
          <w:noProof/>
          <w:sz w:val="24"/>
          <w:szCs w:val="24"/>
        </w:rPr>
        <w:t xml:space="preserve">. </w:t>
      </w:r>
      <w:r w:rsidR="730CD3D1">
        <w:rPr>
          <w:rFonts w:ascii="Times New Roman" w:hAnsi="Times New Roman" w:cs="Times New Roman"/>
          <w:noProof/>
          <w:sz w:val="24"/>
          <w:szCs w:val="24"/>
        </w:rPr>
        <w:t xml:space="preserve">This analysis was </w:t>
      </w:r>
      <w:r w:rsidR="209EC933">
        <w:rPr>
          <w:rFonts w:ascii="Times New Roman" w:hAnsi="Times New Roman" w:cs="Times New Roman"/>
          <w:noProof/>
          <w:sz w:val="24"/>
          <w:szCs w:val="24"/>
        </w:rPr>
        <w:t xml:space="preserve">subsequently </w:t>
      </w:r>
      <w:r w:rsidR="730CD3D1">
        <w:rPr>
          <w:rFonts w:ascii="Times New Roman" w:hAnsi="Times New Roman" w:cs="Times New Roman"/>
          <w:noProof/>
          <w:sz w:val="24"/>
          <w:szCs w:val="24"/>
        </w:rPr>
        <w:t xml:space="preserve">used to obtain insights about possible </w:t>
      </w:r>
      <w:r w:rsidR="730CD3D1" w:rsidRPr="00852B0D">
        <w:rPr>
          <w:rFonts w:ascii="Times New Roman" w:hAnsi="Times New Roman" w:cs="Times New Roman"/>
          <w:noProof/>
          <w:sz w:val="24"/>
          <w:szCs w:val="24"/>
        </w:rPr>
        <w:t>polic</w:t>
      </w:r>
      <w:r w:rsidR="730CD3D1">
        <w:rPr>
          <w:rFonts w:ascii="Times New Roman" w:hAnsi="Times New Roman" w:cs="Times New Roman"/>
          <w:noProof/>
          <w:sz w:val="24"/>
          <w:szCs w:val="24"/>
        </w:rPr>
        <w:t xml:space="preserve">ies that could be put in place to </w:t>
      </w:r>
      <w:r w:rsidR="730CD3D1" w:rsidRPr="00852B0D">
        <w:rPr>
          <w:rFonts w:ascii="Times New Roman" w:hAnsi="Times New Roman" w:cs="Times New Roman"/>
          <w:noProof/>
          <w:sz w:val="24"/>
          <w:szCs w:val="24"/>
        </w:rPr>
        <w:t>increas</w:t>
      </w:r>
      <w:r w:rsidR="730CD3D1">
        <w:rPr>
          <w:rFonts w:ascii="Times New Roman" w:hAnsi="Times New Roman" w:cs="Times New Roman"/>
          <w:noProof/>
          <w:sz w:val="24"/>
          <w:szCs w:val="24"/>
        </w:rPr>
        <w:t>e</w:t>
      </w:r>
      <w:r w:rsidR="730CD3D1" w:rsidRPr="00852B0D">
        <w:rPr>
          <w:rFonts w:ascii="Times New Roman" w:hAnsi="Times New Roman" w:cs="Times New Roman"/>
          <w:noProof/>
          <w:sz w:val="24"/>
          <w:szCs w:val="24"/>
        </w:rPr>
        <w:t xml:space="preserve"> waste oil flows towards the most beneficial pathways</w:t>
      </w:r>
      <w:r w:rsidR="730CD3D1">
        <w:rPr>
          <w:rFonts w:ascii="Times New Roman" w:hAnsi="Times New Roman" w:cs="Times New Roman"/>
          <w:noProof/>
          <w:sz w:val="24"/>
          <w:szCs w:val="24"/>
        </w:rPr>
        <w:t xml:space="preserve">. </w:t>
      </w:r>
    </w:p>
    <w:p w14:paraId="5975E908" w14:textId="4BD1541B" w:rsidR="009F3648" w:rsidRDefault="04FD3F18" w:rsidP="009B3BE7">
      <w:pPr>
        <w:spacing w:after="120"/>
        <w:jc w:val="both"/>
        <w:rPr>
          <w:rFonts w:ascii="Times New Roman" w:hAnsi="Times New Roman" w:cs="Times New Roman"/>
          <w:noProof/>
          <w:color w:val="000000"/>
          <w:sz w:val="24"/>
          <w:szCs w:val="24"/>
          <w:lang w:val="en-IE"/>
        </w:rPr>
      </w:pPr>
      <w:r>
        <w:rPr>
          <w:rFonts w:ascii="Times New Roman" w:hAnsi="Times New Roman" w:cs="Times New Roman"/>
          <w:noProof/>
          <w:color w:val="000000"/>
          <w:sz w:val="24"/>
          <w:szCs w:val="24"/>
          <w:lang w:val="en-IE"/>
        </w:rPr>
        <w:t>T</w:t>
      </w:r>
      <w:r w:rsidR="5969FC1E" w:rsidRPr="007F6C85">
        <w:rPr>
          <w:rFonts w:ascii="Times New Roman" w:hAnsi="Times New Roman" w:cs="Times New Roman"/>
          <w:noProof/>
          <w:color w:val="000000"/>
          <w:sz w:val="24"/>
          <w:szCs w:val="24"/>
          <w:lang w:val="en-IE"/>
        </w:rPr>
        <w:t>he study distinguishes two types of LCC</w:t>
      </w:r>
      <w:r>
        <w:rPr>
          <w:rFonts w:ascii="Times New Roman" w:hAnsi="Times New Roman" w:cs="Times New Roman"/>
          <w:noProof/>
          <w:color w:val="000000"/>
          <w:sz w:val="24"/>
          <w:szCs w:val="24"/>
          <w:lang w:val="en-IE"/>
        </w:rPr>
        <w:t>. C</w:t>
      </w:r>
      <w:r w:rsidR="5969FC1E" w:rsidRPr="007F6C85">
        <w:rPr>
          <w:rFonts w:ascii="Times New Roman" w:hAnsi="Times New Roman" w:cs="Times New Roman"/>
          <w:noProof/>
          <w:color w:val="000000"/>
          <w:sz w:val="24"/>
          <w:szCs w:val="24"/>
          <w:lang w:val="en-IE"/>
        </w:rPr>
        <w:t>onventional LCC describes financial cost as the sum of budgets costs and transfers, i.e., internal costs of managing waste oil</w:t>
      </w:r>
      <w:r w:rsidR="00D92DFA">
        <w:rPr>
          <w:rFonts w:ascii="Times New Roman" w:hAnsi="Times New Roman" w:cs="Times New Roman"/>
          <w:noProof/>
          <w:color w:val="000000"/>
          <w:sz w:val="24"/>
          <w:szCs w:val="24"/>
          <w:lang w:val="en-IE"/>
        </w:rPr>
        <w:t>s</w:t>
      </w:r>
      <w:r w:rsidR="62BA7110">
        <w:rPr>
          <w:rFonts w:ascii="Times New Roman" w:hAnsi="Times New Roman" w:cs="Times New Roman"/>
          <w:noProof/>
          <w:color w:val="000000"/>
          <w:sz w:val="24"/>
          <w:szCs w:val="24"/>
          <w:lang w:val="en-IE"/>
        </w:rPr>
        <w:t>.</w:t>
      </w:r>
      <w:r w:rsidR="5969FC1E" w:rsidRPr="007F6C85">
        <w:rPr>
          <w:rFonts w:ascii="Times New Roman" w:hAnsi="Times New Roman" w:cs="Times New Roman"/>
          <w:noProof/>
          <w:color w:val="000000"/>
          <w:sz w:val="24"/>
          <w:szCs w:val="24"/>
          <w:lang w:val="en-IE"/>
        </w:rPr>
        <w:t xml:space="preserve"> </w:t>
      </w:r>
      <w:r w:rsidR="5969FC1E">
        <w:rPr>
          <w:rFonts w:ascii="Times New Roman" w:hAnsi="Times New Roman" w:cs="Times New Roman"/>
          <w:noProof/>
          <w:color w:val="000000"/>
          <w:sz w:val="24"/>
          <w:szCs w:val="24"/>
          <w:lang w:val="en-IE"/>
        </w:rPr>
        <w:t>S</w:t>
      </w:r>
      <w:r w:rsidR="5969FC1E" w:rsidRPr="007F6C85">
        <w:rPr>
          <w:rFonts w:ascii="Times New Roman" w:hAnsi="Times New Roman" w:cs="Times New Roman"/>
          <w:noProof/>
          <w:color w:val="000000"/>
          <w:sz w:val="24"/>
          <w:szCs w:val="24"/>
          <w:lang w:val="en-IE"/>
        </w:rPr>
        <w:t>ocietal LCC sums internal and external costs, both expressed as shadow prices</w:t>
      </w:r>
      <w:r>
        <w:rPr>
          <w:rFonts w:ascii="Times New Roman" w:hAnsi="Times New Roman" w:cs="Times New Roman"/>
          <w:noProof/>
          <w:color w:val="000000"/>
          <w:sz w:val="24"/>
          <w:szCs w:val="24"/>
          <w:lang w:val="en-IE"/>
        </w:rPr>
        <w:t>,</w:t>
      </w:r>
      <w:r w:rsidR="5969FC1E" w:rsidRPr="007F6C85">
        <w:rPr>
          <w:rFonts w:ascii="Times New Roman" w:hAnsi="Times New Roman" w:cs="Times New Roman"/>
          <w:noProof/>
          <w:color w:val="000000"/>
          <w:sz w:val="24"/>
          <w:szCs w:val="24"/>
          <w:lang w:val="en-IE"/>
        </w:rPr>
        <w:t xml:space="preserve"> to quantify the total cost incurred by society, thus reflecting a </w:t>
      </w:r>
      <w:r w:rsidR="0A48182B" w:rsidRPr="007F6C85">
        <w:rPr>
          <w:rFonts w:ascii="Times New Roman" w:hAnsi="Times New Roman" w:cs="Times New Roman"/>
          <w:noProof/>
          <w:color w:val="000000"/>
          <w:sz w:val="24"/>
          <w:szCs w:val="24"/>
          <w:lang w:val="en-IE"/>
        </w:rPr>
        <w:t>social costs-and-benefits</w:t>
      </w:r>
      <w:r w:rsidR="5969FC1E" w:rsidRPr="007F6C85">
        <w:rPr>
          <w:rFonts w:ascii="Times New Roman" w:hAnsi="Times New Roman" w:cs="Times New Roman"/>
          <w:noProof/>
          <w:color w:val="000000"/>
          <w:sz w:val="24"/>
          <w:szCs w:val="24"/>
          <w:lang w:val="en-IE"/>
        </w:rPr>
        <w:t xml:space="preserve"> assessment</w:t>
      </w:r>
      <w:r w:rsidR="5969FC1E">
        <w:rPr>
          <w:rFonts w:ascii="Times New Roman" w:hAnsi="Times New Roman" w:cs="Times New Roman"/>
          <w:noProof/>
          <w:color w:val="000000"/>
          <w:sz w:val="24"/>
          <w:szCs w:val="24"/>
          <w:lang w:val="en-IE"/>
        </w:rPr>
        <w:t xml:space="preserve"> and including </w:t>
      </w:r>
      <w:r w:rsidR="5969FC1E" w:rsidRPr="007F6C85">
        <w:rPr>
          <w:rFonts w:ascii="Times New Roman" w:hAnsi="Times New Roman" w:cs="Times New Roman"/>
          <w:noProof/>
          <w:color w:val="000000"/>
          <w:sz w:val="24"/>
          <w:szCs w:val="24"/>
          <w:lang w:val="en-IE"/>
        </w:rPr>
        <w:t>the specific shadow price of CO</w:t>
      </w:r>
      <w:r w:rsidR="5969FC1E" w:rsidRPr="007F6C85">
        <w:rPr>
          <w:rFonts w:ascii="Times New Roman" w:hAnsi="Times New Roman" w:cs="Times New Roman"/>
          <w:noProof/>
          <w:color w:val="000000"/>
          <w:sz w:val="24"/>
          <w:szCs w:val="24"/>
          <w:vertAlign w:val="subscript"/>
          <w:lang w:val="en-IE"/>
        </w:rPr>
        <w:t>2</w:t>
      </w:r>
      <w:r w:rsidR="6494982F" w:rsidRPr="5747FA50">
        <w:rPr>
          <w:rFonts w:ascii="Times New Roman" w:hAnsi="Times New Roman" w:cs="Times New Roman"/>
          <w:noProof/>
          <w:color w:val="000000" w:themeColor="text1"/>
          <w:sz w:val="24"/>
          <w:szCs w:val="24"/>
          <w:lang w:val="en-IE"/>
        </w:rPr>
        <w:t>, other emissions and resource depletion.</w:t>
      </w:r>
      <w:r w:rsidR="00A317C6">
        <w:rPr>
          <w:rStyle w:val="FootnoteReference"/>
          <w:rFonts w:ascii="Times New Roman" w:hAnsi="Times New Roman" w:cs="Times New Roman"/>
          <w:noProof/>
          <w:color w:val="000000"/>
          <w:sz w:val="24"/>
          <w:szCs w:val="24"/>
          <w:lang w:val="en-IE"/>
        </w:rPr>
        <w:footnoteReference w:id="49"/>
      </w:r>
      <w:r w:rsidR="6AAA1F8B">
        <w:rPr>
          <w:rFonts w:ascii="Times New Roman" w:hAnsi="Times New Roman" w:cs="Times New Roman"/>
          <w:noProof/>
          <w:color w:val="000000"/>
          <w:sz w:val="24"/>
          <w:szCs w:val="24"/>
          <w:lang w:val="en-IE"/>
        </w:rPr>
        <w:t xml:space="preserve"> </w:t>
      </w:r>
      <w:r>
        <w:rPr>
          <w:rFonts w:ascii="Times New Roman" w:hAnsi="Times New Roman" w:cs="Times New Roman"/>
          <w:noProof/>
          <w:color w:val="000000"/>
          <w:sz w:val="24"/>
          <w:szCs w:val="24"/>
          <w:lang w:val="en-IE"/>
        </w:rPr>
        <w:t xml:space="preserve">The study </w:t>
      </w:r>
      <w:r w:rsidR="2CAE4448">
        <w:rPr>
          <w:rFonts w:ascii="Times New Roman" w:hAnsi="Times New Roman" w:cs="Times New Roman"/>
          <w:noProof/>
          <w:color w:val="000000"/>
          <w:sz w:val="24"/>
          <w:szCs w:val="24"/>
          <w:lang w:val="en-IE"/>
        </w:rPr>
        <w:t xml:space="preserve">also </w:t>
      </w:r>
      <w:r>
        <w:rPr>
          <w:rFonts w:ascii="Times New Roman" w:hAnsi="Times New Roman" w:cs="Times New Roman"/>
          <w:noProof/>
          <w:color w:val="000000"/>
          <w:sz w:val="24"/>
          <w:szCs w:val="24"/>
          <w:lang w:val="en-IE"/>
        </w:rPr>
        <w:t>includes a</w:t>
      </w:r>
      <w:r w:rsidR="2CAE4448">
        <w:rPr>
          <w:rFonts w:ascii="Times New Roman" w:hAnsi="Times New Roman" w:cs="Times New Roman"/>
          <w:noProof/>
          <w:color w:val="000000"/>
          <w:sz w:val="24"/>
          <w:szCs w:val="24"/>
          <w:lang w:val="en-IE"/>
        </w:rPr>
        <w:t xml:space="preserve">n </w:t>
      </w:r>
      <w:r w:rsidR="6AAA1F8B" w:rsidRPr="007F6C85">
        <w:rPr>
          <w:rFonts w:ascii="Times New Roman" w:hAnsi="Times New Roman" w:cs="Times New Roman"/>
          <w:noProof/>
          <w:color w:val="000000"/>
          <w:sz w:val="24"/>
          <w:szCs w:val="24"/>
          <w:lang w:val="en-IE"/>
        </w:rPr>
        <w:t>analys</w:t>
      </w:r>
      <w:r w:rsidR="2CAE4448">
        <w:rPr>
          <w:rFonts w:ascii="Times New Roman" w:hAnsi="Times New Roman" w:cs="Times New Roman"/>
          <w:noProof/>
          <w:color w:val="000000"/>
          <w:sz w:val="24"/>
          <w:szCs w:val="24"/>
          <w:lang w:val="en-IE"/>
        </w:rPr>
        <w:t>i</w:t>
      </w:r>
      <w:r w:rsidR="6AAA1F8B">
        <w:rPr>
          <w:rFonts w:ascii="Times New Roman" w:hAnsi="Times New Roman" w:cs="Times New Roman"/>
          <w:noProof/>
          <w:color w:val="000000"/>
          <w:sz w:val="24"/>
          <w:szCs w:val="24"/>
          <w:lang w:val="en-IE"/>
        </w:rPr>
        <w:t>s</w:t>
      </w:r>
      <w:r w:rsidR="6AAA1F8B" w:rsidRPr="007F6C85">
        <w:rPr>
          <w:rFonts w:ascii="Times New Roman" w:hAnsi="Times New Roman" w:cs="Times New Roman"/>
          <w:noProof/>
          <w:color w:val="000000"/>
          <w:sz w:val="24"/>
          <w:szCs w:val="24"/>
          <w:lang w:val="en-IE"/>
        </w:rPr>
        <w:t xml:space="preserve"> </w:t>
      </w:r>
      <w:r w:rsidR="6AAA1F8B">
        <w:rPr>
          <w:rFonts w:ascii="Times New Roman" w:hAnsi="Times New Roman" w:cs="Times New Roman"/>
          <w:noProof/>
          <w:color w:val="000000"/>
          <w:sz w:val="24"/>
          <w:szCs w:val="24"/>
          <w:lang w:val="en-IE"/>
        </w:rPr>
        <w:t xml:space="preserve">to check the sensitivity of the results to several factors </w:t>
      </w:r>
      <w:r w:rsidR="62BA7110">
        <w:rPr>
          <w:rFonts w:ascii="Times New Roman" w:hAnsi="Times New Roman" w:cs="Times New Roman"/>
          <w:noProof/>
          <w:color w:val="000000"/>
          <w:sz w:val="24"/>
          <w:szCs w:val="24"/>
          <w:lang w:val="en-IE"/>
        </w:rPr>
        <w:t>and an assessment of the</w:t>
      </w:r>
      <w:r w:rsidR="6AAA1F8B">
        <w:rPr>
          <w:rFonts w:ascii="Times New Roman" w:hAnsi="Times New Roman" w:cs="Times New Roman"/>
          <w:noProof/>
          <w:color w:val="000000"/>
          <w:sz w:val="24"/>
          <w:szCs w:val="24"/>
          <w:lang w:val="en-IE"/>
        </w:rPr>
        <w:t xml:space="preserve"> uncertainty in the </w:t>
      </w:r>
      <w:r w:rsidR="50B67512">
        <w:rPr>
          <w:rFonts w:ascii="Times New Roman" w:hAnsi="Times New Roman" w:cs="Times New Roman"/>
          <w:noProof/>
          <w:color w:val="000000"/>
          <w:sz w:val="24"/>
          <w:szCs w:val="24"/>
          <w:lang w:val="en-IE"/>
        </w:rPr>
        <w:t xml:space="preserve">final </w:t>
      </w:r>
      <w:r w:rsidR="6AAA1F8B">
        <w:rPr>
          <w:rFonts w:ascii="Times New Roman" w:hAnsi="Times New Roman" w:cs="Times New Roman"/>
          <w:noProof/>
          <w:color w:val="000000"/>
          <w:sz w:val="24"/>
          <w:szCs w:val="24"/>
          <w:lang w:val="en-IE"/>
        </w:rPr>
        <w:t xml:space="preserve">results </w:t>
      </w:r>
      <w:r w:rsidR="62BA7110">
        <w:rPr>
          <w:rFonts w:ascii="Times New Roman" w:hAnsi="Times New Roman" w:cs="Times New Roman"/>
          <w:noProof/>
          <w:color w:val="000000"/>
          <w:sz w:val="24"/>
          <w:szCs w:val="24"/>
          <w:lang w:val="en-IE"/>
        </w:rPr>
        <w:t>b</w:t>
      </w:r>
      <w:r w:rsidR="6AAA1F8B">
        <w:rPr>
          <w:rFonts w:ascii="Times New Roman" w:hAnsi="Times New Roman" w:cs="Times New Roman"/>
          <w:noProof/>
          <w:color w:val="000000"/>
          <w:sz w:val="24"/>
          <w:szCs w:val="24"/>
          <w:lang w:val="en-IE"/>
        </w:rPr>
        <w:t>y performing a discernibility analysis</w:t>
      </w:r>
      <w:r w:rsidR="00EC635B">
        <w:rPr>
          <w:rStyle w:val="FootnoteReference"/>
          <w:rFonts w:ascii="Times New Roman" w:hAnsi="Times New Roman" w:cs="Times New Roman"/>
          <w:noProof/>
          <w:color w:val="000000"/>
          <w:sz w:val="24"/>
          <w:szCs w:val="24"/>
          <w:lang w:val="en-IE"/>
        </w:rPr>
        <w:footnoteReference w:id="50"/>
      </w:r>
      <w:r w:rsidR="6AAA1F8B" w:rsidRPr="009F3648">
        <w:rPr>
          <w:rFonts w:ascii="Times New Roman" w:hAnsi="Times New Roman" w:cs="Times New Roman"/>
          <w:noProof/>
          <w:color w:val="000000"/>
          <w:sz w:val="24"/>
          <w:szCs w:val="24"/>
          <w:lang w:val="en-IE"/>
        </w:rPr>
        <w:t xml:space="preserve">. </w:t>
      </w:r>
    </w:p>
    <w:p w14:paraId="497E5E62" w14:textId="77777777" w:rsidR="00852B0D" w:rsidRDefault="00852B0D" w:rsidP="009B3BE7">
      <w:pPr>
        <w:spacing w:after="120"/>
        <w:jc w:val="both"/>
        <w:rPr>
          <w:rFonts w:ascii="Times New Roman" w:hAnsi="Times New Roman" w:cs="Times New Roman"/>
          <w:noProof/>
          <w:color w:val="000000"/>
          <w:sz w:val="24"/>
          <w:szCs w:val="24"/>
          <w:lang w:val="en-IE"/>
        </w:rPr>
      </w:pPr>
    </w:p>
    <w:p w14:paraId="5E110B2C" w14:textId="03A94028" w:rsidR="00852B0D" w:rsidRDefault="00852B0D" w:rsidP="009B3BE7">
      <w:pPr>
        <w:spacing w:after="120"/>
        <w:jc w:val="both"/>
        <w:rPr>
          <w:rFonts w:ascii="Times New Roman" w:hAnsi="Times New Roman" w:cs="Times New Roman"/>
          <w:noProof/>
          <w:color w:val="000000"/>
          <w:sz w:val="24"/>
          <w:szCs w:val="24"/>
          <w:lang w:val="en-IE"/>
        </w:rPr>
      </w:pPr>
      <w:r>
        <w:rPr>
          <w:rFonts w:ascii="Times New Roman" w:hAnsi="Times New Roman" w:cs="Times New Roman"/>
          <w:i/>
          <w:iCs/>
          <w:noProof/>
          <w:sz w:val="24"/>
          <w:szCs w:val="24"/>
        </w:rPr>
        <w:t xml:space="preserve">Outcome of the assessment of </w:t>
      </w:r>
      <w:r w:rsidRPr="00A55DD5">
        <w:rPr>
          <w:rFonts w:ascii="Times New Roman" w:hAnsi="Times New Roman" w:cs="Times New Roman"/>
          <w:i/>
          <w:iCs/>
          <w:noProof/>
          <w:sz w:val="24"/>
          <w:szCs w:val="24"/>
        </w:rPr>
        <w:t>regeneration vs energy recovery</w:t>
      </w:r>
    </w:p>
    <w:p w14:paraId="05203FFE" w14:textId="12047379" w:rsidR="00C27229" w:rsidRDefault="730CD3D1" w:rsidP="009B3BE7">
      <w:pPr>
        <w:spacing w:after="120"/>
        <w:jc w:val="both"/>
        <w:rPr>
          <w:rFonts w:ascii="Times New Roman" w:hAnsi="Times New Roman" w:cs="Times New Roman"/>
          <w:noProof/>
          <w:color w:val="000000"/>
          <w:sz w:val="24"/>
          <w:szCs w:val="24"/>
          <w:lang w:val="en-IE"/>
        </w:rPr>
      </w:pPr>
      <w:r w:rsidRPr="5747FA50">
        <w:rPr>
          <w:rFonts w:ascii="Times New Roman" w:hAnsi="Times New Roman" w:cs="Times New Roman"/>
          <w:noProof/>
          <w:color w:val="000000" w:themeColor="text1"/>
          <w:sz w:val="24"/>
          <w:szCs w:val="24"/>
          <w:lang w:val="en-IE"/>
        </w:rPr>
        <w:t xml:space="preserve">For most individual impact categories, as well as in </w:t>
      </w:r>
      <w:r w:rsidR="3008E7AB" w:rsidRPr="5747FA50">
        <w:rPr>
          <w:rFonts w:ascii="Times New Roman" w:hAnsi="Times New Roman" w:cs="Times New Roman"/>
          <w:noProof/>
          <w:color w:val="000000" w:themeColor="text1"/>
          <w:sz w:val="24"/>
          <w:szCs w:val="24"/>
          <w:lang w:val="en-IE"/>
        </w:rPr>
        <w:t xml:space="preserve">terms of </w:t>
      </w:r>
      <w:r w:rsidRPr="5747FA50">
        <w:rPr>
          <w:rFonts w:ascii="Times New Roman" w:hAnsi="Times New Roman" w:cs="Times New Roman"/>
          <w:noProof/>
          <w:color w:val="000000" w:themeColor="text1"/>
          <w:sz w:val="24"/>
          <w:szCs w:val="24"/>
          <w:lang w:val="en-IE"/>
        </w:rPr>
        <w:t>societal life cycle costing, the three regeneration pathways</w:t>
      </w:r>
      <w:r w:rsidR="00F62145">
        <w:rPr>
          <w:rStyle w:val="FootnoteReference"/>
          <w:rFonts w:ascii="Times New Roman" w:hAnsi="Times New Roman" w:cs="Times New Roman"/>
          <w:noProof/>
          <w:color w:val="000000" w:themeColor="text1"/>
          <w:sz w:val="24"/>
          <w:szCs w:val="24"/>
          <w:lang w:val="en-IE"/>
        </w:rPr>
        <w:footnoteReference w:id="51"/>
      </w:r>
      <w:r w:rsidRPr="5747FA50">
        <w:rPr>
          <w:rFonts w:ascii="Times New Roman" w:hAnsi="Times New Roman" w:cs="Times New Roman"/>
          <w:noProof/>
          <w:color w:val="000000" w:themeColor="text1"/>
          <w:sz w:val="24"/>
          <w:szCs w:val="24"/>
          <w:lang w:val="en-IE"/>
        </w:rPr>
        <w:t xml:space="preserve"> perform best among all waste oil treatment options. </w:t>
      </w:r>
      <w:r w:rsidR="0295D649" w:rsidRPr="5747FA50">
        <w:rPr>
          <w:rFonts w:ascii="Times New Roman" w:hAnsi="Times New Roman" w:cs="Times New Roman"/>
          <w:noProof/>
          <w:color w:val="000000" w:themeColor="text1"/>
          <w:sz w:val="24"/>
          <w:szCs w:val="24"/>
          <w:lang w:val="en-IE"/>
        </w:rPr>
        <w:t xml:space="preserve">Notably, regeneration stands out as the preferred management pathway when considering only the </w:t>
      </w:r>
      <w:r w:rsidR="00555CDD">
        <w:rPr>
          <w:rFonts w:ascii="Times New Roman" w:hAnsi="Times New Roman" w:cs="Times New Roman"/>
          <w:noProof/>
          <w:color w:val="000000" w:themeColor="text1"/>
          <w:sz w:val="24"/>
          <w:szCs w:val="24"/>
          <w:lang w:val="en-IE"/>
        </w:rPr>
        <w:t>impacts</w:t>
      </w:r>
      <w:r w:rsidR="0295D649" w:rsidRPr="5747FA50">
        <w:rPr>
          <w:rFonts w:ascii="Times New Roman" w:hAnsi="Times New Roman" w:cs="Times New Roman"/>
          <w:noProof/>
          <w:color w:val="000000" w:themeColor="text1"/>
          <w:sz w:val="24"/>
          <w:szCs w:val="24"/>
          <w:lang w:val="en-IE"/>
        </w:rPr>
        <w:t xml:space="preserve"> on global warming. </w:t>
      </w:r>
      <w:r w:rsidR="62BA7110" w:rsidRPr="5747FA50">
        <w:rPr>
          <w:rFonts w:ascii="Times New Roman" w:hAnsi="Times New Roman" w:cs="Times New Roman"/>
          <w:noProof/>
          <w:color w:val="000000" w:themeColor="text1"/>
          <w:sz w:val="24"/>
          <w:szCs w:val="24"/>
          <w:lang w:val="en-IE"/>
        </w:rPr>
        <w:t>T</w:t>
      </w:r>
      <w:r w:rsidRPr="5747FA50">
        <w:rPr>
          <w:rFonts w:ascii="Times New Roman" w:hAnsi="Times New Roman" w:cs="Times New Roman"/>
          <w:noProof/>
          <w:color w:val="000000" w:themeColor="text1"/>
          <w:sz w:val="24"/>
          <w:szCs w:val="24"/>
          <w:lang w:val="en-IE"/>
        </w:rPr>
        <w:t xml:space="preserve">he results </w:t>
      </w:r>
      <w:r w:rsidR="3008E7AB" w:rsidRPr="5747FA50">
        <w:rPr>
          <w:rFonts w:ascii="Times New Roman" w:hAnsi="Times New Roman" w:cs="Times New Roman"/>
          <w:noProof/>
          <w:color w:val="000000" w:themeColor="text1"/>
          <w:sz w:val="24"/>
          <w:szCs w:val="24"/>
          <w:lang w:val="en-IE"/>
        </w:rPr>
        <w:t>are</w:t>
      </w:r>
      <w:r w:rsidRPr="5747FA50">
        <w:rPr>
          <w:rFonts w:ascii="Times New Roman" w:hAnsi="Times New Roman" w:cs="Times New Roman"/>
          <w:noProof/>
          <w:color w:val="000000" w:themeColor="text1"/>
          <w:sz w:val="24"/>
          <w:szCs w:val="24"/>
          <w:lang w:val="en-IE"/>
        </w:rPr>
        <w:t xml:space="preserve"> more nuanced when </w:t>
      </w:r>
      <w:r w:rsidR="0295D649" w:rsidRPr="5747FA50">
        <w:rPr>
          <w:rFonts w:ascii="Times New Roman" w:hAnsi="Times New Roman" w:cs="Times New Roman"/>
          <w:noProof/>
          <w:color w:val="000000" w:themeColor="text1"/>
          <w:sz w:val="24"/>
          <w:szCs w:val="24"/>
          <w:lang w:val="en-IE"/>
        </w:rPr>
        <w:t>looking at</w:t>
      </w:r>
      <w:r w:rsidRPr="5747FA50">
        <w:rPr>
          <w:rFonts w:ascii="Times New Roman" w:hAnsi="Times New Roman" w:cs="Times New Roman"/>
          <w:noProof/>
          <w:color w:val="000000" w:themeColor="text1"/>
          <w:sz w:val="24"/>
          <w:szCs w:val="24"/>
          <w:lang w:val="en-IE"/>
        </w:rPr>
        <w:t xml:space="preserve"> the </w:t>
      </w:r>
      <w:r w:rsidR="03E86A7D" w:rsidRPr="5747FA50">
        <w:rPr>
          <w:rFonts w:ascii="Times New Roman" w:hAnsi="Times New Roman" w:cs="Times New Roman"/>
          <w:noProof/>
          <w:color w:val="000000" w:themeColor="text1"/>
          <w:sz w:val="24"/>
          <w:szCs w:val="24"/>
          <w:lang w:val="en-IE"/>
        </w:rPr>
        <w:t>total</w:t>
      </w:r>
      <w:r w:rsidR="6494982F" w:rsidRPr="5747FA50">
        <w:rPr>
          <w:rFonts w:ascii="Times New Roman" w:hAnsi="Times New Roman" w:cs="Times New Roman"/>
          <w:noProof/>
          <w:color w:val="000000" w:themeColor="text1"/>
          <w:sz w:val="24"/>
          <w:szCs w:val="24"/>
          <w:lang w:val="en-IE"/>
        </w:rPr>
        <w:t xml:space="preserve"> </w:t>
      </w:r>
      <w:r w:rsidRPr="5747FA50">
        <w:rPr>
          <w:rFonts w:ascii="Times New Roman" w:hAnsi="Times New Roman" w:cs="Times New Roman"/>
          <w:noProof/>
          <w:color w:val="000000" w:themeColor="text1"/>
          <w:sz w:val="24"/>
          <w:szCs w:val="24"/>
          <w:lang w:val="en-IE"/>
        </w:rPr>
        <w:t>societal life cycle cost</w:t>
      </w:r>
      <w:r w:rsidR="3008E7AB" w:rsidRPr="5747FA50">
        <w:rPr>
          <w:rFonts w:ascii="Times New Roman" w:hAnsi="Times New Roman" w:cs="Times New Roman"/>
          <w:noProof/>
          <w:color w:val="000000" w:themeColor="text1"/>
          <w:sz w:val="24"/>
          <w:szCs w:val="24"/>
          <w:lang w:val="en-IE"/>
        </w:rPr>
        <w:t>s</w:t>
      </w:r>
      <w:r w:rsidR="62BA7110" w:rsidRPr="5747FA50">
        <w:rPr>
          <w:rFonts w:ascii="Times New Roman" w:hAnsi="Times New Roman" w:cs="Times New Roman"/>
          <w:noProof/>
          <w:color w:val="000000" w:themeColor="text1"/>
          <w:sz w:val="24"/>
          <w:szCs w:val="24"/>
          <w:lang w:val="en-IE"/>
        </w:rPr>
        <w:t xml:space="preserve"> </w:t>
      </w:r>
      <w:r w:rsidRPr="5747FA50">
        <w:rPr>
          <w:rFonts w:ascii="Times New Roman" w:hAnsi="Times New Roman" w:cs="Times New Roman"/>
          <w:noProof/>
          <w:color w:val="000000" w:themeColor="text1"/>
          <w:sz w:val="24"/>
          <w:szCs w:val="24"/>
          <w:lang w:val="en-IE"/>
        </w:rPr>
        <w:t>(i.e. the monetised environmental emissions</w:t>
      </w:r>
      <w:r w:rsidR="649E4064" w:rsidRPr="5747FA50">
        <w:rPr>
          <w:rFonts w:ascii="Times New Roman" w:hAnsi="Times New Roman" w:cs="Times New Roman"/>
          <w:noProof/>
          <w:color w:val="000000" w:themeColor="text1"/>
          <w:sz w:val="24"/>
          <w:szCs w:val="24"/>
          <w:lang w:val="en-IE"/>
        </w:rPr>
        <w:t xml:space="preserve"> of all types</w:t>
      </w:r>
      <w:r w:rsidR="5DF369C8" w:rsidRPr="5747FA50">
        <w:rPr>
          <w:rFonts w:ascii="Times New Roman" w:hAnsi="Times New Roman" w:cs="Times New Roman"/>
          <w:noProof/>
          <w:color w:val="000000" w:themeColor="text1"/>
          <w:sz w:val="24"/>
          <w:szCs w:val="24"/>
          <w:lang w:val="en-IE"/>
        </w:rPr>
        <w:t xml:space="preserve"> and resource depletion</w:t>
      </w:r>
      <w:r w:rsidR="62BA7110" w:rsidRPr="5747FA50">
        <w:rPr>
          <w:rFonts w:ascii="Times New Roman" w:hAnsi="Times New Roman" w:cs="Times New Roman"/>
          <w:noProof/>
          <w:color w:val="000000" w:themeColor="text1"/>
          <w:sz w:val="24"/>
          <w:szCs w:val="24"/>
          <w:lang w:val="en-IE"/>
        </w:rPr>
        <w:t>)</w:t>
      </w:r>
      <w:r w:rsidR="71BD0B94" w:rsidRPr="5747FA50">
        <w:rPr>
          <w:rFonts w:ascii="Times New Roman" w:hAnsi="Times New Roman" w:cs="Times New Roman"/>
          <w:noProof/>
          <w:color w:val="000000" w:themeColor="text1"/>
          <w:sz w:val="24"/>
          <w:szCs w:val="24"/>
          <w:lang w:val="en-IE"/>
        </w:rPr>
        <w:t>,</w:t>
      </w:r>
      <w:r w:rsidR="62BA7110" w:rsidRPr="5747FA50">
        <w:rPr>
          <w:rFonts w:ascii="Times New Roman" w:hAnsi="Times New Roman" w:cs="Times New Roman"/>
          <w:noProof/>
          <w:color w:val="000000" w:themeColor="text1"/>
          <w:sz w:val="24"/>
          <w:szCs w:val="24"/>
          <w:lang w:val="en-IE"/>
        </w:rPr>
        <w:t xml:space="preserve"> which shows that</w:t>
      </w:r>
      <w:r w:rsidR="3008E7AB" w:rsidRPr="5747FA50">
        <w:rPr>
          <w:rFonts w:ascii="Times New Roman" w:hAnsi="Times New Roman" w:cs="Times New Roman"/>
          <w:noProof/>
          <w:color w:val="000000" w:themeColor="text1"/>
          <w:sz w:val="24"/>
          <w:szCs w:val="24"/>
          <w:lang w:val="en-IE"/>
        </w:rPr>
        <w:t xml:space="preserve"> </w:t>
      </w:r>
      <w:r w:rsidRPr="5747FA50">
        <w:rPr>
          <w:rFonts w:ascii="Times New Roman" w:hAnsi="Times New Roman" w:cs="Times New Roman"/>
          <w:noProof/>
          <w:color w:val="000000" w:themeColor="text1"/>
          <w:sz w:val="24"/>
          <w:szCs w:val="24"/>
          <w:lang w:val="en-IE"/>
        </w:rPr>
        <w:t xml:space="preserve">the least performing regeneration pathway (solvent-based) only </w:t>
      </w:r>
      <w:r w:rsidR="646EEDF3" w:rsidRPr="5747FA50">
        <w:rPr>
          <w:rFonts w:ascii="Times New Roman" w:hAnsi="Times New Roman" w:cs="Times New Roman"/>
          <w:noProof/>
          <w:color w:val="000000" w:themeColor="text1"/>
          <w:sz w:val="24"/>
          <w:szCs w:val="24"/>
          <w:lang w:val="en-IE"/>
        </w:rPr>
        <w:t>generates</w:t>
      </w:r>
      <w:r w:rsidR="3008E7AB" w:rsidRPr="5747FA50">
        <w:rPr>
          <w:rFonts w:ascii="Times New Roman" w:hAnsi="Times New Roman" w:cs="Times New Roman"/>
          <w:noProof/>
          <w:color w:val="000000" w:themeColor="text1"/>
          <w:sz w:val="24"/>
          <w:szCs w:val="24"/>
          <w:lang w:val="en-IE"/>
        </w:rPr>
        <w:t xml:space="preserve"> </w:t>
      </w:r>
      <w:r w:rsidRPr="5747FA50">
        <w:rPr>
          <w:rFonts w:ascii="Times New Roman" w:hAnsi="Times New Roman" w:cs="Times New Roman"/>
          <w:noProof/>
          <w:color w:val="000000" w:themeColor="text1"/>
          <w:sz w:val="24"/>
          <w:szCs w:val="24"/>
          <w:lang w:val="en-IE"/>
        </w:rPr>
        <w:t>a small benefit over the treatment to fuel (via distillation) and, under some conditions, can even fall behind this treatment. The discernibility analysis also shows that in terms of societal life cycle costing, solvent-based and distillation-based regeneration are not robustly superior to treatment to fuel (</w:t>
      </w:r>
      <w:r w:rsidR="3008E7AB" w:rsidRPr="5747FA50">
        <w:rPr>
          <w:rFonts w:ascii="Times New Roman" w:hAnsi="Times New Roman" w:cs="Times New Roman"/>
          <w:noProof/>
          <w:color w:val="000000" w:themeColor="text1"/>
          <w:sz w:val="24"/>
          <w:szCs w:val="24"/>
          <w:lang w:val="en-IE"/>
        </w:rPr>
        <w:t xml:space="preserve">although the </w:t>
      </w:r>
      <w:r w:rsidR="7F3843B9" w:rsidRPr="5747FA50">
        <w:rPr>
          <w:rFonts w:ascii="Times New Roman" w:hAnsi="Times New Roman" w:cs="Times New Roman"/>
          <w:noProof/>
          <w:color w:val="000000" w:themeColor="text1"/>
          <w:sz w:val="24"/>
          <w:szCs w:val="24"/>
          <w:lang w:val="en-IE"/>
        </w:rPr>
        <w:t xml:space="preserve">opposite is also true). </w:t>
      </w:r>
      <w:r w:rsidRPr="5747FA50">
        <w:rPr>
          <w:rFonts w:ascii="Times New Roman" w:hAnsi="Times New Roman" w:cs="Times New Roman"/>
          <w:noProof/>
          <w:color w:val="000000" w:themeColor="text1"/>
          <w:sz w:val="24"/>
          <w:szCs w:val="24"/>
          <w:lang w:val="en-IE"/>
        </w:rPr>
        <w:t>Direct incineration pathways (</w:t>
      </w:r>
      <w:r w:rsidR="6494982F" w:rsidRPr="5747FA50">
        <w:rPr>
          <w:rFonts w:ascii="Times New Roman" w:hAnsi="Times New Roman" w:cs="Times New Roman"/>
          <w:noProof/>
          <w:color w:val="000000" w:themeColor="text1"/>
          <w:sz w:val="24"/>
          <w:szCs w:val="24"/>
          <w:lang w:val="en-IE"/>
        </w:rPr>
        <w:t xml:space="preserve">e.g. </w:t>
      </w:r>
      <w:r w:rsidR="3008E7AB" w:rsidRPr="5747FA50">
        <w:rPr>
          <w:rFonts w:ascii="Times New Roman" w:hAnsi="Times New Roman" w:cs="Times New Roman"/>
          <w:noProof/>
          <w:color w:val="000000" w:themeColor="text1"/>
          <w:sz w:val="24"/>
          <w:szCs w:val="24"/>
          <w:lang w:val="en-IE"/>
        </w:rPr>
        <w:t xml:space="preserve">combustion in </w:t>
      </w:r>
      <w:r w:rsidRPr="5747FA50">
        <w:rPr>
          <w:rFonts w:ascii="Times New Roman" w:hAnsi="Times New Roman" w:cs="Times New Roman"/>
          <w:noProof/>
          <w:color w:val="000000" w:themeColor="text1"/>
          <w:sz w:val="24"/>
          <w:szCs w:val="24"/>
          <w:lang w:val="en-IE"/>
        </w:rPr>
        <w:t xml:space="preserve">cement kilns) are clearly inferior options. </w:t>
      </w:r>
    </w:p>
    <w:p w14:paraId="2400CFB8" w14:textId="697BF16C" w:rsidR="00087189" w:rsidRDefault="730CD3D1" w:rsidP="0057312E">
      <w:pPr>
        <w:spacing w:after="120"/>
        <w:jc w:val="both"/>
        <w:rPr>
          <w:rFonts w:ascii="Times New Roman" w:hAnsi="Times New Roman" w:cs="Times New Roman"/>
          <w:noProof/>
          <w:color w:val="000000"/>
          <w:sz w:val="24"/>
          <w:szCs w:val="24"/>
          <w:lang w:val="en-IE"/>
        </w:rPr>
      </w:pPr>
      <w:r w:rsidRPr="5747FA50">
        <w:rPr>
          <w:rFonts w:ascii="Times New Roman" w:hAnsi="Times New Roman" w:cs="Times New Roman"/>
          <w:noProof/>
          <w:color w:val="000000" w:themeColor="text1"/>
          <w:sz w:val="24"/>
          <w:szCs w:val="24"/>
          <w:lang w:val="en-IE"/>
        </w:rPr>
        <w:t xml:space="preserve">In </w:t>
      </w:r>
      <w:r w:rsidR="3008E7AB" w:rsidRPr="5747FA50">
        <w:rPr>
          <w:rFonts w:ascii="Times New Roman" w:hAnsi="Times New Roman" w:cs="Times New Roman"/>
          <w:noProof/>
          <w:color w:val="000000" w:themeColor="text1"/>
          <w:sz w:val="24"/>
          <w:szCs w:val="24"/>
          <w:lang w:val="en-IE"/>
        </w:rPr>
        <w:t xml:space="preserve">conclusion, </w:t>
      </w:r>
      <w:r w:rsidRPr="5747FA50">
        <w:rPr>
          <w:rFonts w:ascii="Times New Roman" w:hAnsi="Times New Roman" w:cs="Times New Roman"/>
          <w:noProof/>
          <w:color w:val="000000" w:themeColor="text1"/>
          <w:sz w:val="24"/>
          <w:szCs w:val="24"/>
          <w:lang w:val="en-IE"/>
        </w:rPr>
        <w:t xml:space="preserve">regeneration - depending on the specific technology and context </w:t>
      </w:r>
      <w:r w:rsidR="7F9E7B43" w:rsidRPr="5747FA50">
        <w:rPr>
          <w:rFonts w:ascii="Times New Roman" w:hAnsi="Times New Roman" w:cs="Times New Roman"/>
          <w:noProof/>
          <w:color w:val="000000" w:themeColor="text1"/>
          <w:sz w:val="24"/>
          <w:szCs w:val="24"/>
          <w:lang w:val="en-IE"/>
        </w:rPr>
        <w:t>-</w:t>
      </w:r>
      <w:r w:rsidRPr="5747FA50">
        <w:rPr>
          <w:rFonts w:ascii="Times New Roman" w:hAnsi="Times New Roman" w:cs="Times New Roman"/>
          <w:noProof/>
          <w:color w:val="000000" w:themeColor="text1"/>
          <w:sz w:val="24"/>
          <w:szCs w:val="24"/>
          <w:lang w:val="en-IE"/>
        </w:rPr>
        <w:t xml:space="preserve"> is superior or comparable to treatment to fuel and superior to direct energy recovery, from a societal cost perspective.</w:t>
      </w:r>
      <w:r w:rsidR="7F3843B9" w:rsidRPr="5747FA50">
        <w:rPr>
          <w:rFonts w:ascii="Times New Roman" w:hAnsi="Times New Roman" w:cs="Times New Roman"/>
          <w:noProof/>
          <w:color w:val="000000" w:themeColor="text1"/>
          <w:sz w:val="24"/>
          <w:szCs w:val="24"/>
          <w:lang w:val="en-IE"/>
        </w:rPr>
        <w:t xml:space="preserve"> </w:t>
      </w:r>
      <w:r w:rsidR="0D2F5929" w:rsidRPr="5747FA50">
        <w:rPr>
          <w:rFonts w:ascii="Times New Roman" w:hAnsi="Times New Roman" w:cs="Times New Roman"/>
          <w:noProof/>
          <w:color w:val="000000" w:themeColor="text1"/>
          <w:sz w:val="24"/>
          <w:szCs w:val="24"/>
          <w:lang w:val="en-IE"/>
        </w:rPr>
        <w:t xml:space="preserve">This analysis shows that Member States should </w:t>
      </w:r>
      <w:r w:rsidR="7F9E7B43" w:rsidRPr="5747FA50">
        <w:rPr>
          <w:rFonts w:ascii="Times New Roman" w:hAnsi="Times New Roman" w:cs="Times New Roman"/>
          <w:noProof/>
          <w:color w:val="000000" w:themeColor="text1"/>
          <w:sz w:val="24"/>
          <w:szCs w:val="24"/>
          <w:lang w:val="en-IE"/>
        </w:rPr>
        <w:t>promote</w:t>
      </w:r>
      <w:r w:rsidR="0D2F5929" w:rsidRPr="5747FA50">
        <w:rPr>
          <w:rFonts w:ascii="Times New Roman" w:hAnsi="Times New Roman" w:cs="Times New Roman"/>
          <w:noProof/>
          <w:color w:val="000000" w:themeColor="text1"/>
          <w:sz w:val="24"/>
          <w:szCs w:val="24"/>
          <w:lang w:val="en-IE"/>
        </w:rPr>
        <w:t xml:space="preserve"> options that deliver the best overall environmental outcome. </w:t>
      </w:r>
      <w:r w:rsidR="7F3843B9" w:rsidRPr="5747FA50">
        <w:rPr>
          <w:rFonts w:ascii="Times New Roman" w:hAnsi="Times New Roman" w:cs="Times New Roman"/>
          <w:noProof/>
          <w:color w:val="000000" w:themeColor="text1"/>
          <w:sz w:val="24"/>
          <w:szCs w:val="24"/>
          <w:lang w:val="en-IE"/>
        </w:rPr>
        <w:t xml:space="preserve">For </w:t>
      </w:r>
      <w:r w:rsidR="0D2F5929" w:rsidRPr="5747FA50">
        <w:rPr>
          <w:rFonts w:ascii="Times New Roman" w:hAnsi="Times New Roman" w:cs="Times New Roman"/>
          <w:noProof/>
          <w:color w:val="000000" w:themeColor="text1"/>
          <w:sz w:val="24"/>
          <w:szCs w:val="24"/>
          <w:lang w:val="en-IE"/>
        </w:rPr>
        <w:t>waste oil management</w:t>
      </w:r>
      <w:r w:rsidR="3BD4E6AD" w:rsidRPr="5747FA50">
        <w:rPr>
          <w:rFonts w:ascii="Times New Roman" w:hAnsi="Times New Roman" w:cs="Times New Roman"/>
          <w:noProof/>
          <w:color w:val="000000" w:themeColor="text1"/>
          <w:sz w:val="24"/>
          <w:szCs w:val="24"/>
          <w:lang w:val="en-IE"/>
        </w:rPr>
        <w:t>,</w:t>
      </w:r>
      <w:r w:rsidR="0D2F5929" w:rsidRPr="5747FA50">
        <w:rPr>
          <w:rFonts w:ascii="Times New Roman" w:hAnsi="Times New Roman" w:cs="Times New Roman"/>
          <w:noProof/>
          <w:color w:val="000000" w:themeColor="text1"/>
          <w:sz w:val="24"/>
          <w:szCs w:val="24"/>
          <w:lang w:val="en-IE"/>
        </w:rPr>
        <w:t xml:space="preserve"> this means </w:t>
      </w:r>
      <w:r w:rsidR="7F9E7B43" w:rsidRPr="5747FA50">
        <w:rPr>
          <w:rFonts w:ascii="Times New Roman" w:hAnsi="Times New Roman" w:cs="Times New Roman"/>
          <w:noProof/>
          <w:color w:val="000000" w:themeColor="text1"/>
          <w:sz w:val="24"/>
          <w:szCs w:val="24"/>
          <w:lang w:val="en-IE"/>
        </w:rPr>
        <w:t>encouraging</w:t>
      </w:r>
      <w:r w:rsidR="0D2F5929" w:rsidRPr="5747FA50">
        <w:rPr>
          <w:rFonts w:ascii="Times New Roman" w:hAnsi="Times New Roman" w:cs="Times New Roman"/>
          <w:noProof/>
          <w:color w:val="000000" w:themeColor="text1"/>
          <w:sz w:val="24"/>
          <w:szCs w:val="24"/>
          <w:lang w:val="en-IE"/>
        </w:rPr>
        <w:t xml:space="preserve"> the development of installations making use of the best performing and most advanced regeneration technologies, which not only have the best overall environmental performance, but also yield the highest </w:t>
      </w:r>
      <w:r w:rsidR="00555CDD">
        <w:rPr>
          <w:rFonts w:ascii="Times New Roman" w:hAnsi="Times New Roman" w:cs="Times New Roman"/>
          <w:noProof/>
          <w:color w:val="000000" w:themeColor="text1"/>
          <w:sz w:val="24"/>
          <w:szCs w:val="24"/>
          <w:lang w:val="en-IE"/>
        </w:rPr>
        <w:t>value</w:t>
      </w:r>
      <w:r w:rsidR="00555CDD">
        <w:rPr>
          <w:rStyle w:val="FootnoteReference"/>
          <w:rFonts w:ascii="Times New Roman" w:hAnsi="Times New Roman" w:cs="Times New Roman"/>
          <w:noProof/>
          <w:color w:val="000000" w:themeColor="text1"/>
          <w:sz w:val="24"/>
          <w:szCs w:val="24"/>
          <w:lang w:val="en-IE"/>
        </w:rPr>
        <w:footnoteReference w:id="52"/>
      </w:r>
      <w:r w:rsidR="00555CDD" w:rsidRPr="5747FA50">
        <w:rPr>
          <w:rFonts w:ascii="Times New Roman" w:hAnsi="Times New Roman" w:cs="Times New Roman"/>
          <w:noProof/>
          <w:color w:val="000000" w:themeColor="text1"/>
          <w:sz w:val="24"/>
          <w:szCs w:val="24"/>
          <w:lang w:val="en-IE"/>
        </w:rPr>
        <w:t xml:space="preserve"> </w:t>
      </w:r>
      <w:r w:rsidR="0D2F5929" w:rsidRPr="5747FA50">
        <w:rPr>
          <w:rFonts w:ascii="Times New Roman" w:hAnsi="Times New Roman" w:cs="Times New Roman"/>
          <w:noProof/>
          <w:color w:val="000000" w:themeColor="text1"/>
          <w:sz w:val="24"/>
          <w:szCs w:val="24"/>
          <w:lang w:val="en-IE"/>
        </w:rPr>
        <w:t>base oils.</w:t>
      </w:r>
    </w:p>
    <w:p w14:paraId="4FA4C93E" w14:textId="77777777" w:rsidR="00C27229" w:rsidRDefault="00C27229" w:rsidP="0057312E">
      <w:pPr>
        <w:spacing w:after="120"/>
        <w:jc w:val="both"/>
        <w:rPr>
          <w:rFonts w:ascii="Times New Roman" w:hAnsi="Times New Roman" w:cs="Times New Roman"/>
          <w:noProof/>
          <w:color w:val="000000"/>
          <w:sz w:val="24"/>
          <w:szCs w:val="24"/>
          <w:lang w:val="en-IE"/>
        </w:rPr>
      </w:pPr>
    </w:p>
    <w:p w14:paraId="03EF9409" w14:textId="46EF3FD2" w:rsidR="00087189" w:rsidRPr="00087189" w:rsidRDefault="00087189" w:rsidP="0057312E">
      <w:pPr>
        <w:spacing w:after="120"/>
        <w:jc w:val="both"/>
        <w:rPr>
          <w:rFonts w:ascii="Times New Roman" w:hAnsi="Times New Roman" w:cs="Times New Roman"/>
          <w:i/>
          <w:iCs/>
          <w:noProof/>
          <w:color w:val="000000"/>
          <w:sz w:val="24"/>
          <w:szCs w:val="24"/>
          <w:lang w:val="en-IE"/>
        </w:rPr>
      </w:pPr>
      <w:r w:rsidRPr="00087189">
        <w:rPr>
          <w:rFonts w:ascii="Times New Roman" w:hAnsi="Times New Roman" w:cs="Times New Roman"/>
          <w:i/>
          <w:iCs/>
          <w:noProof/>
          <w:color w:val="000000"/>
          <w:sz w:val="24"/>
          <w:szCs w:val="24"/>
          <w:lang w:val="en-IE"/>
        </w:rPr>
        <w:t>Possible measures to increase regeneration of waste oils</w:t>
      </w:r>
    </w:p>
    <w:p w14:paraId="544C01D5" w14:textId="67092014" w:rsidR="00731A5E" w:rsidRDefault="7F3843B9" w:rsidP="5747FA50">
      <w:pPr>
        <w:spacing w:after="120"/>
        <w:jc w:val="both"/>
        <w:rPr>
          <w:rFonts w:ascii="Times New Roman" w:hAnsi="Times New Roman" w:cs="Times New Roman"/>
          <w:noProof/>
          <w:color w:val="000000"/>
          <w:sz w:val="24"/>
          <w:szCs w:val="24"/>
          <w:lang w:val="en-IE"/>
        </w:rPr>
      </w:pPr>
      <w:r w:rsidRPr="5747FA50">
        <w:rPr>
          <w:rFonts w:ascii="Times New Roman" w:hAnsi="Times New Roman" w:cs="Times New Roman"/>
          <w:noProof/>
          <w:color w:val="000000" w:themeColor="text1"/>
          <w:sz w:val="24"/>
          <w:szCs w:val="24"/>
          <w:lang w:val="en-IE"/>
        </w:rPr>
        <w:t>T</w:t>
      </w:r>
      <w:r w:rsidR="7EA01F8D" w:rsidRPr="5747FA50">
        <w:rPr>
          <w:rFonts w:ascii="Times New Roman" w:hAnsi="Times New Roman" w:cs="Times New Roman"/>
          <w:noProof/>
          <w:color w:val="000000" w:themeColor="text1"/>
          <w:sz w:val="24"/>
          <w:szCs w:val="24"/>
          <w:lang w:val="en-IE"/>
        </w:rPr>
        <w:t>he</w:t>
      </w:r>
      <w:r w:rsidR="00F674B0">
        <w:rPr>
          <w:rFonts w:ascii="Times New Roman" w:hAnsi="Times New Roman" w:cs="Times New Roman"/>
          <w:noProof/>
          <w:color w:val="000000" w:themeColor="text1"/>
          <w:sz w:val="24"/>
          <w:szCs w:val="24"/>
          <w:lang w:val="en-IE"/>
        </w:rPr>
        <w:t xml:space="preserve">re are </w:t>
      </w:r>
      <w:r w:rsidR="7EA01F8D" w:rsidRPr="5747FA50">
        <w:rPr>
          <w:rFonts w:ascii="Times New Roman" w:hAnsi="Times New Roman" w:cs="Times New Roman"/>
          <w:noProof/>
          <w:color w:val="000000" w:themeColor="text1"/>
          <w:sz w:val="24"/>
          <w:szCs w:val="24"/>
          <w:lang w:val="en-IE"/>
        </w:rPr>
        <w:t xml:space="preserve">different approaches that could be implemented to increase the amount of </w:t>
      </w:r>
      <w:r w:rsidR="42AD0BF8" w:rsidRPr="5747FA50">
        <w:rPr>
          <w:rFonts w:ascii="Times New Roman" w:hAnsi="Times New Roman" w:cs="Times New Roman"/>
          <w:noProof/>
          <w:color w:val="000000" w:themeColor="text1"/>
          <w:sz w:val="24"/>
          <w:szCs w:val="24"/>
          <w:lang w:val="en-IE"/>
        </w:rPr>
        <w:t xml:space="preserve">regenerated </w:t>
      </w:r>
      <w:r w:rsidR="7EA01F8D" w:rsidRPr="5747FA50">
        <w:rPr>
          <w:rFonts w:ascii="Times New Roman" w:hAnsi="Times New Roman" w:cs="Times New Roman"/>
          <w:noProof/>
          <w:color w:val="000000" w:themeColor="text1"/>
          <w:sz w:val="24"/>
          <w:szCs w:val="24"/>
          <w:lang w:val="en-IE"/>
        </w:rPr>
        <w:t xml:space="preserve">waste oils. The most promising fall into the category of regeneration targets or price-based instruments. Regeneration targets can take the form of setting country-level </w:t>
      </w:r>
      <w:r w:rsidR="3BD4E6AD" w:rsidRPr="5747FA50">
        <w:rPr>
          <w:rFonts w:ascii="Times New Roman" w:hAnsi="Times New Roman" w:cs="Times New Roman"/>
          <w:noProof/>
          <w:color w:val="000000" w:themeColor="text1"/>
          <w:sz w:val="24"/>
          <w:szCs w:val="24"/>
          <w:lang w:val="en-IE"/>
        </w:rPr>
        <w:t xml:space="preserve">mandatory </w:t>
      </w:r>
      <w:r w:rsidR="7EA01F8D" w:rsidRPr="5747FA50">
        <w:rPr>
          <w:rFonts w:ascii="Times New Roman" w:hAnsi="Times New Roman" w:cs="Times New Roman"/>
          <w:noProof/>
          <w:color w:val="000000" w:themeColor="text1"/>
          <w:sz w:val="24"/>
          <w:szCs w:val="24"/>
          <w:lang w:val="en-IE"/>
        </w:rPr>
        <w:t>minimum percentages of 1) collected waste oil</w:t>
      </w:r>
      <w:r w:rsidR="00F674B0">
        <w:rPr>
          <w:rFonts w:ascii="Times New Roman" w:hAnsi="Times New Roman" w:cs="Times New Roman"/>
          <w:noProof/>
          <w:color w:val="000000" w:themeColor="text1"/>
          <w:sz w:val="24"/>
          <w:szCs w:val="24"/>
          <w:lang w:val="en-IE"/>
        </w:rPr>
        <w:t>s</w:t>
      </w:r>
      <w:r w:rsidR="7EA01F8D" w:rsidRPr="5747FA50">
        <w:rPr>
          <w:rFonts w:ascii="Times New Roman" w:hAnsi="Times New Roman" w:cs="Times New Roman"/>
          <w:noProof/>
          <w:color w:val="000000" w:themeColor="text1"/>
          <w:sz w:val="24"/>
          <w:szCs w:val="24"/>
          <w:lang w:val="en-IE"/>
        </w:rPr>
        <w:t xml:space="preserve"> that must be regenerated; 2) lubricant or base oils put on markets that must be derived from regenerated waste oil</w:t>
      </w:r>
      <w:r w:rsidR="00F674B0">
        <w:rPr>
          <w:rFonts w:ascii="Times New Roman" w:hAnsi="Times New Roman" w:cs="Times New Roman"/>
          <w:noProof/>
          <w:color w:val="000000" w:themeColor="text1"/>
          <w:sz w:val="24"/>
          <w:szCs w:val="24"/>
          <w:lang w:val="en-IE"/>
        </w:rPr>
        <w:t>s</w:t>
      </w:r>
      <w:r w:rsidR="7EA01F8D" w:rsidRPr="5747FA50">
        <w:rPr>
          <w:rFonts w:ascii="Times New Roman" w:hAnsi="Times New Roman" w:cs="Times New Roman"/>
          <w:noProof/>
          <w:color w:val="000000" w:themeColor="text1"/>
          <w:sz w:val="24"/>
          <w:szCs w:val="24"/>
          <w:lang w:val="en-IE"/>
        </w:rPr>
        <w:t xml:space="preserve"> or 3) regenerated content in every lubricant product. The first approach regulates the supply of regenerated waste oil</w:t>
      </w:r>
      <w:r w:rsidR="00F674B0">
        <w:rPr>
          <w:rFonts w:ascii="Times New Roman" w:hAnsi="Times New Roman" w:cs="Times New Roman"/>
          <w:noProof/>
          <w:color w:val="000000" w:themeColor="text1"/>
          <w:sz w:val="24"/>
          <w:szCs w:val="24"/>
          <w:lang w:val="en-IE"/>
        </w:rPr>
        <w:t>s and is suitable for target setting at Member State level,</w:t>
      </w:r>
      <w:r w:rsidR="7EA01F8D" w:rsidRPr="5747FA50">
        <w:rPr>
          <w:rFonts w:ascii="Times New Roman" w:hAnsi="Times New Roman" w:cs="Times New Roman"/>
          <w:noProof/>
          <w:color w:val="000000" w:themeColor="text1"/>
          <w:sz w:val="24"/>
          <w:szCs w:val="24"/>
          <w:lang w:val="en-IE"/>
        </w:rPr>
        <w:t xml:space="preserve"> whereas the other two affect the demand</w:t>
      </w:r>
      <w:r w:rsidR="00F674B0">
        <w:rPr>
          <w:rFonts w:ascii="Times New Roman" w:hAnsi="Times New Roman" w:cs="Times New Roman"/>
          <w:noProof/>
          <w:color w:val="000000" w:themeColor="text1"/>
          <w:sz w:val="24"/>
          <w:szCs w:val="24"/>
          <w:lang w:val="en-IE"/>
        </w:rPr>
        <w:t xml:space="preserve"> and represent product requirements</w:t>
      </w:r>
      <w:r w:rsidR="7EA01F8D" w:rsidRPr="5747FA50">
        <w:rPr>
          <w:rFonts w:ascii="Times New Roman" w:hAnsi="Times New Roman" w:cs="Times New Roman"/>
          <w:noProof/>
          <w:color w:val="000000" w:themeColor="text1"/>
          <w:sz w:val="24"/>
          <w:szCs w:val="24"/>
          <w:lang w:val="en-IE"/>
        </w:rPr>
        <w:t>. As regards price-based instruments, the option</w:t>
      </w:r>
      <w:r w:rsidR="00F674B0">
        <w:rPr>
          <w:rFonts w:ascii="Times New Roman" w:hAnsi="Times New Roman" w:cs="Times New Roman"/>
          <w:noProof/>
          <w:color w:val="000000" w:themeColor="text1"/>
          <w:sz w:val="24"/>
          <w:szCs w:val="24"/>
          <w:lang w:val="en-IE"/>
        </w:rPr>
        <w:t>s studied included</w:t>
      </w:r>
      <w:r w:rsidR="7EA01F8D" w:rsidRPr="5747FA50">
        <w:rPr>
          <w:rFonts w:ascii="Times New Roman" w:hAnsi="Times New Roman" w:cs="Times New Roman"/>
          <w:noProof/>
          <w:color w:val="000000" w:themeColor="text1"/>
          <w:sz w:val="24"/>
          <w:szCs w:val="24"/>
          <w:lang w:val="en-IE"/>
        </w:rPr>
        <w:t xml:space="preserve"> implementing </w:t>
      </w:r>
      <w:r w:rsidR="51A95082" w:rsidRPr="5747FA50">
        <w:rPr>
          <w:rFonts w:ascii="Times New Roman" w:hAnsi="Times New Roman" w:cs="Times New Roman"/>
          <w:noProof/>
          <w:color w:val="000000" w:themeColor="text1"/>
          <w:sz w:val="24"/>
          <w:szCs w:val="24"/>
          <w:lang w:val="en-IE"/>
        </w:rPr>
        <w:t xml:space="preserve">a </w:t>
      </w:r>
      <w:r w:rsidR="7EA01F8D" w:rsidRPr="5747FA50">
        <w:rPr>
          <w:rFonts w:ascii="Times New Roman" w:hAnsi="Times New Roman" w:cs="Times New Roman"/>
          <w:noProof/>
          <w:color w:val="000000" w:themeColor="text1"/>
          <w:sz w:val="24"/>
          <w:szCs w:val="24"/>
          <w:lang w:val="en-IE"/>
        </w:rPr>
        <w:t xml:space="preserve">subsidy on regeneration financed through the general budget or </w:t>
      </w:r>
      <w:r w:rsidR="51A95082" w:rsidRPr="5747FA50">
        <w:rPr>
          <w:rFonts w:ascii="Times New Roman" w:hAnsi="Times New Roman" w:cs="Times New Roman"/>
          <w:noProof/>
          <w:color w:val="000000" w:themeColor="text1"/>
          <w:sz w:val="24"/>
          <w:szCs w:val="24"/>
          <w:lang w:val="en-IE"/>
        </w:rPr>
        <w:t xml:space="preserve">financed via </w:t>
      </w:r>
      <w:r w:rsidR="7EA01F8D" w:rsidRPr="5747FA50">
        <w:rPr>
          <w:rFonts w:ascii="Times New Roman" w:hAnsi="Times New Roman" w:cs="Times New Roman"/>
          <w:noProof/>
          <w:color w:val="000000" w:themeColor="text1"/>
          <w:sz w:val="24"/>
          <w:szCs w:val="24"/>
          <w:lang w:val="en-IE"/>
        </w:rPr>
        <w:t>a levy on virgin-based base oil</w:t>
      </w:r>
      <w:r w:rsidR="00F674B0">
        <w:rPr>
          <w:rFonts w:ascii="Times New Roman" w:hAnsi="Times New Roman" w:cs="Times New Roman"/>
          <w:noProof/>
          <w:color w:val="000000" w:themeColor="text1"/>
          <w:sz w:val="24"/>
          <w:szCs w:val="24"/>
          <w:lang w:val="en-IE"/>
        </w:rPr>
        <w:t>s</w:t>
      </w:r>
      <w:r w:rsidR="7EA01F8D" w:rsidRPr="5747FA50">
        <w:rPr>
          <w:rFonts w:ascii="Times New Roman" w:hAnsi="Times New Roman" w:cs="Times New Roman"/>
          <w:noProof/>
          <w:color w:val="000000" w:themeColor="text1"/>
          <w:sz w:val="24"/>
          <w:szCs w:val="24"/>
          <w:lang w:val="en-IE"/>
        </w:rPr>
        <w:t>.</w:t>
      </w:r>
      <w:r w:rsidR="51A95082" w:rsidRPr="5747FA50">
        <w:rPr>
          <w:rFonts w:ascii="Times New Roman" w:hAnsi="Times New Roman" w:cs="Times New Roman"/>
          <w:noProof/>
          <w:color w:val="000000" w:themeColor="text1"/>
          <w:sz w:val="24"/>
          <w:szCs w:val="24"/>
          <w:lang w:val="en-IE"/>
        </w:rPr>
        <w:t xml:space="preserve"> </w:t>
      </w:r>
    </w:p>
    <w:p w14:paraId="6FFD0B58" w14:textId="46F769A9" w:rsidR="007D2EB1" w:rsidRDefault="00F674B0" w:rsidP="0057312E">
      <w:pPr>
        <w:spacing w:after="120"/>
        <w:jc w:val="both"/>
        <w:rPr>
          <w:rFonts w:ascii="Times New Roman" w:hAnsi="Times New Roman" w:cs="Times New Roman"/>
          <w:noProof/>
          <w:color w:val="000000"/>
          <w:sz w:val="24"/>
          <w:szCs w:val="24"/>
          <w:lang w:val="en-IE"/>
        </w:rPr>
      </w:pPr>
      <w:r>
        <w:rPr>
          <w:rFonts w:ascii="Times New Roman" w:hAnsi="Times New Roman" w:cs="Times New Roman"/>
          <w:noProof/>
          <w:color w:val="000000" w:themeColor="text1"/>
          <w:sz w:val="24"/>
          <w:szCs w:val="24"/>
          <w:lang w:val="en-IE"/>
        </w:rPr>
        <w:t xml:space="preserve">An assessment of </w:t>
      </w:r>
      <w:r w:rsidR="3CA27D2C" w:rsidRPr="5747FA50">
        <w:rPr>
          <w:rFonts w:ascii="Times New Roman" w:hAnsi="Times New Roman" w:cs="Times New Roman"/>
          <w:noProof/>
          <w:color w:val="000000" w:themeColor="text1"/>
          <w:sz w:val="24"/>
          <w:szCs w:val="24"/>
          <w:lang w:val="en-IE"/>
        </w:rPr>
        <w:t>the socio-economic impact</w:t>
      </w:r>
      <w:r w:rsidR="16599FFC" w:rsidRPr="5747FA50">
        <w:rPr>
          <w:rFonts w:ascii="Times New Roman" w:hAnsi="Times New Roman" w:cs="Times New Roman"/>
          <w:noProof/>
          <w:color w:val="000000" w:themeColor="text1"/>
          <w:sz w:val="24"/>
          <w:szCs w:val="24"/>
          <w:lang w:val="en-IE"/>
        </w:rPr>
        <w:t>s</w:t>
      </w:r>
      <w:r w:rsidR="3CA27D2C" w:rsidRPr="5747FA50">
        <w:rPr>
          <w:rFonts w:ascii="Times New Roman" w:hAnsi="Times New Roman" w:cs="Times New Roman"/>
          <w:noProof/>
          <w:color w:val="000000" w:themeColor="text1"/>
          <w:sz w:val="24"/>
          <w:szCs w:val="24"/>
          <w:lang w:val="en-IE"/>
        </w:rPr>
        <w:t xml:space="preserve"> of policies</w:t>
      </w:r>
      <w:r w:rsidR="16599FFC" w:rsidRPr="5747FA50">
        <w:rPr>
          <w:rFonts w:ascii="Times New Roman" w:hAnsi="Times New Roman" w:cs="Times New Roman"/>
          <w:noProof/>
          <w:color w:val="000000" w:themeColor="text1"/>
          <w:sz w:val="24"/>
          <w:szCs w:val="24"/>
          <w:lang w:val="en-IE"/>
        </w:rPr>
        <w:t xml:space="preserve"> that would </w:t>
      </w:r>
      <w:r w:rsidR="298FF005" w:rsidRPr="5747FA50">
        <w:rPr>
          <w:rFonts w:ascii="Times New Roman" w:hAnsi="Times New Roman" w:cs="Times New Roman"/>
          <w:noProof/>
          <w:color w:val="000000" w:themeColor="text1"/>
          <w:sz w:val="24"/>
          <w:szCs w:val="24"/>
          <w:lang w:val="en-IE"/>
        </w:rPr>
        <w:t>establish</w:t>
      </w:r>
      <w:r w:rsidR="16599FFC" w:rsidRPr="5747FA50">
        <w:rPr>
          <w:rFonts w:ascii="Times New Roman" w:hAnsi="Times New Roman" w:cs="Times New Roman"/>
          <w:noProof/>
          <w:color w:val="000000" w:themeColor="text1"/>
          <w:sz w:val="24"/>
          <w:szCs w:val="24"/>
          <w:lang w:val="en-IE"/>
        </w:rPr>
        <w:t xml:space="preserve"> </w:t>
      </w:r>
      <w:r w:rsidR="3CA27D2C" w:rsidRPr="5747FA50">
        <w:rPr>
          <w:rFonts w:ascii="Times New Roman" w:hAnsi="Times New Roman" w:cs="Times New Roman"/>
          <w:noProof/>
          <w:color w:val="000000" w:themeColor="text1"/>
          <w:sz w:val="24"/>
          <w:szCs w:val="24"/>
          <w:lang w:val="en-IE"/>
        </w:rPr>
        <w:t>two benchmark waste oil regeneration rates, to be achieved by Member States by the year 2030</w:t>
      </w:r>
      <w:r>
        <w:rPr>
          <w:rFonts w:ascii="Times New Roman" w:hAnsi="Times New Roman" w:cs="Times New Roman"/>
          <w:noProof/>
          <w:color w:val="000000" w:themeColor="text1"/>
          <w:sz w:val="24"/>
          <w:szCs w:val="24"/>
          <w:lang w:val="en-IE"/>
        </w:rPr>
        <w:t>, was made</w:t>
      </w:r>
      <w:r w:rsidR="3CA27D2C" w:rsidRPr="5747FA50">
        <w:rPr>
          <w:rFonts w:ascii="Times New Roman" w:hAnsi="Times New Roman" w:cs="Times New Roman"/>
          <w:noProof/>
          <w:color w:val="000000" w:themeColor="text1"/>
          <w:sz w:val="24"/>
          <w:szCs w:val="24"/>
          <w:lang w:val="en-IE"/>
        </w:rPr>
        <w:t xml:space="preserve">: </w:t>
      </w:r>
    </w:p>
    <w:p w14:paraId="2B4D4FFB" w14:textId="2C841342" w:rsidR="007D2EB1" w:rsidRDefault="007D2EB1" w:rsidP="007D2EB1">
      <w:pPr>
        <w:pStyle w:val="ListParagraph"/>
        <w:numPr>
          <w:ilvl w:val="0"/>
          <w:numId w:val="5"/>
        </w:numPr>
        <w:spacing w:after="120"/>
        <w:ind w:left="714" w:hanging="357"/>
        <w:contextualSpacing w:val="0"/>
        <w:jc w:val="both"/>
        <w:rPr>
          <w:rFonts w:ascii="Times New Roman" w:hAnsi="Times New Roman" w:cs="Times New Roman"/>
          <w:noProof/>
          <w:color w:val="000000"/>
          <w:sz w:val="24"/>
          <w:szCs w:val="24"/>
          <w:lang w:val="en-IE"/>
        </w:rPr>
      </w:pPr>
      <w:r w:rsidRPr="007D2EB1">
        <w:rPr>
          <w:rFonts w:ascii="Times New Roman" w:hAnsi="Times New Roman" w:cs="Times New Roman"/>
          <w:noProof/>
          <w:color w:val="000000"/>
          <w:sz w:val="24"/>
          <w:szCs w:val="24"/>
          <w:lang w:val="en-IE"/>
        </w:rPr>
        <w:t>a regeneration rate of 70%</w:t>
      </w:r>
      <w:r>
        <w:rPr>
          <w:rFonts w:ascii="Times New Roman" w:hAnsi="Times New Roman" w:cs="Times New Roman"/>
          <w:noProof/>
          <w:color w:val="000000"/>
          <w:sz w:val="24"/>
          <w:szCs w:val="24"/>
          <w:lang w:val="en-IE"/>
        </w:rPr>
        <w:t xml:space="preserve"> of all collected waste oil</w:t>
      </w:r>
      <w:r w:rsidR="00F674B0">
        <w:rPr>
          <w:rFonts w:ascii="Times New Roman" w:hAnsi="Times New Roman" w:cs="Times New Roman"/>
          <w:noProof/>
          <w:color w:val="000000"/>
          <w:sz w:val="24"/>
          <w:szCs w:val="24"/>
          <w:lang w:val="en-IE"/>
        </w:rPr>
        <w:t>s</w:t>
      </w:r>
      <w:r>
        <w:rPr>
          <w:rFonts w:ascii="Times New Roman" w:hAnsi="Times New Roman" w:cs="Times New Roman"/>
          <w:noProof/>
          <w:color w:val="000000"/>
          <w:sz w:val="24"/>
          <w:szCs w:val="24"/>
          <w:lang w:val="en-IE"/>
        </w:rPr>
        <w:t xml:space="preserve">, which represents an increase from the current EU average </w:t>
      </w:r>
      <w:r w:rsidR="00F674B0">
        <w:rPr>
          <w:rFonts w:ascii="Times New Roman" w:hAnsi="Times New Roman" w:cs="Times New Roman"/>
          <w:noProof/>
          <w:color w:val="000000"/>
          <w:sz w:val="24"/>
          <w:szCs w:val="24"/>
          <w:lang w:val="en-IE"/>
        </w:rPr>
        <w:t xml:space="preserve">rate </w:t>
      </w:r>
      <w:r>
        <w:rPr>
          <w:rFonts w:ascii="Times New Roman" w:hAnsi="Times New Roman" w:cs="Times New Roman"/>
          <w:noProof/>
          <w:color w:val="000000"/>
          <w:sz w:val="24"/>
          <w:szCs w:val="24"/>
          <w:lang w:val="en-IE"/>
        </w:rPr>
        <w:t>of 61%.</w:t>
      </w:r>
    </w:p>
    <w:p w14:paraId="48AC11F1" w14:textId="103A1504" w:rsidR="007D2EB1" w:rsidRDefault="7F3843B9" w:rsidP="5747FA50">
      <w:pPr>
        <w:pStyle w:val="ListParagraph"/>
        <w:numPr>
          <w:ilvl w:val="0"/>
          <w:numId w:val="5"/>
        </w:numPr>
        <w:spacing w:after="120"/>
        <w:ind w:left="714" w:hanging="357"/>
        <w:jc w:val="both"/>
        <w:rPr>
          <w:rFonts w:ascii="Times New Roman" w:hAnsi="Times New Roman" w:cs="Times New Roman"/>
          <w:noProof/>
          <w:color w:val="000000"/>
          <w:sz w:val="24"/>
          <w:szCs w:val="24"/>
          <w:lang w:val="en-IE"/>
        </w:rPr>
      </w:pPr>
      <w:r w:rsidRPr="5747FA50">
        <w:rPr>
          <w:rFonts w:ascii="Times New Roman" w:hAnsi="Times New Roman" w:cs="Times New Roman"/>
          <w:noProof/>
          <w:color w:val="000000" w:themeColor="text1"/>
          <w:sz w:val="24"/>
          <w:szCs w:val="24"/>
          <w:lang w:val="en-IE"/>
        </w:rPr>
        <w:t>a</w:t>
      </w:r>
      <w:r w:rsidR="0096799C">
        <w:rPr>
          <w:rFonts w:ascii="Times New Roman" w:hAnsi="Times New Roman" w:cs="Times New Roman"/>
          <w:noProof/>
          <w:color w:val="000000" w:themeColor="text1"/>
          <w:sz w:val="24"/>
          <w:szCs w:val="24"/>
          <w:lang w:val="en-IE"/>
        </w:rPr>
        <w:t xml:space="preserve"> </w:t>
      </w:r>
      <w:r w:rsidR="3CA27D2C" w:rsidRPr="5747FA50">
        <w:rPr>
          <w:rFonts w:ascii="Times New Roman" w:hAnsi="Times New Roman" w:cs="Times New Roman"/>
          <w:noProof/>
          <w:color w:val="000000" w:themeColor="text1"/>
          <w:sz w:val="24"/>
          <w:szCs w:val="24"/>
          <w:lang w:val="en-IE"/>
        </w:rPr>
        <w:t>regeneration rate of 85% of all collected waste oil</w:t>
      </w:r>
      <w:r w:rsidR="002E73AF">
        <w:rPr>
          <w:rFonts w:ascii="Times New Roman" w:hAnsi="Times New Roman" w:cs="Times New Roman"/>
          <w:noProof/>
          <w:color w:val="000000" w:themeColor="text1"/>
          <w:sz w:val="24"/>
          <w:szCs w:val="24"/>
          <w:lang w:val="en-IE"/>
        </w:rPr>
        <w:t>s</w:t>
      </w:r>
      <w:r w:rsidR="19BBBBEC" w:rsidRPr="5747FA50">
        <w:rPr>
          <w:rFonts w:ascii="Times New Roman" w:hAnsi="Times New Roman" w:cs="Times New Roman"/>
          <w:noProof/>
          <w:color w:val="000000" w:themeColor="text1"/>
          <w:sz w:val="24"/>
          <w:szCs w:val="24"/>
          <w:lang w:val="en-IE"/>
        </w:rPr>
        <w:t>,</w:t>
      </w:r>
      <w:r w:rsidR="3CA27D2C" w:rsidRPr="5747FA50">
        <w:rPr>
          <w:rFonts w:ascii="Times New Roman" w:hAnsi="Times New Roman" w:cs="Times New Roman"/>
          <w:noProof/>
          <w:color w:val="000000" w:themeColor="text1"/>
          <w:sz w:val="24"/>
          <w:szCs w:val="24"/>
          <w:lang w:val="en-IE"/>
        </w:rPr>
        <w:t xml:space="preserve"> which corresponds to a conservative estimate </w:t>
      </w:r>
      <w:r w:rsidRPr="5747FA50">
        <w:rPr>
          <w:rFonts w:ascii="Times New Roman" w:hAnsi="Times New Roman" w:cs="Times New Roman"/>
          <w:noProof/>
          <w:color w:val="000000" w:themeColor="text1"/>
          <w:sz w:val="24"/>
          <w:szCs w:val="24"/>
          <w:lang w:val="en-IE"/>
        </w:rPr>
        <w:t>of what can realistically be regenerated</w:t>
      </w:r>
      <w:r w:rsidR="3CA27D2C" w:rsidRPr="5747FA50">
        <w:rPr>
          <w:rFonts w:ascii="Times New Roman" w:hAnsi="Times New Roman" w:cs="Times New Roman"/>
          <w:noProof/>
          <w:color w:val="000000" w:themeColor="text1"/>
          <w:sz w:val="24"/>
          <w:szCs w:val="24"/>
          <w:lang w:val="en-IE"/>
        </w:rPr>
        <w:t xml:space="preserve">.  </w:t>
      </w:r>
      <w:r w:rsidR="7EA01F8D" w:rsidRPr="5747FA50">
        <w:rPr>
          <w:rFonts w:ascii="Times New Roman" w:hAnsi="Times New Roman" w:cs="Times New Roman"/>
          <w:noProof/>
          <w:color w:val="000000" w:themeColor="text1"/>
          <w:sz w:val="24"/>
          <w:szCs w:val="24"/>
          <w:lang w:val="en-IE"/>
        </w:rPr>
        <w:t xml:space="preserve"> </w:t>
      </w:r>
    </w:p>
    <w:p w14:paraId="73E42F01" w14:textId="64C6B37F" w:rsidR="00872F71" w:rsidRDefault="6FA13F01" w:rsidP="0057312E">
      <w:pPr>
        <w:spacing w:after="120"/>
        <w:jc w:val="both"/>
        <w:rPr>
          <w:rFonts w:ascii="Times New Roman" w:hAnsi="Times New Roman" w:cs="Times New Roman"/>
          <w:noProof/>
          <w:color w:val="000000"/>
          <w:sz w:val="24"/>
          <w:szCs w:val="24"/>
          <w:lang w:val="en-IE"/>
        </w:rPr>
      </w:pPr>
      <w:r>
        <w:rPr>
          <w:rFonts w:ascii="Times New Roman" w:hAnsi="Times New Roman" w:cs="Times New Roman"/>
          <w:noProof/>
          <w:color w:val="000000"/>
          <w:sz w:val="24"/>
          <w:szCs w:val="24"/>
          <w:lang w:val="en-IE"/>
        </w:rPr>
        <w:t>The</w:t>
      </w:r>
      <w:r w:rsidRPr="00506880">
        <w:rPr>
          <w:rFonts w:ascii="Times New Roman" w:hAnsi="Times New Roman" w:cs="Times New Roman"/>
          <w:noProof/>
          <w:color w:val="000000"/>
          <w:sz w:val="24"/>
          <w:szCs w:val="24"/>
          <w:lang w:val="en-IE"/>
        </w:rPr>
        <w:t xml:space="preserve"> environmental effects</w:t>
      </w:r>
      <w:r w:rsidR="002C4A88">
        <w:rPr>
          <w:rStyle w:val="FootnoteReference"/>
          <w:rFonts w:ascii="Times New Roman" w:hAnsi="Times New Roman" w:cs="Times New Roman"/>
          <w:noProof/>
          <w:color w:val="000000"/>
          <w:sz w:val="24"/>
          <w:szCs w:val="24"/>
          <w:lang w:val="en-IE"/>
        </w:rPr>
        <w:footnoteReference w:id="53"/>
      </w:r>
      <w:r w:rsidRPr="00506880">
        <w:rPr>
          <w:rFonts w:ascii="Times New Roman" w:hAnsi="Times New Roman" w:cs="Times New Roman"/>
          <w:noProof/>
          <w:color w:val="000000"/>
          <w:sz w:val="24"/>
          <w:szCs w:val="24"/>
          <w:lang w:val="en-IE"/>
        </w:rPr>
        <w:t xml:space="preserve"> are </w:t>
      </w:r>
      <w:r w:rsidR="33A72D10" w:rsidRPr="00506880">
        <w:rPr>
          <w:rFonts w:ascii="Times New Roman" w:hAnsi="Times New Roman" w:cs="Times New Roman"/>
          <w:noProof/>
          <w:color w:val="000000"/>
          <w:sz w:val="24"/>
          <w:szCs w:val="24"/>
          <w:lang w:val="en-IE"/>
        </w:rPr>
        <w:t xml:space="preserve">by definition </w:t>
      </w:r>
      <w:r w:rsidRPr="00506880">
        <w:rPr>
          <w:rFonts w:ascii="Times New Roman" w:hAnsi="Times New Roman" w:cs="Times New Roman"/>
          <w:noProof/>
          <w:color w:val="000000"/>
          <w:sz w:val="24"/>
          <w:szCs w:val="24"/>
          <w:lang w:val="en-IE"/>
        </w:rPr>
        <w:t>the same for all policies</w:t>
      </w:r>
      <w:r w:rsidR="3BD4E6AD" w:rsidRPr="5747FA50">
        <w:rPr>
          <w:rFonts w:ascii="Times New Roman" w:hAnsi="Times New Roman" w:cs="Times New Roman"/>
          <w:noProof/>
          <w:color w:val="000000" w:themeColor="text1"/>
          <w:sz w:val="24"/>
          <w:szCs w:val="24"/>
          <w:lang w:val="en-IE"/>
        </w:rPr>
        <w:t xml:space="preserve"> that</w:t>
      </w:r>
      <w:r w:rsidRPr="00506880">
        <w:rPr>
          <w:rFonts w:ascii="Times New Roman" w:hAnsi="Times New Roman" w:cs="Times New Roman"/>
          <w:noProof/>
          <w:color w:val="000000"/>
          <w:sz w:val="24"/>
          <w:szCs w:val="24"/>
          <w:lang w:val="en-IE"/>
        </w:rPr>
        <w:t xml:space="preserve"> </w:t>
      </w:r>
      <w:r w:rsidR="0DF6F368" w:rsidRPr="00506880">
        <w:rPr>
          <w:rFonts w:ascii="Times New Roman" w:hAnsi="Times New Roman" w:cs="Times New Roman"/>
          <w:noProof/>
          <w:color w:val="000000"/>
          <w:sz w:val="24"/>
          <w:szCs w:val="24"/>
          <w:lang w:val="en-IE"/>
        </w:rPr>
        <w:t>achieve</w:t>
      </w:r>
      <w:r w:rsidRPr="00506880">
        <w:rPr>
          <w:rFonts w:ascii="Times New Roman" w:hAnsi="Times New Roman" w:cs="Times New Roman"/>
          <w:noProof/>
          <w:color w:val="000000"/>
          <w:sz w:val="24"/>
          <w:szCs w:val="24"/>
          <w:lang w:val="en-IE"/>
        </w:rPr>
        <w:t xml:space="preserve"> the same target. </w:t>
      </w:r>
      <w:r>
        <w:rPr>
          <w:rFonts w:ascii="Times New Roman" w:hAnsi="Times New Roman" w:cs="Times New Roman"/>
          <w:noProof/>
          <w:color w:val="000000"/>
          <w:sz w:val="24"/>
          <w:szCs w:val="24"/>
          <w:lang w:val="en-IE"/>
        </w:rPr>
        <w:t xml:space="preserve">Whereas setting a mandatory minimum regeneration rate </w:t>
      </w:r>
      <w:r w:rsidR="51A95082">
        <w:rPr>
          <w:rFonts w:ascii="Times New Roman" w:hAnsi="Times New Roman" w:cs="Times New Roman"/>
          <w:noProof/>
          <w:color w:val="000000"/>
          <w:sz w:val="24"/>
          <w:szCs w:val="24"/>
          <w:lang w:val="en-IE"/>
        </w:rPr>
        <w:t>target</w:t>
      </w:r>
      <w:r w:rsidR="5EC73781">
        <w:rPr>
          <w:rFonts w:ascii="Times New Roman" w:hAnsi="Times New Roman" w:cs="Times New Roman"/>
          <w:noProof/>
          <w:color w:val="000000"/>
          <w:sz w:val="24"/>
          <w:szCs w:val="24"/>
          <w:lang w:val="en-IE"/>
        </w:rPr>
        <w:t>,</w:t>
      </w:r>
      <w:r w:rsidR="51A95082">
        <w:rPr>
          <w:rFonts w:ascii="Times New Roman" w:hAnsi="Times New Roman" w:cs="Times New Roman"/>
          <w:noProof/>
          <w:color w:val="000000"/>
          <w:sz w:val="24"/>
          <w:szCs w:val="24"/>
          <w:lang w:val="en-IE"/>
        </w:rPr>
        <w:t xml:space="preserve"> </w:t>
      </w:r>
      <w:r>
        <w:rPr>
          <w:rFonts w:ascii="Times New Roman" w:hAnsi="Times New Roman" w:cs="Times New Roman"/>
          <w:noProof/>
          <w:color w:val="000000"/>
          <w:sz w:val="24"/>
          <w:szCs w:val="24"/>
          <w:lang w:val="en-IE"/>
        </w:rPr>
        <w:t>defined as a percentage of collected waste oil</w:t>
      </w:r>
      <w:r w:rsidR="002E73AF">
        <w:rPr>
          <w:rFonts w:ascii="Times New Roman" w:hAnsi="Times New Roman" w:cs="Times New Roman"/>
          <w:noProof/>
          <w:color w:val="000000"/>
          <w:sz w:val="24"/>
          <w:szCs w:val="24"/>
          <w:lang w:val="en-IE"/>
        </w:rPr>
        <w:t>s</w:t>
      </w:r>
      <w:r>
        <w:rPr>
          <w:rFonts w:ascii="Times New Roman" w:hAnsi="Times New Roman" w:cs="Times New Roman"/>
          <w:noProof/>
          <w:color w:val="000000"/>
          <w:sz w:val="24"/>
          <w:szCs w:val="24"/>
          <w:lang w:val="en-IE"/>
        </w:rPr>
        <w:t xml:space="preserve">, results in a </w:t>
      </w:r>
      <w:r w:rsidRPr="00506880">
        <w:rPr>
          <w:rFonts w:ascii="Times New Roman" w:hAnsi="Times New Roman" w:cs="Times New Roman"/>
          <w:noProof/>
          <w:color w:val="000000"/>
          <w:sz w:val="24"/>
          <w:szCs w:val="24"/>
          <w:lang w:val="en-IE"/>
        </w:rPr>
        <w:t>financial burden that is undefined</w:t>
      </w:r>
      <w:r>
        <w:rPr>
          <w:rFonts w:ascii="Times New Roman" w:hAnsi="Times New Roman" w:cs="Times New Roman"/>
          <w:noProof/>
          <w:color w:val="000000"/>
          <w:sz w:val="24"/>
          <w:szCs w:val="24"/>
          <w:lang w:val="en-IE"/>
        </w:rPr>
        <w:t xml:space="preserve"> and largely depends on </w:t>
      </w:r>
      <w:r w:rsidR="2549A468">
        <w:rPr>
          <w:rFonts w:ascii="Times New Roman" w:hAnsi="Times New Roman" w:cs="Times New Roman"/>
          <w:noProof/>
          <w:color w:val="000000"/>
          <w:sz w:val="24"/>
          <w:szCs w:val="24"/>
          <w:lang w:val="en-IE"/>
        </w:rPr>
        <w:t xml:space="preserve">the specific </w:t>
      </w:r>
      <w:r w:rsidRPr="00506880">
        <w:rPr>
          <w:rFonts w:ascii="Times New Roman" w:hAnsi="Times New Roman" w:cs="Times New Roman"/>
          <w:noProof/>
          <w:color w:val="000000"/>
          <w:sz w:val="24"/>
          <w:szCs w:val="24"/>
          <w:lang w:val="en-IE"/>
        </w:rPr>
        <w:t xml:space="preserve">implementation </w:t>
      </w:r>
      <w:r w:rsidR="467B63F1">
        <w:rPr>
          <w:rFonts w:ascii="Times New Roman" w:hAnsi="Times New Roman" w:cs="Times New Roman"/>
          <w:noProof/>
          <w:color w:val="000000"/>
          <w:sz w:val="24"/>
          <w:szCs w:val="24"/>
          <w:lang w:val="en-IE"/>
        </w:rPr>
        <w:t>in each</w:t>
      </w:r>
      <w:r w:rsidRPr="00506880">
        <w:rPr>
          <w:rFonts w:ascii="Times New Roman" w:hAnsi="Times New Roman" w:cs="Times New Roman"/>
          <w:noProof/>
          <w:color w:val="000000"/>
          <w:sz w:val="24"/>
          <w:szCs w:val="24"/>
          <w:lang w:val="en-IE"/>
        </w:rPr>
        <w:t xml:space="preserve"> Member State, the main burden of</w:t>
      </w:r>
      <w:r>
        <w:rPr>
          <w:rFonts w:ascii="Times New Roman" w:hAnsi="Times New Roman" w:cs="Times New Roman"/>
          <w:noProof/>
          <w:color w:val="000000"/>
          <w:sz w:val="24"/>
          <w:szCs w:val="24"/>
          <w:lang w:val="en-IE"/>
        </w:rPr>
        <w:t xml:space="preserve"> the other two options, based on setting minimum </w:t>
      </w:r>
      <w:r w:rsidR="47E157F3">
        <w:rPr>
          <w:rFonts w:ascii="Times New Roman" w:hAnsi="Times New Roman" w:cs="Times New Roman"/>
          <w:noProof/>
          <w:color w:val="000000"/>
          <w:sz w:val="24"/>
          <w:szCs w:val="24"/>
          <w:lang w:val="en-IE"/>
        </w:rPr>
        <w:t xml:space="preserve">targets for the use of </w:t>
      </w:r>
      <w:r>
        <w:rPr>
          <w:rFonts w:ascii="Times New Roman" w:hAnsi="Times New Roman" w:cs="Times New Roman"/>
          <w:noProof/>
          <w:color w:val="000000"/>
          <w:sz w:val="24"/>
          <w:szCs w:val="24"/>
          <w:lang w:val="en-IE"/>
        </w:rPr>
        <w:t>re</w:t>
      </w:r>
      <w:r w:rsidR="6030FD52">
        <w:rPr>
          <w:rFonts w:ascii="Times New Roman" w:hAnsi="Times New Roman" w:cs="Times New Roman"/>
          <w:noProof/>
          <w:color w:val="000000"/>
          <w:sz w:val="24"/>
          <w:szCs w:val="24"/>
          <w:lang w:val="en-IE"/>
        </w:rPr>
        <w:t>generated waste oil</w:t>
      </w:r>
      <w:r>
        <w:rPr>
          <w:rFonts w:ascii="Times New Roman" w:hAnsi="Times New Roman" w:cs="Times New Roman"/>
          <w:noProof/>
          <w:color w:val="000000"/>
          <w:sz w:val="24"/>
          <w:szCs w:val="24"/>
          <w:lang w:val="en-IE"/>
        </w:rPr>
        <w:t xml:space="preserve"> in lubricant products, </w:t>
      </w:r>
      <w:r w:rsidRPr="00506880">
        <w:rPr>
          <w:rFonts w:ascii="Times New Roman" w:hAnsi="Times New Roman" w:cs="Times New Roman"/>
          <w:noProof/>
          <w:color w:val="000000"/>
          <w:sz w:val="24"/>
          <w:szCs w:val="24"/>
          <w:lang w:val="en-IE"/>
        </w:rPr>
        <w:t>initially falls on lubricant producers, and ultimately on lubricant consumers</w:t>
      </w:r>
      <w:r>
        <w:rPr>
          <w:rFonts w:ascii="Times New Roman" w:hAnsi="Times New Roman" w:cs="Times New Roman"/>
          <w:noProof/>
          <w:color w:val="000000"/>
          <w:sz w:val="24"/>
          <w:szCs w:val="24"/>
          <w:lang w:val="en-IE"/>
        </w:rPr>
        <w:t xml:space="preserve">. </w:t>
      </w:r>
    </w:p>
    <w:p w14:paraId="44217A23" w14:textId="4890CA1B" w:rsidR="00506880" w:rsidRDefault="06863D25" w:rsidP="0057312E">
      <w:pPr>
        <w:spacing w:after="120"/>
        <w:jc w:val="both"/>
        <w:rPr>
          <w:rFonts w:ascii="Times New Roman" w:hAnsi="Times New Roman" w:cs="Times New Roman"/>
          <w:noProof/>
          <w:color w:val="000000"/>
          <w:sz w:val="24"/>
          <w:szCs w:val="24"/>
          <w:lang w:val="en-IE"/>
        </w:rPr>
      </w:pPr>
      <w:r>
        <w:rPr>
          <w:rFonts w:ascii="Times New Roman" w:hAnsi="Times New Roman" w:cs="Times New Roman"/>
          <w:noProof/>
          <w:color w:val="000000"/>
          <w:sz w:val="24"/>
          <w:szCs w:val="24"/>
          <w:lang w:val="en-IE"/>
        </w:rPr>
        <w:t>S</w:t>
      </w:r>
      <w:r w:rsidRPr="00872F71">
        <w:rPr>
          <w:rFonts w:ascii="Times New Roman" w:hAnsi="Times New Roman" w:cs="Times New Roman"/>
          <w:noProof/>
          <w:color w:val="000000"/>
          <w:sz w:val="24"/>
          <w:szCs w:val="24"/>
          <w:lang w:val="en-IE"/>
        </w:rPr>
        <w:t xml:space="preserve">ubsidies for regeneration financed either out of the general budget or via a levy on virgin base oil lead to relatively high costs, which </w:t>
      </w:r>
      <w:r w:rsidR="7F3843B9">
        <w:rPr>
          <w:rFonts w:ascii="Times New Roman" w:hAnsi="Times New Roman" w:cs="Times New Roman"/>
          <w:noProof/>
          <w:color w:val="000000"/>
          <w:sz w:val="24"/>
          <w:szCs w:val="24"/>
          <w:lang w:val="en-IE"/>
        </w:rPr>
        <w:t xml:space="preserve">largely </w:t>
      </w:r>
      <w:r w:rsidRPr="00872F71">
        <w:rPr>
          <w:rFonts w:ascii="Times New Roman" w:hAnsi="Times New Roman" w:cs="Times New Roman"/>
          <w:noProof/>
          <w:color w:val="000000"/>
          <w:sz w:val="24"/>
          <w:szCs w:val="24"/>
          <w:lang w:val="en-IE"/>
        </w:rPr>
        <w:t xml:space="preserve">exceed expected </w:t>
      </w:r>
      <w:r>
        <w:rPr>
          <w:rFonts w:ascii="Times New Roman" w:hAnsi="Times New Roman" w:cs="Times New Roman"/>
          <w:noProof/>
          <w:color w:val="000000"/>
          <w:sz w:val="24"/>
          <w:szCs w:val="24"/>
          <w:lang w:val="en-IE"/>
        </w:rPr>
        <w:t xml:space="preserve">societal life cycle cost </w:t>
      </w:r>
      <w:r w:rsidRPr="00872F71">
        <w:rPr>
          <w:rFonts w:ascii="Times New Roman" w:hAnsi="Times New Roman" w:cs="Times New Roman"/>
          <w:noProof/>
          <w:color w:val="000000"/>
          <w:sz w:val="24"/>
          <w:szCs w:val="24"/>
          <w:lang w:val="en-IE"/>
        </w:rPr>
        <w:t>savings</w:t>
      </w:r>
      <w:r>
        <w:rPr>
          <w:rFonts w:ascii="Times New Roman" w:hAnsi="Times New Roman" w:cs="Times New Roman"/>
          <w:noProof/>
          <w:color w:val="000000"/>
          <w:sz w:val="24"/>
          <w:szCs w:val="24"/>
          <w:lang w:val="en-IE"/>
        </w:rPr>
        <w:t>.</w:t>
      </w:r>
      <w:r w:rsidRPr="00872F71">
        <w:rPr>
          <w:rFonts w:ascii="Times New Roman" w:hAnsi="Times New Roman" w:cs="Times New Roman"/>
          <w:noProof/>
          <w:color w:val="000000"/>
          <w:sz w:val="24"/>
          <w:szCs w:val="24"/>
          <w:lang w:val="en-IE"/>
        </w:rPr>
        <w:t xml:space="preserve"> This is </w:t>
      </w:r>
      <w:r>
        <w:rPr>
          <w:rFonts w:ascii="Times New Roman" w:hAnsi="Times New Roman" w:cs="Times New Roman"/>
          <w:noProof/>
          <w:color w:val="000000"/>
          <w:sz w:val="24"/>
          <w:szCs w:val="24"/>
          <w:lang w:val="en-IE"/>
        </w:rPr>
        <w:t xml:space="preserve">because </w:t>
      </w:r>
      <w:r w:rsidRPr="00872F71">
        <w:rPr>
          <w:rFonts w:ascii="Times New Roman" w:hAnsi="Times New Roman" w:cs="Times New Roman"/>
          <w:noProof/>
          <w:color w:val="000000"/>
          <w:sz w:val="24"/>
          <w:szCs w:val="24"/>
          <w:lang w:val="en-IE"/>
        </w:rPr>
        <w:t xml:space="preserve">the subsidies would </w:t>
      </w:r>
      <w:r w:rsidR="51A95082">
        <w:rPr>
          <w:rFonts w:ascii="Times New Roman" w:hAnsi="Times New Roman" w:cs="Times New Roman"/>
          <w:noProof/>
          <w:color w:val="000000"/>
          <w:sz w:val="24"/>
          <w:szCs w:val="24"/>
          <w:lang w:val="en-IE"/>
        </w:rPr>
        <w:t>have to be</w:t>
      </w:r>
      <w:r w:rsidRPr="00872F71">
        <w:rPr>
          <w:rFonts w:ascii="Times New Roman" w:hAnsi="Times New Roman" w:cs="Times New Roman"/>
          <w:noProof/>
          <w:color w:val="000000"/>
          <w:sz w:val="24"/>
          <w:szCs w:val="24"/>
          <w:lang w:val="en-IE"/>
        </w:rPr>
        <w:t xml:space="preserve"> paid </w:t>
      </w:r>
      <w:r w:rsidR="7F3843B9">
        <w:rPr>
          <w:rFonts w:ascii="Times New Roman" w:hAnsi="Times New Roman" w:cs="Times New Roman"/>
          <w:noProof/>
          <w:color w:val="000000"/>
          <w:sz w:val="24"/>
          <w:szCs w:val="24"/>
          <w:lang w:val="en-IE"/>
        </w:rPr>
        <w:t>for all</w:t>
      </w:r>
      <w:r w:rsidRPr="00872F71">
        <w:rPr>
          <w:rFonts w:ascii="Times New Roman" w:hAnsi="Times New Roman" w:cs="Times New Roman"/>
          <w:noProof/>
          <w:color w:val="000000"/>
          <w:sz w:val="24"/>
          <w:szCs w:val="24"/>
          <w:lang w:val="en-IE"/>
        </w:rPr>
        <w:t xml:space="preserve"> regenerated base oil</w:t>
      </w:r>
      <w:r w:rsidR="7F3843B9">
        <w:rPr>
          <w:rFonts w:ascii="Times New Roman" w:hAnsi="Times New Roman" w:cs="Times New Roman"/>
          <w:noProof/>
          <w:color w:val="000000"/>
          <w:sz w:val="24"/>
          <w:szCs w:val="24"/>
          <w:lang w:val="en-IE"/>
        </w:rPr>
        <w:t>, including</w:t>
      </w:r>
      <w:r w:rsidR="71A8522C">
        <w:rPr>
          <w:rFonts w:ascii="Times New Roman" w:hAnsi="Times New Roman" w:cs="Times New Roman"/>
          <w:noProof/>
          <w:color w:val="000000"/>
          <w:sz w:val="24"/>
          <w:szCs w:val="24"/>
          <w:lang w:val="en-IE"/>
        </w:rPr>
        <w:t xml:space="preserve"> for</w:t>
      </w:r>
      <w:r w:rsidR="7F3843B9">
        <w:rPr>
          <w:rFonts w:ascii="Times New Roman" w:hAnsi="Times New Roman" w:cs="Times New Roman"/>
          <w:noProof/>
          <w:color w:val="000000"/>
          <w:sz w:val="24"/>
          <w:szCs w:val="24"/>
          <w:lang w:val="en-IE"/>
        </w:rPr>
        <w:t xml:space="preserve"> </w:t>
      </w:r>
      <w:r w:rsidR="3BD4E6AD" w:rsidRPr="6082441D">
        <w:rPr>
          <w:rFonts w:ascii="Times New Roman" w:hAnsi="Times New Roman" w:cs="Times New Roman"/>
          <w:noProof/>
          <w:color w:val="000000" w:themeColor="text1"/>
          <w:sz w:val="24"/>
          <w:szCs w:val="24"/>
          <w:lang w:val="en-IE"/>
        </w:rPr>
        <w:t xml:space="preserve">the </w:t>
      </w:r>
      <w:r w:rsidR="63EE8999" w:rsidRPr="6082441D">
        <w:rPr>
          <w:rFonts w:ascii="Times New Roman" w:hAnsi="Times New Roman" w:cs="Times New Roman"/>
          <w:noProof/>
          <w:color w:val="000000" w:themeColor="text1"/>
          <w:sz w:val="24"/>
          <w:szCs w:val="24"/>
          <w:lang w:val="en-IE"/>
        </w:rPr>
        <w:t xml:space="preserve">large </w:t>
      </w:r>
      <w:r w:rsidR="3BD4E6AD" w:rsidRPr="6082441D">
        <w:rPr>
          <w:rFonts w:ascii="Times New Roman" w:hAnsi="Times New Roman" w:cs="Times New Roman"/>
          <w:noProof/>
          <w:color w:val="000000" w:themeColor="text1"/>
          <w:sz w:val="24"/>
          <w:szCs w:val="24"/>
          <w:lang w:val="en-IE"/>
        </w:rPr>
        <w:t>fraction</w:t>
      </w:r>
      <w:r w:rsidR="02702452" w:rsidRPr="6082441D">
        <w:rPr>
          <w:rFonts w:ascii="Times New Roman" w:hAnsi="Times New Roman" w:cs="Times New Roman"/>
          <w:noProof/>
          <w:color w:val="000000" w:themeColor="text1"/>
          <w:sz w:val="24"/>
          <w:szCs w:val="24"/>
          <w:lang w:val="en-IE"/>
        </w:rPr>
        <w:t xml:space="preserve"> (61%)</w:t>
      </w:r>
      <w:r w:rsidR="3BD4E6AD" w:rsidRPr="6082441D">
        <w:rPr>
          <w:rFonts w:ascii="Times New Roman" w:hAnsi="Times New Roman" w:cs="Times New Roman"/>
          <w:noProof/>
          <w:color w:val="000000" w:themeColor="text1"/>
          <w:sz w:val="24"/>
          <w:szCs w:val="24"/>
          <w:lang w:val="en-IE"/>
        </w:rPr>
        <w:t xml:space="preserve"> </w:t>
      </w:r>
      <w:r w:rsidR="7F3843B9">
        <w:rPr>
          <w:rFonts w:ascii="Times New Roman" w:hAnsi="Times New Roman" w:cs="Times New Roman"/>
          <w:noProof/>
          <w:color w:val="000000"/>
          <w:sz w:val="24"/>
          <w:szCs w:val="24"/>
          <w:lang w:val="en-IE"/>
        </w:rPr>
        <w:t xml:space="preserve">already being </w:t>
      </w:r>
      <w:r w:rsidRPr="00872F71">
        <w:rPr>
          <w:rFonts w:ascii="Times New Roman" w:hAnsi="Times New Roman" w:cs="Times New Roman"/>
          <w:noProof/>
          <w:color w:val="000000"/>
          <w:sz w:val="24"/>
          <w:szCs w:val="24"/>
          <w:lang w:val="en-IE"/>
        </w:rPr>
        <w:t>regenerated.</w:t>
      </w:r>
      <w:r>
        <w:rPr>
          <w:rFonts w:ascii="Times New Roman" w:hAnsi="Times New Roman" w:cs="Times New Roman"/>
          <w:noProof/>
          <w:color w:val="000000"/>
          <w:sz w:val="24"/>
          <w:szCs w:val="24"/>
          <w:lang w:val="en-IE"/>
        </w:rPr>
        <w:t xml:space="preserve"> </w:t>
      </w:r>
      <w:r w:rsidR="43114084">
        <w:rPr>
          <w:rFonts w:ascii="Times New Roman" w:hAnsi="Times New Roman" w:cs="Times New Roman"/>
          <w:noProof/>
          <w:color w:val="000000"/>
          <w:sz w:val="24"/>
          <w:szCs w:val="24"/>
          <w:lang w:val="en-IE"/>
        </w:rPr>
        <w:t xml:space="preserve">Assessing the outcome of the </w:t>
      </w:r>
      <w:r>
        <w:rPr>
          <w:rFonts w:ascii="Times New Roman" w:hAnsi="Times New Roman" w:cs="Times New Roman"/>
          <w:noProof/>
          <w:color w:val="000000"/>
          <w:sz w:val="24"/>
          <w:szCs w:val="24"/>
          <w:lang w:val="en-IE"/>
        </w:rPr>
        <w:t>three target-based</w:t>
      </w:r>
      <w:r w:rsidR="7F3843B9">
        <w:rPr>
          <w:rFonts w:ascii="Times New Roman" w:hAnsi="Times New Roman" w:cs="Times New Roman"/>
          <w:noProof/>
          <w:color w:val="000000"/>
          <w:sz w:val="24"/>
          <w:szCs w:val="24"/>
          <w:lang w:val="en-IE"/>
        </w:rPr>
        <w:t xml:space="preserve"> policies</w:t>
      </w:r>
      <w:r w:rsidRPr="00872F71">
        <w:rPr>
          <w:rFonts w:ascii="Times New Roman" w:hAnsi="Times New Roman" w:cs="Times New Roman"/>
          <w:noProof/>
          <w:color w:val="000000"/>
          <w:sz w:val="24"/>
          <w:szCs w:val="24"/>
          <w:lang w:val="en-IE"/>
        </w:rPr>
        <w:t xml:space="preserve"> </w:t>
      </w:r>
      <w:r w:rsidR="43114084">
        <w:rPr>
          <w:rFonts w:ascii="Times New Roman" w:hAnsi="Times New Roman" w:cs="Times New Roman"/>
          <w:noProof/>
          <w:color w:val="000000"/>
          <w:sz w:val="24"/>
          <w:szCs w:val="24"/>
          <w:lang w:val="en-IE"/>
        </w:rPr>
        <w:t>i</w:t>
      </w:r>
      <w:r w:rsidRPr="00872F71">
        <w:rPr>
          <w:rFonts w:ascii="Times New Roman" w:hAnsi="Times New Roman" w:cs="Times New Roman"/>
          <w:noProof/>
          <w:color w:val="000000"/>
          <w:sz w:val="24"/>
          <w:szCs w:val="24"/>
          <w:lang w:val="en-IE"/>
        </w:rPr>
        <w:t xml:space="preserve">s </w:t>
      </w:r>
      <w:r w:rsidR="51A95082">
        <w:rPr>
          <w:rFonts w:ascii="Times New Roman" w:hAnsi="Times New Roman" w:cs="Times New Roman"/>
          <w:noProof/>
          <w:color w:val="000000"/>
          <w:sz w:val="24"/>
          <w:szCs w:val="24"/>
          <w:lang w:val="en-IE"/>
        </w:rPr>
        <w:t>not</w:t>
      </w:r>
      <w:r w:rsidRPr="00872F71">
        <w:rPr>
          <w:rFonts w:ascii="Times New Roman" w:hAnsi="Times New Roman" w:cs="Times New Roman"/>
          <w:noProof/>
          <w:color w:val="000000"/>
          <w:sz w:val="24"/>
          <w:szCs w:val="24"/>
          <w:lang w:val="en-IE"/>
        </w:rPr>
        <w:t xml:space="preserve"> straightforward</w:t>
      </w:r>
      <w:r w:rsidR="43114084">
        <w:rPr>
          <w:rFonts w:ascii="Times New Roman" w:hAnsi="Times New Roman" w:cs="Times New Roman"/>
          <w:noProof/>
          <w:color w:val="000000"/>
          <w:sz w:val="24"/>
          <w:szCs w:val="24"/>
          <w:lang w:val="en-IE"/>
        </w:rPr>
        <w:t xml:space="preserve"> given t</w:t>
      </w:r>
      <w:r w:rsidR="2875D30D" w:rsidRPr="6082441D">
        <w:rPr>
          <w:rFonts w:ascii="Times New Roman" w:hAnsi="Times New Roman" w:cs="Times New Roman"/>
          <w:noProof/>
          <w:color w:val="000000" w:themeColor="text1"/>
          <w:sz w:val="24"/>
          <w:szCs w:val="24"/>
          <w:lang w:val="en-IE"/>
        </w:rPr>
        <w:t>hat t</w:t>
      </w:r>
      <w:r w:rsidR="43114084">
        <w:rPr>
          <w:rFonts w:ascii="Times New Roman" w:hAnsi="Times New Roman" w:cs="Times New Roman"/>
          <w:noProof/>
          <w:color w:val="000000"/>
          <w:sz w:val="24"/>
          <w:szCs w:val="24"/>
          <w:lang w:val="en-IE"/>
        </w:rPr>
        <w:t xml:space="preserve">he </w:t>
      </w:r>
      <w:r w:rsidRPr="00872F71">
        <w:rPr>
          <w:rFonts w:ascii="Times New Roman" w:hAnsi="Times New Roman" w:cs="Times New Roman"/>
          <w:noProof/>
          <w:color w:val="000000"/>
          <w:sz w:val="24"/>
          <w:szCs w:val="24"/>
          <w:lang w:val="en-IE"/>
        </w:rPr>
        <w:t xml:space="preserve">expected benefits in terms </w:t>
      </w:r>
      <w:r>
        <w:rPr>
          <w:rFonts w:ascii="Times New Roman" w:hAnsi="Times New Roman" w:cs="Times New Roman"/>
          <w:noProof/>
          <w:color w:val="000000"/>
          <w:sz w:val="24"/>
          <w:szCs w:val="24"/>
          <w:lang w:val="en-IE"/>
        </w:rPr>
        <w:t xml:space="preserve">of </w:t>
      </w:r>
      <w:r w:rsidR="00726E5E">
        <w:rPr>
          <w:rFonts w:ascii="Times New Roman" w:hAnsi="Times New Roman" w:cs="Times New Roman"/>
          <w:noProof/>
          <w:color w:val="000000"/>
          <w:sz w:val="24"/>
          <w:szCs w:val="24"/>
          <w:lang w:val="en-IE"/>
        </w:rPr>
        <w:t xml:space="preserve">avoided societal </w:t>
      </w:r>
      <w:r w:rsidRPr="00872F71">
        <w:rPr>
          <w:rFonts w:ascii="Times New Roman" w:hAnsi="Times New Roman" w:cs="Times New Roman"/>
          <w:noProof/>
          <w:color w:val="000000"/>
          <w:sz w:val="24"/>
          <w:szCs w:val="24"/>
          <w:lang w:val="en-IE"/>
        </w:rPr>
        <w:t>cost</w:t>
      </w:r>
      <w:r w:rsidR="00726E5E">
        <w:rPr>
          <w:rFonts w:ascii="Times New Roman" w:hAnsi="Times New Roman" w:cs="Times New Roman"/>
          <w:noProof/>
          <w:color w:val="000000"/>
          <w:sz w:val="24"/>
          <w:szCs w:val="24"/>
          <w:lang w:val="en-IE"/>
        </w:rPr>
        <w:t>s</w:t>
      </w:r>
      <w:r w:rsidRPr="00872F71">
        <w:rPr>
          <w:rFonts w:ascii="Times New Roman" w:hAnsi="Times New Roman" w:cs="Times New Roman"/>
          <w:noProof/>
          <w:color w:val="000000"/>
          <w:sz w:val="24"/>
          <w:szCs w:val="24"/>
          <w:lang w:val="en-IE"/>
        </w:rPr>
        <w:t xml:space="preserve"> </w:t>
      </w:r>
      <w:r>
        <w:rPr>
          <w:rFonts w:ascii="Times New Roman" w:hAnsi="Times New Roman" w:cs="Times New Roman"/>
          <w:noProof/>
          <w:color w:val="000000"/>
          <w:sz w:val="24"/>
          <w:szCs w:val="24"/>
          <w:lang w:val="en-IE"/>
        </w:rPr>
        <w:t xml:space="preserve"> </w:t>
      </w:r>
      <w:r w:rsidRPr="00872F71">
        <w:rPr>
          <w:rFonts w:ascii="Times New Roman" w:hAnsi="Times New Roman" w:cs="Times New Roman"/>
          <w:noProof/>
          <w:color w:val="000000"/>
          <w:sz w:val="24"/>
          <w:szCs w:val="24"/>
          <w:lang w:val="en-IE"/>
        </w:rPr>
        <w:t xml:space="preserve">are of the same order of magnitude as the </w:t>
      </w:r>
      <w:r w:rsidR="4435AAB9" w:rsidRPr="00872F71">
        <w:rPr>
          <w:rFonts w:ascii="Times New Roman" w:hAnsi="Times New Roman" w:cs="Times New Roman"/>
          <w:noProof/>
          <w:color w:val="000000"/>
          <w:sz w:val="24"/>
          <w:szCs w:val="24"/>
          <w:lang w:val="en-IE"/>
        </w:rPr>
        <w:t xml:space="preserve">estimated </w:t>
      </w:r>
      <w:r w:rsidRPr="00872F71">
        <w:rPr>
          <w:rFonts w:ascii="Times New Roman" w:hAnsi="Times New Roman" w:cs="Times New Roman"/>
          <w:noProof/>
          <w:color w:val="000000"/>
          <w:sz w:val="24"/>
          <w:szCs w:val="24"/>
          <w:lang w:val="en-IE"/>
        </w:rPr>
        <w:t>administrative costs</w:t>
      </w:r>
      <w:r w:rsidR="00FE67A3">
        <w:rPr>
          <w:rStyle w:val="FootnoteReference"/>
          <w:rFonts w:ascii="Times New Roman" w:hAnsi="Times New Roman" w:cs="Times New Roman"/>
          <w:noProof/>
          <w:color w:val="000000"/>
          <w:sz w:val="24"/>
          <w:szCs w:val="24"/>
          <w:lang w:val="en-IE"/>
        </w:rPr>
        <w:footnoteReference w:id="54"/>
      </w:r>
      <w:r>
        <w:rPr>
          <w:rFonts w:ascii="Times New Roman" w:hAnsi="Times New Roman" w:cs="Times New Roman"/>
          <w:noProof/>
          <w:color w:val="000000"/>
          <w:sz w:val="24"/>
          <w:szCs w:val="24"/>
          <w:lang w:val="en-IE"/>
        </w:rPr>
        <w:t>, leading to the conclusion that th</w:t>
      </w:r>
      <w:r w:rsidRPr="00872F71">
        <w:rPr>
          <w:rFonts w:ascii="Times New Roman" w:hAnsi="Times New Roman" w:cs="Times New Roman"/>
          <w:noProof/>
          <w:color w:val="000000"/>
          <w:sz w:val="24"/>
          <w:szCs w:val="24"/>
          <w:lang w:val="en-IE"/>
        </w:rPr>
        <w:t xml:space="preserve">e net benefits after accounting for the costs are expected to be rather small (and in some cases negative) and </w:t>
      </w:r>
      <w:r>
        <w:rPr>
          <w:rFonts w:ascii="Times New Roman" w:hAnsi="Times New Roman" w:cs="Times New Roman"/>
          <w:noProof/>
          <w:color w:val="000000"/>
          <w:sz w:val="24"/>
          <w:szCs w:val="24"/>
          <w:lang w:val="en-IE"/>
        </w:rPr>
        <w:t xml:space="preserve">may </w:t>
      </w:r>
      <w:r w:rsidRPr="00872F71">
        <w:rPr>
          <w:rFonts w:ascii="Times New Roman" w:hAnsi="Times New Roman" w:cs="Times New Roman"/>
          <w:noProof/>
          <w:color w:val="000000"/>
          <w:sz w:val="24"/>
          <w:szCs w:val="24"/>
          <w:lang w:val="en-IE"/>
        </w:rPr>
        <w:t>not be sufficient to justify a policy intervention</w:t>
      </w:r>
      <w:r w:rsidR="458CBBFA">
        <w:rPr>
          <w:rFonts w:ascii="Times New Roman" w:hAnsi="Times New Roman" w:cs="Times New Roman"/>
          <w:noProof/>
          <w:color w:val="000000"/>
          <w:sz w:val="24"/>
          <w:szCs w:val="24"/>
          <w:lang w:val="en-IE"/>
        </w:rPr>
        <w:t xml:space="preserve"> at EU level</w:t>
      </w:r>
      <w:r w:rsidRPr="00872F71">
        <w:rPr>
          <w:rFonts w:ascii="Times New Roman" w:hAnsi="Times New Roman" w:cs="Times New Roman"/>
          <w:noProof/>
          <w:color w:val="000000"/>
          <w:sz w:val="24"/>
          <w:szCs w:val="24"/>
          <w:lang w:val="en-IE"/>
        </w:rPr>
        <w:t>, particularly in view of the uncertainties involved.</w:t>
      </w:r>
    </w:p>
    <w:p w14:paraId="640671AB" w14:textId="77777777" w:rsidR="00F302DC" w:rsidRDefault="00F302DC" w:rsidP="009B3BE7">
      <w:pPr>
        <w:spacing w:after="120"/>
        <w:jc w:val="both"/>
        <w:rPr>
          <w:rFonts w:ascii="Times New Roman" w:hAnsi="Times New Roman" w:cs="Times New Roman"/>
          <w:noProof/>
          <w:color w:val="000000"/>
          <w:sz w:val="24"/>
          <w:szCs w:val="24"/>
          <w:lang w:val="en-IE"/>
        </w:rPr>
      </w:pPr>
    </w:p>
    <w:p w14:paraId="53755E8E" w14:textId="68FC3E37" w:rsidR="002644E5" w:rsidRPr="00196B57" w:rsidRDefault="002644E5" w:rsidP="002644E5">
      <w:pPr>
        <w:pStyle w:val="ListParagraph"/>
        <w:numPr>
          <w:ilvl w:val="0"/>
          <w:numId w:val="1"/>
        </w:numPr>
        <w:rPr>
          <w:rFonts w:ascii="Times New Roman" w:hAnsi="Times New Roman" w:cs="Times New Roman"/>
          <w:b/>
          <w:bCs/>
          <w:noProof/>
          <w:sz w:val="24"/>
          <w:szCs w:val="24"/>
        </w:rPr>
      </w:pPr>
      <w:r>
        <w:rPr>
          <w:rFonts w:ascii="Times New Roman" w:hAnsi="Times New Roman" w:cs="Times New Roman"/>
          <w:b/>
          <w:bCs/>
          <w:noProof/>
          <w:sz w:val="24"/>
          <w:szCs w:val="24"/>
        </w:rPr>
        <w:t>Conclusions</w:t>
      </w:r>
    </w:p>
    <w:p w14:paraId="6B0646CA" w14:textId="666EF5C4" w:rsidR="001A4CA4" w:rsidRDefault="001A656C" w:rsidP="0011710C">
      <w:pPr>
        <w:spacing w:after="120"/>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R</w:t>
      </w:r>
      <w:r w:rsidR="678B9FC2">
        <w:rPr>
          <w:rFonts w:ascii="Times New Roman" w:eastAsia="Times New Roman" w:hAnsi="Times New Roman" w:cs="Times New Roman"/>
          <w:noProof/>
          <w:sz w:val="24"/>
          <w:szCs w:val="24"/>
          <w:lang w:val="en-IE"/>
        </w:rPr>
        <w:t xml:space="preserve">egeneration </w:t>
      </w:r>
      <w:r>
        <w:rPr>
          <w:rFonts w:ascii="Times New Roman" w:eastAsia="Times New Roman" w:hAnsi="Times New Roman" w:cs="Times New Roman"/>
          <w:noProof/>
          <w:sz w:val="24"/>
          <w:szCs w:val="24"/>
          <w:lang w:val="en-IE"/>
        </w:rPr>
        <w:t>is</w:t>
      </w:r>
      <w:r w:rsidR="678B9FC2">
        <w:rPr>
          <w:rFonts w:ascii="Times New Roman" w:eastAsia="Times New Roman" w:hAnsi="Times New Roman" w:cs="Times New Roman"/>
          <w:noProof/>
          <w:sz w:val="24"/>
          <w:szCs w:val="24"/>
          <w:lang w:val="en-IE"/>
        </w:rPr>
        <w:t xml:space="preserve"> generally the treatment option providing the best overall performance from the environmental and socio</w:t>
      </w:r>
      <w:r w:rsidR="00726E5E">
        <w:rPr>
          <w:rFonts w:ascii="Times New Roman" w:eastAsia="Times New Roman" w:hAnsi="Times New Roman" w:cs="Times New Roman"/>
          <w:noProof/>
          <w:sz w:val="24"/>
          <w:szCs w:val="24"/>
          <w:lang w:val="en-IE"/>
        </w:rPr>
        <w:t>-</w:t>
      </w:r>
      <w:r w:rsidR="678B9FC2">
        <w:rPr>
          <w:rFonts w:ascii="Times New Roman" w:eastAsia="Times New Roman" w:hAnsi="Times New Roman" w:cs="Times New Roman"/>
          <w:noProof/>
          <w:sz w:val="24"/>
          <w:szCs w:val="24"/>
          <w:lang w:val="en-IE"/>
        </w:rPr>
        <w:t>economic point of view</w:t>
      </w:r>
      <w:r w:rsidR="7DBACABD">
        <w:rPr>
          <w:rFonts w:ascii="Times New Roman" w:eastAsia="Times New Roman" w:hAnsi="Times New Roman" w:cs="Times New Roman"/>
          <w:noProof/>
          <w:sz w:val="24"/>
          <w:szCs w:val="24"/>
          <w:lang w:val="en-IE"/>
        </w:rPr>
        <w:t>.</w:t>
      </w:r>
      <w:r w:rsidR="5240E9F8">
        <w:rPr>
          <w:rFonts w:ascii="Times New Roman" w:eastAsia="Times New Roman" w:hAnsi="Times New Roman" w:cs="Times New Roman"/>
          <w:noProof/>
          <w:sz w:val="24"/>
          <w:szCs w:val="24"/>
          <w:lang w:val="en-IE"/>
        </w:rPr>
        <w:t xml:space="preserve"> </w:t>
      </w:r>
      <w:r w:rsidRPr="001A656C">
        <w:rPr>
          <w:rFonts w:ascii="Times New Roman" w:eastAsia="Times New Roman" w:hAnsi="Times New Roman" w:cs="Times New Roman"/>
          <w:noProof/>
          <w:sz w:val="24"/>
          <w:szCs w:val="24"/>
          <w:lang w:val="en-IE"/>
        </w:rPr>
        <w:t>While Member States should make further efforts to implement the rules on waste oils laid down in the WFD, the rationale for proposing additional requirements at EU level is currently limited. For instance, experience in Member States shows that</w:t>
      </w:r>
      <w:r>
        <w:rPr>
          <w:rFonts w:ascii="Times New Roman" w:eastAsia="Times New Roman" w:hAnsi="Times New Roman" w:cs="Times New Roman"/>
          <w:noProof/>
          <w:sz w:val="24"/>
          <w:szCs w:val="24"/>
          <w:lang w:val="en-IE"/>
        </w:rPr>
        <w:t xml:space="preserve"> </w:t>
      </w:r>
      <w:r w:rsidR="678B9FC2">
        <w:rPr>
          <w:rFonts w:ascii="Times New Roman" w:eastAsia="Times New Roman" w:hAnsi="Times New Roman" w:cs="Times New Roman"/>
          <w:noProof/>
          <w:sz w:val="24"/>
          <w:szCs w:val="24"/>
          <w:lang w:val="en-IE"/>
        </w:rPr>
        <w:t xml:space="preserve">high waste oil collection rates </w:t>
      </w:r>
      <w:r>
        <w:rPr>
          <w:rFonts w:ascii="Times New Roman" w:eastAsia="Times New Roman" w:hAnsi="Times New Roman" w:cs="Times New Roman"/>
          <w:noProof/>
          <w:sz w:val="24"/>
          <w:szCs w:val="24"/>
          <w:lang w:val="en-IE"/>
        </w:rPr>
        <w:t xml:space="preserve">can be achieved without </w:t>
      </w:r>
      <w:r w:rsidR="678B9FC2">
        <w:rPr>
          <w:rFonts w:ascii="Times New Roman" w:eastAsia="Times New Roman" w:hAnsi="Times New Roman" w:cs="Times New Roman"/>
          <w:noProof/>
          <w:sz w:val="24"/>
          <w:szCs w:val="24"/>
          <w:lang w:val="en-IE"/>
        </w:rPr>
        <w:t xml:space="preserve">mandatory EPR </w:t>
      </w:r>
      <w:r>
        <w:rPr>
          <w:rFonts w:ascii="Times New Roman" w:eastAsia="Times New Roman" w:hAnsi="Times New Roman" w:cs="Times New Roman"/>
          <w:noProof/>
          <w:sz w:val="24"/>
          <w:szCs w:val="24"/>
          <w:lang w:val="en-IE"/>
        </w:rPr>
        <w:t>schemes</w:t>
      </w:r>
      <w:r w:rsidR="009E58A6">
        <w:rPr>
          <w:rFonts w:ascii="Times New Roman" w:eastAsia="Times New Roman" w:hAnsi="Times New Roman" w:cs="Times New Roman"/>
          <w:noProof/>
          <w:sz w:val="24"/>
          <w:szCs w:val="24"/>
          <w:lang w:val="en-IE"/>
        </w:rPr>
        <w:t>, therefore not allowing to make a general case for setting a mandatory EPR system for waste oils</w:t>
      </w:r>
      <w:r w:rsidR="678B9FC2">
        <w:rPr>
          <w:rFonts w:ascii="Times New Roman" w:eastAsia="Times New Roman" w:hAnsi="Times New Roman" w:cs="Times New Roman"/>
          <w:noProof/>
          <w:sz w:val="24"/>
          <w:szCs w:val="24"/>
          <w:lang w:val="en-IE"/>
        </w:rPr>
        <w:t xml:space="preserve">. </w:t>
      </w:r>
      <w:r>
        <w:rPr>
          <w:rFonts w:ascii="Times New Roman" w:eastAsia="Times New Roman" w:hAnsi="Times New Roman" w:cs="Times New Roman"/>
          <w:noProof/>
          <w:sz w:val="24"/>
          <w:szCs w:val="24"/>
          <w:lang w:val="en-IE"/>
        </w:rPr>
        <w:t>In addition, more</w:t>
      </w:r>
      <w:r w:rsidR="2DD643DE" w:rsidRPr="007F6C85">
        <w:rPr>
          <w:rFonts w:ascii="Times New Roman" w:eastAsia="Times New Roman" w:hAnsi="Times New Roman" w:cs="Times New Roman"/>
          <w:noProof/>
          <w:sz w:val="24"/>
          <w:szCs w:val="24"/>
          <w:lang w:val="en-IE"/>
        </w:rPr>
        <w:t xml:space="preserve"> robust data </w:t>
      </w:r>
      <w:r w:rsidR="5240E9F8">
        <w:rPr>
          <w:rFonts w:ascii="Times New Roman" w:eastAsia="Times New Roman" w:hAnsi="Times New Roman" w:cs="Times New Roman"/>
          <w:noProof/>
          <w:sz w:val="24"/>
          <w:szCs w:val="24"/>
          <w:lang w:val="en-IE"/>
        </w:rPr>
        <w:t xml:space="preserve">on the </w:t>
      </w:r>
      <w:r w:rsidR="2DD643DE" w:rsidRPr="007F6C85">
        <w:rPr>
          <w:rFonts w:ascii="Times New Roman" w:eastAsia="Times New Roman" w:hAnsi="Times New Roman" w:cs="Times New Roman"/>
          <w:noProof/>
          <w:sz w:val="24"/>
          <w:szCs w:val="24"/>
          <w:lang w:val="en-IE"/>
        </w:rPr>
        <w:t xml:space="preserve">performance of different Member States </w:t>
      </w:r>
      <w:r w:rsidR="1E14ECD9" w:rsidRPr="6082441D">
        <w:rPr>
          <w:rFonts w:ascii="Times New Roman" w:eastAsia="Times New Roman" w:hAnsi="Times New Roman" w:cs="Times New Roman"/>
          <w:noProof/>
          <w:sz w:val="24"/>
          <w:szCs w:val="24"/>
          <w:lang w:val="en-IE"/>
        </w:rPr>
        <w:t>with respect to</w:t>
      </w:r>
      <w:r w:rsidR="2DD643DE" w:rsidRPr="007F6C85">
        <w:rPr>
          <w:rFonts w:ascii="Times New Roman" w:eastAsia="Times New Roman" w:hAnsi="Times New Roman" w:cs="Times New Roman"/>
          <w:noProof/>
          <w:sz w:val="24"/>
          <w:szCs w:val="24"/>
          <w:lang w:val="en-IE"/>
        </w:rPr>
        <w:t xml:space="preserve"> waste oil generation, collection and treatment</w:t>
      </w:r>
      <w:r>
        <w:rPr>
          <w:rFonts w:ascii="Times New Roman" w:eastAsia="Times New Roman" w:hAnsi="Times New Roman" w:cs="Times New Roman"/>
          <w:noProof/>
          <w:sz w:val="24"/>
          <w:szCs w:val="24"/>
          <w:lang w:val="en-IE"/>
        </w:rPr>
        <w:t xml:space="preserve"> is necessary with a view to </w:t>
      </w:r>
      <w:r w:rsidR="678B9FC2">
        <w:rPr>
          <w:rFonts w:ascii="Times New Roman" w:eastAsia="Times New Roman" w:hAnsi="Times New Roman" w:cs="Times New Roman"/>
          <w:noProof/>
          <w:sz w:val="24"/>
          <w:szCs w:val="24"/>
          <w:lang w:val="en-IE"/>
        </w:rPr>
        <w:t>tak</w:t>
      </w:r>
      <w:r w:rsidR="001A4CA4" w:rsidRPr="6082441D">
        <w:rPr>
          <w:rFonts w:ascii="Times New Roman" w:eastAsia="Times New Roman" w:hAnsi="Times New Roman" w:cs="Times New Roman"/>
          <w:noProof/>
          <w:sz w:val="24"/>
          <w:szCs w:val="24"/>
          <w:lang w:val="en-IE"/>
        </w:rPr>
        <w:t>ing</w:t>
      </w:r>
      <w:r w:rsidR="18FBECEB" w:rsidRPr="6082441D">
        <w:rPr>
          <w:rFonts w:ascii="Times New Roman" w:eastAsia="Times New Roman" w:hAnsi="Times New Roman" w:cs="Times New Roman"/>
          <w:noProof/>
          <w:sz w:val="24"/>
          <w:szCs w:val="24"/>
          <w:lang w:val="en-IE"/>
        </w:rPr>
        <w:t xml:space="preserve"> </w:t>
      </w:r>
      <w:r w:rsidR="00B31B7B">
        <w:rPr>
          <w:rFonts w:ascii="Times New Roman" w:eastAsia="Times New Roman" w:hAnsi="Times New Roman" w:cs="Times New Roman"/>
          <w:noProof/>
          <w:sz w:val="24"/>
          <w:szCs w:val="24"/>
          <w:lang w:val="en-IE"/>
        </w:rPr>
        <w:t xml:space="preserve">legislative </w:t>
      </w:r>
      <w:r w:rsidR="678B9FC2">
        <w:rPr>
          <w:rFonts w:ascii="Times New Roman" w:eastAsia="Times New Roman" w:hAnsi="Times New Roman" w:cs="Times New Roman"/>
          <w:noProof/>
          <w:sz w:val="24"/>
          <w:szCs w:val="24"/>
          <w:lang w:val="en-IE"/>
        </w:rPr>
        <w:t xml:space="preserve">action. </w:t>
      </w:r>
    </w:p>
    <w:p w14:paraId="2E16A7FD" w14:textId="30DD64D4" w:rsidR="00197EEA" w:rsidRDefault="0011710C" w:rsidP="0008407F">
      <w:pPr>
        <w:spacing w:after="120"/>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 xml:space="preserve">The Commission encourages Member States to take note of the findings </w:t>
      </w:r>
      <w:r w:rsidR="0008407F">
        <w:rPr>
          <w:rFonts w:ascii="Times New Roman" w:eastAsia="Times New Roman" w:hAnsi="Times New Roman" w:cs="Times New Roman"/>
          <w:noProof/>
          <w:sz w:val="24"/>
          <w:szCs w:val="24"/>
          <w:lang w:val="en-IE"/>
        </w:rPr>
        <w:t xml:space="preserve">outlined </w:t>
      </w:r>
      <w:r>
        <w:rPr>
          <w:rFonts w:ascii="Times New Roman" w:eastAsia="Times New Roman" w:hAnsi="Times New Roman" w:cs="Times New Roman"/>
          <w:noProof/>
          <w:sz w:val="24"/>
          <w:szCs w:val="24"/>
          <w:lang w:val="en-IE"/>
        </w:rPr>
        <w:t xml:space="preserve">in this report and </w:t>
      </w:r>
      <w:r w:rsidR="0008407F">
        <w:rPr>
          <w:rFonts w:ascii="Times New Roman" w:eastAsia="Times New Roman" w:hAnsi="Times New Roman" w:cs="Times New Roman"/>
          <w:noProof/>
          <w:sz w:val="24"/>
          <w:szCs w:val="24"/>
          <w:lang w:val="en-IE"/>
        </w:rPr>
        <w:t xml:space="preserve">to </w:t>
      </w:r>
      <w:r>
        <w:rPr>
          <w:rFonts w:ascii="Times New Roman" w:eastAsia="Times New Roman" w:hAnsi="Times New Roman" w:cs="Times New Roman"/>
          <w:noProof/>
          <w:sz w:val="24"/>
          <w:szCs w:val="24"/>
          <w:lang w:val="en-IE"/>
        </w:rPr>
        <w:t xml:space="preserve">consider them </w:t>
      </w:r>
      <w:r w:rsidR="007C3810">
        <w:rPr>
          <w:rFonts w:ascii="Times New Roman" w:eastAsia="Times New Roman" w:hAnsi="Times New Roman" w:cs="Times New Roman"/>
          <w:noProof/>
          <w:sz w:val="24"/>
          <w:szCs w:val="24"/>
          <w:lang w:val="en-IE"/>
        </w:rPr>
        <w:t xml:space="preserve">in order to </w:t>
      </w:r>
      <w:r>
        <w:rPr>
          <w:rFonts w:ascii="Times New Roman" w:eastAsia="Times New Roman" w:hAnsi="Times New Roman" w:cs="Times New Roman"/>
          <w:noProof/>
          <w:sz w:val="24"/>
          <w:szCs w:val="24"/>
          <w:lang w:val="en-IE"/>
        </w:rPr>
        <w:t>improve</w:t>
      </w:r>
      <w:r w:rsidR="007C3810">
        <w:rPr>
          <w:rFonts w:ascii="Times New Roman" w:eastAsia="Times New Roman" w:hAnsi="Times New Roman" w:cs="Times New Roman"/>
          <w:noProof/>
          <w:sz w:val="24"/>
          <w:szCs w:val="24"/>
          <w:lang w:val="en-IE"/>
        </w:rPr>
        <w:t xml:space="preserve"> </w:t>
      </w:r>
      <w:r w:rsidR="007C3810" w:rsidRPr="007C3810">
        <w:rPr>
          <w:rFonts w:ascii="Times New Roman" w:eastAsia="Times New Roman" w:hAnsi="Times New Roman" w:cs="Times New Roman"/>
          <w:noProof/>
          <w:sz w:val="24"/>
          <w:szCs w:val="24"/>
          <w:lang w:val="en-IE"/>
        </w:rPr>
        <w:t xml:space="preserve">the implementation of the EU rules on waste oils at national level, </w:t>
      </w:r>
      <w:r>
        <w:rPr>
          <w:rFonts w:ascii="Times New Roman" w:eastAsia="Times New Roman" w:hAnsi="Times New Roman" w:cs="Times New Roman"/>
          <w:noProof/>
          <w:sz w:val="24"/>
          <w:szCs w:val="24"/>
          <w:lang w:val="en-IE"/>
        </w:rPr>
        <w:t>incentivise the collection of higher</w:t>
      </w:r>
      <w:r w:rsidR="00F258F1">
        <w:rPr>
          <w:rFonts w:ascii="Times New Roman" w:eastAsia="Times New Roman" w:hAnsi="Times New Roman" w:cs="Times New Roman"/>
          <w:noProof/>
          <w:sz w:val="24"/>
          <w:szCs w:val="24"/>
          <w:lang w:val="en-IE"/>
        </w:rPr>
        <w:t xml:space="preserve"> </w:t>
      </w:r>
      <w:r>
        <w:rPr>
          <w:rFonts w:ascii="Times New Roman" w:eastAsia="Times New Roman" w:hAnsi="Times New Roman" w:cs="Times New Roman"/>
          <w:noProof/>
          <w:sz w:val="24"/>
          <w:szCs w:val="24"/>
          <w:lang w:val="en-IE"/>
        </w:rPr>
        <w:t>quality waste oils and further promote the</w:t>
      </w:r>
      <w:r w:rsidR="00167E84">
        <w:rPr>
          <w:rFonts w:ascii="Times New Roman" w:eastAsia="Times New Roman" w:hAnsi="Times New Roman" w:cs="Times New Roman"/>
          <w:noProof/>
          <w:sz w:val="24"/>
          <w:szCs w:val="24"/>
          <w:lang w:val="en-IE"/>
        </w:rPr>
        <w:t xml:space="preserve">ir </w:t>
      </w:r>
      <w:r>
        <w:rPr>
          <w:rFonts w:ascii="Times New Roman" w:eastAsia="Times New Roman" w:hAnsi="Times New Roman" w:cs="Times New Roman"/>
          <w:noProof/>
          <w:sz w:val="24"/>
          <w:szCs w:val="24"/>
          <w:lang w:val="en-IE"/>
        </w:rPr>
        <w:t>treatment</w:t>
      </w:r>
      <w:r w:rsidR="00BB3736">
        <w:rPr>
          <w:rFonts w:ascii="Times New Roman" w:eastAsia="Times New Roman" w:hAnsi="Times New Roman" w:cs="Times New Roman"/>
          <w:noProof/>
          <w:sz w:val="24"/>
          <w:szCs w:val="24"/>
          <w:lang w:val="en-IE"/>
        </w:rPr>
        <w:t>,</w:t>
      </w:r>
      <w:r>
        <w:rPr>
          <w:rFonts w:ascii="Times New Roman" w:eastAsia="Times New Roman" w:hAnsi="Times New Roman" w:cs="Times New Roman"/>
          <w:noProof/>
          <w:sz w:val="24"/>
          <w:szCs w:val="24"/>
          <w:lang w:val="en-IE"/>
        </w:rPr>
        <w:t xml:space="preserve"> </w:t>
      </w:r>
      <w:r w:rsidR="00167E84">
        <w:rPr>
          <w:rFonts w:ascii="Times New Roman" w:eastAsia="Times New Roman" w:hAnsi="Times New Roman" w:cs="Times New Roman"/>
          <w:noProof/>
          <w:sz w:val="24"/>
          <w:szCs w:val="24"/>
          <w:lang w:val="en-IE"/>
        </w:rPr>
        <w:t>employing</w:t>
      </w:r>
      <w:r>
        <w:rPr>
          <w:rFonts w:ascii="Times New Roman" w:eastAsia="Times New Roman" w:hAnsi="Times New Roman" w:cs="Times New Roman"/>
          <w:noProof/>
          <w:sz w:val="24"/>
          <w:szCs w:val="24"/>
          <w:lang w:val="en-IE"/>
        </w:rPr>
        <w:t xml:space="preserve"> the best performing regeneration technologies.</w:t>
      </w:r>
      <w:r w:rsidR="00167E84">
        <w:rPr>
          <w:rFonts w:ascii="Times New Roman" w:eastAsia="Times New Roman" w:hAnsi="Times New Roman" w:cs="Times New Roman"/>
          <w:noProof/>
          <w:sz w:val="24"/>
          <w:szCs w:val="24"/>
          <w:lang w:val="en-IE"/>
        </w:rPr>
        <w:t xml:space="preserve"> </w:t>
      </w:r>
    </w:p>
    <w:p w14:paraId="57286D2E" w14:textId="403697E8" w:rsidR="001A4CA4" w:rsidRDefault="00167E84" w:rsidP="0008407F">
      <w:pPr>
        <w:spacing w:after="120"/>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 xml:space="preserve">The Commission will follow closely </w:t>
      </w:r>
      <w:r w:rsidR="007C3810">
        <w:rPr>
          <w:rFonts w:ascii="Times New Roman" w:eastAsia="Times New Roman" w:hAnsi="Times New Roman" w:cs="Times New Roman"/>
          <w:noProof/>
          <w:sz w:val="24"/>
          <w:szCs w:val="24"/>
          <w:lang w:val="en-IE"/>
        </w:rPr>
        <w:t xml:space="preserve">data on </w:t>
      </w:r>
      <w:r w:rsidR="00224DC5">
        <w:rPr>
          <w:rFonts w:ascii="Times New Roman" w:eastAsia="Times New Roman" w:hAnsi="Times New Roman" w:cs="Times New Roman"/>
          <w:noProof/>
          <w:sz w:val="24"/>
          <w:szCs w:val="24"/>
          <w:lang w:val="en-IE"/>
        </w:rPr>
        <w:t>waste oil</w:t>
      </w:r>
      <w:r w:rsidR="007C3810">
        <w:rPr>
          <w:rFonts w:ascii="Times New Roman" w:eastAsia="Times New Roman" w:hAnsi="Times New Roman" w:cs="Times New Roman"/>
          <w:noProof/>
          <w:sz w:val="24"/>
          <w:szCs w:val="24"/>
          <w:lang w:val="en-IE"/>
        </w:rPr>
        <w:t>s</w:t>
      </w:r>
      <w:r w:rsidR="00224DC5">
        <w:rPr>
          <w:rFonts w:ascii="Times New Roman" w:eastAsia="Times New Roman" w:hAnsi="Times New Roman" w:cs="Times New Roman"/>
          <w:noProof/>
          <w:sz w:val="24"/>
          <w:szCs w:val="24"/>
          <w:lang w:val="en-IE"/>
        </w:rPr>
        <w:t xml:space="preserve"> </w:t>
      </w:r>
      <w:r w:rsidR="00197EEA">
        <w:rPr>
          <w:rFonts w:ascii="Times New Roman" w:eastAsia="Times New Roman" w:hAnsi="Times New Roman" w:cs="Times New Roman"/>
          <w:noProof/>
          <w:sz w:val="24"/>
          <w:szCs w:val="24"/>
          <w:lang w:val="en-IE"/>
        </w:rPr>
        <w:t>submitted</w:t>
      </w:r>
      <w:r>
        <w:rPr>
          <w:rFonts w:ascii="Times New Roman" w:eastAsia="Times New Roman" w:hAnsi="Times New Roman" w:cs="Times New Roman"/>
          <w:noProof/>
          <w:sz w:val="24"/>
          <w:szCs w:val="24"/>
          <w:lang w:val="en-IE"/>
        </w:rPr>
        <w:t xml:space="preserve"> by Member States and will strive to support </w:t>
      </w:r>
      <w:r w:rsidR="007C3810">
        <w:rPr>
          <w:rFonts w:ascii="Times New Roman" w:eastAsia="Times New Roman" w:hAnsi="Times New Roman" w:cs="Times New Roman"/>
          <w:noProof/>
          <w:sz w:val="24"/>
          <w:szCs w:val="24"/>
          <w:lang w:val="en-IE"/>
        </w:rPr>
        <w:t>its</w:t>
      </w:r>
      <w:r>
        <w:rPr>
          <w:rFonts w:ascii="Times New Roman" w:eastAsia="Times New Roman" w:hAnsi="Times New Roman" w:cs="Times New Roman"/>
          <w:noProof/>
          <w:sz w:val="24"/>
          <w:szCs w:val="24"/>
          <w:lang w:val="en-IE"/>
        </w:rPr>
        <w:t xml:space="preserve"> improvement</w:t>
      </w:r>
      <w:r w:rsidR="007C3810">
        <w:rPr>
          <w:rFonts w:ascii="Times New Roman" w:eastAsia="Times New Roman" w:hAnsi="Times New Roman" w:cs="Times New Roman"/>
          <w:noProof/>
          <w:sz w:val="24"/>
          <w:szCs w:val="24"/>
          <w:lang w:val="en-IE"/>
        </w:rPr>
        <w:t>.</w:t>
      </w:r>
      <w:r>
        <w:rPr>
          <w:rFonts w:ascii="Times New Roman" w:eastAsia="Times New Roman" w:hAnsi="Times New Roman" w:cs="Times New Roman"/>
          <w:noProof/>
          <w:sz w:val="24"/>
          <w:szCs w:val="24"/>
          <w:lang w:val="en-IE"/>
        </w:rPr>
        <w:t xml:space="preserve"> </w:t>
      </w:r>
      <w:r w:rsidR="007C3810">
        <w:rPr>
          <w:rFonts w:ascii="Times New Roman" w:eastAsia="Times New Roman" w:hAnsi="Times New Roman" w:cs="Times New Roman"/>
          <w:noProof/>
          <w:sz w:val="24"/>
          <w:szCs w:val="24"/>
          <w:lang w:val="en-IE"/>
        </w:rPr>
        <w:t>Based on such data and other information on the implementation of the WFD</w:t>
      </w:r>
      <w:r>
        <w:rPr>
          <w:rFonts w:ascii="Times New Roman" w:eastAsia="Times New Roman" w:hAnsi="Times New Roman" w:cs="Times New Roman"/>
          <w:noProof/>
          <w:sz w:val="24"/>
          <w:szCs w:val="24"/>
          <w:lang w:val="en-IE"/>
        </w:rPr>
        <w:t xml:space="preserve"> </w:t>
      </w:r>
      <w:r w:rsidR="007C3810" w:rsidRPr="007C3810">
        <w:rPr>
          <w:rFonts w:ascii="Times New Roman" w:eastAsia="Times New Roman" w:hAnsi="Times New Roman" w:cs="Times New Roman"/>
          <w:noProof/>
          <w:sz w:val="24"/>
          <w:szCs w:val="24"/>
          <w:lang w:val="en-IE"/>
        </w:rPr>
        <w:t xml:space="preserve">as regards waste oils, the Commission may consider </w:t>
      </w:r>
      <w:r>
        <w:rPr>
          <w:rFonts w:ascii="Times New Roman" w:eastAsia="Times New Roman" w:hAnsi="Times New Roman" w:cs="Times New Roman"/>
          <w:noProof/>
          <w:sz w:val="24"/>
          <w:szCs w:val="24"/>
          <w:lang w:val="en-IE"/>
        </w:rPr>
        <w:t>further EU action</w:t>
      </w:r>
      <w:r w:rsidR="007C3810">
        <w:rPr>
          <w:rFonts w:ascii="Times New Roman" w:eastAsia="Times New Roman" w:hAnsi="Times New Roman" w:cs="Times New Roman"/>
          <w:noProof/>
          <w:sz w:val="24"/>
          <w:szCs w:val="24"/>
          <w:lang w:val="en-IE"/>
        </w:rPr>
        <w:t xml:space="preserve"> in the future</w:t>
      </w:r>
      <w:r>
        <w:rPr>
          <w:rFonts w:ascii="Times New Roman" w:eastAsia="Times New Roman" w:hAnsi="Times New Roman" w:cs="Times New Roman"/>
          <w:noProof/>
          <w:sz w:val="24"/>
          <w:szCs w:val="24"/>
          <w:lang w:val="en-IE"/>
        </w:rPr>
        <w:t>, for instance as regards setting mandatory EU-wide waste oil collection or regeneration targets</w:t>
      </w:r>
      <w:r w:rsidR="00E35CB5">
        <w:rPr>
          <w:rFonts w:ascii="Times New Roman" w:eastAsia="Times New Roman" w:hAnsi="Times New Roman" w:cs="Times New Roman"/>
          <w:noProof/>
          <w:sz w:val="24"/>
          <w:szCs w:val="24"/>
          <w:lang w:val="en-IE"/>
        </w:rPr>
        <w:t xml:space="preserve">, in particular if </w:t>
      </w:r>
      <w:r w:rsidR="007C3810">
        <w:rPr>
          <w:rFonts w:ascii="Times New Roman" w:eastAsia="Times New Roman" w:hAnsi="Times New Roman" w:cs="Times New Roman"/>
          <w:noProof/>
          <w:sz w:val="24"/>
          <w:szCs w:val="24"/>
          <w:lang w:val="en-IE"/>
        </w:rPr>
        <w:t xml:space="preserve">measures taken </w:t>
      </w:r>
      <w:r w:rsidR="00E35CB5" w:rsidRPr="00E35CB5">
        <w:rPr>
          <w:rFonts w:ascii="Times New Roman" w:eastAsia="Times New Roman" w:hAnsi="Times New Roman" w:cs="Times New Roman"/>
          <w:noProof/>
          <w:sz w:val="24"/>
          <w:szCs w:val="24"/>
          <w:lang w:val="en-IE"/>
        </w:rPr>
        <w:t xml:space="preserve">by Member States </w:t>
      </w:r>
      <w:r w:rsidR="007C3810">
        <w:rPr>
          <w:rFonts w:ascii="Times New Roman" w:eastAsia="Times New Roman" w:hAnsi="Times New Roman" w:cs="Times New Roman"/>
          <w:noProof/>
          <w:sz w:val="24"/>
          <w:szCs w:val="24"/>
          <w:lang w:val="en-IE"/>
        </w:rPr>
        <w:t xml:space="preserve">would </w:t>
      </w:r>
      <w:r w:rsidR="00E35CB5" w:rsidRPr="00E35CB5">
        <w:rPr>
          <w:rFonts w:ascii="Times New Roman" w:eastAsia="Times New Roman" w:hAnsi="Times New Roman" w:cs="Times New Roman"/>
          <w:noProof/>
          <w:sz w:val="24"/>
          <w:szCs w:val="24"/>
          <w:lang w:val="en-IE"/>
        </w:rPr>
        <w:t>create barriers for the Single Market</w:t>
      </w:r>
      <w:r w:rsidR="00E35CB5">
        <w:rPr>
          <w:rFonts w:ascii="Times New Roman" w:eastAsia="Times New Roman" w:hAnsi="Times New Roman" w:cs="Times New Roman"/>
          <w:noProof/>
          <w:sz w:val="24"/>
          <w:szCs w:val="24"/>
          <w:lang w:val="en-IE"/>
        </w:rPr>
        <w:t>.</w:t>
      </w:r>
      <w:r>
        <w:rPr>
          <w:rFonts w:ascii="Times New Roman" w:eastAsia="Times New Roman" w:hAnsi="Times New Roman" w:cs="Times New Roman"/>
          <w:noProof/>
          <w:sz w:val="24"/>
          <w:szCs w:val="24"/>
          <w:lang w:val="en-IE"/>
        </w:rPr>
        <w:t xml:space="preserve">    </w:t>
      </w:r>
    </w:p>
    <w:sectPr w:rsidR="001A4CA4" w:rsidSect="0028458C">
      <w:headerReference w:type="even" r:id="rId18"/>
      <w:headerReference w:type="default" r:id="rId19"/>
      <w:footerReference w:type="even" r:id="rId20"/>
      <w:footerReference w:type="default" r:id="rId21"/>
      <w:headerReference w:type="first" r:id="rId22"/>
      <w:footerReference w:type="first" r:id="rId23"/>
      <w:pgSz w:w="11906" w:h="16838"/>
      <w:pgMar w:top="1417" w:right="1701"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1BDB9" w14:textId="77777777" w:rsidR="00123DF4" w:rsidRDefault="00123DF4" w:rsidP="00F7193C">
      <w:pPr>
        <w:spacing w:after="0" w:line="240" w:lineRule="auto"/>
      </w:pPr>
      <w:r>
        <w:separator/>
      </w:r>
    </w:p>
  </w:endnote>
  <w:endnote w:type="continuationSeparator" w:id="0">
    <w:p w14:paraId="12864CE5" w14:textId="77777777" w:rsidR="00123DF4" w:rsidRDefault="00123DF4" w:rsidP="00F7193C">
      <w:pPr>
        <w:spacing w:after="0" w:line="240" w:lineRule="auto"/>
      </w:pPr>
      <w:r>
        <w:continuationSeparator/>
      </w:r>
    </w:p>
  </w:endnote>
  <w:endnote w:type="continuationNotice" w:id="1">
    <w:p w14:paraId="5E68AEE0" w14:textId="77777777" w:rsidR="00123DF4" w:rsidRDefault="00123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AF9C" w14:textId="0892D916" w:rsidR="00A123CD" w:rsidRPr="001030BD" w:rsidRDefault="00A123CD" w:rsidP="00103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ACFB" w14:textId="2C04463E" w:rsidR="00A123CD" w:rsidRPr="001030BD" w:rsidRDefault="001030BD" w:rsidP="001030BD">
    <w:pPr>
      <w:pStyle w:val="FooterCoverPage"/>
      <w:rPr>
        <w:rFonts w:ascii="Arial" w:hAnsi="Arial" w:cs="Arial"/>
        <w:b/>
        <w:sz w:val="48"/>
      </w:rPr>
    </w:pPr>
    <w:r w:rsidRPr="001030BD">
      <w:rPr>
        <w:rFonts w:ascii="Arial" w:hAnsi="Arial" w:cs="Arial"/>
        <w:b/>
        <w:sz w:val="48"/>
      </w:rPr>
      <w:t>EN</w:t>
    </w:r>
    <w:r w:rsidRPr="001030BD">
      <w:rPr>
        <w:rFonts w:ascii="Arial" w:hAnsi="Arial" w:cs="Arial"/>
        <w:b/>
        <w:sz w:val="48"/>
      </w:rPr>
      <w:tab/>
    </w:r>
    <w:r w:rsidRPr="001030BD">
      <w:rPr>
        <w:rFonts w:ascii="Arial" w:hAnsi="Arial" w:cs="Arial"/>
        <w:b/>
        <w:sz w:val="48"/>
      </w:rPr>
      <w:tab/>
    </w:r>
    <w:r w:rsidRPr="001030BD">
      <w:tab/>
    </w:r>
    <w:r w:rsidRPr="001030B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8C3C" w14:textId="77777777" w:rsidR="001030BD" w:rsidRPr="001030BD" w:rsidRDefault="001030BD" w:rsidP="001030B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E9E2C" w14:textId="77777777" w:rsidR="00F7193C" w:rsidRDefault="00F719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394898"/>
      <w:docPartObj>
        <w:docPartGallery w:val="Page Numbers (Bottom of Page)"/>
        <w:docPartUnique/>
      </w:docPartObj>
    </w:sdtPr>
    <w:sdtEndPr>
      <w:rPr>
        <w:rFonts w:ascii="Times New Roman" w:hAnsi="Times New Roman" w:cs="Times New Roman"/>
        <w:noProof/>
      </w:rPr>
    </w:sdtEndPr>
    <w:sdtContent>
      <w:p w14:paraId="4E8C6E62" w14:textId="5A4C162A" w:rsidR="00A903C8" w:rsidRPr="00A903C8" w:rsidRDefault="00A903C8">
        <w:pPr>
          <w:pStyle w:val="Footer"/>
          <w:jc w:val="center"/>
          <w:rPr>
            <w:rFonts w:ascii="Times New Roman" w:hAnsi="Times New Roman" w:cs="Times New Roman"/>
          </w:rPr>
        </w:pPr>
        <w:r w:rsidRPr="00A903C8">
          <w:rPr>
            <w:rFonts w:ascii="Times New Roman" w:hAnsi="Times New Roman" w:cs="Times New Roman"/>
          </w:rPr>
          <w:fldChar w:fldCharType="begin"/>
        </w:r>
        <w:r w:rsidRPr="00A903C8">
          <w:rPr>
            <w:rFonts w:ascii="Times New Roman" w:hAnsi="Times New Roman" w:cs="Times New Roman"/>
          </w:rPr>
          <w:instrText xml:space="preserve"> PAGE   \* MERGEFORMAT </w:instrText>
        </w:r>
        <w:r w:rsidRPr="00A903C8">
          <w:rPr>
            <w:rFonts w:ascii="Times New Roman" w:hAnsi="Times New Roman" w:cs="Times New Roman"/>
          </w:rPr>
          <w:fldChar w:fldCharType="separate"/>
        </w:r>
        <w:r w:rsidR="001030BD">
          <w:rPr>
            <w:rFonts w:ascii="Times New Roman" w:hAnsi="Times New Roman" w:cs="Times New Roman"/>
            <w:noProof/>
          </w:rPr>
          <w:t>1</w:t>
        </w:r>
        <w:r w:rsidRPr="00A903C8">
          <w:rPr>
            <w:rFonts w:ascii="Times New Roman" w:hAnsi="Times New Roman" w:cs="Times New Roman"/>
            <w:noProof/>
          </w:rPr>
          <w:fldChar w:fldCharType="end"/>
        </w:r>
      </w:p>
    </w:sdtContent>
  </w:sdt>
  <w:p w14:paraId="08F3D2E7" w14:textId="77777777" w:rsidR="00F7193C" w:rsidRDefault="00F719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5A1E" w14:textId="77777777" w:rsidR="00F7193C" w:rsidRDefault="00F71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93271" w14:textId="77777777" w:rsidR="00123DF4" w:rsidRDefault="00123DF4" w:rsidP="00F7193C">
      <w:pPr>
        <w:spacing w:after="0" w:line="240" w:lineRule="auto"/>
      </w:pPr>
      <w:r>
        <w:separator/>
      </w:r>
    </w:p>
  </w:footnote>
  <w:footnote w:type="continuationSeparator" w:id="0">
    <w:p w14:paraId="5A0CFF80" w14:textId="77777777" w:rsidR="00123DF4" w:rsidRDefault="00123DF4" w:rsidP="00F7193C">
      <w:pPr>
        <w:spacing w:after="0" w:line="240" w:lineRule="auto"/>
      </w:pPr>
      <w:r>
        <w:continuationSeparator/>
      </w:r>
    </w:p>
  </w:footnote>
  <w:footnote w:type="continuationNotice" w:id="1">
    <w:p w14:paraId="4478195F" w14:textId="77777777" w:rsidR="00123DF4" w:rsidRDefault="00123DF4">
      <w:pPr>
        <w:spacing w:after="0" w:line="240" w:lineRule="auto"/>
      </w:pPr>
    </w:p>
  </w:footnote>
  <w:footnote w:id="2">
    <w:p w14:paraId="58C0291D" w14:textId="77777777" w:rsidR="003169E2" w:rsidRPr="003B3049" w:rsidRDefault="003169E2" w:rsidP="003169E2">
      <w:pPr>
        <w:pStyle w:val="FootnoteText"/>
        <w:jc w:val="both"/>
        <w:rPr>
          <w:rFonts w:ascii="Times New Roman" w:hAnsi="Times New Roman" w:cs="Times New Roman"/>
          <w:sz w:val="18"/>
          <w:szCs w:val="18"/>
          <w:lang w:val="en-IE"/>
        </w:rPr>
      </w:pPr>
      <w:r>
        <w:rPr>
          <w:rStyle w:val="FootnoteReference"/>
        </w:rPr>
        <w:footnoteRef/>
      </w:r>
      <w:r>
        <w:t xml:space="preserve"> </w:t>
      </w:r>
      <w:r w:rsidRPr="003B3049">
        <w:rPr>
          <w:rFonts w:ascii="Times New Roman" w:hAnsi="Times New Roman" w:cs="Times New Roman"/>
          <w:sz w:val="18"/>
          <w:szCs w:val="18"/>
        </w:rPr>
        <w:t xml:space="preserve">Directive 2008/98/EC </w:t>
      </w:r>
      <w:r w:rsidR="001B2CE0" w:rsidRPr="001B2CE0">
        <w:rPr>
          <w:rFonts w:ascii="Times New Roman" w:hAnsi="Times New Roman" w:cs="Times New Roman"/>
          <w:sz w:val="18"/>
          <w:szCs w:val="18"/>
        </w:rPr>
        <w:t>of the European Parliament and of the Council of 19 November 2008 on waste and repealing certain Directives</w:t>
      </w:r>
      <w:r w:rsidR="001B2CE0">
        <w:rPr>
          <w:rFonts w:ascii="Times New Roman" w:hAnsi="Times New Roman" w:cs="Times New Roman"/>
          <w:sz w:val="18"/>
          <w:szCs w:val="18"/>
        </w:rPr>
        <w:t xml:space="preserve">, OJ L 312, </w:t>
      </w:r>
      <w:r w:rsidR="001B2CE0" w:rsidRPr="001B2CE0">
        <w:rPr>
          <w:rFonts w:ascii="Times New Roman" w:hAnsi="Times New Roman" w:cs="Times New Roman"/>
          <w:sz w:val="18"/>
          <w:szCs w:val="18"/>
        </w:rPr>
        <w:t>22.11.2008, p. 3–30</w:t>
      </w:r>
      <w:r w:rsidRPr="003B3049">
        <w:rPr>
          <w:rFonts w:ascii="Times New Roman" w:hAnsi="Times New Roman" w:cs="Times New Roman"/>
          <w:sz w:val="18"/>
          <w:szCs w:val="18"/>
        </w:rPr>
        <w:t xml:space="preserve">   </w:t>
      </w:r>
    </w:p>
  </w:footnote>
  <w:footnote w:id="3">
    <w:p w14:paraId="2EC792DC" w14:textId="77777777" w:rsidR="00FA337C" w:rsidRPr="003B3049" w:rsidRDefault="00FA337C" w:rsidP="00FA337C">
      <w:pPr>
        <w:pStyle w:val="FootnoteText"/>
        <w:jc w:val="both"/>
        <w:rPr>
          <w:rFonts w:ascii="Times New Roman" w:hAnsi="Times New Roman" w:cs="Times New Roman"/>
          <w:sz w:val="18"/>
          <w:szCs w:val="18"/>
          <w:lang w:val="en-IE"/>
        </w:rPr>
      </w:pPr>
      <w:r w:rsidRPr="003B3049">
        <w:rPr>
          <w:rStyle w:val="FootnoteReference"/>
          <w:rFonts w:ascii="Times New Roman" w:hAnsi="Times New Roman" w:cs="Times New Roman"/>
          <w:sz w:val="18"/>
          <w:szCs w:val="18"/>
        </w:rPr>
        <w:footnoteRef/>
      </w:r>
      <w:r w:rsidRPr="003B3049">
        <w:rPr>
          <w:rFonts w:ascii="Times New Roman" w:hAnsi="Times New Roman" w:cs="Times New Roman"/>
          <w:sz w:val="18"/>
          <w:szCs w:val="18"/>
        </w:rPr>
        <w:t xml:space="preserve"> </w:t>
      </w:r>
      <w:bookmarkStart w:id="2" w:name="_Hlk134719163"/>
      <w:r w:rsidRPr="003B3049">
        <w:rPr>
          <w:rFonts w:ascii="Times New Roman" w:hAnsi="Times New Roman" w:cs="Times New Roman"/>
          <w:sz w:val="18"/>
          <w:szCs w:val="18"/>
        </w:rPr>
        <w:t xml:space="preserve">Study to support the Commission in gathering structured information and defining of reporting obligations on waste oils and other hazardous waste” (2020). </w:t>
      </w:r>
      <w:hyperlink r:id="rId1" w:history="1">
        <w:r w:rsidRPr="003B3049">
          <w:rPr>
            <w:rStyle w:val="Hyperlink"/>
            <w:rFonts w:ascii="Times New Roman" w:hAnsi="Times New Roman" w:cs="Times New Roman"/>
            <w:sz w:val="18"/>
            <w:szCs w:val="18"/>
          </w:rPr>
          <w:t>https://op.europa.eu/en/publication-detail/-/publication/73a728bc-72f5-11ea-a07e-01aa75ed71a1/language-en/format-PDF/source-123020647</w:t>
        </w:r>
      </w:hyperlink>
      <w:r w:rsidRPr="003B3049">
        <w:rPr>
          <w:rFonts w:ascii="Times New Roman" w:hAnsi="Times New Roman" w:cs="Times New Roman"/>
          <w:sz w:val="18"/>
          <w:szCs w:val="18"/>
        </w:rPr>
        <w:t xml:space="preserve"> </w:t>
      </w:r>
      <w:bookmarkEnd w:id="2"/>
    </w:p>
  </w:footnote>
  <w:footnote w:id="4">
    <w:p w14:paraId="659D6B53" w14:textId="4356CF49" w:rsidR="00FA337C" w:rsidRPr="003B3049" w:rsidRDefault="00FA337C" w:rsidP="00FA337C">
      <w:pPr>
        <w:pStyle w:val="FootnoteText"/>
        <w:rPr>
          <w:rFonts w:ascii="Times New Roman" w:hAnsi="Times New Roman" w:cs="Times New Roman"/>
          <w:sz w:val="18"/>
          <w:szCs w:val="18"/>
          <w:lang w:val="en-IE"/>
        </w:rPr>
      </w:pPr>
      <w:r w:rsidRPr="003B3049">
        <w:rPr>
          <w:rStyle w:val="FootnoteReference"/>
          <w:rFonts w:ascii="Times New Roman" w:hAnsi="Times New Roman" w:cs="Times New Roman"/>
          <w:sz w:val="18"/>
          <w:szCs w:val="18"/>
        </w:rPr>
        <w:footnoteRef/>
      </w:r>
      <w:r w:rsidRPr="003B3049">
        <w:rPr>
          <w:rFonts w:ascii="Times New Roman" w:hAnsi="Times New Roman" w:cs="Times New Roman"/>
          <w:sz w:val="18"/>
          <w:szCs w:val="18"/>
        </w:rPr>
        <w:t xml:space="preserve"> Environmental and economic sustainability of waste lubricant oil management in the EU. </w:t>
      </w:r>
      <w:r>
        <w:rPr>
          <w:rFonts w:ascii="Times New Roman" w:hAnsi="Times New Roman" w:cs="Times New Roman"/>
          <w:sz w:val="18"/>
          <w:szCs w:val="18"/>
        </w:rPr>
        <w:t>European Commission</w:t>
      </w:r>
      <w:r w:rsidRPr="003B3049">
        <w:rPr>
          <w:rFonts w:ascii="Times New Roman" w:hAnsi="Times New Roman" w:cs="Times New Roman"/>
          <w:sz w:val="18"/>
          <w:szCs w:val="18"/>
        </w:rPr>
        <w:t xml:space="preserve"> (2023). </w:t>
      </w:r>
      <w:hyperlink r:id="rId2" w:history="1">
        <w:r w:rsidR="003061E0" w:rsidRPr="005F3F6D">
          <w:rPr>
            <w:rStyle w:val="Hyperlink"/>
            <w:rFonts w:ascii="Times New Roman" w:hAnsi="Times New Roman" w:cs="Times New Roman"/>
            <w:sz w:val="18"/>
            <w:szCs w:val="18"/>
          </w:rPr>
          <w:t>https://publications.jrc.ec.europa.eu/repository/handle/JRC133752</w:t>
        </w:r>
      </w:hyperlink>
      <w:r w:rsidR="003061E0">
        <w:rPr>
          <w:rFonts w:ascii="Times New Roman" w:hAnsi="Times New Roman" w:cs="Times New Roman"/>
          <w:sz w:val="18"/>
          <w:szCs w:val="18"/>
        </w:rPr>
        <w:t xml:space="preserve"> </w:t>
      </w:r>
      <w:r w:rsidRPr="003B3049">
        <w:rPr>
          <w:rFonts w:ascii="Times New Roman" w:hAnsi="Times New Roman" w:cs="Times New Roman"/>
          <w:sz w:val="18"/>
          <w:szCs w:val="18"/>
          <w:highlight w:val="yellow"/>
        </w:rPr>
        <w:t xml:space="preserve"> </w:t>
      </w:r>
      <w:r w:rsidRPr="003B3049">
        <w:rPr>
          <w:rFonts w:ascii="Times New Roman" w:hAnsi="Times New Roman" w:cs="Times New Roman"/>
          <w:sz w:val="18"/>
          <w:szCs w:val="18"/>
        </w:rPr>
        <w:t xml:space="preserve"> </w:t>
      </w:r>
    </w:p>
  </w:footnote>
  <w:footnote w:id="5">
    <w:p w14:paraId="656CF8CC" w14:textId="7F03AF93" w:rsidR="002B1A2D" w:rsidRPr="00924663" w:rsidRDefault="002B1A2D" w:rsidP="003061E0">
      <w:pPr>
        <w:pStyle w:val="FootnoteText"/>
        <w:rPr>
          <w:rFonts w:ascii="Times New Roman" w:hAnsi="Times New Roman" w:cs="Times New Roman"/>
          <w:sz w:val="18"/>
          <w:szCs w:val="18"/>
          <w:lang w:val="en-IE"/>
        </w:rPr>
      </w:pPr>
      <w:r>
        <w:rPr>
          <w:rStyle w:val="FootnoteReference"/>
        </w:rPr>
        <w:footnoteRef/>
      </w:r>
      <w:r>
        <w:t xml:space="preserve"> </w:t>
      </w:r>
      <w:r w:rsidRPr="002B1A2D">
        <w:rPr>
          <w:rFonts w:ascii="Times New Roman" w:hAnsi="Times New Roman" w:cs="Times New Roman"/>
          <w:sz w:val="18"/>
          <w:szCs w:val="18"/>
        </w:rPr>
        <w:t>Study to analyse lubricant and industrial oil EPR systems and waste oil collection schemes in EU Member States to support measures to increase collection rates. European Commission (2023).</w:t>
      </w:r>
      <w:r w:rsidR="003061E0">
        <w:rPr>
          <w:rFonts w:ascii="Times New Roman" w:hAnsi="Times New Roman" w:cs="Times New Roman"/>
          <w:sz w:val="18"/>
          <w:szCs w:val="18"/>
        </w:rPr>
        <w:t xml:space="preserve"> </w:t>
      </w:r>
      <w:hyperlink r:id="rId3" w:history="1">
        <w:r w:rsidR="003061E0" w:rsidRPr="005F3F6D">
          <w:rPr>
            <w:rStyle w:val="Hyperlink"/>
            <w:rFonts w:ascii="Times New Roman" w:hAnsi="Times New Roman" w:cs="Times New Roman"/>
            <w:sz w:val="18"/>
            <w:szCs w:val="18"/>
          </w:rPr>
          <w:t>https://data.europa.eu/doi/10.2779/948514</w:t>
        </w:r>
      </w:hyperlink>
      <w:r w:rsidR="003061E0">
        <w:rPr>
          <w:rFonts w:ascii="Times New Roman" w:hAnsi="Times New Roman" w:cs="Times New Roman"/>
          <w:sz w:val="18"/>
          <w:szCs w:val="18"/>
        </w:rPr>
        <w:t xml:space="preserve"> </w:t>
      </w:r>
    </w:p>
  </w:footnote>
  <w:footnote w:id="6">
    <w:p w14:paraId="536D4F77" w14:textId="01D4D406" w:rsidR="00E95BCC" w:rsidRPr="00E95BCC" w:rsidRDefault="00E95BCC">
      <w:pPr>
        <w:pStyle w:val="FootnoteText"/>
      </w:pPr>
      <w:r>
        <w:rPr>
          <w:rStyle w:val="FootnoteReference"/>
        </w:rPr>
        <w:footnoteRef/>
      </w:r>
      <w:r>
        <w:t xml:space="preserve"> </w:t>
      </w:r>
      <w:r w:rsidRPr="00E95BCC">
        <w:rPr>
          <w:rFonts w:ascii="Times New Roman" w:hAnsi="Times New Roman" w:cs="Times New Roman"/>
          <w:sz w:val="18"/>
          <w:szCs w:val="18"/>
        </w:rPr>
        <w:t xml:space="preserve">Article 3(3) of </w:t>
      </w:r>
      <w:r w:rsidRPr="003B3049">
        <w:rPr>
          <w:rFonts w:ascii="Times New Roman" w:hAnsi="Times New Roman" w:cs="Times New Roman"/>
          <w:sz w:val="18"/>
          <w:szCs w:val="18"/>
        </w:rPr>
        <w:t xml:space="preserve">Directive 2008/98/EC   </w:t>
      </w:r>
    </w:p>
  </w:footnote>
  <w:footnote w:id="7">
    <w:p w14:paraId="5CF4813B" w14:textId="209565B5" w:rsidR="0090176D" w:rsidRPr="00AF522D" w:rsidRDefault="0090176D" w:rsidP="00D839B4">
      <w:pPr>
        <w:pStyle w:val="FootnoteText"/>
        <w:jc w:val="both"/>
        <w:rPr>
          <w:rFonts w:ascii="Times New Roman" w:hAnsi="Times New Roman" w:cs="Times New Roman"/>
          <w:sz w:val="18"/>
          <w:szCs w:val="18"/>
          <w:lang w:val="en-IE"/>
        </w:rPr>
      </w:pPr>
      <w:r>
        <w:rPr>
          <w:rStyle w:val="FootnoteReference"/>
        </w:rPr>
        <w:footnoteRef/>
      </w:r>
      <w:r>
        <w:t xml:space="preserve"> </w:t>
      </w:r>
      <w:r w:rsidRPr="00AF522D">
        <w:rPr>
          <w:rFonts w:ascii="Times New Roman" w:hAnsi="Times New Roman" w:cs="Times New Roman"/>
          <w:sz w:val="18"/>
          <w:szCs w:val="18"/>
          <w:lang w:val="en-IE"/>
        </w:rPr>
        <w:t xml:space="preserve">Generation and collection figures </w:t>
      </w:r>
      <w:r w:rsidR="00AF522D">
        <w:rPr>
          <w:rFonts w:ascii="Times New Roman" w:hAnsi="Times New Roman" w:cs="Times New Roman"/>
          <w:sz w:val="18"/>
          <w:szCs w:val="18"/>
          <w:lang w:val="en-IE"/>
        </w:rPr>
        <w:t>for EU28</w:t>
      </w:r>
      <w:r w:rsidR="007E203A">
        <w:rPr>
          <w:rFonts w:ascii="Times New Roman" w:hAnsi="Times New Roman" w:cs="Times New Roman"/>
          <w:sz w:val="18"/>
          <w:szCs w:val="18"/>
          <w:lang w:val="en-IE"/>
        </w:rPr>
        <w:t xml:space="preserve"> (see </w:t>
      </w:r>
      <w:r w:rsidR="00B6136E">
        <w:rPr>
          <w:rFonts w:ascii="Times New Roman" w:hAnsi="Times New Roman" w:cs="Times New Roman"/>
          <w:sz w:val="18"/>
          <w:szCs w:val="18"/>
          <w:lang w:val="en-IE"/>
        </w:rPr>
        <w:t xml:space="preserve">footnote </w:t>
      </w:r>
      <w:r w:rsidR="00FA5E75">
        <w:rPr>
          <w:rFonts w:ascii="Times New Roman" w:hAnsi="Times New Roman" w:cs="Times New Roman"/>
          <w:sz w:val="18"/>
          <w:szCs w:val="18"/>
          <w:lang w:val="en-IE"/>
        </w:rPr>
        <w:t>2</w:t>
      </w:r>
      <w:r w:rsidR="007E203A">
        <w:rPr>
          <w:rFonts w:ascii="Times New Roman" w:hAnsi="Times New Roman" w:cs="Times New Roman"/>
          <w:sz w:val="18"/>
          <w:szCs w:val="18"/>
          <w:lang w:val="en-IE"/>
        </w:rPr>
        <w:t>)</w:t>
      </w:r>
      <w:r w:rsidRPr="00AF522D">
        <w:rPr>
          <w:rFonts w:ascii="Times New Roman" w:hAnsi="Times New Roman" w:cs="Times New Roman"/>
          <w:sz w:val="18"/>
          <w:szCs w:val="18"/>
          <w:lang w:val="en-IE"/>
        </w:rPr>
        <w:t>.</w:t>
      </w:r>
      <w:r w:rsidR="00D839B4">
        <w:rPr>
          <w:rFonts w:ascii="Times New Roman" w:hAnsi="Times New Roman" w:cs="Times New Roman"/>
          <w:sz w:val="18"/>
          <w:szCs w:val="18"/>
          <w:lang w:val="en-IE"/>
        </w:rPr>
        <w:t xml:space="preserve"> </w:t>
      </w:r>
      <w:r w:rsidR="0086449E">
        <w:rPr>
          <w:rFonts w:ascii="Times New Roman" w:hAnsi="Times New Roman" w:cs="Times New Roman"/>
          <w:sz w:val="18"/>
          <w:szCs w:val="18"/>
          <w:lang w:val="en-IE"/>
        </w:rPr>
        <w:t>Eurostat reports h</w:t>
      </w:r>
      <w:r w:rsidR="00D839B4">
        <w:rPr>
          <w:rFonts w:ascii="Times New Roman" w:hAnsi="Times New Roman" w:cs="Times New Roman"/>
          <w:sz w:val="18"/>
          <w:szCs w:val="18"/>
          <w:lang w:val="en-IE"/>
        </w:rPr>
        <w:t>igher figures of 4.0 - 4.5 Mt</w:t>
      </w:r>
      <w:r w:rsidR="0086449E">
        <w:rPr>
          <w:rFonts w:ascii="Times New Roman" w:hAnsi="Times New Roman" w:cs="Times New Roman"/>
          <w:sz w:val="18"/>
          <w:szCs w:val="18"/>
          <w:lang w:val="en-IE"/>
        </w:rPr>
        <w:t xml:space="preserve"> in a </w:t>
      </w:r>
      <w:r w:rsidR="00D839B4" w:rsidRPr="00D839B4">
        <w:rPr>
          <w:rFonts w:ascii="Times New Roman" w:hAnsi="Times New Roman" w:cs="Times New Roman"/>
          <w:sz w:val="18"/>
          <w:szCs w:val="18"/>
          <w:lang w:val="en-IE"/>
        </w:rPr>
        <w:t>highly</w:t>
      </w:r>
      <w:r w:rsidR="00D839B4">
        <w:rPr>
          <w:rFonts w:ascii="Times New Roman" w:hAnsi="Times New Roman" w:cs="Times New Roman"/>
          <w:sz w:val="18"/>
          <w:szCs w:val="18"/>
          <w:lang w:val="en-IE"/>
        </w:rPr>
        <w:t xml:space="preserve"> ag</w:t>
      </w:r>
      <w:r w:rsidR="00D839B4" w:rsidRPr="00D839B4">
        <w:rPr>
          <w:rFonts w:ascii="Times New Roman" w:hAnsi="Times New Roman" w:cs="Times New Roman"/>
          <w:sz w:val="18"/>
          <w:szCs w:val="18"/>
          <w:lang w:val="en-IE"/>
        </w:rPr>
        <w:t xml:space="preserve">gregated </w:t>
      </w:r>
      <w:r w:rsidR="00D839B4">
        <w:rPr>
          <w:rFonts w:ascii="Times New Roman" w:hAnsi="Times New Roman" w:cs="Times New Roman"/>
          <w:sz w:val="18"/>
          <w:szCs w:val="18"/>
          <w:lang w:val="en-IE"/>
        </w:rPr>
        <w:t>statistic</w:t>
      </w:r>
      <w:r w:rsidR="0086449E">
        <w:rPr>
          <w:rFonts w:ascii="Times New Roman" w:hAnsi="Times New Roman" w:cs="Times New Roman"/>
          <w:sz w:val="18"/>
          <w:szCs w:val="18"/>
          <w:lang w:val="en-IE"/>
        </w:rPr>
        <w:t xml:space="preserve"> which </w:t>
      </w:r>
      <w:r w:rsidR="004F6A06">
        <w:rPr>
          <w:rFonts w:ascii="Times New Roman" w:hAnsi="Times New Roman" w:cs="Times New Roman"/>
          <w:sz w:val="18"/>
          <w:szCs w:val="18"/>
          <w:lang w:val="en-IE"/>
        </w:rPr>
        <w:t>is not very meaningful or comparable.</w:t>
      </w:r>
    </w:p>
  </w:footnote>
  <w:footnote w:id="8">
    <w:p w14:paraId="4A787425" w14:textId="68CEF3A4" w:rsidR="001B2CE0" w:rsidRPr="009528D4" w:rsidRDefault="001B2CE0">
      <w:pPr>
        <w:pStyle w:val="FootnoteText"/>
        <w:rPr>
          <w:lang w:val="en-IE"/>
        </w:rPr>
      </w:pPr>
      <w:r>
        <w:rPr>
          <w:rStyle w:val="FootnoteReference"/>
        </w:rPr>
        <w:footnoteRef/>
      </w:r>
      <w:r>
        <w:t xml:space="preserve"> </w:t>
      </w:r>
      <w:r w:rsidRPr="009528D4">
        <w:rPr>
          <w:rFonts w:ascii="Times New Roman" w:hAnsi="Times New Roman" w:cs="Times New Roman"/>
          <w:sz w:val="18"/>
          <w:szCs w:val="18"/>
        </w:rPr>
        <w:t>Council Directive 75/439/EEC of 16 June 1975 on the disposal of waste oils</w:t>
      </w:r>
      <w:r>
        <w:rPr>
          <w:rFonts w:ascii="Times New Roman" w:hAnsi="Times New Roman" w:cs="Times New Roman"/>
          <w:sz w:val="18"/>
          <w:szCs w:val="18"/>
        </w:rPr>
        <w:t>, OJ L 194, p. 23-25, p. 31-33</w:t>
      </w:r>
    </w:p>
  </w:footnote>
  <w:footnote w:id="9">
    <w:p w14:paraId="4DD47C11" w14:textId="6FB93FE1" w:rsidR="009528D4" w:rsidRPr="009528D4" w:rsidRDefault="009528D4">
      <w:pPr>
        <w:pStyle w:val="FootnoteText"/>
        <w:rPr>
          <w:lang w:val="en-IE"/>
        </w:rPr>
      </w:pPr>
      <w:r>
        <w:rPr>
          <w:rStyle w:val="FootnoteReference"/>
        </w:rPr>
        <w:footnoteRef/>
      </w:r>
      <w:r>
        <w:t xml:space="preserve"> </w:t>
      </w:r>
      <w:r w:rsidRPr="009528D4">
        <w:rPr>
          <w:rFonts w:ascii="Times New Roman" w:hAnsi="Times New Roman" w:cs="Times New Roman"/>
          <w:sz w:val="18"/>
          <w:szCs w:val="18"/>
        </w:rPr>
        <w:t>Council Directive 87/101/EEC of 22 December 1986 amending Directive 75/439/EEC on the disposal of waste oils, OJ L 42, 12.2.1987, p. 43–47</w:t>
      </w:r>
    </w:p>
  </w:footnote>
  <w:footnote w:id="10">
    <w:p w14:paraId="7B72436D" w14:textId="2BD75FE3" w:rsidR="008A4DD0" w:rsidRPr="0034794C" w:rsidRDefault="008A4DD0" w:rsidP="00456BAE">
      <w:pPr>
        <w:pStyle w:val="FootnoteText"/>
        <w:jc w:val="both"/>
        <w:rPr>
          <w:lang w:val="en-IE"/>
        </w:rPr>
      </w:pPr>
      <w:r>
        <w:rPr>
          <w:rStyle w:val="FootnoteReference"/>
        </w:rPr>
        <w:footnoteRef/>
      </w:r>
      <w:r>
        <w:t xml:space="preserve"> </w:t>
      </w:r>
      <w:r w:rsidR="00170E61" w:rsidRPr="00170E61">
        <w:rPr>
          <w:rFonts w:ascii="Times New Roman" w:hAnsi="Times New Roman" w:cs="Times New Roman"/>
          <w:sz w:val="18"/>
          <w:szCs w:val="18"/>
        </w:rPr>
        <w:t>Communication from the Commission to the European Parliament, the European Council, the Council, the European Economic and Social Committee and the Committee of the Regions The European Green Deal,</w:t>
      </w:r>
      <w:r w:rsidR="00170E61">
        <w:t xml:space="preserve"> </w:t>
      </w:r>
      <w:r w:rsidR="001F420D" w:rsidRPr="001F420D">
        <w:rPr>
          <w:rFonts w:ascii="Times New Roman" w:hAnsi="Times New Roman" w:cs="Times New Roman"/>
          <w:sz w:val="18"/>
          <w:szCs w:val="18"/>
        </w:rPr>
        <w:t>COM(2019) 640 final</w:t>
      </w:r>
      <w:r w:rsidR="001F420D">
        <w:t xml:space="preserve"> </w:t>
      </w:r>
    </w:p>
  </w:footnote>
  <w:footnote w:id="11">
    <w:p w14:paraId="67DBAD22" w14:textId="3A396E15" w:rsidR="0034794C" w:rsidRPr="0034794C" w:rsidRDefault="0034794C" w:rsidP="00456BAE">
      <w:pPr>
        <w:pStyle w:val="FootnoteText"/>
        <w:jc w:val="both"/>
        <w:rPr>
          <w:lang w:val="en-IE"/>
        </w:rPr>
      </w:pPr>
      <w:r>
        <w:rPr>
          <w:rStyle w:val="FootnoteReference"/>
        </w:rPr>
        <w:footnoteRef/>
      </w:r>
      <w:r>
        <w:t xml:space="preserve"> </w:t>
      </w:r>
      <w:r w:rsidR="00170E61" w:rsidRPr="00170E61">
        <w:rPr>
          <w:rFonts w:ascii="Times New Roman" w:hAnsi="Times New Roman" w:cs="Times New Roman"/>
          <w:sz w:val="18"/>
          <w:szCs w:val="18"/>
        </w:rPr>
        <w:t>Communication from the Commission to the European Parliament, the Council, the European Economic and Social Committee and the Committee of the Regions</w:t>
      </w:r>
      <w:r w:rsidR="00170E61" w:rsidRPr="0034794C">
        <w:rPr>
          <w:rFonts w:ascii="Times New Roman" w:hAnsi="Times New Roman" w:cs="Times New Roman"/>
          <w:sz w:val="18"/>
          <w:szCs w:val="18"/>
        </w:rPr>
        <w:t xml:space="preserve"> </w:t>
      </w:r>
      <w:r w:rsidR="00170E61">
        <w:rPr>
          <w:rFonts w:ascii="Times New Roman" w:hAnsi="Times New Roman" w:cs="Times New Roman"/>
          <w:sz w:val="18"/>
          <w:szCs w:val="18"/>
        </w:rPr>
        <w:t xml:space="preserve">A new Circular Economy Action Plan For a cleaner and more competitive Europe, </w:t>
      </w:r>
      <w:r w:rsidRPr="0034794C">
        <w:rPr>
          <w:rFonts w:ascii="Times New Roman" w:hAnsi="Times New Roman" w:cs="Times New Roman"/>
          <w:sz w:val="18"/>
          <w:szCs w:val="18"/>
        </w:rPr>
        <w:t>COM(2020) 98 final</w:t>
      </w:r>
    </w:p>
  </w:footnote>
  <w:footnote w:id="12">
    <w:p w14:paraId="68366F2F" w14:textId="7F9A13C7" w:rsidR="0034794C" w:rsidRPr="005C6423" w:rsidRDefault="0034794C" w:rsidP="00456BAE">
      <w:pPr>
        <w:pStyle w:val="FootnoteText"/>
        <w:jc w:val="both"/>
        <w:rPr>
          <w:lang w:val="en-IE"/>
        </w:rPr>
      </w:pPr>
      <w:r>
        <w:rPr>
          <w:rStyle w:val="FootnoteReference"/>
        </w:rPr>
        <w:footnoteRef/>
      </w:r>
      <w:r>
        <w:t xml:space="preserve"> </w:t>
      </w:r>
      <w:r w:rsidR="00170E61" w:rsidRPr="00170E61">
        <w:rPr>
          <w:rFonts w:ascii="Times New Roman" w:hAnsi="Times New Roman" w:cs="Times New Roman"/>
          <w:sz w:val="18"/>
          <w:szCs w:val="18"/>
        </w:rPr>
        <w:t>Communication from the Commission to the European Parliament, the Council, the European Economic and Social Committee and the Committee of the Regions</w:t>
      </w:r>
      <w:r w:rsidR="00170E61" w:rsidRPr="0034794C">
        <w:rPr>
          <w:rFonts w:ascii="Times New Roman" w:hAnsi="Times New Roman" w:cs="Times New Roman"/>
          <w:sz w:val="18"/>
          <w:szCs w:val="18"/>
        </w:rPr>
        <w:t xml:space="preserve"> </w:t>
      </w:r>
      <w:r w:rsidR="00170E61">
        <w:rPr>
          <w:rFonts w:ascii="Times New Roman" w:hAnsi="Times New Roman" w:cs="Times New Roman"/>
          <w:sz w:val="18"/>
          <w:szCs w:val="18"/>
        </w:rPr>
        <w:t xml:space="preserve">Pathway to a Healthy Planet for All EU Action Plan: ‘Towards Zero Pollution for Air, Water and Soil’, </w:t>
      </w:r>
      <w:r w:rsidRPr="0034794C">
        <w:rPr>
          <w:rFonts w:ascii="Times New Roman" w:hAnsi="Times New Roman" w:cs="Times New Roman"/>
          <w:sz w:val="18"/>
          <w:szCs w:val="18"/>
        </w:rPr>
        <w:t>COM(2021) 400 final</w:t>
      </w:r>
    </w:p>
  </w:footnote>
  <w:footnote w:id="13">
    <w:p w14:paraId="12D2B360" w14:textId="76EC8287" w:rsidR="00C23810" w:rsidRPr="00C23810" w:rsidRDefault="00C23810" w:rsidP="00456BAE">
      <w:pPr>
        <w:pStyle w:val="FootnoteText"/>
        <w:jc w:val="both"/>
      </w:pPr>
      <w:r>
        <w:rPr>
          <w:rStyle w:val="FootnoteReference"/>
        </w:rPr>
        <w:footnoteRef/>
      </w:r>
      <w:r>
        <w:t xml:space="preserve"> </w:t>
      </w:r>
      <w:r w:rsidRPr="00456BAE">
        <w:rPr>
          <w:rFonts w:ascii="Times New Roman" w:hAnsi="Times New Roman" w:cs="Times New Roman"/>
          <w:sz w:val="18"/>
          <w:szCs w:val="18"/>
        </w:rPr>
        <w:t>All figures in this paragraph are reported in the study referred to in footnote 2.</w:t>
      </w:r>
    </w:p>
  </w:footnote>
  <w:footnote w:id="14">
    <w:p w14:paraId="5B1B7499" w14:textId="77777777" w:rsidR="00F86F51" w:rsidRPr="00456BAE" w:rsidRDefault="00F86F51" w:rsidP="00F86F51">
      <w:pPr>
        <w:pStyle w:val="FootnoteText"/>
        <w:jc w:val="both"/>
        <w:rPr>
          <w:rFonts w:ascii="Times New Roman" w:hAnsi="Times New Roman" w:cs="Times New Roman"/>
          <w:lang w:val="en-IE"/>
        </w:rPr>
      </w:pPr>
      <w:r w:rsidRPr="00456BAE">
        <w:rPr>
          <w:rStyle w:val="FootnoteReference"/>
          <w:rFonts w:ascii="Times New Roman" w:hAnsi="Times New Roman" w:cs="Times New Roman"/>
        </w:rPr>
        <w:footnoteRef/>
      </w:r>
      <w:r w:rsidRPr="00456BAE">
        <w:rPr>
          <w:rFonts w:ascii="Times New Roman" w:hAnsi="Times New Roman" w:cs="Times New Roman"/>
          <w:lang w:val="en-IE"/>
        </w:rPr>
        <w:t xml:space="preserve"> http://data.europa.eu/eli/dir/2000/59/2019-06-27 </w:t>
      </w:r>
    </w:p>
  </w:footnote>
  <w:footnote w:id="15">
    <w:p w14:paraId="4754FA7B" w14:textId="77777777" w:rsidR="00F86F51" w:rsidRPr="008F58D3" w:rsidRDefault="00F86F51" w:rsidP="00F86F51">
      <w:pPr>
        <w:pStyle w:val="FootnoteText"/>
        <w:jc w:val="both"/>
      </w:pPr>
      <w:r w:rsidRPr="00456BAE">
        <w:rPr>
          <w:rStyle w:val="FootnoteReference"/>
          <w:rFonts w:ascii="Times New Roman" w:hAnsi="Times New Roman" w:cs="Times New Roman"/>
        </w:rPr>
        <w:footnoteRef/>
      </w:r>
      <w:r w:rsidRPr="00456BAE">
        <w:rPr>
          <w:rFonts w:ascii="Times New Roman" w:hAnsi="Times New Roman" w:cs="Times New Roman"/>
        </w:rPr>
        <w:t xml:space="preserve"> https://www.emsa.europa.eu/csn-menu.html</w:t>
      </w:r>
    </w:p>
  </w:footnote>
  <w:footnote w:id="16">
    <w:p w14:paraId="3198BD2C" w14:textId="70EB798A" w:rsidR="00B1553F" w:rsidRPr="00B1553F" w:rsidRDefault="00B1553F" w:rsidP="00456BAE">
      <w:pPr>
        <w:pStyle w:val="FootnoteText"/>
        <w:jc w:val="both"/>
      </w:pPr>
      <w:r>
        <w:rPr>
          <w:rStyle w:val="FootnoteReference"/>
        </w:rPr>
        <w:footnoteRef/>
      </w:r>
      <w:r>
        <w:t xml:space="preserve"> </w:t>
      </w:r>
      <w:r w:rsidRPr="00B1553F">
        <w:rPr>
          <w:rFonts w:ascii="Times New Roman" w:hAnsi="Times New Roman" w:cs="Times New Roman"/>
          <w:sz w:val="18"/>
          <w:szCs w:val="18"/>
        </w:rPr>
        <w:t>B</w:t>
      </w:r>
      <w:r w:rsidR="00326A4E">
        <w:rPr>
          <w:rFonts w:ascii="Times New Roman" w:hAnsi="Times New Roman" w:cs="Times New Roman"/>
          <w:sz w:val="18"/>
          <w:szCs w:val="18"/>
        </w:rPr>
        <w:t>E, B</w:t>
      </w:r>
      <w:r w:rsidR="005A7428">
        <w:rPr>
          <w:rFonts w:ascii="Times New Roman" w:hAnsi="Times New Roman" w:cs="Times New Roman"/>
          <w:sz w:val="18"/>
          <w:szCs w:val="18"/>
        </w:rPr>
        <w:t>G</w:t>
      </w:r>
      <w:r w:rsidR="00326A4E">
        <w:rPr>
          <w:rFonts w:ascii="Times New Roman" w:hAnsi="Times New Roman" w:cs="Times New Roman"/>
          <w:sz w:val="18"/>
          <w:szCs w:val="18"/>
        </w:rPr>
        <w:t xml:space="preserve">, HR, DK, </w:t>
      </w:r>
      <w:r w:rsidR="00F91D6D">
        <w:rPr>
          <w:rFonts w:ascii="Times New Roman" w:hAnsi="Times New Roman" w:cs="Times New Roman"/>
          <w:sz w:val="18"/>
          <w:szCs w:val="18"/>
        </w:rPr>
        <w:t xml:space="preserve">EL, ES, </w:t>
      </w:r>
      <w:r w:rsidR="00326A4E">
        <w:rPr>
          <w:rFonts w:ascii="Times New Roman" w:hAnsi="Times New Roman" w:cs="Times New Roman"/>
          <w:sz w:val="18"/>
          <w:szCs w:val="18"/>
        </w:rPr>
        <w:t>FR, IT, LT</w:t>
      </w:r>
      <w:r w:rsidR="00F91D6D">
        <w:rPr>
          <w:rFonts w:ascii="Times New Roman" w:hAnsi="Times New Roman" w:cs="Times New Roman"/>
          <w:sz w:val="18"/>
          <w:szCs w:val="18"/>
        </w:rPr>
        <w:t xml:space="preserve">, </w:t>
      </w:r>
      <w:r w:rsidR="00326A4E">
        <w:rPr>
          <w:rFonts w:ascii="Times New Roman" w:hAnsi="Times New Roman" w:cs="Times New Roman"/>
          <w:sz w:val="18"/>
          <w:szCs w:val="18"/>
        </w:rPr>
        <w:t>PL</w:t>
      </w:r>
      <w:r w:rsidR="00F91D6D">
        <w:rPr>
          <w:rFonts w:ascii="Times New Roman" w:hAnsi="Times New Roman" w:cs="Times New Roman"/>
          <w:sz w:val="18"/>
          <w:szCs w:val="18"/>
        </w:rPr>
        <w:t>, PT</w:t>
      </w:r>
      <w:r w:rsidRPr="00B1553F">
        <w:t>.</w:t>
      </w:r>
    </w:p>
  </w:footnote>
  <w:footnote w:id="17">
    <w:p w14:paraId="192234E2" w14:textId="28082507" w:rsidR="002F7BE7" w:rsidRPr="00712B42" w:rsidRDefault="002F7BE7" w:rsidP="002F7BE7">
      <w:pPr>
        <w:pStyle w:val="FootnoteText"/>
        <w:jc w:val="both"/>
        <w:rPr>
          <w:rFonts w:ascii="Times New Roman" w:hAnsi="Times New Roman" w:cs="Times New Roman"/>
          <w:sz w:val="18"/>
          <w:szCs w:val="18"/>
          <w:lang w:val="en-IE"/>
        </w:rPr>
      </w:pPr>
      <w:r>
        <w:rPr>
          <w:rStyle w:val="FootnoteReference"/>
        </w:rPr>
        <w:footnoteRef/>
      </w:r>
      <w:r>
        <w:t xml:space="preserve"> </w:t>
      </w:r>
      <w:r w:rsidRPr="00712B42">
        <w:rPr>
          <w:rFonts w:ascii="Times New Roman" w:hAnsi="Times New Roman" w:cs="Times New Roman"/>
          <w:sz w:val="18"/>
          <w:szCs w:val="18"/>
          <w:lang w:val="en-IE"/>
        </w:rPr>
        <w:t xml:space="preserve">See footnote </w:t>
      </w:r>
      <w:r w:rsidR="0002318D">
        <w:rPr>
          <w:rFonts w:ascii="Times New Roman" w:hAnsi="Times New Roman" w:cs="Times New Roman"/>
          <w:sz w:val="18"/>
          <w:szCs w:val="18"/>
          <w:lang w:val="en-IE"/>
        </w:rPr>
        <w:t>2</w:t>
      </w:r>
      <w:r w:rsidRPr="00712B42">
        <w:rPr>
          <w:rFonts w:ascii="Times New Roman" w:hAnsi="Times New Roman" w:cs="Times New Roman"/>
          <w:sz w:val="18"/>
          <w:szCs w:val="18"/>
          <w:lang w:val="en-IE"/>
        </w:rPr>
        <w:t>.</w:t>
      </w:r>
    </w:p>
  </w:footnote>
  <w:footnote w:id="18">
    <w:p w14:paraId="50536EAF" w14:textId="6FCBB9ED" w:rsidR="002F7BE7" w:rsidRPr="00712B42" w:rsidRDefault="002F7BE7" w:rsidP="002F7BE7">
      <w:pPr>
        <w:pStyle w:val="FootnoteText"/>
        <w:rPr>
          <w:rFonts w:ascii="Times New Roman" w:hAnsi="Times New Roman" w:cs="Times New Roman"/>
          <w:lang w:val="en-IE"/>
        </w:rPr>
      </w:pPr>
      <w:r>
        <w:rPr>
          <w:rStyle w:val="FootnoteReference"/>
        </w:rPr>
        <w:footnoteRef/>
      </w:r>
      <w:r>
        <w:t xml:space="preserve"> </w:t>
      </w:r>
      <w:r w:rsidRPr="00381FB9">
        <w:rPr>
          <w:rFonts w:ascii="Times New Roman" w:hAnsi="Times New Roman" w:cs="Times New Roman"/>
          <w:sz w:val="18"/>
          <w:szCs w:val="18"/>
          <w:lang w:val="en-IE"/>
        </w:rPr>
        <w:t>EU28</w:t>
      </w:r>
      <w:r w:rsidR="00632B7E">
        <w:rPr>
          <w:rFonts w:ascii="Times New Roman" w:hAnsi="Times New Roman" w:cs="Times New Roman"/>
          <w:sz w:val="18"/>
          <w:szCs w:val="18"/>
          <w:lang w:val="en-IE"/>
        </w:rPr>
        <w:t xml:space="preserve">, specifically in </w:t>
      </w:r>
      <w:r w:rsidR="00A633C1">
        <w:rPr>
          <w:rFonts w:ascii="Times New Roman" w:hAnsi="Times New Roman" w:cs="Times New Roman"/>
          <w:sz w:val="18"/>
          <w:szCs w:val="18"/>
          <w:lang w:val="en-IE"/>
        </w:rPr>
        <w:t>BG, DK, FI, FR, DE, EL, IT, PL, PT, ES, UK (the latter not shown in map)</w:t>
      </w:r>
    </w:p>
  </w:footnote>
  <w:footnote w:id="19">
    <w:p w14:paraId="2BCA0C56" w14:textId="0FE7BF1A" w:rsidR="002F7BE7" w:rsidRPr="00381FB9" w:rsidRDefault="002F7BE7" w:rsidP="002F7BE7">
      <w:pPr>
        <w:pStyle w:val="FootnoteText"/>
        <w:rPr>
          <w:lang w:val="en-IE"/>
        </w:rPr>
      </w:pPr>
      <w:r>
        <w:rPr>
          <w:rStyle w:val="FootnoteReference"/>
        </w:rPr>
        <w:footnoteRef/>
      </w:r>
      <w:r>
        <w:t xml:space="preserve"> </w:t>
      </w:r>
      <w:r w:rsidRPr="00381FB9">
        <w:rPr>
          <w:rFonts w:ascii="Times New Roman" w:hAnsi="Times New Roman" w:cs="Times New Roman"/>
          <w:sz w:val="18"/>
          <w:szCs w:val="18"/>
        </w:rPr>
        <w:t>A</w:t>
      </w:r>
      <w:r>
        <w:rPr>
          <w:rFonts w:ascii="Times New Roman" w:hAnsi="Times New Roman" w:cs="Times New Roman"/>
          <w:sz w:val="18"/>
          <w:szCs w:val="18"/>
        </w:rPr>
        <w:t xml:space="preserve">bout </w:t>
      </w:r>
      <w:r w:rsidRPr="00381FB9">
        <w:rPr>
          <w:rFonts w:ascii="Times New Roman" w:hAnsi="Times New Roman" w:cs="Times New Roman"/>
          <w:sz w:val="18"/>
          <w:szCs w:val="18"/>
        </w:rPr>
        <w:t>8 Mt</w:t>
      </w:r>
      <w:r w:rsidR="00F91D6D">
        <w:rPr>
          <w:rFonts w:ascii="Times New Roman" w:hAnsi="Times New Roman" w:cs="Times New Roman"/>
          <w:sz w:val="18"/>
          <w:szCs w:val="18"/>
        </w:rPr>
        <w:t>/yr</w:t>
      </w:r>
      <w:r w:rsidRPr="00381FB9">
        <w:rPr>
          <w:rFonts w:ascii="Times New Roman" w:hAnsi="Times New Roman" w:cs="Times New Roman"/>
          <w:sz w:val="18"/>
          <w:szCs w:val="18"/>
        </w:rPr>
        <w:t xml:space="preserve"> of virgin base oils produced in  EU28 between 2013-2018</w:t>
      </w:r>
      <w:r>
        <w:rPr>
          <w:rFonts w:ascii="Times New Roman" w:hAnsi="Times New Roman" w:cs="Times New Roman"/>
          <w:sz w:val="18"/>
          <w:szCs w:val="18"/>
        </w:rPr>
        <w:t xml:space="preserve">. </w:t>
      </w:r>
    </w:p>
  </w:footnote>
  <w:footnote w:id="20">
    <w:p w14:paraId="3BD8B187" w14:textId="2CA8F4BF" w:rsidR="00FA1176" w:rsidRPr="00F91D6D" w:rsidRDefault="00FA1176" w:rsidP="00B6136E">
      <w:pPr>
        <w:pStyle w:val="FootnoteText"/>
        <w:jc w:val="both"/>
        <w:rPr>
          <w:rFonts w:ascii="Times New Roman" w:hAnsi="Times New Roman" w:cs="Times New Roman"/>
          <w:sz w:val="18"/>
          <w:szCs w:val="18"/>
          <w:lang w:val="en-IE"/>
        </w:rPr>
      </w:pPr>
      <w:r>
        <w:rPr>
          <w:rStyle w:val="FootnoteReference"/>
        </w:rPr>
        <w:footnoteRef/>
      </w:r>
      <w:r>
        <w:t xml:space="preserve"> </w:t>
      </w:r>
      <w:r w:rsidR="00F91D6D" w:rsidRPr="00F91D6D">
        <w:rPr>
          <w:rFonts w:ascii="Times New Roman" w:hAnsi="Times New Roman" w:cs="Times New Roman"/>
          <w:sz w:val="18"/>
          <w:szCs w:val="18"/>
        </w:rPr>
        <w:t>S</w:t>
      </w:r>
      <w:r w:rsidR="00F91D6D" w:rsidRPr="00F91D6D">
        <w:rPr>
          <w:rFonts w:ascii="Times New Roman" w:hAnsi="Times New Roman" w:cs="Times New Roman"/>
          <w:sz w:val="18"/>
          <w:szCs w:val="18"/>
          <w:lang w:val="en-IE"/>
        </w:rPr>
        <w:t>ee</w:t>
      </w:r>
      <w:r w:rsidRPr="00F91D6D">
        <w:rPr>
          <w:rFonts w:ascii="Times New Roman" w:hAnsi="Times New Roman" w:cs="Times New Roman"/>
          <w:sz w:val="18"/>
          <w:szCs w:val="18"/>
          <w:lang w:val="en-IE"/>
        </w:rPr>
        <w:t xml:space="preserve"> footnote </w:t>
      </w:r>
      <w:r w:rsidR="006A3DFE">
        <w:rPr>
          <w:rFonts w:ascii="Times New Roman" w:hAnsi="Times New Roman" w:cs="Times New Roman"/>
          <w:sz w:val="18"/>
          <w:szCs w:val="18"/>
          <w:lang w:val="en-IE"/>
        </w:rPr>
        <w:t>4</w:t>
      </w:r>
      <w:r w:rsidRPr="00F91D6D">
        <w:rPr>
          <w:rFonts w:ascii="Times New Roman" w:hAnsi="Times New Roman" w:cs="Times New Roman"/>
          <w:sz w:val="18"/>
          <w:szCs w:val="18"/>
          <w:lang w:val="en-IE"/>
        </w:rPr>
        <w:t xml:space="preserve">.  </w:t>
      </w:r>
    </w:p>
  </w:footnote>
  <w:footnote w:id="21">
    <w:p w14:paraId="1D4D7998" w14:textId="06EA0A48" w:rsidR="00744DE5" w:rsidRPr="009F053E" w:rsidRDefault="00744DE5" w:rsidP="00744DE5">
      <w:pPr>
        <w:pStyle w:val="FootnoteText"/>
        <w:rPr>
          <w:rFonts w:ascii="Times New Roman" w:hAnsi="Times New Roman" w:cs="Times New Roman"/>
          <w:sz w:val="18"/>
          <w:szCs w:val="18"/>
          <w:lang w:val="en-IE"/>
        </w:rPr>
      </w:pPr>
      <w:r w:rsidRPr="009F053E">
        <w:rPr>
          <w:rStyle w:val="FootnoteReference"/>
          <w:rFonts w:ascii="Times New Roman" w:hAnsi="Times New Roman" w:cs="Times New Roman"/>
        </w:rPr>
        <w:footnoteRef/>
      </w:r>
      <w:r w:rsidRPr="004562CB">
        <w:rPr>
          <w:rFonts w:ascii="Times New Roman" w:hAnsi="Times New Roman" w:cs="Times New Roman"/>
          <w:lang w:val="en-IE"/>
        </w:rPr>
        <w:t xml:space="preserve"> </w:t>
      </w:r>
      <w:r w:rsidRPr="004562CB">
        <w:rPr>
          <w:rFonts w:ascii="Times New Roman" w:hAnsi="Times New Roman" w:cs="Times New Roman"/>
          <w:sz w:val="18"/>
          <w:szCs w:val="18"/>
          <w:lang w:val="en-IE"/>
        </w:rPr>
        <w:t xml:space="preserve">GEIR (2019). </w:t>
      </w:r>
      <w:hyperlink r:id="rId4" w:history="1">
        <w:r w:rsidRPr="00EA241F">
          <w:rPr>
            <w:rStyle w:val="Hyperlink"/>
            <w:rFonts w:ascii="Times New Roman" w:hAnsi="Times New Roman" w:cs="Times New Roman"/>
            <w:sz w:val="18"/>
            <w:szCs w:val="18"/>
            <w:lang w:val="en-IE"/>
          </w:rPr>
          <w:t>https://www.geir-rerefining.org</w:t>
        </w:r>
      </w:hyperlink>
      <w:r w:rsidR="00F81BDE">
        <w:rPr>
          <w:rStyle w:val="Hyperlink"/>
          <w:rFonts w:ascii="Times New Roman" w:hAnsi="Times New Roman" w:cs="Times New Roman"/>
          <w:sz w:val="18"/>
          <w:szCs w:val="18"/>
          <w:lang w:val="en-IE"/>
        </w:rPr>
        <w:t>.</w:t>
      </w:r>
      <w:r w:rsidRPr="00EA241F">
        <w:rPr>
          <w:rFonts w:ascii="Times New Roman" w:hAnsi="Times New Roman" w:cs="Times New Roman"/>
          <w:sz w:val="18"/>
          <w:szCs w:val="18"/>
          <w:lang w:val="en-IE"/>
        </w:rPr>
        <w:t xml:space="preserve"> </w:t>
      </w:r>
      <w:r>
        <w:rPr>
          <w:rFonts w:ascii="Times New Roman" w:hAnsi="Times New Roman" w:cs="Times New Roman"/>
          <w:sz w:val="18"/>
          <w:szCs w:val="18"/>
          <w:lang w:val="en-IE"/>
        </w:rPr>
        <w:t xml:space="preserve"> </w:t>
      </w:r>
    </w:p>
  </w:footnote>
  <w:footnote w:id="22">
    <w:p w14:paraId="0DF8F97F" w14:textId="7657D11A" w:rsidR="00295B68" w:rsidRPr="00295B68" w:rsidRDefault="00295B68">
      <w:pPr>
        <w:pStyle w:val="FootnoteText"/>
      </w:pPr>
      <w:r>
        <w:rPr>
          <w:rStyle w:val="FootnoteReference"/>
        </w:rPr>
        <w:footnoteRef/>
      </w:r>
      <w:r>
        <w:t xml:space="preserve"> </w:t>
      </w:r>
      <w:r w:rsidRPr="00295B68">
        <w:rPr>
          <w:rFonts w:ascii="Times New Roman" w:hAnsi="Times New Roman" w:cs="Times New Roman"/>
          <w:sz w:val="18"/>
          <w:szCs w:val="18"/>
        </w:rPr>
        <w:t xml:space="preserve">See footnote </w:t>
      </w:r>
      <w:r w:rsidR="006A3DFE">
        <w:rPr>
          <w:rFonts w:ascii="Times New Roman" w:hAnsi="Times New Roman" w:cs="Times New Roman"/>
          <w:sz w:val="18"/>
          <w:szCs w:val="18"/>
        </w:rPr>
        <w:t>4</w:t>
      </w:r>
      <w:r w:rsidRPr="00295B68">
        <w:rPr>
          <w:rFonts w:ascii="Times New Roman" w:hAnsi="Times New Roman" w:cs="Times New Roman"/>
          <w:sz w:val="18"/>
          <w:szCs w:val="18"/>
        </w:rPr>
        <w:t>.</w:t>
      </w:r>
    </w:p>
  </w:footnote>
  <w:footnote w:id="23">
    <w:p w14:paraId="585E3F6A" w14:textId="78BEC934" w:rsidR="00881C35" w:rsidRPr="001F0698" w:rsidRDefault="00881C35" w:rsidP="00881C35">
      <w:pPr>
        <w:pStyle w:val="FootnoteText"/>
        <w:rPr>
          <w:rFonts w:ascii="Times New Roman" w:hAnsi="Times New Roman" w:cs="Times New Roman"/>
          <w:sz w:val="18"/>
          <w:szCs w:val="18"/>
          <w:lang w:val="en-IE"/>
        </w:rPr>
      </w:pPr>
      <w:r>
        <w:rPr>
          <w:rStyle w:val="FootnoteReference"/>
        </w:rPr>
        <w:footnoteRef/>
      </w:r>
      <w:r>
        <w:t xml:space="preserve"> </w:t>
      </w:r>
      <w:r w:rsidR="00A97050">
        <w:rPr>
          <w:rFonts w:ascii="Times New Roman" w:hAnsi="Times New Roman" w:cs="Times New Roman"/>
          <w:sz w:val="18"/>
          <w:szCs w:val="18"/>
          <w:lang w:val="en-IE"/>
        </w:rPr>
        <w:t>Ibid</w:t>
      </w:r>
      <w:r w:rsidR="006A3DFE" w:rsidRPr="001F0698">
        <w:rPr>
          <w:rFonts w:ascii="Times New Roman" w:hAnsi="Times New Roman" w:cs="Times New Roman"/>
          <w:sz w:val="18"/>
          <w:szCs w:val="18"/>
          <w:lang w:val="en-IE"/>
        </w:rPr>
        <w:t xml:space="preserve">  </w:t>
      </w:r>
    </w:p>
  </w:footnote>
  <w:footnote w:id="24">
    <w:p w14:paraId="4499FD35" w14:textId="79D62721" w:rsidR="00256099" w:rsidRPr="00F91D6D" w:rsidRDefault="00256099">
      <w:pPr>
        <w:pStyle w:val="FootnoteText"/>
        <w:rPr>
          <w:rFonts w:ascii="Times New Roman" w:hAnsi="Times New Roman" w:cs="Times New Roman"/>
          <w:sz w:val="18"/>
          <w:szCs w:val="18"/>
        </w:rPr>
      </w:pPr>
      <w:r>
        <w:rPr>
          <w:rStyle w:val="FootnoteReference"/>
        </w:rPr>
        <w:footnoteRef/>
      </w:r>
      <w:r>
        <w:t xml:space="preserve"> </w:t>
      </w:r>
      <w:r w:rsidR="00A97050">
        <w:rPr>
          <w:rFonts w:ascii="Times New Roman" w:hAnsi="Times New Roman" w:cs="Times New Roman"/>
          <w:sz w:val="18"/>
          <w:szCs w:val="18"/>
        </w:rPr>
        <w:t>See footnote 4</w:t>
      </w:r>
      <w:r w:rsidR="00F91D6D" w:rsidRPr="00F91D6D">
        <w:rPr>
          <w:rFonts w:ascii="Times New Roman" w:hAnsi="Times New Roman" w:cs="Times New Roman"/>
          <w:sz w:val="18"/>
          <w:szCs w:val="18"/>
        </w:rPr>
        <w:t xml:space="preserve">. </w:t>
      </w:r>
    </w:p>
  </w:footnote>
  <w:footnote w:id="25">
    <w:p w14:paraId="48F4CA94" w14:textId="16C17D32" w:rsidR="00470DA8" w:rsidRPr="00A903C8" w:rsidRDefault="00470DA8" w:rsidP="009D03A6">
      <w:pPr>
        <w:pStyle w:val="FootnoteText"/>
        <w:jc w:val="both"/>
        <w:rPr>
          <w:rFonts w:ascii="Times New Roman" w:hAnsi="Times New Roman" w:cs="Times New Roman"/>
          <w:sz w:val="18"/>
          <w:szCs w:val="18"/>
          <w:lang w:val="es-ES"/>
        </w:rPr>
      </w:pPr>
      <w:r w:rsidRPr="00941395">
        <w:rPr>
          <w:rStyle w:val="FootnoteReference"/>
          <w:lang w:val="en-IE"/>
        </w:rPr>
        <w:footnoteRef/>
      </w:r>
      <w:r w:rsidRPr="00A903C8">
        <w:rPr>
          <w:lang w:val="es-ES"/>
        </w:rPr>
        <w:t xml:space="preserve"> </w:t>
      </w:r>
      <w:r w:rsidR="004F09A2" w:rsidRPr="00A903C8">
        <w:rPr>
          <w:rFonts w:ascii="Times New Roman" w:hAnsi="Times New Roman" w:cs="Times New Roman"/>
          <w:sz w:val="18"/>
          <w:szCs w:val="18"/>
          <w:lang w:val="es-ES"/>
        </w:rPr>
        <w:t>Ibid.</w:t>
      </w:r>
    </w:p>
  </w:footnote>
  <w:footnote w:id="26">
    <w:p w14:paraId="720C6F85" w14:textId="7C28F682" w:rsidR="00470DA8" w:rsidRPr="00A903C8" w:rsidRDefault="00470DA8" w:rsidP="009D03A6">
      <w:pPr>
        <w:pStyle w:val="FootnoteText"/>
        <w:jc w:val="both"/>
        <w:rPr>
          <w:rFonts w:ascii="Times New Roman" w:hAnsi="Times New Roman" w:cs="Times New Roman"/>
          <w:sz w:val="18"/>
          <w:szCs w:val="18"/>
          <w:lang w:val="es-ES"/>
        </w:rPr>
      </w:pPr>
      <w:r w:rsidRPr="009D03A6">
        <w:rPr>
          <w:rStyle w:val="FootnoteReference"/>
          <w:rFonts w:ascii="Times New Roman" w:hAnsi="Times New Roman" w:cs="Times New Roman"/>
          <w:sz w:val="18"/>
          <w:szCs w:val="18"/>
          <w:lang w:val="en-IE"/>
        </w:rPr>
        <w:footnoteRef/>
      </w:r>
      <w:r w:rsidRPr="00A903C8">
        <w:rPr>
          <w:rFonts w:ascii="Times New Roman" w:hAnsi="Times New Roman" w:cs="Times New Roman"/>
          <w:sz w:val="18"/>
          <w:szCs w:val="18"/>
          <w:lang w:val="es-ES"/>
        </w:rPr>
        <w:t xml:space="preserve"> </w:t>
      </w:r>
      <w:r w:rsidR="00017288" w:rsidRPr="00017288">
        <w:rPr>
          <w:rFonts w:ascii="Times New Roman" w:hAnsi="Times New Roman" w:cs="Times New Roman"/>
          <w:sz w:val="18"/>
          <w:szCs w:val="18"/>
          <w:lang w:val="es-ES"/>
        </w:rPr>
        <w:t>https://www.mckinsey.com/industries/oil-and-gas/our-insights/lubes-growth-opportunities-remain-despite-switch-to-electric-vehicles</w:t>
      </w:r>
    </w:p>
  </w:footnote>
  <w:footnote w:id="27">
    <w:p w14:paraId="66FE8122" w14:textId="6CE23109" w:rsidR="009D03A6" w:rsidRPr="009D03A6" w:rsidRDefault="009D03A6" w:rsidP="009D03A6">
      <w:pPr>
        <w:pStyle w:val="FootnoteText"/>
        <w:jc w:val="both"/>
        <w:rPr>
          <w:rFonts w:ascii="Times New Roman" w:hAnsi="Times New Roman" w:cs="Times New Roman"/>
          <w:sz w:val="18"/>
          <w:szCs w:val="18"/>
          <w:lang w:val="en-IE"/>
        </w:rPr>
      </w:pPr>
      <w:r w:rsidRPr="009D03A6">
        <w:rPr>
          <w:rStyle w:val="FootnoteReference"/>
          <w:rFonts w:ascii="Times New Roman" w:hAnsi="Times New Roman" w:cs="Times New Roman"/>
          <w:sz w:val="18"/>
          <w:szCs w:val="18"/>
        </w:rPr>
        <w:footnoteRef/>
      </w:r>
      <w:r w:rsidRPr="009D03A6">
        <w:rPr>
          <w:rFonts w:ascii="Times New Roman" w:hAnsi="Times New Roman" w:cs="Times New Roman"/>
          <w:sz w:val="18"/>
          <w:szCs w:val="18"/>
          <w:lang w:val="en-IE"/>
        </w:rPr>
        <w:t xml:space="preserve"> The second model uses fleet composition and evolution estimates developed </w:t>
      </w:r>
      <w:r w:rsidR="00BD6E3B">
        <w:rPr>
          <w:rFonts w:ascii="Times New Roman" w:hAnsi="Times New Roman" w:cs="Times New Roman"/>
          <w:sz w:val="18"/>
          <w:szCs w:val="18"/>
          <w:lang w:val="en-IE"/>
        </w:rPr>
        <w:t xml:space="preserve">in the </w:t>
      </w:r>
      <w:r w:rsidRPr="009D03A6">
        <w:rPr>
          <w:rFonts w:ascii="Times New Roman" w:hAnsi="Times New Roman" w:cs="Times New Roman"/>
          <w:sz w:val="18"/>
          <w:szCs w:val="18"/>
          <w:lang w:val="en-IE"/>
        </w:rPr>
        <w:t>‘EURO7 standards’ proposal</w:t>
      </w:r>
      <w:r>
        <w:rPr>
          <w:rFonts w:ascii="Times New Roman" w:hAnsi="Times New Roman" w:cs="Times New Roman"/>
          <w:sz w:val="18"/>
          <w:szCs w:val="18"/>
          <w:lang w:val="en-IE"/>
        </w:rPr>
        <w:t xml:space="preserve"> (</w:t>
      </w:r>
      <w:r w:rsidRPr="009D03A6">
        <w:rPr>
          <w:rFonts w:ascii="Times New Roman" w:hAnsi="Times New Roman" w:cs="Times New Roman"/>
          <w:sz w:val="18"/>
          <w:szCs w:val="18"/>
          <w:lang w:val="en-IE"/>
        </w:rPr>
        <w:t>COM(2022) 586 final</w:t>
      </w:r>
      <w:r>
        <w:rPr>
          <w:rFonts w:ascii="Times New Roman" w:hAnsi="Times New Roman" w:cs="Times New Roman"/>
          <w:sz w:val="18"/>
          <w:szCs w:val="18"/>
          <w:lang w:val="en-IE"/>
        </w:rPr>
        <w:t xml:space="preserve">). </w:t>
      </w:r>
    </w:p>
  </w:footnote>
  <w:footnote w:id="28">
    <w:p w14:paraId="64EA9402" w14:textId="08328CF4" w:rsidR="00470DA8" w:rsidRPr="009D03A6" w:rsidRDefault="00470DA8" w:rsidP="009D03A6">
      <w:pPr>
        <w:pStyle w:val="FootnoteText"/>
        <w:jc w:val="both"/>
        <w:rPr>
          <w:rFonts w:ascii="Times New Roman" w:hAnsi="Times New Roman" w:cs="Times New Roman"/>
          <w:sz w:val="18"/>
          <w:szCs w:val="18"/>
          <w:lang w:val="en-IE"/>
        </w:rPr>
      </w:pPr>
      <w:r w:rsidRPr="009D03A6">
        <w:rPr>
          <w:rStyle w:val="FootnoteReference"/>
          <w:rFonts w:ascii="Times New Roman" w:hAnsi="Times New Roman" w:cs="Times New Roman"/>
          <w:sz w:val="18"/>
          <w:szCs w:val="18"/>
          <w:lang w:val="en-IE"/>
        </w:rPr>
        <w:footnoteRef/>
      </w:r>
      <w:r w:rsidRPr="009D03A6">
        <w:rPr>
          <w:rFonts w:ascii="Times New Roman" w:hAnsi="Times New Roman" w:cs="Times New Roman"/>
          <w:sz w:val="18"/>
          <w:szCs w:val="18"/>
          <w:lang w:val="en-IE"/>
        </w:rPr>
        <w:t xml:space="preserve"> Shah, Raj, et al. "Recent trends in batteries and lubricants for electric vehicles." Advances in Mechanical Engineering 13.5 (2021).</w:t>
      </w:r>
    </w:p>
  </w:footnote>
  <w:footnote w:id="29">
    <w:p w14:paraId="7BC3FB1C" w14:textId="31A4B3AE" w:rsidR="00A93FDE" w:rsidRPr="00A93FDE" w:rsidRDefault="00A93FDE">
      <w:pPr>
        <w:pStyle w:val="FootnoteText"/>
      </w:pPr>
      <w:r>
        <w:rPr>
          <w:rStyle w:val="FootnoteReference"/>
        </w:rPr>
        <w:footnoteRef/>
      </w:r>
      <w:r>
        <w:t xml:space="preserve"> </w:t>
      </w:r>
      <w:r w:rsidRPr="00295B68">
        <w:rPr>
          <w:rFonts w:ascii="Times New Roman" w:hAnsi="Times New Roman" w:cs="Times New Roman"/>
          <w:sz w:val="18"/>
          <w:szCs w:val="18"/>
        </w:rPr>
        <w:t xml:space="preserve">See footnote </w:t>
      </w:r>
      <w:r w:rsidR="006A3DFE">
        <w:rPr>
          <w:rFonts w:ascii="Times New Roman" w:hAnsi="Times New Roman" w:cs="Times New Roman"/>
          <w:sz w:val="18"/>
          <w:szCs w:val="18"/>
        </w:rPr>
        <w:t>4</w:t>
      </w:r>
      <w:r w:rsidR="004C0C1B">
        <w:rPr>
          <w:rFonts w:ascii="Times New Roman" w:hAnsi="Times New Roman" w:cs="Times New Roman"/>
          <w:sz w:val="18"/>
          <w:szCs w:val="18"/>
        </w:rPr>
        <w:t>.</w:t>
      </w:r>
    </w:p>
  </w:footnote>
  <w:footnote w:id="30">
    <w:p w14:paraId="3827E63F" w14:textId="168DEA89" w:rsidR="00927E4A" w:rsidRPr="00927E4A" w:rsidRDefault="00927E4A">
      <w:pPr>
        <w:pStyle w:val="FootnoteText"/>
      </w:pPr>
      <w:r>
        <w:rPr>
          <w:rStyle w:val="FootnoteReference"/>
        </w:rPr>
        <w:footnoteRef/>
      </w:r>
      <w:r>
        <w:t xml:space="preserve"> </w:t>
      </w:r>
      <w:r w:rsidRPr="00927E4A">
        <w:rPr>
          <w:rFonts w:ascii="Times New Roman" w:hAnsi="Times New Roman" w:cs="Times New Roman"/>
          <w:sz w:val="18"/>
          <w:szCs w:val="18"/>
        </w:rPr>
        <w:t>B</w:t>
      </w:r>
      <w:r w:rsidR="000304ED">
        <w:rPr>
          <w:rFonts w:ascii="Times New Roman" w:hAnsi="Times New Roman" w:cs="Times New Roman"/>
          <w:sz w:val="18"/>
          <w:szCs w:val="18"/>
        </w:rPr>
        <w:t>E, FR, EL, LT, P</w:t>
      </w:r>
      <w:r w:rsidR="004C0C1B">
        <w:rPr>
          <w:rFonts w:ascii="Times New Roman" w:hAnsi="Times New Roman" w:cs="Times New Roman"/>
          <w:sz w:val="18"/>
          <w:szCs w:val="18"/>
        </w:rPr>
        <w:t>L</w:t>
      </w:r>
      <w:r w:rsidR="000304ED">
        <w:rPr>
          <w:rFonts w:ascii="Times New Roman" w:hAnsi="Times New Roman" w:cs="Times New Roman"/>
          <w:sz w:val="18"/>
          <w:szCs w:val="18"/>
        </w:rPr>
        <w:t>, PT and ES</w:t>
      </w:r>
      <w:r w:rsidR="004C0C1B">
        <w:rPr>
          <w:rFonts w:ascii="Times New Roman" w:hAnsi="Times New Roman" w:cs="Times New Roman"/>
          <w:sz w:val="18"/>
          <w:szCs w:val="18"/>
        </w:rPr>
        <w:t>.</w:t>
      </w:r>
    </w:p>
  </w:footnote>
  <w:footnote w:id="31">
    <w:p w14:paraId="3C91AC60" w14:textId="5D6B58D1" w:rsidR="000304ED" w:rsidRPr="004C0C1B" w:rsidRDefault="000304ED">
      <w:pPr>
        <w:pStyle w:val="FootnoteText"/>
        <w:rPr>
          <w:sz w:val="18"/>
          <w:szCs w:val="18"/>
        </w:rPr>
      </w:pPr>
      <w:r>
        <w:rPr>
          <w:rStyle w:val="FootnoteReference"/>
        </w:rPr>
        <w:footnoteRef/>
      </w:r>
      <w:r>
        <w:t xml:space="preserve"> </w:t>
      </w:r>
      <w:r w:rsidRPr="004C0C1B">
        <w:rPr>
          <w:rFonts w:ascii="Times New Roman" w:hAnsi="Times New Roman" w:cs="Times New Roman"/>
          <w:sz w:val="18"/>
          <w:szCs w:val="18"/>
        </w:rPr>
        <w:t>See footnote 4</w:t>
      </w:r>
      <w:r w:rsidR="004C0C1B">
        <w:rPr>
          <w:rFonts w:ascii="Times New Roman" w:hAnsi="Times New Roman" w:cs="Times New Roman"/>
          <w:sz w:val="18"/>
          <w:szCs w:val="18"/>
        </w:rPr>
        <w:t>.</w:t>
      </w:r>
    </w:p>
  </w:footnote>
  <w:footnote w:id="32">
    <w:p w14:paraId="20C492FD" w14:textId="12689358" w:rsidR="00941B9C" w:rsidRPr="00941B9C" w:rsidRDefault="00941B9C">
      <w:pPr>
        <w:pStyle w:val="FootnoteText"/>
      </w:pPr>
      <w:r>
        <w:rPr>
          <w:rStyle w:val="FootnoteReference"/>
        </w:rPr>
        <w:footnoteRef/>
      </w:r>
      <w:r>
        <w:t xml:space="preserve"> </w:t>
      </w:r>
      <w:r w:rsidRPr="00401F7D">
        <w:rPr>
          <w:rFonts w:ascii="Times New Roman" w:hAnsi="Times New Roman" w:cs="Times New Roman"/>
          <w:sz w:val="18"/>
          <w:szCs w:val="18"/>
        </w:rPr>
        <w:t>As described in the study referred to in footnote 4</w:t>
      </w:r>
      <w:r w:rsidR="009070D9">
        <w:rPr>
          <w:rFonts w:ascii="Times New Roman" w:hAnsi="Times New Roman" w:cs="Times New Roman"/>
          <w:sz w:val="18"/>
          <w:szCs w:val="18"/>
        </w:rPr>
        <w:t xml:space="preserve"> which analyses the economic, social and environmental impacts of such a measure.</w:t>
      </w:r>
    </w:p>
  </w:footnote>
  <w:footnote w:id="33">
    <w:p w14:paraId="4C8CEC0A" w14:textId="5C26E7EF" w:rsidR="00213F8B" w:rsidRPr="00213F8B" w:rsidRDefault="00213F8B">
      <w:pPr>
        <w:pStyle w:val="FootnoteText"/>
        <w:rPr>
          <w:rFonts w:ascii="Times New Roman" w:hAnsi="Times New Roman" w:cs="Times New Roman"/>
          <w:sz w:val="18"/>
          <w:szCs w:val="18"/>
        </w:rPr>
      </w:pPr>
      <w:r>
        <w:rPr>
          <w:rStyle w:val="FootnoteReference"/>
        </w:rPr>
        <w:footnoteRef/>
      </w:r>
      <w:r>
        <w:t xml:space="preserve"> </w:t>
      </w:r>
      <w:r w:rsidRPr="00213F8B">
        <w:rPr>
          <w:rFonts w:ascii="Times New Roman" w:hAnsi="Times New Roman" w:cs="Times New Roman"/>
          <w:sz w:val="18"/>
          <w:szCs w:val="18"/>
        </w:rPr>
        <w:t xml:space="preserve">Collection rate defined as the ratio between collected waste oil and generated </w:t>
      </w:r>
      <w:r w:rsidR="00EC7243">
        <w:rPr>
          <w:rFonts w:ascii="Times New Roman" w:hAnsi="Times New Roman" w:cs="Times New Roman"/>
          <w:sz w:val="18"/>
          <w:szCs w:val="18"/>
        </w:rPr>
        <w:t xml:space="preserve">(collectable) </w:t>
      </w:r>
      <w:r w:rsidRPr="00213F8B">
        <w:rPr>
          <w:rFonts w:ascii="Times New Roman" w:hAnsi="Times New Roman" w:cs="Times New Roman"/>
          <w:sz w:val="18"/>
          <w:szCs w:val="18"/>
        </w:rPr>
        <w:t>waste oil.</w:t>
      </w:r>
    </w:p>
  </w:footnote>
  <w:footnote w:id="34">
    <w:p w14:paraId="758D7254" w14:textId="38059A55" w:rsidR="00176CD9" w:rsidRPr="00176CD9" w:rsidRDefault="00176CD9" w:rsidP="00176CD9">
      <w:pPr>
        <w:pStyle w:val="FootnoteText"/>
        <w:jc w:val="both"/>
      </w:pPr>
      <w:r>
        <w:rPr>
          <w:rStyle w:val="FootnoteReference"/>
        </w:rPr>
        <w:footnoteRef/>
      </w:r>
      <w:r>
        <w:t xml:space="preserve"> </w:t>
      </w:r>
      <w:r w:rsidRPr="00176CD9">
        <w:rPr>
          <w:rFonts w:ascii="Times New Roman" w:hAnsi="Times New Roman" w:cs="Times New Roman"/>
          <w:sz w:val="18"/>
          <w:szCs w:val="18"/>
        </w:rPr>
        <w:t>A 100% collection target is not proposed given that: a) in a context of disperse and low volume waste oil generation scenario</w:t>
      </w:r>
      <w:r w:rsidR="000660E1">
        <w:rPr>
          <w:rFonts w:ascii="Times New Roman" w:hAnsi="Times New Roman" w:cs="Times New Roman"/>
          <w:sz w:val="18"/>
          <w:szCs w:val="18"/>
        </w:rPr>
        <w:t xml:space="preserve"> </w:t>
      </w:r>
      <w:r w:rsidRPr="00176CD9">
        <w:rPr>
          <w:rFonts w:ascii="Times New Roman" w:hAnsi="Times New Roman" w:cs="Times New Roman"/>
          <w:sz w:val="18"/>
          <w:szCs w:val="18"/>
        </w:rPr>
        <w:t xml:space="preserve">this may result in disproportionate costs and environmental impacts from collecting all produced waste oils separately and b) </w:t>
      </w:r>
      <w:r>
        <w:rPr>
          <w:rFonts w:ascii="Times New Roman" w:hAnsi="Times New Roman" w:cs="Times New Roman"/>
          <w:sz w:val="18"/>
          <w:szCs w:val="18"/>
        </w:rPr>
        <w:t xml:space="preserve">the </w:t>
      </w:r>
      <w:r w:rsidRPr="00176CD9">
        <w:rPr>
          <w:rFonts w:ascii="Times New Roman" w:hAnsi="Times New Roman" w:cs="Times New Roman"/>
          <w:sz w:val="18"/>
          <w:szCs w:val="18"/>
        </w:rPr>
        <w:t>uncertaint</w:t>
      </w:r>
      <w:r>
        <w:rPr>
          <w:rFonts w:ascii="Times New Roman" w:hAnsi="Times New Roman" w:cs="Times New Roman"/>
          <w:sz w:val="18"/>
          <w:szCs w:val="18"/>
        </w:rPr>
        <w:t xml:space="preserve">ies in </w:t>
      </w:r>
      <w:r w:rsidRPr="00176CD9">
        <w:rPr>
          <w:rFonts w:ascii="Times New Roman" w:hAnsi="Times New Roman" w:cs="Times New Roman"/>
          <w:sz w:val="18"/>
          <w:szCs w:val="18"/>
        </w:rPr>
        <w:t>waste oil emission factor</w:t>
      </w:r>
      <w:r>
        <w:rPr>
          <w:rFonts w:ascii="Times New Roman" w:hAnsi="Times New Roman" w:cs="Times New Roman"/>
          <w:sz w:val="18"/>
          <w:szCs w:val="18"/>
        </w:rPr>
        <w:t>s</w:t>
      </w:r>
      <w:r w:rsidRPr="00176CD9">
        <w:rPr>
          <w:rFonts w:ascii="Times New Roman" w:hAnsi="Times New Roman" w:cs="Times New Roman"/>
          <w:sz w:val="18"/>
          <w:szCs w:val="18"/>
        </w:rPr>
        <w:t xml:space="preserve"> used to estimate the collectable amount of waste oil</w:t>
      </w:r>
      <w:r w:rsidR="000660E1">
        <w:rPr>
          <w:rFonts w:ascii="Times New Roman" w:hAnsi="Times New Roman" w:cs="Times New Roman"/>
          <w:sz w:val="18"/>
          <w:szCs w:val="18"/>
        </w:rPr>
        <w:t xml:space="preserve"> advise caution</w:t>
      </w:r>
      <w:r w:rsidRPr="00176CD9">
        <w:rPr>
          <w:rFonts w:ascii="Times New Roman" w:hAnsi="Times New Roman" w:cs="Times New Roman"/>
          <w:sz w:val="18"/>
          <w:szCs w:val="18"/>
        </w:rPr>
        <w:t>.</w:t>
      </w:r>
    </w:p>
  </w:footnote>
  <w:footnote w:id="35">
    <w:p w14:paraId="1EEF2A47" w14:textId="77777777" w:rsidR="00807E71" w:rsidRPr="00C050E6" w:rsidRDefault="00807E71" w:rsidP="00807E71">
      <w:pPr>
        <w:pStyle w:val="FootnoteText"/>
      </w:pPr>
      <w:r>
        <w:rPr>
          <w:rStyle w:val="FootnoteReference"/>
        </w:rPr>
        <w:footnoteRef/>
      </w:r>
      <w:r>
        <w:t xml:space="preserve"> </w:t>
      </w:r>
      <w:r w:rsidRPr="00456BAE">
        <w:rPr>
          <w:rFonts w:ascii="Times New Roman" w:hAnsi="Times New Roman" w:cs="Times New Roman"/>
          <w:sz w:val="18"/>
          <w:szCs w:val="18"/>
        </w:rPr>
        <w:t>Any measure must be implemented in compliance with EU State aid rules as well as with the polluter pays principle.</w:t>
      </w:r>
    </w:p>
  </w:footnote>
  <w:footnote w:id="36">
    <w:p w14:paraId="1443ED5D" w14:textId="0A988E3B" w:rsidR="00881C35" w:rsidRPr="00881C35" w:rsidRDefault="00881C35" w:rsidP="00881C35">
      <w:pPr>
        <w:pStyle w:val="FootnoteText"/>
        <w:jc w:val="both"/>
      </w:pPr>
      <w:r>
        <w:rPr>
          <w:rStyle w:val="FootnoteReference"/>
        </w:rPr>
        <w:footnoteRef/>
      </w:r>
      <w:r>
        <w:t xml:space="preserve"> </w:t>
      </w:r>
      <w:r w:rsidRPr="00881C35">
        <w:rPr>
          <w:rFonts w:ascii="Times New Roman" w:hAnsi="Times New Roman" w:cs="Times New Roman"/>
          <w:sz w:val="18"/>
          <w:szCs w:val="18"/>
        </w:rPr>
        <w:t>A greater collected waste oil quality can also have a positive impact on the amount of collected oil that is regenerated.</w:t>
      </w:r>
      <w:r>
        <w:t xml:space="preserve"> </w:t>
      </w:r>
    </w:p>
  </w:footnote>
  <w:footnote w:id="37">
    <w:p w14:paraId="321204EB" w14:textId="0C7A8F37" w:rsidR="005A679C" w:rsidRPr="00401F7D" w:rsidRDefault="005A679C">
      <w:pPr>
        <w:pStyle w:val="FootnoteText"/>
        <w:rPr>
          <w:lang w:val="en-IE"/>
        </w:rPr>
      </w:pPr>
      <w:r>
        <w:rPr>
          <w:rStyle w:val="FootnoteReference"/>
        </w:rPr>
        <w:footnoteRef/>
      </w:r>
      <w:r>
        <w:t xml:space="preserve"> </w:t>
      </w:r>
      <w:r w:rsidRPr="00401F7D">
        <w:rPr>
          <w:rFonts w:ascii="Times New Roman" w:hAnsi="Times New Roman" w:cs="Times New Roman"/>
          <w:sz w:val="18"/>
          <w:szCs w:val="18"/>
        </w:rPr>
        <w:t xml:space="preserve">The </w:t>
      </w:r>
      <w:r>
        <w:rPr>
          <w:rFonts w:ascii="Times New Roman" w:hAnsi="Times New Roman" w:cs="Times New Roman"/>
          <w:sz w:val="18"/>
          <w:szCs w:val="18"/>
        </w:rPr>
        <w:t>study reference</w:t>
      </w:r>
      <w:r w:rsidR="00B50116">
        <w:rPr>
          <w:rFonts w:ascii="Times New Roman" w:hAnsi="Times New Roman" w:cs="Times New Roman"/>
          <w:sz w:val="18"/>
          <w:szCs w:val="18"/>
        </w:rPr>
        <w:t>d</w:t>
      </w:r>
      <w:r>
        <w:rPr>
          <w:rFonts w:ascii="Times New Roman" w:hAnsi="Times New Roman" w:cs="Times New Roman"/>
          <w:sz w:val="18"/>
          <w:szCs w:val="18"/>
        </w:rPr>
        <w:t xml:space="preserve"> in footnote 4 provides </w:t>
      </w:r>
      <w:r w:rsidRPr="00401F7D">
        <w:rPr>
          <w:rFonts w:ascii="Times New Roman" w:hAnsi="Times New Roman" w:cs="Times New Roman"/>
          <w:sz w:val="18"/>
          <w:szCs w:val="18"/>
        </w:rPr>
        <w:t xml:space="preserve">an extensive analysis of how EPR schemes and other collection schemes are applied in different </w:t>
      </w:r>
      <w:r>
        <w:rPr>
          <w:rFonts w:ascii="Times New Roman" w:hAnsi="Times New Roman" w:cs="Times New Roman"/>
          <w:sz w:val="18"/>
          <w:szCs w:val="18"/>
        </w:rPr>
        <w:t>Member States.</w:t>
      </w:r>
    </w:p>
  </w:footnote>
  <w:footnote w:id="38">
    <w:p w14:paraId="7D0B6EC5" w14:textId="0610C6A9" w:rsidR="00DE2DC7" w:rsidRPr="00DE2DC7" w:rsidRDefault="00DE2DC7">
      <w:pPr>
        <w:pStyle w:val="FootnoteText"/>
      </w:pPr>
      <w:r>
        <w:rPr>
          <w:rStyle w:val="FootnoteReference"/>
        </w:rPr>
        <w:footnoteRef/>
      </w:r>
      <w:r>
        <w:t xml:space="preserve"> </w:t>
      </w:r>
      <w:r w:rsidRPr="00DE2DC7">
        <w:rPr>
          <w:rFonts w:ascii="Times New Roman" w:hAnsi="Times New Roman" w:cs="Times New Roman"/>
          <w:sz w:val="18"/>
          <w:szCs w:val="18"/>
        </w:rPr>
        <w:t>Article 3(18) of Directive 2008/98/EC</w:t>
      </w:r>
    </w:p>
  </w:footnote>
  <w:footnote w:id="39">
    <w:p w14:paraId="1663BA1F" w14:textId="3506431C" w:rsidR="00682828" w:rsidRPr="001F0698" w:rsidRDefault="00682828" w:rsidP="00682828">
      <w:pPr>
        <w:pStyle w:val="FootnoteText"/>
        <w:rPr>
          <w:rFonts w:ascii="Times New Roman" w:hAnsi="Times New Roman" w:cs="Times New Roman"/>
          <w:sz w:val="18"/>
          <w:szCs w:val="18"/>
          <w:lang w:val="en-IE"/>
        </w:rPr>
      </w:pPr>
      <w:r>
        <w:rPr>
          <w:rStyle w:val="FootnoteReference"/>
        </w:rPr>
        <w:footnoteRef/>
      </w:r>
      <w:r>
        <w:t xml:space="preserve"> </w:t>
      </w:r>
      <w:r w:rsidRPr="001F0698">
        <w:rPr>
          <w:rFonts w:ascii="Times New Roman" w:hAnsi="Times New Roman" w:cs="Times New Roman"/>
          <w:sz w:val="18"/>
          <w:szCs w:val="18"/>
          <w:lang w:val="en-IE"/>
        </w:rPr>
        <w:t xml:space="preserve">As published in the report referred to in footnote </w:t>
      </w:r>
      <w:r w:rsidR="00B14168">
        <w:rPr>
          <w:rFonts w:ascii="Times New Roman" w:hAnsi="Times New Roman" w:cs="Times New Roman"/>
          <w:sz w:val="18"/>
          <w:szCs w:val="18"/>
          <w:lang w:val="en-IE"/>
        </w:rPr>
        <w:t>3</w:t>
      </w:r>
      <w:r w:rsidRPr="001F0698">
        <w:rPr>
          <w:rFonts w:ascii="Times New Roman" w:hAnsi="Times New Roman" w:cs="Times New Roman"/>
          <w:sz w:val="18"/>
          <w:szCs w:val="18"/>
          <w:lang w:val="en-IE"/>
        </w:rPr>
        <w:t xml:space="preserve">.  </w:t>
      </w:r>
    </w:p>
  </w:footnote>
  <w:footnote w:id="40">
    <w:p w14:paraId="66CEF7A4" w14:textId="2D35A3BB" w:rsidR="00DC2C85" w:rsidRPr="00DC2C85" w:rsidRDefault="00DC2C85">
      <w:pPr>
        <w:pStyle w:val="FootnoteText"/>
      </w:pPr>
      <w:r>
        <w:rPr>
          <w:rStyle w:val="FootnoteReference"/>
        </w:rPr>
        <w:footnoteRef/>
      </w:r>
      <w:r>
        <w:t xml:space="preserve"> </w:t>
      </w:r>
      <w:r w:rsidRPr="00456BAE">
        <w:rPr>
          <w:rFonts w:ascii="Times New Roman" w:hAnsi="Times New Roman" w:cs="Times New Roman"/>
          <w:sz w:val="18"/>
          <w:szCs w:val="18"/>
        </w:rPr>
        <w:t>DK, EL, LU, IT, NL, BE, FI and BG.</w:t>
      </w:r>
    </w:p>
  </w:footnote>
  <w:footnote w:id="41">
    <w:p w14:paraId="426E5C87" w14:textId="6756E4F6" w:rsidR="0097286F" w:rsidRPr="0097286F" w:rsidRDefault="0097286F" w:rsidP="0097286F">
      <w:pPr>
        <w:pStyle w:val="FootnoteText"/>
        <w:jc w:val="both"/>
        <w:rPr>
          <w:rFonts w:ascii="Times New Roman" w:hAnsi="Times New Roman" w:cs="Times New Roman"/>
          <w:sz w:val="18"/>
          <w:szCs w:val="18"/>
          <w:lang w:val="en-IE"/>
        </w:rPr>
      </w:pPr>
      <w:r>
        <w:rPr>
          <w:rStyle w:val="FootnoteReference"/>
        </w:rPr>
        <w:footnoteRef/>
      </w:r>
      <w:r>
        <w:t xml:space="preserve"> </w:t>
      </w:r>
      <w:r w:rsidRPr="0097286F">
        <w:rPr>
          <w:rFonts w:ascii="Times New Roman" w:hAnsi="Times New Roman" w:cs="Times New Roman"/>
          <w:sz w:val="18"/>
          <w:szCs w:val="18"/>
        </w:rPr>
        <w:t>100%</w:t>
      </w:r>
      <w:r w:rsidR="00025AB1">
        <w:rPr>
          <w:rFonts w:ascii="Times New Roman" w:hAnsi="Times New Roman" w:cs="Times New Roman"/>
          <w:sz w:val="18"/>
          <w:szCs w:val="18"/>
        </w:rPr>
        <w:t xml:space="preserve"> regeneration rates are reported by some countries</w:t>
      </w:r>
      <w:r w:rsidRPr="0097286F">
        <w:rPr>
          <w:rFonts w:ascii="Times New Roman" w:hAnsi="Times New Roman" w:cs="Times New Roman"/>
          <w:sz w:val="18"/>
          <w:szCs w:val="18"/>
        </w:rPr>
        <w:t xml:space="preserve">. However, evidence suggests that such high regeneration rates </w:t>
      </w:r>
      <w:r w:rsidR="00025AB1">
        <w:rPr>
          <w:rFonts w:ascii="Times New Roman" w:hAnsi="Times New Roman" w:cs="Times New Roman"/>
          <w:sz w:val="18"/>
          <w:szCs w:val="18"/>
        </w:rPr>
        <w:t xml:space="preserve">may be </w:t>
      </w:r>
      <w:r w:rsidRPr="0097286F">
        <w:rPr>
          <w:rFonts w:ascii="Times New Roman" w:hAnsi="Times New Roman" w:cs="Times New Roman"/>
          <w:sz w:val="18"/>
          <w:szCs w:val="18"/>
        </w:rPr>
        <w:t>accounting</w:t>
      </w:r>
      <w:r w:rsidR="00025AB1">
        <w:rPr>
          <w:rFonts w:ascii="Times New Roman" w:hAnsi="Times New Roman" w:cs="Times New Roman"/>
          <w:sz w:val="18"/>
          <w:szCs w:val="18"/>
        </w:rPr>
        <w:t xml:space="preserve"> artefacts</w:t>
      </w:r>
      <w:r w:rsidRPr="0097286F">
        <w:rPr>
          <w:rFonts w:ascii="Times New Roman" w:hAnsi="Times New Roman" w:cs="Times New Roman"/>
          <w:sz w:val="18"/>
          <w:szCs w:val="18"/>
        </w:rPr>
        <w:t>, as some countries report initial sediment and water separately from dry waste oils and others report only the regeneration of waste oil of sufficient quality</w:t>
      </w:r>
      <w:r w:rsidR="00025AB1">
        <w:rPr>
          <w:rFonts w:ascii="Times New Roman" w:hAnsi="Times New Roman" w:cs="Times New Roman"/>
          <w:sz w:val="18"/>
          <w:szCs w:val="18"/>
        </w:rPr>
        <w:t>.</w:t>
      </w:r>
      <w:r w:rsidRPr="0097286F">
        <w:rPr>
          <w:rFonts w:ascii="Times New Roman" w:hAnsi="Times New Roman" w:cs="Times New Roman"/>
          <w:sz w:val="18"/>
          <w:szCs w:val="18"/>
        </w:rPr>
        <w:t xml:space="preserve"> </w:t>
      </w:r>
    </w:p>
  </w:footnote>
  <w:footnote w:id="42">
    <w:p w14:paraId="5E87D799" w14:textId="736A0780" w:rsidR="005A7E4C" w:rsidRPr="00456BAE" w:rsidRDefault="005A7E4C">
      <w:pPr>
        <w:pStyle w:val="FootnoteText"/>
        <w:rPr>
          <w:lang w:val="en-IE"/>
        </w:rPr>
      </w:pPr>
      <w:r>
        <w:rPr>
          <w:rStyle w:val="FootnoteReference"/>
        </w:rPr>
        <w:footnoteRef/>
      </w:r>
      <w:r>
        <w:t xml:space="preserve"> </w:t>
      </w:r>
      <w:r w:rsidRPr="00456BAE">
        <w:rPr>
          <w:rFonts w:ascii="Times New Roman" w:hAnsi="Times New Roman" w:cs="Times New Roman"/>
          <w:sz w:val="18"/>
          <w:szCs w:val="18"/>
          <w:lang w:val="en-IE"/>
        </w:rPr>
        <w:t>HR, EE and SI.</w:t>
      </w:r>
    </w:p>
  </w:footnote>
  <w:footnote w:id="43">
    <w:p w14:paraId="2A2709AC" w14:textId="7F97B32B" w:rsidR="003B2BDD" w:rsidRPr="00B317C4" w:rsidRDefault="003B2BDD" w:rsidP="003B2BDD">
      <w:pPr>
        <w:pStyle w:val="FootnoteText"/>
        <w:rPr>
          <w:rFonts w:ascii="Times New Roman" w:hAnsi="Times New Roman" w:cs="Times New Roman"/>
          <w:sz w:val="18"/>
          <w:szCs w:val="18"/>
          <w:lang w:val="en-IE"/>
        </w:rPr>
      </w:pPr>
      <w:r>
        <w:rPr>
          <w:rStyle w:val="FootnoteReference"/>
        </w:rPr>
        <w:footnoteRef/>
      </w:r>
      <w:r>
        <w:t xml:space="preserve"> </w:t>
      </w:r>
      <w:r w:rsidRPr="00B317C4">
        <w:rPr>
          <w:rFonts w:ascii="Times New Roman" w:hAnsi="Times New Roman" w:cs="Times New Roman"/>
          <w:sz w:val="18"/>
          <w:szCs w:val="18"/>
          <w:lang w:val="en-IE"/>
        </w:rPr>
        <w:t>See footnote</w:t>
      </w:r>
      <w:r>
        <w:rPr>
          <w:rFonts w:ascii="Times New Roman" w:hAnsi="Times New Roman" w:cs="Times New Roman"/>
          <w:sz w:val="18"/>
          <w:szCs w:val="18"/>
          <w:lang w:val="en-IE"/>
        </w:rPr>
        <w:t xml:space="preserve">s </w:t>
      </w:r>
      <w:r w:rsidR="00B14168">
        <w:rPr>
          <w:rFonts w:ascii="Times New Roman" w:hAnsi="Times New Roman" w:cs="Times New Roman"/>
          <w:sz w:val="18"/>
          <w:szCs w:val="18"/>
          <w:lang w:val="en-IE"/>
        </w:rPr>
        <w:t xml:space="preserve">2 </w:t>
      </w:r>
      <w:r>
        <w:rPr>
          <w:rFonts w:ascii="Times New Roman" w:hAnsi="Times New Roman" w:cs="Times New Roman"/>
          <w:sz w:val="18"/>
          <w:szCs w:val="18"/>
          <w:lang w:val="en-IE"/>
        </w:rPr>
        <w:t>and</w:t>
      </w:r>
      <w:r w:rsidRPr="00B317C4">
        <w:rPr>
          <w:rFonts w:ascii="Times New Roman" w:hAnsi="Times New Roman" w:cs="Times New Roman"/>
          <w:sz w:val="18"/>
          <w:szCs w:val="18"/>
          <w:lang w:val="en-IE"/>
        </w:rPr>
        <w:t xml:space="preserve"> </w:t>
      </w:r>
      <w:r w:rsidR="00B14168">
        <w:rPr>
          <w:rFonts w:ascii="Times New Roman" w:hAnsi="Times New Roman" w:cs="Times New Roman"/>
          <w:sz w:val="18"/>
          <w:szCs w:val="18"/>
          <w:lang w:val="en-IE"/>
        </w:rPr>
        <w:t>4</w:t>
      </w:r>
    </w:p>
  </w:footnote>
  <w:footnote w:id="44">
    <w:p w14:paraId="6E9D2DB8" w14:textId="3484CA09" w:rsidR="00CC0379" w:rsidRPr="00CC0379" w:rsidRDefault="00CC0379">
      <w:pPr>
        <w:pStyle w:val="FootnoteText"/>
        <w:rPr>
          <w:rFonts w:ascii="Times New Roman" w:hAnsi="Times New Roman" w:cs="Times New Roman"/>
          <w:sz w:val="18"/>
          <w:szCs w:val="18"/>
          <w:lang w:val="en-IE"/>
        </w:rPr>
      </w:pPr>
      <w:r w:rsidRPr="00CC0379">
        <w:rPr>
          <w:rStyle w:val="FootnoteReference"/>
          <w:rFonts w:ascii="Times New Roman" w:hAnsi="Times New Roman" w:cs="Times New Roman"/>
          <w:sz w:val="18"/>
          <w:szCs w:val="18"/>
        </w:rPr>
        <w:footnoteRef/>
      </w:r>
      <w:r w:rsidRPr="00CC0379">
        <w:rPr>
          <w:rFonts w:ascii="Times New Roman" w:hAnsi="Times New Roman" w:cs="Times New Roman"/>
          <w:sz w:val="18"/>
          <w:szCs w:val="18"/>
        </w:rPr>
        <w:t xml:space="preserve"> </w:t>
      </w:r>
      <w:r w:rsidRPr="00CC0379">
        <w:rPr>
          <w:rFonts w:ascii="Times New Roman" w:hAnsi="Times New Roman" w:cs="Times New Roman"/>
          <w:sz w:val="18"/>
          <w:szCs w:val="18"/>
          <w:lang w:val="en-IE"/>
        </w:rPr>
        <w:t xml:space="preserve">See reference </w:t>
      </w:r>
      <w:r w:rsidR="00A317C6">
        <w:rPr>
          <w:rFonts w:ascii="Times New Roman" w:hAnsi="Times New Roman" w:cs="Times New Roman"/>
          <w:sz w:val="18"/>
          <w:szCs w:val="18"/>
          <w:lang w:val="en-IE"/>
        </w:rPr>
        <w:t xml:space="preserve">to JRC study </w:t>
      </w:r>
      <w:r w:rsidRPr="00CC0379">
        <w:rPr>
          <w:rFonts w:ascii="Times New Roman" w:hAnsi="Times New Roman" w:cs="Times New Roman"/>
          <w:sz w:val="18"/>
          <w:szCs w:val="18"/>
          <w:lang w:val="en-IE"/>
        </w:rPr>
        <w:t xml:space="preserve">in footnote </w:t>
      </w:r>
      <w:r w:rsidR="00007684">
        <w:rPr>
          <w:rFonts w:ascii="Times New Roman" w:hAnsi="Times New Roman" w:cs="Times New Roman"/>
          <w:sz w:val="18"/>
          <w:szCs w:val="18"/>
          <w:lang w:val="en-IE"/>
        </w:rPr>
        <w:t>3</w:t>
      </w:r>
      <w:r w:rsidRPr="00CC0379">
        <w:rPr>
          <w:rFonts w:ascii="Times New Roman" w:hAnsi="Times New Roman" w:cs="Times New Roman"/>
          <w:sz w:val="18"/>
          <w:szCs w:val="18"/>
          <w:lang w:val="en-IE"/>
        </w:rPr>
        <w:t>.</w:t>
      </w:r>
    </w:p>
  </w:footnote>
  <w:footnote w:id="45">
    <w:p w14:paraId="78C9DFB1" w14:textId="311FD9FC" w:rsidR="00852B0D" w:rsidRPr="00852B0D" w:rsidRDefault="00852B0D">
      <w:pPr>
        <w:pStyle w:val="FootnoteText"/>
        <w:rPr>
          <w:rFonts w:ascii="Times New Roman" w:hAnsi="Times New Roman" w:cs="Times New Roman"/>
          <w:sz w:val="18"/>
          <w:szCs w:val="18"/>
        </w:rPr>
      </w:pPr>
      <w:r>
        <w:rPr>
          <w:rStyle w:val="FootnoteReference"/>
        </w:rPr>
        <w:footnoteRef/>
      </w:r>
      <w:r>
        <w:t xml:space="preserve"> </w:t>
      </w:r>
      <w:r w:rsidRPr="00852B0D">
        <w:rPr>
          <w:rFonts w:ascii="Times New Roman" w:hAnsi="Times New Roman" w:cs="Times New Roman"/>
          <w:sz w:val="18"/>
          <w:szCs w:val="18"/>
        </w:rPr>
        <w:t>Hydro-treatment, solvent</w:t>
      </w:r>
      <w:r>
        <w:rPr>
          <w:rFonts w:ascii="Times New Roman" w:hAnsi="Times New Roman" w:cs="Times New Roman"/>
          <w:sz w:val="18"/>
          <w:szCs w:val="18"/>
        </w:rPr>
        <w:t>-</w:t>
      </w:r>
      <w:r w:rsidRPr="00852B0D">
        <w:rPr>
          <w:rFonts w:ascii="Times New Roman" w:hAnsi="Times New Roman" w:cs="Times New Roman"/>
          <w:sz w:val="18"/>
          <w:szCs w:val="18"/>
        </w:rPr>
        <w:t>extraction and distillation</w:t>
      </w:r>
      <w:r w:rsidR="000533AA">
        <w:rPr>
          <w:rFonts w:ascii="Times New Roman" w:hAnsi="Times New Roman" w:cs="Times New Roman"/>
          <w:sz w:val="18"/>
          <w:szCs w:val="18"/>
        </w:rPr>
        <w:t>.</w:t>
      </w:r>
    </w:p>
  </w:footnote>
  <w:footnote w:id="46">
    <w:p w14:paraId="4F2A7DAD" w14:textId="68419E8C" w:rsidR="00852B0D" w:rsidRPr="000533AA" w:rsidRDefault="00852B0D">
      <w:pPr>
        <w:pStyle w:val="FootnoteText"/>
        <w:rPr>
          <w:rFonts w:ascii="Times New Roman" w:hAnsi="Times New Roman" w:cs="Times New Roman"/>
          <w:sz w:val="18"/>
          <w:szCs w:val="18"/>
        </w:rPr>
      </w:pPr>
      <w:r>
        <w:rPr>
          <w:rStyle w:val="FootnoteReference"/>
        </w:rPr>
        <w:footnoteRef/>
      </w:r>
      <w:r>
        <w:t xml:space="preserve"> </w:t>
      </w:r>
      <w:r w:rsidR="000533AA" w:rsidRPr="000533AA">
        <w:rPr>
          <w:rFonts w:ascii="Times New Roman" w:hAnsi="Times New Roman" w:cs="Times New Roman"/>
          <w:sz w:val="18"/>
          <w:szCs w:val="18"/>
        </w:rPr>
        <w:t>Waste oil derived fuel replacing primary marine fuel (WODFa);</w:t>
      </w:r>
      <w:r w:rsidR="000533AA">
        <w:rPr>
          <w:rFonts w:ascii="Times New Roman" w:hAnsi="Times New Roman" w:cs="Times New Roman"/>
          <w:sz w:val="18"/>
          <w:szCs w:val="18"/>
        </w:rPr>
        <w:t xml:space="preserve"> Waste oil derived fuel replacing primary light fuel oil (WODFb); combustion in cement kiln; combustion in hazardous waste incinerator and combustion in an industrial boiler. </w:t>
      </w:r>
      <w:r w:rsidR="000533AA" w:rsidRPr="000533AA">
        <w:rPr>
          <w:rFonts w:ascii="Times New Roman" w:hAnsi="Times New Roman" w:cs="Times New Roman"/>
          <w:sz w:val="18"/>
          <w:szCs w:val="18"/>
        </w:rPr>
        <w:t xml:space="preserve">  </w:t>
      </w:r>
    </w:p>
  </w:footnote>
  <w:footnote w:id="47">
    <w:p w14:paraId="7AA03A2D" w14:textId="2C8AB12D" w:rsidR="00A732DE" w:rsidRPr="00A317C6" w:rsidRDefault="00A732DE">
      <w:pPr>
        <w:pStyle w:val="FootnoteText"/>
        <w:rPr>
          <w:rFonts w:ascii="Times New Roman" w:hAnsi="Times New Roman" w:cs="Times New Roman"/>
          <w:sz w:val="18"/>
          <w:szCs w:val="18"/>
          <w:lang w:val="en-IE"/>
        </w:rPr>
      </w:pPr>
      <w:r>
        <w:rPr>
          <w:rStyle w:val="FootnoteReference"/>
        </w:rPr>
        <w:footnoteRef/>
      </w:r>
      <w:r>
        <w:t xml:space="preserve"> </w:t>
      </w:r>
      <w:r w:rsidR="00A317C6" w:rsidRPr="00A317C6">
        <w:rPr>
          <w:rFonts w:ascii="Times New Roman" w:hAnsi="Times New Roman" w:cs="Times New Roman"/>
          <w:sz w:val="18"/>
          <w:szCs w:val="18"/>
        </w:rPr>
        <w:t xml:space="preserve">Life-cycle assessment software: </w:t>
      </w:r>
      <w:r w:rsidRPr="00A317C6">
        <w:rPr>
          <w:rFonts w:ascii="Times New Roman" w:hAnsi="Times New Roman" w:cs="Times New Roman"/>
          <w:sz w:val="18"/>
          <w:szCs w:val="18"/>
        </w:rPr>
        <w:t>EASETECH v3.4.0</w:t>
      </w:r>
      <w:r w:rsidRPr="00A732DE">
        <w:rPr>
          <w:rFonts w:ascii="Times New Roman" w:hAnsi="Times New Roman" w:cs="Times New Roman"/>
          <w:sz w:val="18"/>
          <w:szCs w:val="18"/>
        </w:rPr>
        <w:t xml:space="preserve"> </w:t>
      </w:r>
    </w:p>
  </w:footnote>
  <w:footnote w:id="48">
    <w:p w14:paraId="6ACFF2A2" w14:textId="6F5C0109" w:rsidR="00DB024D" w:rsidRPr="00DB024D" w:rsidRDefault="00DB024D" w:rsidP="00DB024D">
      <w:pPr>
        <w:pStyle w:val="FootnoteText"/>
        <w:jc w:val="both"/>
      </w:pPr>
      <w:r>
        <w:rPr>
          <w:rStyle w:val="FootnoteReference"/>
        </w:rPr>
        <w:footnoteRef/>
      </w:r>
      <w:r>
        <w:t xml:space="preserve"> </w:t>
      </w:r>
      <w:r w:rsidRPr="00DB024D">
        <w:rPr>
          <w:rFonts w:ascii="Times New Roman" w:hAnsi="Times New Roman" w:cs="Times New Roman"/>
          <w:sz w:val="18"/>
          <w:szCs w:val="18"/>
        </w:rPr>
        <w:t>14 impact categories were analysed</w:t>
      </w:r>
    </w:p>
  </w:footnote>
  <w:footnote w:id="49">
    <w:p w14:paraId="51DB2881" w14:textId="2C11B343" w:rsidR="00A317C6" w:rsidRPr="00A317C6" w:rsidRDefault="00A317C6" w:rsidP="00EC635B">
      <w:pPr>
        <w:pStyle w:val="FootnoteText"/>
        <w:jc w:val="both"/>
        <w:rPr>
          <w:rFonts w:ascii="Times New Roman" w:hAnsi="Times New Roman" w:cs="Times New Roman"/>
          <w:sz w:val="18"/>
          <w:szCs w:val="18"/>
          <w:lang w:val="en-IE"/>
        </w:rPr>
      </w:pPr>
      <w:r>
        <w:rPr>
          <w:rStyle w:val="FootnoteReference"/>
        </w:rPr>
        <w:footnoteRef/>
      </w:r>
      <w:r>
        <w:t xml:space="preserve"> </w:t>
      </w:r>
      <w:r w:rsidRPr="00A317C6">
        <w:rPr>
          <w:rFonts w:ascii="Times New Roman" w:hAnsi="Times New Roman" w:cs="Times New Roman"/>
          <w:sz w:val="18"/>
          <w:szCs w:val="18"/>
        </w:rPr>
        <w:t>A default value of 100 euro/tonne CO</w:t>
      </w:r>
      <w:r w:rsidRPr="00025AB1">
        <w:rPr>
          <w:rFonts w:ascii="Times New Roman" w:hAnsi="Times New Roman" w:cs="Times New Roman"/>
          <w:sz w:val="18"/>
          <w:szCs w:val="18"/>
          <w:vertAlign w:val="subscript"/>
        </w:rPr>
        <w:t>2</w:t>
      </w:r>
      <w:r w:rsidRPr="00A317C6">
        <w:rPr>
          <w:rFonts w:ascii="Times New Roman" w:hAnsi="Times New Roman" w:cs="Times New Roman"/>
          <w:sz w:val="18"/>
          <w:szCs w:val="18"/>
        </w:rPr>
        <w:t xml:space="preserve"> suggested by CE Delft and DG MOVE for 2030</w:t>
      </w:r>
      <w:r>
        <w:rPr>
          <w:rFonts w:ascii="Times New Roman" w:hAnsi="Times New Roman" w:cs="Times New Roman"/>
          <w:sz w:val="18"/>
          <w:szCs w:val="18"/>
        </w:rPr>
        <w:t xml:space="preserve"> was used.</w:t>
      </w:r>
      <w:r w:rsidRPr="00A317C6">
        <w:rPr>
          <w:rFonts w:ascii="Times New Roman" w:hAnsi="Times New Roman" w:cs="Times New Roman"/>
          <w:sz w:val="18"/>
          <w:szCs w:val="18"/>
        </w:rPr>
        <w:t xml:space="preserve"> </w:t>
      </w:r>
    </w:p>
  </w:footnote>
  <w:footnote w:id="50">
    <w:p w14:paraId="597B8F32" w14:textId="54E6229D" w:rsidR="00EC635B" w:rsidRPr="00EC635B" w:rsidRDefault="00EC635B" w:rsidP="00EC635B">
      <w:pPr>
        <w:pStyle w:val="FootnoteText"/>
        <w:jc w:val="both"/>
        <w:rPr>
          <w:lang w:val="en-IE"/>
        </w:rPr>
      </w:pPr>
      <w:r>
        <w:rPr>
          <w:rStyle w:val="FootnoteReference"/>
        </w:rPr>
        <w:footnoteRef/>
      </w:r>
      <w:r>
        <w:t xml:space="preserve"> </w:t>
      </w:r>
      <w:r w:rsidRPr="00EC635B">
        <w:rPr>
          <w:rFonts w:ascii="Times New Roman" w:hAnsi="Times New Roman" w:cs="Times New Roman"/>
          <w:sz w:val="18"/>
          <w:szCs w:val="18"/>
        </w:rPr>
        <w:t>Applying Monte Carlo simulations on two scenarios simultaneously, e.g., hydro-treatment versus solvent extraction.</w:t>
      </w:r>
    </w:p>
  </w:footnote>
  <w:footnote w:id="51">
    <w:p w14:paraId="4FCE9CF5" w14:textId="069BB801" w:rsidR="00F62145" w:rsidRPr="00F62145" w:rsidRDefault="00F62145">
      <w:pPr>
        <w:pStyle w:val="FootnoteText"/>
      </w:pPr>
      <w:r>
        <w:rPr>
          <w:rStyle w:val="FootnoteReference"/>
        </w:rPr>
        <w:footnoteRef/>
      </w:r>
      <w:r>
        <w:t xml:space="preserve"> </w:t>
      </w:r>
      <w:r w:rsidRPr="00456BAE">
        <w:rPr>
          <w:rFonts w:ascii="Times New Roman" w:hAnsi="Times New Roman" w:cs="Times New Roman"/>
          <w:sz w:val="18"/>
          <w:szCs w:val="18"/>
        </w:rPr>
        <w:t>Hydro-treatment, solvent extraction and distillation</w:t>
      </w:r>
    </w:p>
  </w:footnote>
  <w:footnote w:id="52">
    <w:p w14:paraId="54DFCDCB" w14:textId="0F2A386C" w:rsidR="00555CDD" w:rsidRPr="00E17226" w:rsidRDefault="00555CDD">
      <w:pPr>
        <w:pStyle w:val="FootnoteText"/>
        <w:rPr>
          <w:rFonts w:ascii="Times New Roman" w:hAnsi="Times New Roman" w:cs="Times New Roman"/>
          <w:sz w:val="18"/>
          <w:szCs w:val="18"/>
        </w:rPr>
      </w:pPr>
      <w:r w:rsidRPr="00E17226">
        <w:rPr>
          <w:rStyle w:val="FootnoteReference"/>
          <w:rFonts w:ascii="Times New Roman" w:hAnsi="Times New Roman" w:cs="Times New Roman"/>
          <w:sz w:val="18"/>
          <w:szCs w:val="18"/>
        </w:rPr>
        <w:footnoteRef/>
      </w:r>
      <w:r w:rsidRPr="00E17226">
        <w:rPr>
          <w:rFonts w:ascii="Times New Roman" w:hAnsi="Times New Roman" w:cs="Times New Roman"/>
          <w:sz w:val="18"/>
          <w:szCs w:val="18"/>
        </w:rPr>
        <w:t xml:space="preserve"> Generally, oils </w:t>
      </w:r>
      <w:r w:rsidR="00726E5E" w:rsidRPr="00E17226">
        <w:rPr>
          <w:rFonts w:ascii="Times New Roman" w:hAnsi="Times New Roman" w:cs="Times New Roman"/>
          <w:sz w:val="18"/>
          <w:szCs w:val="18"/>
        </w:rPr>
        <w:t xml:space="preserve">belonging to API </w:t>
      </w:r>
      <w:r w:rsidRPr="00E17226">
        <w:rPr>
          <w:rFonts w:ascii="Times New Roman" w:hAnsi="Times New Roman" w:cs="Times New Roman"/>
          <w:sz w:val="18"/>
          <w:szCs w:val="18"/>
        </w:rPr>
        <w:t>Groups II and II</w:t>
      </w:r>
      <w:r w:rsidR="00726E5E" w:rsidRPr="00E17226">
        <w:rPr>
          <w:rFonts w:ascii="Times New Roman" w:hAnsi="Times New Roman" w:cs="Times New Roman"/>
          <w:sz w:val="18"/>
          <w:szCs w:val="18"/>
        </w:rPr>
        <w:t>I</w:t>
      </w:r>
      <w:r w:rsidRPr="00E17226">
        <w:rPr>
          <w:rFonts w:ascii="Times New Roman" w:hAnsi="Times New Roman" w:cs="Times New Roman"/>
          <w:sz w:val="18"/>
          <w:szCs w:val="18"/>
        </w:rPr>
        <w:t>.</w:t>
      </w:r>
    </w:p>
  </w:footnote>
  <w:footnote w:id="53">
    <w:p w14:paraId="4C8EEB4F" w14:textId="20E450B0" w:rsidR="002C4A88" w:rsidRPr="002C4A88" w:rsidRDefault="002C4A88">
      <w:pPr>
        <w:pStyle w:val="FootnoteText"/>
      </w:pPr>
      <w:r>
        <w:rPr>
          <w:rStyle w:val="FootnoteReference"/>
        </w:rPr>
        <w:footnoteRef/>
      </w:r>
      <w:r>
        <w:t xml:space="preserve"> </w:t>
      </w:r>
      <w:r w:rsidRPr="002C4A88">
        <w:rPr>
          <w:rFonts w:ascii="Times New Roman" w:hAnsi="Times New Roman" w:cs="Times New Roman"/>
          <w:sz w:val="18"/>
          <w:szCs w:val="18"/>
        </w:rPr>
        <w:t>Leading to the avoidance of 0.6 Mt of CO</w:t>
      </w:r>
      <w:r w:rsidRPr="00893F00">
        <w:rPr>
          <w:rFonts w:ascii="Times New Roman" w:hAnsi="Times New Roman" w:cs="Times New Roman"/>
          <w:sz w:val="18"/>
          <w:szCs w:val="18"/>
          <w:vertAlign w:val="subscript"/>
        </w:rPr>
        <w:t>2</w:t>
      </w:r>
      <w:r w:rsidRPr="002C4A88">
        <w:rPr>
          <w:rFonts w:ascii="Times New Roman" w:hAnsi="Times New Roman" w:cs="Times New Roman"/>
          <w:sz w:val="18"/>
          <w:szCs w:val="18"/>
        </w:rPr>
        <w:t>-eq. emissions until 2045 for the 70% target and 1.7 Mt for the 85% target</w:t>
      </w:r>
      <w:r w:rsidR="005E1E88">
        <w:rPr>
          <w:rFonts w:ascii="Times New Roman" w:hAnsi="Times New Roman" w:cs="Times New Roman"/>
          <w:sz w:val="18"/>
          <w:szCs w:val="18"/>
        </w:rPr>
        <w:t xml:space="preserve"> (cumulative over the time-period considered)</w:t>
      </w:r>
      <w:r w:rsidRPr="002C4A88">
        <w:rPr>
          <w:rFonts w:ascii="Times New Roman" w:hAnsi="Times New Roman" w:cs="Times New Roman"/>
          <w:sz w:val="18"/>
          <w:szCs w:val="18"/>
        </w:rPr>
        <w:t>.</w:t>
      </w:r>
    </w:p>
  </w:footnote>
  <w:footnote w:id="54">
    <w:p w14:paraId="704D6235" w14:textId="5D1AD9F3" w:rsidR="00FE67A3" w:rsidRPr="00FE67A3" w:rsidRDefault="00FE67A3" w:rsidP="00012815">
      <w:pPr>
        <w:pStyle w:val="JRCText"/>
      </w:pPr>
      <w:r>
        <w:rPr>
          <w:rStyle w:val="FootnoteReference"/>
        </w:rPr>
        <w:footnoteRef/>
      </w:r>
      <w:r>
        <w:t xml:space="preserve"> </w:t>
      </w:r>
      <w:r>
        <w:rPr>
          <w:rFonts w:ascii="Times New Roman" w:hAnsi="Times New Roman"/>
          <w:sz w:val="18"/>
          <w:szCs w:val="18"/>
        </w:rPr>
        <w:t xml:space="preserve">Resulting in a calculated </w:t>
      </w:r>
      <w:r w:rsidRPr="00FE67A3">
        <w:rPr>
          <w:rFonts w:ascii="Times New Roman" w:hAnsi="Times New Roman"/>
          <w:sz w:val="18"/>
          <w:szCs w:val="18"/>
        </w:rPr>
        <w:t xml:space="preserve">cumulative benefit of 124 M€ between 2024 and 2045 in terms of avoided societal costs for the 70% target and 330 M€ for the 85% target. </w:t>
      </w:r>
      <w:r>
        <w:rPr>
          <w:rFonts w:ascii="Times New Roman" w:hAnsi="Times New Roman"/>
          <w:sz w:val="18"/>
          <w:szCs w:val="18"/>
        </w:rPr>
        <w:t>C</w:t>
      </w:r>
      <w:r w:rsidRPr="00FE67A3">
        <w:rPr>
          <w:rFonts w:ascii="Times New Roman" w:hAnsi="Times New Roman"/>
          <w:sz w:val="18"/>
          <w:szCs w:val="18"/>
        </w:rPr>
        <w:t xml:space="preserve">umulative administrative costs of 11-213 M€ are </w:t>
      </w:r>
      <w:r>
        <w:rPr>
          <w:rFonts w:ascii="Times New Roman" w:hAnsi="Times New Roman"/>
          <w:sz w:val="18"/>
          <w:szCs w:val="18"/>
        </w:rPr>
        <w:t>estimated</w:t>
      </w:r>
      <w:r w:rsidR="005B523B">
        <w:rPr>
          <w:rFonts w:ascii="Times New Roman" w:hAnsi="Times New Roman"/>
          <w:sz w:val="18"/>
          <w:szCs w:val="18"/>
        </w:rPr>
        <w:t>, for the same time-period 2024-2045.</w:t>
      </w:r>
      <w:r>
        <w:rPr>
          <w:rFonts w:ascii="Times New Roman" w:hAnsi="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CF11F" w14:textId="77777777" w:rsidR="001030BD" w:rsidRPr="001030BD" w:rsidRDefault="001030BD" w:rsidP="00103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8F741" w14:textId="77777777" w:rsidR="001030BD" w:rsidRPr="001030BD" w:rsidRDefault="001030BD" w:rsidP="001030B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0DDCB" w14:textId="77777777" w:rsidR="001030BD" w:rsidRPr="001030BD" w:rsidRDefault="001030BD" w:rsidP="001030B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A8B3" w14:textId="77777777" w:rsidR="00F7193C" w:rsidRDefault="00F719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DA0C5" w14:textId="77777777" w:rsidR="00F7193C" w:rsidRDefault="00F719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2FD3" w14:textId="77777777" w:rsidR="00F7193C" w:rsidRDefault="00F71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6E2"/>
    <w:multiLevelType w:val="hybridMultilevel"/>
    <w:tmpl w:val="ECA2AB06"/>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B0132A8"/>
    <w:multiLevelType w:val="hybridMultilevel"/>
    <w:tmpl w:val="1D2EC0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82709CC"/>
    <w:multiLevelType w:val="hybridMultilevel"/>
    <w:tmpl w:val="D110EE0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EAA3DBB"/>
    <w:multiLevelType w:val="hybridMultilevel"/>
    <w:tmpl w:val="F14CB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56B5583"/>
    <w:multiLevelType w:val="hybridMultilevel"/>
    <w:tmpl w:val="99B8D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9675CE6-2A44-478B-8B63-1C51916FFD4B"/>
    <w:docVar w:name="LW_COVERPAGE_TYPE" w:val="1"/>
    <w:docVar w:name="LW_CROSSREFERENCE" w:val="&lt;UNUSED&gt;"/>
    <w:docVar w:name="LW_DocType" w:val="NORMAL"/>
    <w:docVar w:name="LW_EMISSION" w:val="26.10.2023"/>
    <w:docVar w:name="LW_EMISSION_ISODATE" w:val="2023-10-2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6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LiberationSerif-Regular&gt;Circularity of mineral and synthetic lubrication and industrial waste oil management in the EU&lt;/FMT&gt;"/>
    <w:docVar w:name="LW_TYPE.DOC.CP" w:val="REPORT FROM THE COMMISSION TO THE EUROPEAN PARLIAMENT AND THE COUNCIL"/>
    <w:docVar w:name="LwApiVersions" w:val="LW4CoDe 1.23.2.0; LW 8.0, Build 20211117"/>
  </w:docVars>
  <w:rsids>
    <w:rsidRoot w:val="00F7193C"/>
    <w:rsid w:val="00000E3D"/>
    <w:rsid w:val="00007684"/>
    <w:rsid w:val="000110AF"/>
    <w:rsid w:val="00012815"/>
    <w:rsid w:val="0001327A"/>
    <w:rsid w:val="0001576B"/>
    <w:rsid w:val="00017288"/>
    <w:rsid w:val="0002318D"/>
    <w:rsid w:val="00025AB1"/>
    <w:rsid w:val="00025C16"/>
    <w:rsid w:val="000304ED"/>
    <w:rsid w:val="0003131F"/>
    <w:rsid w:val="000359D5"/>
    <w:rsid w:val="00037D12"/>
    <w:rsid w:val="00042B15"/>
    <w:rsid w:val="00042F3B"/>
    <w:rsid w:val="00044430"/>
    <w:rsid w:val="000471A5"/>
    <w:rsid w:val="000533AA"/>
    <w:rsid w:val="00053874"/>
    <w:rsid w:val="00057A14"/>
    <w:rsid w:val="000660E1"/>
    <w:rsid w:val="0008407F"/>
    <w:rsid w:val="00087189"/>
    <w:rsid w:val="00090782"/>
    <w:rsid w:val="00091945"/>
    <w:rsid w:val="00095541"/>
    <w:rsid w:val="000A329C"/>
    <w:rsid w:val="000A6AB2"/>
    <w:rsid w:val="000A7941"/>
    <w:rsid w:val="000B71A8"/>
    <w:rsid w:val="000C50AA"/>
    <w:rsid w:val="000C7945"/>
    <w:rsid w:val="000C7F20"/>
    <w:rsid w:val="000E2BBE"/>
    <w:rsid w:val="000E56F5"/>
    <w:rsid w:val="000F0F20"/>
    <w:rsid w:val="00101DB3"/>
    <w:rsid w:val="001030BD"/>
    <w:rsid w:val="00110535"/>
    <w:rsid w:val="001159EA"/>
    <w:rsid w:val="0011710C"/>
    <w:rsid w:val="00120EC7"/>
    <w:rsid w:val="00123DF4"/>
    <w:rsid w:val="00143505"/>
    <w:rsid w:val="00145800"/>
    <w:rsid w:val="00162EC5"/>
    <w:rsid w:val="001637EA"/>
    <w:rsid w:val="00167E84"/>
    <w:rsid w:val="00170E61"/>
    <w:rsid w:val="00174C47"/>
    <w:rsid w:val="00176CD9"/>
    <w:rsid w:val="001828ED"/>
    <w:rsid w:val="00185CAB"/>
    <w:rsid w:val="00190F3F"/>
    <w:rsid w:val="00196B57"/>
    <w:rsid w:val="00197EEA"/>
    <w:rsid w:val="001A2541"/>
    <w:rsid w:val="001A4CA4"/>
    <w:rsid w:val="001A656C"/>
    <w:rsid w:val="001A7A17"/>
    <w:rsid w:val="001B0DC7"/>
    <w:rsid w:val="001B2CE0"/>
    <w:rsid w:val="001B6CAB"/>
    <w:rsid w:val="001C1855"/>
    <w:rsid w:val="001C361D"/>
    <w:rsid w:val="001D69A2"/>
    <w:rsid w:val="001F0698"/>
    <w:rsid w:val="001F420D"/>
    <w:rsid w:val="00213F8B"/>
    <w:rsid w:val="002161BA"/>
    <w:rsid w:val="00224DC5"/>
    <w:rsid w:val="002264EA"/>
    <w:rsid w:val="00227B2F"/>
    <w:rsid w:val="00234EE9"/>
    <w:rsid w:val="00235BCD"/>
    <w:rsid w:val="00236F08"/>
    <w:rsid w:val="002469F9"/>
    <w:rsid w:val="00252F94"/>
    <w:rsid w:val="00256099"/>
    <w:rsid w:val="002633EB"/>
    <w:rsid w:val="002644E5"/>
    <w:rsid w:val="002646D6"/>
    <w:rsid w:val="002666B3"/>
    <w:rsid w:val="002704C2"/>
    <w:rsid w:val="00277530"/>
    <w:rsid w:val="0028458C"/>
    <w:rsid w:val="002872BA"/>
    <w:rsid w:val="00295B68"/>
    <w:rsid w:val="00296883"/>
    <w:rsid w:val="002A5FCF"/>
    <w:rsid w:val="002B1A2D"/>
    <w:rsid w:val="002B1BA9"/>
    <w:rsid w:val="002C4833"/>
    <w:rsid w:val="002C4A88"/>
    <w:rsid w:val="002D4B5C"/>
    <w:rsid w:val="002D7913"/>
    <w:rsid w:val="002E298A"/>
    <w:rsid w:val="002E55CD"/>
    <w:rsid w:val="002E73AF"/>
    <w:rsid w:val="002F4C84"/>
    <w:rsid w:val="002F7BE7"/>
    <w:rsid w:val="002F7EDC"/>
    <w:rsid w:val="00301F99"/>
    <w:rsid w:val="003061E0"/>
    <w:rsid w:val="003169E2"/>
    <w:rsid w:val="00321E38"/>
    <w:rsid w:val="00326A4E"/>
    <w:rsid w:val="00332271"/>
    <w:rsid w:val="0034794C"/>
    <w:rsid w:val="00351AA7"/>
    <w:rsid w:val="00363532"/>
    <w:rsid w:val="003703FB"/>
    <w:rsid w:val="00381FB9"/>
    <w:rsid w:val="00382CE6"/>
    <w:rsid w:val="00384B50"/>
    <w:rsid w:val="00387E39"/>
    <w:rsid w:val="00387F6F"/>
    <w:rsid w:val="003B2BDD"/>
    <w:rsid w:val="003B3049"/>
    <w:rsid w:val="003C0C30"/>
    <w:rsid w:val="003C1FCC"/>
    <w:rsid w:val="003E7509"/>
    <w:rsid w:val="003F1AC0"/>
    <w:rsid w:val="003F2D0A"/>
    <w:rsid w:val="003F477D"/>
    <w:rsid w:val="003F5342"/>
    <w:rsid w:val="00401F7D"/>
    <w:rsid w:val="004060DC"/>
    <w:rsid w:val="00414106"/>
    <w:rsid w:val="00419BDF"/>
    <w:rsid w:val="004229A2"/>
    <w:rsid w:val="00435634"/>
    <w:rsid w:val="004400C3"/>
    <w:rsid w:val="00442A9E"/>
    <w:rsid w:val="004562CB"/>
    <w:rsid w:val="00456BAE"/>
    <w:rsid w:val="00465149"/>
    <w:rsid w:val="00465911"/>
    <w:rsid w:val="00466A5F"/>
    <w:rsid w:val="0047062E"/>
    <w:rsid w:val="00470DA8"/>
    <w:rsid w:val="0048050F"/>
    <w:rsid w:val="00484800"/>
    <w:rsid w:val="00497817"/>
    <w:rsid w:val="00497BDC"/>
    <w:rsid w:val="004B093C"/>
    <w:rsid w:val="004B1122"/>
    <w:rsid w:val="004B71F2"/>
    <w:rsid w:val="004C0C1B"/>
    <w:rsid w:val="004F09A2"/>
    <w:rsid w:val="004F6A06"/>
    <w:rsid w:val="00506880"/>
    <w:rsid w:val="00511E9E"/>
    <w:rsid w:val="005130F1"/>
    <w:rsid w:val="00515612"/>
    <w:rsid w:val="00546DBF"/>
    <w:rsid w:val="00552C7D"/>
    <w:rsid w:val="00555CDD"/>
    <w:rsid w:val="00572EBE"/>
    <w:rsid w:val="0057312E"/>
    <w:rsid w:val="00576C47"/>
    <w:rsid w:val="00595D1C"/>
    <w:rsid w:val="005A1C08"/>
    <w:rsid w:val="005A679C"/>
    <w:rsid w:val="005A67CE"/>
    <w:rsid w:val="005A7428"/>
    <w:rsid w:val="005A7E4C"/>
    <w:rsid w:val="005B523B"/>
    <w:rsid w:val="005C2285"/>
    <w:rsid w:val="005C298F"/>
    <w:rsid w:val="005C6423"/>
    <w:rsid w:val="005D3668"/>
    <w:rsid w:val="005D7567"/>
    <w:rsid w:val="005E0036"/>
    <w:rsid w:val="005E1333"/>
    <w:rsid w:val="005E1E88"/>
    <w:rsid w:val="005E5741"/>
    <w:rsid w:val="005F195F"/>
    <w:rsid w:val="005F7F85"/>
    <w:rsid w:val="006049CF"/>
    <w:rsid w:val="0060783F"/>
    <w:rsid w:val="0061267A"/>
    <w:rsid w:val="0062657F"/>
    <w:rsid w:val="00626DDF"/>
    <w:rsid w:val="00632B7E"/>
    <w:rsid w:val="00634587"/>
    <w:rsid w:val="0065147E"/>
    <w:rsid w:val="00651787"/>
    <w:rsid w:val="006535B7"/>
    <w:rsid w:val="00665F59"/>
    <w:rsid w:val="006671FE"/>
    <w:rsid w:val="00676535"/>
    <w:rsid w:val="00682828"/>
    <w:rsid w:val="00684A85"/>
    <w:rsid w:val="0068723E"/>
    <w:rsid w:val="006A3DFE"/>
    <w:rsid w:val="006B493F"/>
    <w:rsid w:val="006C3904"/>
    <w:rsid w:val="006C6FB5"/>
    <w:rsid w:val="006E06F6"/>
    <w:rsid w:val="006E268A"/>
    <w:rsid w:val="006F2BAB"/>
    <w:rsid w:val="006F664A"/>
    <w:rsid w:val="006F77C6"/>
    <w:rsid w:val="0070707C"/>
    <w:rsid w:val="00712B04"/>
    <w:rsid w:val="00712B42"/>
    <w:rsid w:val="00726E5E"/>
    <w:rsid w:val="00731A5E"/>
    <w:rsid w:val="00744DE5"/>
    <w:rsid w:val="00763BD5"/>
    <w:rsid w:val="007715BF"/>
    <w:rsid w:val="007740D7"/>
    <w:rsid w:val="00781762"/>
    <w:rsid w:val="00790A65"/>
    <w:rsid w:val="007A20A0"/>
    <w:rsid w:val="007B3620"/>
    <w:rsid w:val="007C3810"/>
    <w:rsid w:val="007C7F3F"/>
    <w:rsid w:val="007D2EB1"/>
    <w:rsid w:val="007D3558"/>
    <w:rsid w:val="007E203A"/>
    <w:rsid w:val="007E41F9"/>
    <w:rsid w:val="007F108E"/>
    <w:rsid w:val="007F6C85"/>
    <w:rsid w:val="007FC9A0"/>
    <w:rsid w:val="008021A8"/>
    <w:rsid w:val="00807E71"/>
    <w:rsid w:val="0081070D"/>
    <w:rsid w:val="0082323F"/>
    <w:rsid w:val="00826E22"/>
    <w:rsid w:val="008369FA"/>
    <w:rsid w:val="00852B0D"/>
    <w:rsid w:val="00853723"/>
    <w:rsid w:val="0086449E"/>
    <w:rsid w:val="00864C5F"/>
    <w:rsid w:val="00872F71"/>
    <w:rsid w:val="00880FA1"/>
    <w:rsid w:val="00881C35"/>
    <w:rsid w:val="0089144F"/>
    <w:rsid w:val="00893F00"/>
    <w:rsid w:val="008949AF"/>
    <w:rsid w:val="0089601C"/>
    <w:rsid w:val="008A4DD0"/>
    <w:rsid w:val="008B4C6C"/>
    <w:rsid w:val="008B5C87"/>
    <w:rsid w:val="008E4B79"/>
    <w:rsid w:val="008E7F5D"/>
    <w:rsid w:val="008F58D3"/>
    <w:rsid w:val="0090176D"/>
    <w:rsid w:val="009032A1"/>
    <w:rsid w:val="00905A72"/>
    <w:rsid w:val="009070D9"/>
    <w:rsid w:val="009106C2"/>
    <w:rsid w:val="00915835"/>
    <w:rsid w:val="00917CD1"/>
    <w:rsid w:val="00920F09"/>
    <w:rsid w:val="00924663"/>
    <w:rsid w:val="009249CF"/>
    <w:rsid w:val="00927E4A"/>
    <w:rsid w:val="00932303"/>
    <w:rsid w:val="00933A33"/>
    <w:rsid w:val="00935627"/>
    <w:rsid w:val="00941B9C"/>
    <w:rsid w:val="009439E6"/>
    <w:rsid w:val="00943DE7"/>
    <w:rsid w:val="009528D4"/>
    <w:rsid w:val="00964D73"/>
    <w:rsid w:val="009666FC"/>
    <w:rsid w:val="0096799C"/>
    <w:rsid w:val="009679BE"/>
    <w:rsid w:val="0097286F"/>
    <w:rsid w:val="00973BEF"/>
    <w:rsid w:val="009746A5"/>
    <w:rsid w:val="00994986"/>
    <w:rsid w:val="00996418"/>
    <w:rsid w:val="00996662"/>
    <w:rsid w:val="00997D8C"/>
    <w:rsid w:val="009A4822"/>
    <w:rsid w:val="009A5CA0"/>
    <w:rsid w:val="009B3BE7"/>
    <w:rsid w:val="009D03A6"/>
    <w:rsid w:val="009D18E9"/>
    <w:rsid w:val="009D1BA6"/>
    <w:rsid w:val="009D3105"/>
    <w:rsid w:val="009E3A52"/>
    <w:rsid w:val="009E58A6"/>
    <w:rsid w:val="009F053E"/>
    <w:rsid w:val="009F3648"/>
    <w:rsid w:val="009F5957"/>
    <w:rsid w:val="009F59C3"/>
    <w:rsid w:val="009F6435"/>
    <w:rsid w:val="009F6FAF"/>
    <w:rsid w:val="00A123CD"/>
    <w:rsid w:val="00A15CE0"/>
    <w:rsid w:val="00A259BC"/>
    <w:rsid w:val="00A317C6"/>
    <w:rsid w:val="00A4000B"/>
    <w:rsid w:val="00A44AC2"/>
    <w:rsid w:val="00A52DCC"/>
    <w:rsid w:val="00A55DD5"/>
    <w:rsid w:val="00A633C1"/>
    <w:rsid w:val="00A732DE"/>
    <w:rsid w:val="00A903C8"/>
    <w:rsid w:val="00A90CB9"/>
    <w:rsid w:val="00A915D9"/>
    <w:rsid w:val="00A93FDE"/>
    <w:rsid w:val="00A95E5B"/>
    <w:rsid w:val="00A97050"/>
    <w:rsid w:val="00AB4CBD"/>
    <w:rsid w:val="00AC08E7"/>
    <w:rsid w:val="00AC0CBF"/>
    <w:rsid w:val="00AC6E77"/>
    <w:rsid w:val="00AD1447"/>
    <w:rsid w:val="00AD7329"/>
    <w:rsid w:val="00AE3BEF"/>
    <w:rsid w:val="00AE3CFF"/>
    <w:rsid w:val="00AE4E62"/>
    <w:rsid w:val="00AF522D"/>
    <w:rsid w:val="00AF77FB"/>
    <w:rsid w:val="00B02675"/>
    <w:rsid w:val="00B130B3"/>
    <w:rsid w:val="00B14168"/>
    <w:rsid w:val="00B1553F"/>
    <w:rsid w:val="00B22D02"/>
    <w:rsid w:val="00B2567D"/>
    <w:rsid w:val="00B317C4"/>
    <w:rsid w:val="00B31B7B"/>
    <w:rsid w:val="00B46C02"/>
    <w:rsid w:val="00B50116"/>
    <w:rsid w:val="00B554C2"/>
    <w:rsid w:val="00B6136E"/>
    <w:rsid w:val="00B87A7D"/>
    <w:rsid w:val="00BA1A06"/>
    <w:rsid w:val="00BA5819"/>
    <w:rsid w:val="00BB25A9"/>
    <w:rsid w:val="00BB27AF"/>
    <w:rsid w:val="00BB3736"/>
    <w:rsid w:val="00BC1431"/>
    <w:rsid w:val="00BD6A90"/>
    <w:rsid w:val="00BD6E3B"/>
    <w:rsid w:val="00BD6F24"/>
    <w:rsid w:val="00BE29B3"/>
    <w:rsid w:val="00BE762B"/>
    <w:rsid w:val="00BF0EDF"/>
    <w:rsid w:val="00BF44AA"/>
    <w:rsid w:val="00C050E6"/>
    <w:rsid w:val="00C22636"/>
    <w:rsid w:val="00C23810"/>
    <w:rsid w:val="00C25DDC"/>
    <w:rsid w:val="00C27229"/>
    <w:rsid w:val="00C4286F"/>
    <w:rsid w:val="00C4744B"/>
    <w:rsid w:val="00C518AA"/>
    <w:rsid w:val="00C6044F"/>
    <w:rsid w:val="00C71D2C"/>
    <w:rsid w:val="00CB0F97"/>
    <w:rsid w:val="00CB46BB"/>
    <w:rsid w:val="00CC0379"/>
    <w:rsid w:val="00CC70CC"/>
    <w:rsid w:val="00CD2B3F"/>
    <w:rsid w:val="00CD5378"/>
    <w:rsid w:val="00CD7462"/>
    <w:rsid w:val="00CF4295"/>
    <w:rsid w:val="00D051A8"/>
    <w:rsid w:val="00D3495C"/>
    <w:rsid w:val="00D34D88"/>
    <w:rsid w:val="00D43914"/>
    <w:rsid w:val="00D53283"/>
    <w:rsid w:val="00D55D0A"/>
    <w:rsid w:val="00D700BF"/>
    <w:rsid w:val="00D73AAF"/>
    <w:rsid w:val="00D76CD6"/>
    <w:rsid w:val="00D839B4"/>
    <w:rsid w:val="00D92DFA"/>
    <w:rsid w:val="00DA154C"/>
    <w:rsid w:val="00DA3CC7"/>
    <w:rsid w:val="00DB024D"/>
    <w:rsid w:val="00DB2CDF"/>
    <w:rsid w:val="00DB5671"/>
    <w:rsid w:val="00DBCF2B"/>
    <w:rsid w:val="00DC2C85"/>
    <w:rsid w:val="00DD1841"/>
    <w:rsid w:val="00DE2DC7"/>
    <w:rsid w:val="00E0209E"/>
    <w:rsid w:val="00E069BD"/>
    <w:rsid w:val="00E10ACC"/>
    <w:rsid w:val="00E16BC6"/>
    <w:rsid w:val="00E17226"/>
    <w:rsid w:val="00E2009D"/>
    <w:rsid w:val="00E20EDF"/>
    <w:rsid w:val="00E23B79"/>
    <w:rsid w:val="00E35CB5"/>
    <w:rsid w:val="00E37802"/>
    <w:rsid w:val="00E45D32"/>
    <w:rsid w:val="00E568BB"/>
    <w:rsid w:val="00E609B3"/>
    <w:rsid w:val="00E92F2F"/>
    <w:rsid w:val="00E95BCC"/>
    <w:rsid w:val="00EA241F"/>
    <w:rsid w:val="00EA74B4"/>
    <w:rsid w:val="00EB64BB"/>
    <w:rsid w:val="00EC635B"/>
    <w:rsid w:val="00EC7243"/>
    <w:rsid w:val="00ED16AC"/>
    <w:rsid w:val="00ED3AE2"/>
    <w:rsid w:val="00EF041D"/>
    <w:rsid w:val="00EF4D5A"/>
    <w:rsid w:val="00F07650"/>
    <w:rsid w:val="00F17EC8"/>
    <w:rsid w:val="00F23A26"/>
    <w:rsid w:val="00F258F1"/>
    <w:rsid w:val="00F25BD5"/>
    <w:rsid w:val="00F302DC"/>
    <w:rsid w:val="00F32F43"/>
    <w:rsid w:val="00F45CC2"/>
    <w:rsid w:val="00F5068A"/>
    <w:rsid w:val="00F52BC1"/>
    <w:rsid w:val="00F57B2C"/>
    <w:rsid w:val="00F62145"/>
    <w:rsid w:val="00F674B0"/>
    <w:rsid w:val="00F70809"/>
    <w:rsid w:val="00F7193C"/>
    <w:rsid w:val="00F804A1"/>
    <w:rsid w:val="00F81BDE"/>
    <w:rsid w:val="00F82455"/>
    <w:rsid w:val="00F83449"/>
    <w:rsid w:val="00F86F51"/>
    <w:rsid w:val="00F91D6D"/>
    <w:rsid w:val="00FA1176"/>
    <w:rsid w:val="00FA337C"/>
    <w:rsid w:val="00FA5E75"/>
    <w:rsid w:val="00FB1D5F"/>
    <w:rsid w:val="00FD52A1"/>
    <w:rsid w:val="00FD6E9E"/>
    <w:rsid w:val="00FE0C06"/>
    <w:rsid w:val="00FE605D"/>
    <w:rsid w:val="00FE67A3"/>
    <w:rsid w:val="00FE6A9D"/>
    <w:rsid w:val="00FF20D2"/>
    <w:rsid w:val="00FF478D"/>
    <w:rsid w:val="01E28BAC"/>
    <w:rsid w:val="01E402B0"/>
    <w:rsid w:val="020B5900"/>
    <w:rsid w:val="021B9A01"/>
    <w:rsid w:val="0264B744"/>
    <w:rsid w:val="02702452"/>
    <w:rsid w:val="0295D649"/>
    <w:rsid w:val="030BCE4C"/>
    <w:rsid w:val="03E86A7D"/>
    <w:rsid w:val="04FD3F18"/>
    <w:rsid w:val="05150D02"/>
    <w:rsid w:val="05533AC3"/>
    <w:rsid w:val="0584A393"/>
    <w:rsid w:val="05D662D9"/>
    <w:rsid w:val="05E10F3C"/>
    <w:rsid w:val="06092165"/>
    <w:rsid w:val="064C5BE1"/>
    <w:rsid w:val="06863D25"/>
    <w:rsid w:val="06BE336D"/>
    <w:rsid w:val="06C3195A"/>
    <w:rsid w:val="078C6980"/>
    <w:rsid w:val="0832F733"/>
    <w:rsid w:val="08348BC2"/>
    <w:rsid w:val="084CADC4"/>
    <w:rsid w:val="08E51306"/>
    <w:rsid w:val="092839E1"/>
    <w:rsid w:val="0A48182B"/>
    <w:rsid w:val="0B5E3FEA"/>
    <w:rsid w:val="0CA16638"/>
    <w:rsid w:val="0D0FD597"/>
    <w:rsid w:val="0D2F5929"/>
    <w:rsid w:val="0DA06F0A"/>
    <w:rsid w:val="0DF6F368"/>
    <w:rsid w:val="0E20BBFB"/>
    <w:rsid w:val="0E4F622D"/>
    <w:rsid w:val="0EBC5DE2"/>
    <w:rsid w:val="0ED654D0"/>
    <w:rsid w:val="0EE0F4AC"/>
    <w:rsid w:val="0F012A89"/>
    <w:rsid w:val="0F6927E2"/>
    <w:rsid w:val="10267868"/>
    <w:rsid w:val="10C3F46D"/>
    <w:rsid w:val="10C8B7FB"/>
    <w:rsid w:val="1267AF8A"/>
    <w:rsid w:val="127BC218"/>
    <w:rsid w:val="13B4CB71"/>
    <w:rsid w:val="14802B47"/>
    <w:rsid w:val="15686E3D"/>
    <w:rsid w:val="15E6D0D6"/>
    <w:rsid w:val="16599FFC"/>
    <w:rsid w:val="1661805E"/>
    <w:rsid w:val="16EC6C33"/>
    <w:rsid w:val="170FD403"/>
    <w:rsid w:val="181DE06F"/>
    <w:rsid w:val="1877BAC9"/>
    <w:rsid w:val="18FBECEB"/>
    <w:rsid w:val="194CE5D6"/>
    <w:rsid w:val="197FF8C3"/>
    <w:rsid w:val="19BBBBEC"/>
    <w:rsid w:val="1AA24DB2"/>
    <w:rsid w:val="1DBE74BF"/>
    <w:rsid w:val="1E14ECD9"/>
    <w:rsid w:val="1E77F89E"/>
    <w:rsid w:val="1FC9EE90"/>
    <w:rsid w:val="209EC933"/>
    <w:rsid w:val="2105539B"/>
    <w:rsid w:val="220DBD29"/>
    <w:rsid w:val="22EF0150"/>
    <w:rsid w:val="233A4F34"/>
    <w:rsid w:val="24732394"/>
    <w:rsid w:val="2495CC02"/>
    <w:rsid w:val="24FDFAC0"/>
    <w:rsid w:val="25195792"/>
    <w:rsid w:val="2549A468"/>
    <w:rsid w:val="264FAB44"/>
    <w:rsid w:val="27EB7BA5"/>
    <w:rsid w:val="28257257"/>
    <w:rsid w:val="2875D30D"/>
    <w:rsid w:val="28EE0F1F"/>
    <w:rsid w:val="296C32F0"/>
    <w:rsid w:val="298FF005"/>
    <w:rsid w:val="2A21F671"/>
    <w:rsid w:val="2A2617ED"/>
    <w:rsid w:val="2A3B3776"/>
    <w:rsid w:val="2B231C67"/>
    <w:rsid w:val="2B98A840"/>
    <w:rsid w:val="2BD707D7"/>
    <w:rsid w:val="2C0A2E0B"/>
    <w:rsid w:val="2C40B5AE"/>
    <w:rsid w:val="2C4ACEE5"/>
    <w:rsid w:val="2CAE4448"/>
    <w:rsid w:val="2D17E8FF"/>
    <w:rsid w:val="2DC519B3"/>
    <w:rsid w:val="2DD643DE"/>
    <w:rsid w:val="2DD9663F"/>
    <w:rsid w:val="2E4F2E9E"/>
    <w:rsid w:val="2EA81405"/>
    <w:rsid w:val="3008E7AB"/>
    <w:rsid w:val="30B008A0"/>
    <w:rsid w:val="337702E5"/>
    <w:rsid w:val="33A72D10"/>
    <w:rsid w:val="35911D32"/>
    <w:rsid w:val="35BD06C8"/>
    <w:rsid w:val="369E0882"/>
    <w:rsid w:val="38DF98C3"/>
    <w:rsid w:val="39B06842"/>
    <w:rsid w:val="3BD4E6AD"/>
    <w:rsid w:val="3C47FB86"/>
    <w:rsid w:val="3CA27D2C"/>
    <w:rsid w:val="3CBFA6AB"/>
    <w:rsid w:val="3CE67E3A"/>
    <w:rsid w:val="3DA89B42"/>
    <w:rsid w:val="3DAFAB28"/>
    <w:rsid w:val="3E74D16F"/>
    <w:rsid w:val="42139F63"/>
    <w:rsid w:val="421494CC"/>
    <w:rsid w:val="42959FAC"/>
    <w:rsid w:val="42AD0BF8"/>
    <w:rsid w:val="42FF5B27"/>
    <w:rsid w:val="43114084"/>
    <w:rsid w:val="432695AF"/>
    <w:rsid w:val="4435AAB9"/>
    <w:rsid w:val="449B2B88"/>
    <w:rsid w:val="44F4BC4C"/>
    <w:rsid w:val="458CBBFA"/>
    <w:rsid w:val="460DD338"/>
    <w:rsid w:val="4636FBE9"/>
    <w:rsid w:val="467B63F1"/>
    <w:rsid w:val="467D539E"/>
    <w:rsid w:val="4689B9AA"/>
    <w:rsid w:val="46AC9215"/>
    <w:rsid w:val="47568D6E"/>
    <w:rsid w:val="47E157F3"/>
    <w:rsid w:val="4813F9FB"/>
    <w:rsid w:val="496A0D8F"/>
    <w:rsid w:val="4AD76DE1"/>
    <w:rsid w:val="4D3A5FB7"/>
    <w:rsid w:val="4D4ABD18"/>
    <w:rsid w:val="4DD82E21"/>
    <w:rsid w:val="4E379E02"/>
    <w:rsid w:val="4E7FE49F"/>
    <w:rsid w:val="4EE36839"/>
    <w:rsid w:val="4EEB922D"/>
    <w:rsid w:val="4FC5F055"/>
    <w:rsid w:val="501CE0D1"/>
    <w:rsid w:val="50B67512"/>
    <w:rsid w:val="50F14BF4"/>
    <w:rsid w:val="51A95082"/>
    <w:rsid w:val="521B08FB"/>
    <w:rsid w:val="524021A6"/>
    <w:rsid w:val="5240E9F8"/>
    <w:rsid w:val="537BC721"/>
    <w:rsid w:val="558BE9E8"/>
    <w:rsid w:val="55B345E7"/>
    <w:rsid w:val="5747FA50"/>
    <w:rsid w:val="5815D71A"/>
    <w:rsid w:val="58C38AAA"/>
    <w:rsid w:val="594732E3"/>
    <w:rsid w:val="5969FC1E"/>
    <w:rsid w:val="5AB75715"/>
    <w:rsid w:val="5B7EEC90"/>
    <w:rsid w:val="5B956C77"/>
    <w:rsid w:val="5CDD1A31"/>
    <w:rsid w:val="5DF369C8"/>
    <w:rsid w:val="5E7287EA"/>
    <w:rsid w:val="5EC73781"/>
    <w:rsid w:val="5F22377A"/>
    <w:rsid w:val="602BAE8D"/>
    <w:rsid w:val="602E41C3"/>
    <w:rsid w:val="6030FD52"/>
    <w:rsid w:val="6082441D"/>
    <w:rsid w:val="6193E681"/>
    <w:rsid w:val="62817F6C"/>
    <w:rsid w:val="62BA7110"/>
    <w:rsid w:val="62F6088E"/>
    <w:rsid w:val="63A0BC82"/>
    <w:rsid w:val="63EE8999"/>
    <w:rsid w:val="646EEDF3"/>
    <w:rsid w:val="6494982F"/>
    <w:rsid w:val="649E4064"/>
    <w:rsid w:val="6536BF47"/>
    <w:rsid w:val="656B31BF"/>
    <w:rsid w:val="6578E501"/>
    <w:rsid w:val="660194A8"/>
    <w:rsid w:val="6610C5F0"/>
    <w:rsid w:val="670907BC"/>
    <w:rsid w:val="678B9FC2"/>
    <w:rsid w:val="67C6ACF9"/>
    <w:rsid w:val="68E19BFA"/>
    <w:rsid w:val="69408E50"/>
    <w:rsid w:val="69CAD719"/>
    <w:rsid w:val="6A6FA392"/>
    <w:rsid w:val="6AAA1F8B"/>
    <w:rsid w:val="6B1EC6C6"/>
    <w:rsid w:val="6B8F6BD5"/>
    <w:rsid w:val="6C317297"/>
    <w:rsid w:val="6C69DEDC"/>
    <w:rsid w:val="6CA16ECA"/>
    <w:rsid w:val="6CD83324"/>
    <w:rsid w:val="6E06DC58"/>
    <w:rsid w:val="6E77B9D9"/>
    <w:rsid w:val="6EA0E28A"/>
    <w:rsid w:val="6EEB8087"/>
    <w:rsid w:val="6EF8DFCB"/>
    <w:rsid w:val="6FA13F01"/>
    <w:rsid w:val="701D1DBC"/>
    <w:rsid w:val="7097D231"/>
    <w:rsid w:val="70B0D26B"/>
    <w:rsid w:val="70C50617"/>
    <w:rsid w:val="71067751"/>
    <w:rsid w:val="715D1167"/>
    <w:rsid w:val="718D573B"/>
    <w:rsid w:val="71A8522C"/>
    <w:rsid w:val="71BD0B94"/>
    <w:rsid w:val="730CD3D1"/>
    <w:rsid w:val="74007732"/>
    <w:rsid w:val="74AAA33F"/>
    <w:rsid w:val="7585CF50"/>
    <w:rsid w:val="75E98347"/>
    <w:rsid w:val="76503E96"/>
    <w:rsid w:val="76EAE485"/>
    <w:rsid w:val="773E8AAD"/>
    <w:rsid w:val="77C91BA4"/>
    <w:rsid w:val="78F6A7BE"/>
    <w:rsid w:val="790E2E84"/>
    <w:rsid w:val="7987DF58"/>
    <w:rsid w:val="7AB5D57D"/>
    <w:rsid w:val="7B049520"/>
    <w:rsid w:val="7B1BC233"/>
    <w:rsid w:val="7BC8714D"/>
    <w:rsid w:val="7CED5DFD"/>
    <w:rsid w:val="7CF1C446"/>
    <w:rsid w:val="7D2B6E63"/>
    <w:rsid w:val="7DBACABD"/>
    <w:rsid w:val="7E385D28"/>
    <w:rsid w:val="7E5B44E8"/>
    <w:rsid w:val="7E5B507B"/>
    <w:rsid w:val="7EA01F8D"/>
    <w:rsid w:val="7EC60B84"/>
    <w:rsid w:val="7F3843B9"/>
    <w:rsid w:val="7F9E7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20E8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F7193C"/>
    <w:rPr>
      <w:color w:val="0000FF"/>
      <w:shd w:val="clear" w:color="auto" w:fill="auto"/>
    </w:rPr>
  </w:style>
  <w:style w:type="paragraph" w:styleId="Header">
    <w:name w:val="header"/>
    <w:basedOn w:val="Normal"/>
    <w:link w:val="HeaderChar"/>
    <w:uiPriority w:val="99"/>
    <w:unhideWhenUsed/>
    <w:rsid w:val="00F71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93C"/>
  </w:style>
  <w:style w:type="paragraph" w:styleId="Footer">
    <w:name w:val="footer"/>
    <w:basedOn w:val="Normal"/>
    <w:link w:val="FooterChar"/>
    <w:uiPriority w:val="99"/>
    <w:unhideWhenUsed/>
    <w:rsid w:val="00F71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93C"/>
  </w:style>
  <w:style w:type="paragraph" w:customStyle="1" w:styleId="Pagedecouverture">
    <w:name w:val="Page de couverture"/>
    <w:basedOn w:val="Normal"/>
    <w:next w:val="Normal"/>
    <w:rsid w:val="00F7193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F7193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F7193C"/>
    <w:rPr>
      <w:rFonts w:ascii="Times New Roman" w:hAnsi="Times New Roman" w:cs="Times New Roman"/>
      <w:sz w:val="24"/>
    </w:rPr>
  </w:style>
  <w:style w:type="paragraph" w:customStyle="1" w:styleId="FooterSensitivity">
    <w:name w:val="Footer Sensitivity"/>
    <w:basedOn w:val="Normal"/>
    <w:link w:val="FooterSensitivityChar"/>
    <w:rsid w:val="00F7193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F7193C"/>
    <w:rPr>
      <w:rFonts w:ascii="Times New Roman" w:hAnsi="Times New Roman" w:cs="Times New Roman"/>
      <w:b/>
      <w:sz w:val="32"/>
    </w:rPr>
  </w:style>
  <w:style w:type="paragraph" w:customStyle="1" w:styleId="HeaderCoverPage">
    <w:name w:val="Header Cover Page"/>
    <w:basedOn w:val="Normal"/>
    <w:link w:val="HeaderCoverPageChar"/>
    <w:rsid w:val="00F7193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F7193C"/>
    <w:rPr>
      <w:rFonts w:ascii="Times New Roman" w:hAnsi="Times New Roman" w:cs="Times New Roman"/>
      <w:sz w:val="24"/>
    </w:rPr>
  </w:style>
  <w:style w:type="paragraph" w:customStyle="1" w:styleId="HeaderSensitivity">
    <w:name w:val="Header Sensitivity"/>
    <w:basedOn w:val="Normal"/>
    <w:link w:val="HeaderSensitivityChar"/>
    <w:rsid w:val="00F7193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F7193C"/>
    <w:rPr>
      <w:rFonts w:ascii="Times New Roman" w:hAnsi="Times New Roman" w:cs="Times New Roman"/>
      <w:b/>
      <w:sz w:val="32"/>
    </w:rPr>
  </w:style>
  <w:style w:type="paragraph" w:customStyle="1" w:styleId="HeaderSensitivityRight">
    <w:name w:val="Header Sensitivity Right"/>
    <w:basedOn w:val="Normal"/>
    <w:link w:val="HeaderSensitivityRightChar"/>
    <w:rsid w:val="0093562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F7193C"/>
    <w:rPr>
      <w:rFonts w:ascii="Times New Roman" w:hAnsi="Times New Roman" w:cs="Times New Roman"/>
      <w:sz w:val="28"/>
    </w:rPr>
  </w:style>
  <w:style w:type="paragraph" w:styleId="ListParagraph">
    <w:name w:val="List Paragraph"/>
    <w:basedOn w:val="Normal"/>
    <w:uiPriority w:val="34"/>
    <w:qFormat/>
    <w:rsid w:val="00943DE7"/>
    <w:pPr>
      <w:ind w:left="720"/>
      <w:contextualSpacing/>
    </w:p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Reference,f"/>
    <w:basedOn w:val="Normal"/>
    <w:link w:val="FootnoteTextChar"/>
    <w:uiPriority w:val="99"/>
    <w:unhideWhenUsed/>
    <w:qFormat/>
    <w:rsid w:val="00826E22"/>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 Char"/>
    <w:basedOn w:val="DefaultParagraphFont"/>
    <w:link w:val="FootnoteText"/>
    <w:uiPriority w:val="99"/>
    <w:qFormat/>
    <w:rsid w:val="00826E22"/>
    <w:rPr>
      <w:sz w:val="20"/>
      <w:szCs w:val="20"/>
    </w:rPr>
  </w:style>
  <w:style w:type="character" w:styleId="FootnoteReference">
    <w:name w:val="footnote reference"/>
    <w:aliases w:val="ftref,Footnote Refernece,Footnote Reference Superscript,Footnote Reference text,Footnote symbol,Voetnootverwijzing,footnote ref,FR,Fußnotenzeichen diss neu,Times 10 Point,Exposant 3 Point, Exposant 3 Point,Odwołanie przypisu,number"/>
    <w:basedOn w:val="DefaultParagraphFont"/>
    <w:link w:val="FootnotesymbolCarZchn"/>
    <w:uiPriority w:val="99"/>
    <w:unhideWhenUsed/>
    <w:qFormat/>
    <w:rsid w:val="00826E22"/>
    <w:rPr>
      <w:vertAlign w:val="superscript"/>
    </w:rPr>
  </w:style>
  <w:style w:type="character" w:styleId="Hyperlink">
    <w:name w:val="Hyperlink"/>
    <w:aliases w:val=" Znak Znak Znak,Znak Znak Znak"/>
    <w:basedOn w:val="DefaultParagraphFont"/>
    <w:uiPriority w:val="99"/>
    <w:unhideWhenUsed/>
    <w:qFormat/>
    <w:rsid w:val="005A1C08"/>
    <w:rPr>
      <w:color w:val="0000FF" w:themeColor="hyperlink"/>
      <w:u w:val="single"/>
    </w:rPr>
  </w:style>
  <w:style w:type="character" w:customStyle="1" w:styleId="UnresolvedMention1">
    <w:name w:val="Unresolved Mention1"/>
    <w:basedOn w:val="DefaultParagraphFont"/>
    <w:uiPriority w:val="99"/>
    <w:semiHidden/>
    <w:unhideWhenUsed/>
    <w:rsid w:val="005A1C08"/>
    <w:rPr>
      <w:color w:val="605E5C"/>
      <w:shd w:val="clear" w:color="auto" w:fill="E1DFDD"/>
    </w:rPr>
  </w:style>
  <w:style w:type="character" w:styleId="FollowedHyperlink">
    <w:name w:val="FollowedHyperlink"/>
    <w:basedOn w:val="DefaultParagraphFont"/>
    <w:uiPriority w:val="99"/>
    <w:semiHidden/>
    <w:unhideWhenUsed/>
    <w:rsid w:val="00AE3BEF"/>
    <w:rPr>
      <w:color w:val="800080" w:themeColor="followed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F59C3"/>
    <w:pPr>
      <w:spacing w:after="0" w:line="240" w:lineRule="auto"/>
      <w:jc w:val="both"/>
    </w:pPr>
    <w:rPr>
      <w:vertAlign w:val="superscript"/>
    </w:rPr>
  </w:style>
  <w:style w:type="character" w:styleId="CommentReference">
    <w:name w:val="annotation reference"/>
    <w:basedOn w:val="DefaultParagraphFont"/>
    <w:uiPriority w:val="99"/>
    <w:semiHidden/>
    <w:unhideWhenUsed/>
    <w:rsid w:val="00F17EC8"/>
    <w:rPr>
      <w:sz w:val="16"/>
      <w:szCs w:val="16"/>
    </w:rPr>
  </w:style>
  <w:style w:type="paragraph" w:styleId="CommentText">
    <w:name w:val="annotation text"/>
    <w:basedOn w:val="Normal"/>
    <w:link w:val="CommentTextChar"/>
    <w:uiPriority w:val="99"/>
    <w:unhideWhenUsed/>
    <w:rsid w:val="00F17EC8"/>
    <w:pPr>
      <w:spacing w:line="240" w:lineRule="auto"/>
    </w:pPr>
    <w:rPr>
      <w:sz w:val="20"/>
      <w:szCs w:val="20"/>
    </w:rPr>
  </w:style>
  <w:style w:type="character" w:customStyle="1" w:styleId="CommentTextChar">
    <w:name w:val="Comment Text Char"/>
    <w:basedOn w:val="DefaultParagraphFont"/>
    <w:link w:val="CommentText"/>
    <w:uiPriority w:val="99"/>
    <w:rsid w:val="00F17EC8"/>
    <w:rPr>
      <w:sz w:val="20"/>
      <w:szCs w:val="20"/>
    </w:rPr>
  </w:style>
  <w:style w:type="paragraph" w:styleId="CommentSubject">
    <w:name w:val="annotation subject"/>
    <w:basedOn w:val="CommentText"/>
    <w:next w:val="CommentText"/>
    <w:link w:val="CommentSubjectChar"/>
    <w:uiPriority w:val="99"/>
    <w:semiHidden/>
    <w:unhideWhenUsed/>
    <w:rsid w:val="00F17EC8"/>
    <w:rPr>
      <w:b/>
      <w:bCs/>
    </w:rPr>
  </w:style>
  <w:style w:type="character" w:customStyle="1" w:styleId="CommentSubjectChar">
    <w:name w:val="Comment Subject Char"/>
    <w:basedOn w:val="CommentTextChar"/>
    <w:link w:val="CommentSubject"/>
    <w:uiPriority w:val="99"/>
    <w:semiHidden/>
    <w:rsid w:val="00F17EC8"/>
    <w:rPr>
      <w:b/>
      <w:bCs/>
      <w:sz w:val="20"/>
      <w:szCs w:val="20"/>
    </w:rPr>
  </w:style>
  <w:style w:type="paragraph" w:styleId="EndnoteText">
    <w:name w:val="endnote text"/>
    <w:basedOn w:val="Normal"/>
    <w:link w:val="EndnoteTextChar"/>
    <w:uiPriority w:val="99"/>
    <w:semiHidden/>
    <w:unhideWhenUsed/>
    <w:rsid w:val="003479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794C"/>
    <w:rPr>
      <w:sz w:val="20"/>
      <w:szCs w:val="20"/>
    </w:rPr>
  </w:style>
  <w:style w:type="character" w:styleId="EndnoteReference">
    <w:name w:val="endnote reference"/>
    <w:basedOn w:val="DefaultParagraphFont"/>
    <w:uiPriority w:val="99"/>
    <w:semiHidden/>
    <w:unhideWhenUsed/>
    <w:rsid w:val="0034794C"/>
    <w:rPr>
      <w:vertAlign w:val="superscript"/>
    </w:rPr>
  </w:style>
  <w:style w:type="paragraph" w:customStyle="1" w:styleId="CharCharChar1">
    <w:name w:val="Char Char Char1"/>
    <w:basedOn w:val="Normal"/>
    <w:uiPriority w:val="99"/>
    <w:rsid w:val="00470DA8"/>
    <w:pPr>
      <w:spacing w:after="160" w:line="240" w:lineRule="exact"/>
      <w:jc w:val="both"/>
    </w:pPr>
    <w:rPr>
      <w:rFonts w:ascii="Times New Roman" w:hAnsi="Times New Roman" w:cs="Times New Roman"/>
      <w:sz w:val="24"/>
      <w:szCs w:val="24"/>
      <w:vertAlign w:val="superscript"/>
    </w:rPr>
  </w:style>
  <w:style w:type="paragraph" w:customStyle="1" w:styleId="JRCText">
    <w:name w:val="JRC_Text"/>
    <w:basedOn w:val="Normal"/>
    <w:qFormat/>
    <w:rsid w:val="00FE67A3"/>
    <w:pPr>
      <w:spacing w:before="120" w:after="120" w:line="240" w:lineRule="auto"/>
      <w:jc w:val="both"/>
    </w:pPr>
    <w:rPr>
      <w:rFonts w:ascii="EC Square Sans Pro" w:eastAsia="Calibri" w:hAnsi="EC Square Sans Pro" w:cs="Times New Roman"/>
      <w:sz w:val="20"/>
    </w:rPr>
  </w:style>
  <w:style w:type="paragraph" w:styleId="BalloonText">
    <w:name w:val="Balloon Text"/>
    <w:basedOn w:val="Normal"/>
    <w:link w:val="BalloonTextChar"/>
    <w:uiPriority w:val="99"/>
    <w:semiHidden/>
    <w:unhideWhenUsed/>
    <w:rsid w:val="00612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67A"/>
    <w:rPr>
      <w:rFonts w:ascii="Segoe UI" w:hAnsi="Segoe UI" w:cs="Segoe UI"/>
      <w:sz w:val="18"/>
      <w:szCs w:val="18"/>
    </w:rPr>
  </w:style>
  <w:style w:type="paragraph" w:styleId="Revision">
    <w:name w:val="Revision"/>
    <w:hidden/>
    <w:uiPriority w:val="99"/>
    <w:semiHidden/>
    <w:rsid w:val="002E55CD"/>
    <w:pPr>
      <w:spacing w:after="0" w:line="240" w:lineRule="auto"/>
    </w:pPr>
  </w:style>
  <w:style w:type="paragraph" w:customStyle="1" w:styleId="Disclaimer">
    <w:name w:val="Disclaimer"/>
    <w:basedOn w:val="Normal"/>
    <w:rsid w:val="0093562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935627"/>
    <w:pPr>
      <w:spacing w:after="0"/>
      <w:ind w:left="5103"/>
    </w:pPr>
    <w:rPr>
      <w:rFonts w:ascii="Times New Roman" w:hAnsi="Times New Roman" w:cs="Times New Roman"/>
      <w:sz w:val="28"/>
    </w:rPr>
  </w:style>
  <w:style w:type="paragraph" w:customStyle="1" w:styleId="DateMarking">
    <w:name w:val="DateMarking"/>
    <w:basedOn w:val="Normal"/>
    <w:rsid w:val="00935627"/>
    <w:pPr>
      <w:spacing w:after="0"/>
      <w:ind w:left="5103"/>
    </w:pPr>
    <w:rPr>
      <w:rFonts w:ascii="Times New Roman" w:hAnsi="Times New Roman" w:cs="Times New Roman"/>
      <w:i/>
      <w:sz w:val="28"/>
    </w:rPr>
  </w:style>
  <w:style w:type="paragraph" w:customStyle="1" w:styleId="ReleasableTo">
    <w:name w:val="ReleasableTo"/>
    <w:basedOn w:val="Normal"/>
    <w:rsid w:val="00935627"/>
    <w:pPr>
      <w:spacing w:after="0"/>
      <w:ind w:left="5103"/>
    </w:pPr>
    <w:rPr>
      <w:rFonts w:ascii="Times New Roman" w:hAnsi="Times New Roman" w:cs="Times New Roman"/>
      <w:i/>
      <w:sz w:val="28"/>
    </w:rPr>
  </w:style>
  <w:style w:type="character" w:customStyle="1" w:styleId="UnresolvedMention2">
    <w:name w:val="Unresolved Mention2"/>
    <w:basedOn w:val="DefaultParagraphFont"/>
    <w:uiPriority w:val="99"/>
    <w:semiHidden/>
    <w:unhideWhenUsed/>
    <w:rsid w:val="00A903C8"/>
    <w:rPr>
      <w:color w:val="605E5C"/>
      <w:shd w:val="clear" w:color="auto" w:fill="E1DFDD"/>
    </w:rPr>
  </w:style>
  <w:style w:type="character" w:customStyle="1" w:styleId="UnresolvedMention">
    <w:name w:val="Unresolved Mention"/>
    <w:basedOn w:val="DefaultParagraphFont"/>
    <w:uiPriority w:val="99"/>
    <w:semiHidden/>
    <w:unhideWhenUsed/>
    <w:rsid w:val="00306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data.europa.eu/doi/10.2779/948514" TargetMode="External"/><Relationship Id="rId2" Type="http://schemas.openxmlformats.org/officeDocument/2006/relationships/hyperlink" Target="https://publications.jrc.ec.europa.eu/repository/handle/JRC133752" TargetMode="External"/><Relationship Id="rId1" Type="http://schemas.openxmlformats.org/officeDocument/2006/relationships/hyperlink" Target="https://op.europa.eu/en/publication-detail/-/publication/73a728bc-72f5-11ea-a07e-01aa75ed71a1/language-en/format-PDF/source-123020647" TargetMode="External"/><Relationship Id="rId4" Type="http://schemas.openxmlformats.org/officeDocument/2006/relationships/hyperlink" Target="https://www.geir-rerefining.or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233287345006954"/>
          <c:y val="0.14923366962996854"/>
          <c:w val="0.88440494487927501"/>
          <c:h val="0.67864529513382188"/>
        </c:manualLayout>
      </c:layout>
      <c:barChart>
        <c:barDir val="col"/>
        <c:grouping val="percentStacked"/>
        <c:varyColors val="0"/>
        <c:ser>
          <c:idx val="0"/>
          <c:order val="0"/>
          <c:tx>
            <c:strRef>
              <c:f>Fig_1!$D$1</c:f>
              <c:strCache>
                <c:ptCount val="1"/>
                <c:pt idx="0">
                  <c:v>Regeneration</c:v>
                </c:pt>
              </c:strCache>
            </c:strRef>
          </c:tx>
          <c:spPr>
            <a:solidFill>
              <a:schemeClr val="accent1">
                <a:lumMod val="75000"/>
                <a:alpha val="70000"/>
              </a:schemeClr>
            </a:solidFill>
            <a:ln>
              <a:noFill/>
            </a:ln>
            <a:effectLst/>
          </c:spPr>
          <c:invertIfNegative val="0"/>
          <c:cat>
            <c:strRef>
              <c:f>Fig_1!$B$2:$B$30</c:f>
              <c:strCache>
                <c:ptCount val="29"/>
                <c:pt idx="0">
                  <c:v>DK</c:v>
                </c:pt>
                <c:pt idx="1">
                  <c:v>EL</c:v>
                </c:pt>
                <c:pt idx="2">
                  <c:v>LU</c:v>
                </c:pt>
                <c:pt idx="3">
                  <c:v>IT</c:v>
                </c:pt>
                <c:pt idx="4">
                  <c:v>NL</c:v>
                </c:pt>
                <c:pt idx="5">
                  <c:v>BE</c:v>
                </c:pt>
                <c:pt idx="6">
                  <c:v>FI</c:v>
                </c:pt>
                <c:pt idx="7">
                  <c:v>BG</c:v>
                </c:pt>
                <c:pt idx="8">
                  <c:v>LT</c:v>
                </c:pt>
                <c:pt idx="9">
                  <c:v>PT</c:v>
                </c:pt>
                <c:pt idx="10">
                  <c:v>AT</c:v>
                </c:pt>
                <c:pt idx="11">
                  <c:v>ES</c:v>
                </c:pt>
                <c:pt idx="12">
                  <c:v>FR</c:v>
                </c:pt>
                <c:pt idx="13">
                  <c:v>EU</c:v>
                </c:pt>
                <c:pt idx="14">
                  <c:v>DE</c:v>
                </c:pt>
                <c:pt idx="15">
                  <c:v>PL</c:v>
                </c:pt>
                <c:pt idx="16">
                  <c:v>SE</c:v>
                </c:pt>
                <c:pt idx="17">
                  <c:v>UK</c:v>
                </c:pt>
                <c:pt idx="18">
                  <c:v>RO</c:v>
                </c:pt>
                <c:pt idx="19">
                  <c:v>CZ</c:v>
                </c:pt>
                <c:pt idx="20">
                  <c:v>HR</c:v>
                </c:pt>
                <c:pt idx="21">
                  <c:v>CY</c:v>
                </c:pt>
                <c:pt idx="22">
                  <c:v>EE</c:v>
                </c:pt>
                <c:pt idx="23">
                  <c:v>HU</c:v>
                </c:pt>
                <c:pt idx="24">
                  <c:v>IE</c:v>
                </c:pt>
                <c:pt idx="25">
                  <c:v>LV</c:v>
                </c:pt>
                <c:pt idx="26">
                  <c:v>MT</c:v>
                </c:pt>
                <c:pt idx="27">
                  <c:v>SI</c:v>
                </c:pt>
                <c:pt idx="28">
                  <c:v>SK</c:v>
                </c:pt>
              </c:strCache>
            </c:strRef>
          </c:cat>
          <c:val>
            <c:numRef>
              <c:f>Fig_1!$D$2:$D$30</c:f>
              <c:numCache>
                <c:formatCode>General</c:formatCode>
                <c:ptCount val="29"/>
                <c:pt idx="0">
                  <c:v>1</c:v>
                </c:pt>
                <c:pt idx="1">
                  <c:v>1</c:v>
                </c:pt>
                <c:pt idx="2">
                  <c:v>1</c:v>
                </c:pt>
                <c:pt idx="3">
                  <c:v>0.99946409431939975</c:v>
                </c:pt>
                <c:pt idx="4">
                  <c:v>0.96153846153846156</c:v>
                </c:pt>
                <c:pt idx="5">
                  <c:v>0.9555555555555556</c:v>
                </c:pt>
                <c:pt idx="6">
                  <c:v>0.90909090909090906</c:v>
                </c:pt>
                <c:pt idx="7">
                  <c:v>0.8</c:v>
                </c:pt>
                <c:pt idx="8">
                  <c:v>0.8</c:v>
                </c:pt>
                <c:pt idx="9">
                  <c:v>0.7407407407407407</c:v>
                </c:pt>
                <c:pt idx="10">
                  <c:v>0.7142857142857143</c:v>
                </c:pt>
                <c:pt idx="11">
                  <c:v>0.70999087116083304</c:v>
                </c:pt>
                <c:pt idx="12">
                  <c:v>0.66836734693877553</c:v>
                </c:pt>
                <c:pt idx="13">
                  <c:v>0.60893989855232</c:v>
                </c:pt>
                <c:pt idx="14">
                  <c:v>0.58986132177681472</c:v>
                </c:pt>
                <c:pt idx="15">
                  <c:v>0.52222222222222225</c:v>
                </c:pt>
                <c:pt idx="16">
                  <c:v>0.5</c:v>
                </c:pt>
                <c:pt idx="17">
                  <c:v>0.32558139534883723</c:v>
                </c:pt>
                <c:pt idx="18">
                  <c:v>0.16666666666666666</c:v>
                </c:pt>
                <c:pt idx="19">
                  <c:v>8.8888888888888892E-2</c:v>
                </c:pt>
                <c:pt idx="20">
                  <c:v>0</c:v>
                </c:pt>
                <c:pt idx="21">
                  <c:v>0</c:v>
                </c:pt>
                <c:pt idx="22">
                  <c:v>0</c:v>
                </c:pt>
                <c:pt idx="23">
                  <c:v>0</c:v>
                </c:pt>
                <c:pt idx="24">
                  <c:v>0</c:v>
                </c:pt>
                <c:pt idx="25">
                  <c:v>0</c:v>
                </c:pt>
                <c:pt idx="26">
                  <c:v>0</c:v>
                </c:pt>
                <c:pt idx="27">
                  <c:v>0</c:v>
                </c:pt>
                <c:pt idx="28">
                  <c:v>0</c:v>
                </c:pt>
              </c:numCache>
            </c:numRef>
          </c:val>
          <c:extLst>
            <c:ext xmlns:c16="http://schemas.microsoft.com/office/drawing/2014/chart" uri="{C3380CC4-5D6E-409C-BE32-E72D297353CC}">
              <c16:uniqueId val="{00000000-6458-4EA8-96AE-3C4BCCFA32A2}"/>
            </c:ext>
          </c:extLst>
        </c:ser>
        <c:ser>
          <c:idx val="1"/>
          <c:order val="1"/>
          <c:tx>
            <c:strRef>
              <c:f>Fig_1!$E$1</c:f>
              <c:strCache>
                <c:ptCount val="1"/>
                <c:pt idx="0">
                  <c:v>Incineration</c:v>
                </c:pt>
              </c:strCache>
            </c:strRef>
          </c:tx>
          <c:spPr>
            <a:solidFill>
              <a:schemeClr val="accent2">
                <a:lumMod val="75000"/>
                <a:alpha val="70000"/>
              </a:schemeClr>
            </a:solidFill>
            <a:ln>
              <a:noFill/>
            </a:ln>
            <a:effectLst/>
          </c:spPr>
          <c:invertIfNegative val="0"/>
          <c:cat>
            <c:strRef>
              <c:f>Fig_1!$B$2:$B$30</c:f>
              <c:strCache>
                <c:ptCount val="29"/>
                <c:pt idx="0">
                  <c:v>DK</c:v>
                </c:pt>
                <c:pt idx="1">
                  <c:v>EL</c:v>
                </c:pt>
                <c:pt idx="2">
                  <c:v>LU</c:v>
                </c:pt>
                <c:pt idx="3">
                  <c:v>IT</c:v>
                </c:pt>
                <c:pt idx="4">
                  <c:v>NL</c:v>
                </c:pt>
                <c:pt idx="5">
                  <c:v>BE</c:v>
                </c:pt>
                <c:pt idx="6">
                  <c:v>FI</c:v>
                </c:pt>
                <c:pt idx="7">
                  <c:v>BG</c:v>
                </c:pt>
                <c:pt idx="8">
                  <c:v>LT</c:v>
                </c:pt>
                <c:pt idx="9">
                  <c:v>PT</c:v>
                </c:pt>
                <c:pt idx="10">
                  <c:v>AT</c:v>
                </c:pt>
                <c:pt idx="11">
                  <c:v>ES</c:v>
                </c:pt>
                <c:pt idx="12">
                  <c:v>FR</c:v>
                </c:pt>
                <c:pt idx="13">
                  <c:v>EU</c:v>
                </c:pt>
                <c:pt idx="14">
                  <c:v>DE</c:v>
                </c:pt>
                <c:pt idx="15">
                  <c:v>PL</c:v>
                </c:pt>
                <c:pt idx="16">
                  <c:v>SE</c:v>
                </c:pt>
                <c:pt idx="17">
                  <c:v>UK</c:v>
                </c:pt>
                <c:pt idx="18">
                  <c:v>RO</c:v>
                </c:pt>
                <c:pt idx="19">
                  <c:v>CZ</c:v>
                </c:pt>
                <c:pt idx="20">
                  <c:v>HR</c:v>
                </c:pt>
                <c:pt idx="21">
                  <c:v>CY</c:v>
                </c:pt>
                <c:pt idx="22">
                  <c:v>EE</c:v>
                </c:pt>
                <c:pt idx="23">
                  <c:v>HU</c:v>
                </c:pt>
                <c:pt idx="24">
                  <c:v>IE</c:v>
                </c:pt>
                <c:pt idx="25">
                  <c:v>LV</c:v>
                </c:pt>
                <c:pt idx="26">
                  <c:v>MT</c:v>
                </c:pt>
                <c:pt idx="27">
                  <c:v>SI</c:v>
                </c:pt>
                <c:pt idx="28">
                  <c:v>SK</c:v>
                </c:pt>
              </c:strCache>
            </c:strRef>
          </c:cat>
          <c:val>
            <c:numRef>
              <c:f>Fig_1!$E$2:$E$30</c:f>
              <c:numCache>
                <c:formatCode>General</c:formatCode>
                <c:ptCount val="29"/>
                <c:pt idx="0">
                  <c:v>0</c:v>
                </c:pt>
                <c:pt idx="1">
                  <c:v>0</c:v>
                </c:pt>
                <c:pt idx="2">
                  <c:v>0</c:v>
                </c:pt>
                <c:pt idx="3">
                  <c:v>0</c:v>
                </c:pt>
                <c:pt idx="4">
                  <c:v>0</c:v>
                </c:pt>
                <c:pt idx="5">
                  <c:v>0</c:v>
                </c:pt>
                <c:pt idx="6">
                  <c:v>9.0909090909090912E-2</c:v>
                </c:pt>
                <c:pt idx="7">
                  <c:v>0</c:v>
                </c:pt>
                <c:pt idx="8">
                  <c:v>0.2</c:v>
                </c:pt>
                <c:pt idx="9">
                  <c:v>0</c:v>
                </c:pt>
                <c:pt idx="10">
                  <c:v>0.2857142857142857</c:v>
                </c:pt>
                <c:pt idx="11">
                  <c:v>0</c:v>
                </c:pt>
                <c:pt idx="12">
                  <c:v>0.25</c:v>
                </c:pt>
                <c:pt idx="13">
                  <c:v>0.108049821499767</c:v>
                </c:pt>
                <c:pt idx="14">
                  <c:v>0.16128927410617552</c:v>
                </c:pt>
                <c:pt idx="15">
                  <c:v>0</c:v>
                </c:pt>
                <c:pt idx="16">
                  <c:v>0</c:v>
                </c:pt>
                <c:pt idx="17">
                  <c:v>0</c:v>
                </c:pt>
                <c:pt idx="18">
                  <c:v>0.33333333333333331</c:v>
                </c:pt>
                <c:pt idx="19">
                  <c:v>0.44444444444444442</c:v>
                </c:pt>
                <c:pt idx="20">
                  <c:v>0.7142857142857143</c:v>
                </c:pt>
                <c:pt idx="21">
                  <c:v>0</c:v>
                </c:pt>
                <c:pt idx="22">
                  <c:v>1</c:v>
                </c:pt>
                <c:pt idx="23">
                  <c:v>0</c:v>
                </c:pt>
                <c:pt idx="24">
                  <c:v>0.23076923076923078</c:v>
                </c:pt>
                <c:pt idx="25">
                  <c:v>0</c:v>
                </c:pt>
                <c:pt idx="26">
                  <c:v>0</c:v>
                </c:pt>
                <c:pt idx="27">
                  <c:v>0.5714285714285714</c:v>
                </c:pt>
                <c:pt idx="28">
                  <c:v>0.2857142857142857</c:v>
                </c:pt>
              </c:numCache>
            </c:numRef>
          </c:val>
          <c:extLst>
            <c:ext xmlns:c16="http://schemas.microsoft.com/office/drawing/2014/chart" uri="{C3380CC4-5D6E-409C-BE32-E72D297353CC}">
              <c16:uniqueId val="{00000001-6458-4EA8-96AE-3C4BCCFA32A2}"/>
            </c:ext>
          </c:extLst>
        </c:ser>
        <c:ser>
          <c:idx val="2"/>
          <c:order val="2"/>
          <c:tx>
            <c:strRef>
              <c:f>Fig_1!$F$1</c:f>
              <c:strCache>
                <c:ptCount val="1"/>
                <c:pt idx="0">
                  <c:v>Conversion to fuel</c:v>
                </c:pt>
              </c:strCache>
            </c:strRef>
          </c:tx>
          <c:spPr>
            <a:solidFill>
              <a:schemeClr val="accent4">
                <a:alpha val="70000"/>
              </a:schemeClr>
            </a:solidFill>
            <a:ln>
              <a:noFill/>
            </a:ln>
            <a:effectLst/>
          </c:spPr>
          <c:invertIfNegative val="0"/>
          <c:cat>
            <c:strRef>
              <c:f>Fig_1!$B$2:$B$30</c:f>
              <c:strCache>
                <c:ptCount val="29"/>
                <c:pt idx="0">
                  <c:v>DK</c:v>
                </c:pt>
                <c:pt idx="1">
                  <c:v>EL</c:v>
                </c:pt>
                <c:pt idx="2">
                  <c:v>LU</c:v>
                </c:pt>
                <c:pt idx="3">
                  <c:v>IT</c:v>
                </c:pt>
                <c:pt idx="4">
                  <c:v>NL</c:v>
                </c:pt>
                <c:pt idx="5">
                  <c:v>BE</c:v>
                </c:pt>
                <c:pt idx="6">
                  <c:v>FI</c:v>
                </c:pt>
                <c:pt idx="7">
                  <c:v>BG</c:v>
                </c:pt>
                <c:pt idx="8">
                  <c:v>LT</c:v>
                </c:pt>
                <c:pt idx="9">
                  <c:v>PT</c:v>
                </c:pt>
                <c:pt idx="10">
                  <c:v>AT</c:v>
                </c:pt>
                <c:pt idx="11">
                  <c:v>ES</c:v>
                </c:pt>
                <c:pt idx="12">
                  <c:v>FR</c:v>
                </c:pt>
                <c:pt idx="13">
                  <c:v>EU</c:v>
                </c:pt>
                <c:pt idx="14">
                  <c:v>DE</c:v>
                </c:pt>
                <c:pt idx="15">
                  <c:v>PL</c:v>
                </c:pt>
                <c:pt idx="16">
                  <c:v>SE</c:v>
                </c:pt>
                <c:pt idx="17">
                  <c:v>UK</c:v>
                </c:pt>
                <c:pt idx="18">
                  <c:v>RO</c:v>
                </c:pt>
                <c:pt idx="19">
                  <c:v>CZ</c:v>
                </c:pt>
                <c:pt idx="20">
                  <c:v>HR</c:v>
                </c:pt>
                <c:pt idx="21">
                  <c:v>CY</c:v>
                </c:pt>
                <c:pt idx="22">
                  <c:v>EE</c:v>
                </c:pt>
                <c:pt idx="23">
                  <c:v>HU</c:v>
                </c:pt>
                <c:pt idx="24">
                  <c:v>IE</c:v>
                </c:pt>
                <c:pt idx="25">
                  <c:v>LV</c:v>
                </c:pt>
                <c:pt idx="26">
                  <c:v>MT</c:v>
                </c:pt>
                <c:pt idx="27">
                  <c:v>SI</c:v>
                </c:pt>
                <c:pt idx="28">
                  <c:v>SK</c:v>
                </c:pt>
              </c:strCache>
            </c:strRef>
          </c:cat>
          <c:val>
            <c:numRef>
              <c:f>Fig_1!$F$2:$F$30</c:f>
              <c:numCache>
                <c:formatCode>General</c:formatCode>
                <c:ptCount val="29"/>
                <c:pt idx="0">
                  <c:v>0</c:v>
                </c:pt>
                <c:pt idx="1">
                  <c:v>0</c:v>
                </c:pt>
                <c:pt idx="2">
                  <c:v>0</c:v>
                </c:pt>
                <c:pt idx="3">
                  <c:v>0</c:v>
                </c:pt>
                <c:pt idx="4">
                  <c:v>3.8461538461538464E-2</c:v>
                </c:pt>
                <c:pt idx="5">
                  <c:v>4.4444444444444446E-2</c:v>
                </c:pt>
                <c:pt idx="6">
                  <c:v>0</c:v>
                </c:pt>
                <c:pt idx="7">
                  <c:v>0.2</c:v>
                </c:pt>
                <c:pt idx="8">
                  <c:v>0</c:v>
                </c:pt>
                <c:pt idx="9">
                  <c:v>0.25925925925925924</c:v>
                </c:pt>
                <c:pt idx="10">
                  <c:v>0</c:v>
                </c:pt>
                <c:pt idx="11">
                  <c:v>0.29000912883916702</c:v>
                </c:pt>
                <c:pt idx="12">
                  <c:v>8.1632653061224483E-2</c:v>
                </c:pt>
                <c:pt idx="13">
                  <c:v>0.24038867933783514</c:v>
                </c:pt>
                <c:pt idx="14">
                  <c:v>0.14977031419284939</c:v>
                </c:pt>
                <c:pt idx="15">
                  <c:v>0.4777777777777778</c:v>
                </c:pt>
                <c:pt idx="16">
                  <c:v>0.5</c:v>
                </c:pt>
                <c:pt idx="17">
                  <c:v>0.67441860465116277</c:v>
                </c:pt>
                <c:pt idx="18">
                  <c:v>0.5</c:v>
                </c:pt>
                <c:pt idx="19">
                  <c:v>0.13333333333333333</c:v>
                </c:pt>
                <c:pt idx="20">
                  <c:v>0.2857142857142857</c:v>
                </c:pt>
                <c:pt idx="21">
                  <c:v>1</c:v>
                </c:pt>
                <c:pt idx="22">
                  <c:v>0</c:v>
                </c:pt>
                <c:pt idx="23">
                  <c:v>0.52</c:v>
                </c:pt>
                <c:pt idx="24">
                  <c:v>0.76923076923076927</c:v>
                </c:pt>
                <c:pt idx="25">
                  <c:v>1</c:v>
                </c:pt>
                <c:pt idx="26">
                  <c:v>0</c:v>
                </c:pt>
                <c:pt idx="27">
                  <c:v>0.42857142857142855</c:v>
                </c:pt>
                <c:pt idx="28">
                  <c:v>0.7142857142857143</c:v>
                </c:pt>
              </c:numCache>
            </c:numRef>
          </c:val>
          <c:extLst>
            <c:ext xmlns:c16="http://schemas.microsoft.com/office/drawing/2014/chart" uri="{C3380CC4-5D6E-409C-BE32-E72D297353CC}">
              <c16:uniqueId val="{00000002-6458-4EA8-96AE-3C4BCCFA32A2}"/>
            </c:ext>
          </c:extLst>
        </c:ser>
        <c:ser>
          <c:idx val="3"/>
          <c:order val="3"/>
          <c:tx>
            <c:strRef>
              <c:f>Fig_1!$G$1</c:f>
              <c:strCache>
                <c:ptCount val="1"/>
                <c:pt idx="0">
                  <c:v>Other</c:v>
                </c:pt>
              </c:strCache>
            </c:strRef>
          </c:tx>
          <c:spPr>
            <a:solidFill>
              <a:schemeClr val="accent6">
                <a:alpha val="70000"/>
              </a:schemeClr>
            </a:solidFill>
            <a:ln>
              <a:noFill/>
            </a:ln>
            <a:effectLst/>
          </c:spPr>
          <c:invertIfNegative val="0"/>
          <c:cat>
            <c:strRef>
              <c:f>Fig_1!$B$2:$B$30</c:f>
              <c:strCache>
                <c:ptCount val="29"/>
                <c:pt idx="0">
                  <c:v>DK</c:v>
                </c:pt>
                <c:pt idx="1">
                  <c:v>EL</c:v>
                </c:pt>
                <c:pt idx="2">
                  <c:v>LU</c:v>
                </c:pt>
                <c:pt idx="3">
                  <c:v>IT</c:v>
                </c:pt>
                <c:pt idx="4">
                  <c:v>NL</c:v>
                </c:pt>
                <c:pt idx="5">
                  <c:v>BE</c:v>
                </c:pt>
                <c:pt idx="6">
                  <c:v>FI</c:v>
                </c:pt>
                <c:pt idx="7">
                  <c:v>BG</c:v>
                </c:pt>
                <c:pt idx="8">
                  <c:v>LT</c:v>
                </c:pt>
                <c:pt idx="9">
                  <c:v>PT</c:v>
                </c:pt>
                <c:pt idx="10">
                  <c:v>AT</c:v>
                </c:pt>
                <c:pt idx="11">
                  <c:v>ES</c:v>
                </c:pt>
                <c:pt idx="12">
                  <c:v>FR</c:v>
                </c:pt>
                <c:pt idx="13">
                  <c:v>EU</c:v>
                </c:pt>
                <c:pt idx="14">
                  <c:v>DE</c:v>
                </c:pt>
                <c:pt idx="15">
                  <c:v>PL</c:v>
                </c:pt>
                <c:pt idx="16">
                  <c:v>SE</c:v>
                </c:pt>
                <c:pt idx="17">
                  <c:v>UK</c:v>
                </c:pt>
                <c:pt idx="18">
                  <c:v>RO</c:v>
                </c:pt>
                <c:pt idx="19">
                  <c:v>CZ</c:v>
                </c:pt>
                <c:pt idx="20">
                  <c:v>HR</c:v>
                </c:pt>
                <c:pt idx="21">
                  <c:v>CY</c:v>
                </c:pt>
                <c:pt idx="22">
                  <c:v>EE</c:v>
                </c:pt>
                <c:pt idx="23">
                  <c:v>HU</c:v>
                </c:pt>
                <c:pt idx="24">
                  <c:v>IE</c:v>
                </c:pt>
                <c:pt idx="25">
                  <c:v>LV</c:v>
                </c:pt>
                <c:pt idx="26">
                  <c:v>MT</c:v>
                </c:pt>
                <c:pt idx="27">
                  <c:v>SI</c:v>
                </c:pt>
                <c:pt idx="28">
                  <c:v>SK</c:v>
                </c:pt>
              </c:strCache>
            </c:strRef>
          </c:cat>
          <c:val>
            <c:numRef>
              <c:f>Fig_1!$G$2:$G$30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4.2621600610077803E-2</c:v>
                </c:pt>
                <c:pt idx="14">
                  <c:v>9.9079089924160341E-2</c:v>
                </c:pt>
                <c:pt idx="15">
                  <c:v>0</c:v>
                </c:pt>
                <c:pt idx="16">
                  <c:v>0</c:v>
                </c:pt>
                <c:pt idx="17">
                  <c:v>0</c:v>
                </c:pt>
                <c:pt idx="18">
                  <c:v>0</c:v>
                </c:pt>
                <c:pt idx="19">
                  <c:v>0.33333333333333331</c:v>
                </c:pt>
                <c:pt idx="20">
                  <c:v>0</c:v>
                </c:pt>
                <c:pt idx="21">
                  <c:v>0</c:v>
                </c:pt>
                <c:pt idx="22">
                  <c:v>0</c:v>
                </c:pt>
                <c:pt idx="23">
                  <c:v>0.48</c:v>
                </c:pt>
                <c:pt idx="24">
                  <c:v>0</c:v>
                </c:pt>
                <c:pt idx="25">
                  <c:v>0</c:v>
                </c:pt>
                <c:pt idx="26">
                  <c:v>1</c:v>
                </c:pt>
                <c:pt idx="27">
                  <c:v>0</c:v>
                </c:pt>
                <c:pt idx="28">
                  <c:v>0</c:v>
                </c:pt>
              </c:numCache>
            </c:numRef>
          </c:val>
          <c:extLst>
            <c:ext xmlns:c16="http://schemas.microsoft.com/office/drawing/2014/chart" uri="{C3380CC4-5D6E-409C-BE32-E72D297353CC}">
              <c16:uniqueId val="{00000003-6458-4EA8-96AE-3C4BCCFA32A2}"/>
            </c:ext>
          </c:extLst>
        </c:ser>
        <c:dLbls>
          <c:showLegendKey val="0"/>
          <c:showVal val="0"/>
          <c:showCatName val="0"/>
          <c:showSerName val="0"/>
          <c:showPercent val="0"/>
          <c:showBubbleSize val="0"/>
        </c:dLbls>
        <c:gapWidth val="150"/>
        <c:overlap val="100"/>
        <c:axId val="467364280"/>
        <c:axId val="467230064"/>
      </c:barChart>
      <c:catAx>
        <c:axId val="467364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67230064"/>
        <c:crosses val="autoZero"/>
        <c:auto val="1"/>
        <c:lblAlgn val="ctr"/>
        <c:lblOffset val="100"/>
        <c:noMultiLvlLbl val="0"/>
      </c:catAx>
      <c:valAx>
        <c:axId val="467230064"/>
        <c:scaling>
          <c:orientation val="minMax"/>
        </c:scaling>
        <c:delete val="0"/>
        <c:axPos val="l"/>
        <c:majorGridlines>
          <c:spPr>
            <a:ln w="9525" cap="flat" cmpd="sng" algn="ctr">
              <a:solidFill>
                <a:schemeClr val="accent1">
                  <a:alpha val="36000"/>
                </a:schemeClr>
              </a:solidFill>
              <a:prstDash val="sysDash"/>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6736428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87C6C-25CD-44BA-B5A6-ABE6732F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3677</Words>
  <Characters>19823</Characters>
  <Application>Microsoft Office Word</Application>
  <DocSecurity>0</DocSecurity>
  <Lines>324</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2023-10-02T15:50:00Z</dcterms:created>
  <dcterms:modified xsi:type="dcterms:W3CDTF">2023-10-19T08:58:00Z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2023-07-31T17:14:58Z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b3864d5e-9b70-463c-a71f-0315f9da1197</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DocStatus">
    <vt:lpwstr>Green</vt:lpwstr>
  </property>
</Properties>
</file>