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CA8F" w14:textId="390A0542" w:rsidR="00DB2C9E" w:rsidRPr="001B36E4" w:rsidRDefault="00753616" w:rsidP="00753616">
      <w:pPr>
        <w:pStyle w:val="Pagedecouverture"/>
        <w:rPr>
          <w:noProof/>
        </w:rPr>
      </w:pPr>
      <w:r>
        <w:rPr>
          <w:noProof/>
        </w:rPr>
        <w:pict w14:anchorId="44C52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068BF2E-AFA3-4E55-AA12-A94E2991F933" style="width:455.25pt;height:414pt">
            <v:imagedata r:id="rId10" o:title=""/>
          </v:shape>
        </w:pict>
      </w:r>
    </w:p>
    <w:p w14:paraId="28C761C1" w14:textId="684A4897" w:rsidR="00247DA0" w:rsidRPr="001B36E4" w:rsidRDefault="00247DA0" w:rsidP="00247DA0">
      <w:pPr>
        <w:pStyle w:val="Pagedecouverture"/>
        <w:rPr>
          <w:noProof/>
        </w:rPr>
        <w:sectPr w:rsidR="00247DA0" w:rsidRPr="001B36E4" w:rsidSect="00753616">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0"/>
          <w:cols w:space="720"/>
          <w:docGrid w:linePitch="360"/>
        </w:sectPr>
      </w:pPr>
    </w:p>
    <w:p w14:paraId="43108D61" w14:textId="2BCE9AF9" w:rsidR="00774571" w:rsidRPr="001B36E4" w:rsidRDefault="00774571" w:rsidP="00774571">
      <w:pPr>
        <w:pStyle w:val="Annexetitre"/>
        <w:rPr>
          <w:noProof/>
        </w:rPr>
      </w:pPr>
      <w:bookmarkStart w:id="0" w:name="_GoBack"/>
      <w:bookmarkEnd w:id="0"/>
      <w:r w:rsidRPr="001B36E4">
        <w:rPr>
          <w:noProof/>
        </w:rPr>
        <w:lastRenderedPageBreak/>
        <w:t xml:space="preserve">ANHANG I: </w:t>
      </w:r>
      <w:r w:rsidRPr="001B36E4">
        <w:rPr>
          <w:noProof/>
        </w:rPr>
        <w:br/>
        <w:t>Liste der in Artikel </w:t>
      </w:r>
      <w:r w:rsidRPr="000C1A13">
        <w:rPr>
          <w:noProof/>
        </w:rPr>
        <w:t>2</w:t>
      </w:r>
      <w:r w:rsidRPr="001B36E4">
        <w:rPr>
          <w:noProof/>
        </w:rPr>
        <w:t xml:space="preserve"> Absatz </w:t>
      </w:r>
      <w:r w:rsidRPr="000C1A13">
        <w:rPr>
          <w:noProof/>
        </w:rPr>
        <w:t>1</w:t>
      </w:r>
      <w:r w:rsidRPr="001B36E4">
        <w:rPr>
          <w:noProof/>
        </w:rPr>
        <w:t xml:space="preserve"> Buchstabe a genannten juristischen Personen, die unmittelbar einer Steuer auf Gewinne oder einer anderen Steuer mit ähnlichen Merkmalen unterliegen</w:t>
      </w:r>
    </w:p>
    <w:p w14:paraId="0411B263" w14:textId="452FFF1E" w:rsidR="005B1DF5" w:rsidRPr="001B36E4" w:rsidRDefault="005B1DF5" w:rsidP="005B1DF5">
      <w:pPr>
        <w:pStyle w:val="Point0"/>
        <w:rPr>
          <w:noProof/>
        </w:rPr>
      </w:pPr>
      <w:r w:rsidRPr="001B36E4">
        <w:rPr>
          <w:noProof/>
        </w:rPr>
        <w:t>a)</w:t>
      </w:r>
      <w:r w:rsidRPr="001B36E4">
        <w:rPr>
          <w:noProof/>
        </w:rPr>
        <w:tab/>
        <w:t>Gesellschaften, die gemäß der Verordnung (EG) Nr. </w:t>
      </w:r>
      <w:r w:rsidRPr="000C1A13">
        <w:rPr>
          <w:noProof/>
        </w:rPr>
        <w:t>2157</w:t>
      </w:r>
      <w:r w:rsidRPr="001B36E4">
        <w:rPr>
          <w:noProof/>
        </w:rPr>
        <w:t>/</w:t>
      </w:r>
      <w:r w:rsidRPr="000C1A13">
        <w:rPr>
          <w:noProof/>
        </w:rPr>
        <w:t>2001</w:t>
      </w:r>
      <w:r w:rsidRPr="001B36E4">
        <w:rPr>
          <w:noProof/>
        </w:rPr>
        <w:t xml:space="preserve"> des Rates vom </w:t>
      </w:r>
      <w:r w:rsidRPr="000C1A13">
        <w:rPr>
          <w:noProof/>
        </w:rPr>
        <w:t>8</w:t>
      </w:r>
      <w:r w:rsidRPr="001B36E4">
        <w:rPr>
          <w:noProof/>
        </w:rPr>
        <w:t xml:space="preserve">. Oktober </w:t>
      </w:r>
      <w:r w:rsidRPr="000C1A13">
        <w:rPr>
          <w:noProof/>
        </w:rPr>
        <w:t>2001</w:t>
      </w:r>
      <w:r w:rsidRPr="001B36E4">
        <w:rPr>
          <w:noProof/>
        </w:rPr>
        <w:t xml:space="preserve"> über das Statut der Europäischen Gesellschaft (SE) und der Richtlinie </w:t>
      </w:r>
      <w:r w:rsidRPr="000C1A13">
        <w:rPr>
          <w:noProof/>
        </w:rPr>
        <w:t>2001</w:t>
      </w:r>
      <w:r w:rsidRPr="001B36E4">
        <w:rPr>
          <w:noProof/>
        </w:rPr>
        <w:t>/</w:t>
      </w:r>
      <w:r w:rsidRPr="000C1A13">
        <w:rPr>
          <w:noProof/>
        </w:rPr>
        <w:t>86</w:t>
      </w:r>
      <w:r w:rsidRPr="001B36E4">
        <w:rPr>
          <w:noProof/>
        </w:rPr>
        <w:t xml:space="preserve">/EG des Rates vom </w:t>
      </w:r>
      <w:r w:rsidRPr="000C1A13">
        <w:rPr>
          <w:noProof/>
        </w:rPr>
        <w:t>8</w:t>
      </w:r>
      <w:r w:rsidRPr="001B36E4">
        <w:rPr>
          <w:noProof/>
        </w:rPr>
        <w:t xml:space="preserve">. Oktober </w:t>
      </w:r>
      <w:r w:rsidRPr="000C1A13">
        <w:rPr>
          <w:noProof/>
        </w:rPr>
        <w:t>2001</w:t>
      </w:r>
      <w:r w:rsidRPr="001B36E4">
        <w:rPr>
          <w:noProof/>
        </w:rPr>
        <w:t xml:space="preserve"> zur Ergänzung des Statuts der Europäischen Gesellschaft hinsichtlich der Beteiligung der Arbeitnehmer gegründet wurden, sowie Genossenschaften, die gemäß der Verordnung (EG) Nr. </w:t>
      </w:r>
      <w:r w:rsidRPr="000C1A13">
        <w:rPr>
          <w:noProof/>
        </w:rPr>
        <w:t>1435</w:t>
      </w:r>
      <w:r w:rsidRPr="001B36E4">
        <w:rPr>
          <w:noProof/>
        </w:rPr>
        <w:t>/</w:t>
      </w:r>
      <w:r w:rsidRPr="000C1A13">
        <w:rPr>
          <w:noProof/>
        </w:rPr>
        <w:t>2003</w:t>
      </w:r>
      <w:r w:rsidRPr="001B36E4">
        <w:rPr>
          <w:noProof/>
        </w:rPr>
        <w:t xml:space="preserve"> des Rates vom </w:t>
      </w:r>
      <w:r w:rsidRPr="000C1A13">
        <w:rPr>
          <w:noProof/>
        </w:rPr>
        <w:t>22</w:t>
      </w:r>
      <w:r w:rsidRPr="001B36E4">
        <w:rPr>
          <w:noProof/>
        </w:rPr>
        <w:t xml:space="preserve">. Juli </w:t>
      </w:r>
      <w:r w:rsidRPr="000C1A13">
        <w:rPr>
          <w:noProof/>
        </w:rPr>
        <w:t>2003</w:t>
      </w:r>
      <w:r w:rsidRPr="001B36E4">
        <w:rPr>
          <w:noProof/>
        </w:rPr>
        <w:t xml:space="preserve"> über das Statut der Europäischen Genossenschaft (SCE) und gemäß der Richtlinie </w:t>
      </w:r>
      <w:r w:rsidRPr="000C1A13">
        <w:rPr>
          <w:noProof/>
        </w:rPr>
        <w:t>2003</w:t>
      </w:r>
      <w:r w:rsidRPr="001B36E4">
        <w:rPr>
          <w:noProof/>
        </w:rPr>
        <w:t>/</w:t>
      </w:r>
      <w:r w:rsidRPr="000C1A13">
        <w:rPr>
          <w:noProof/>
        </w:rPr>
        <w:t>72</w:t>
      </w:r>
      <w:r w:rsidRPr="001B36E4">
        <w:rPr>
          <w:noProof/>
        </w:rPr>
        <w:t xml:space="preserve">/EG des Rates vom </w:t>
      </w:r>
      <w:r w:rsidRPr="000C1A13">
        <w:rPr>
          <w:noProof/>
        </w:rPr>
        <w:t>22</w:t>
      </w:r>
      <w:r w:rsidRPr="001B36E4">
        <w:rPr>
          <w:noProof/>
        </w:rPr>
        <w:t xml:space="preserve">. Juli </w:t>
      </w:r>
      <w:r w:rsidRPr="000C1A13">
        <w:rPr>
          <w:noProof/>
        </w:rPr>
        <w:t>2003</w:t>
      </w:r>
      <w:r w:rsidRPr="001B36E4">
        <w:rPr>
          <w:noProof/>
        </w:rPr>
        <w:t xml:space="preserve"> zur Ergänzung des Statuts der Europäischen Genossenschaft hinsichtlich der Beteiligung der Arbeitnehmer gegründet wurden,</w:t>
      </w:r>
    </w:p>
    <w:p w14:paraId="35F53CCF" w14:textId="4E03227E" w:rsidR="005B1DF5" w:rsidRPr="001B36E4" w:rsidRDefault="005B1DF5" w:rsidP="005B1DF5">
      <w:pPr>
        <w:pStyle w:val="Point0"/>
        <w:rPr>
          <w:noProof/>
        </w:rPr>
      </w:pPr>
      <w:r w:rsidRPr="001B36E4">
        <w:rPr>
          <w:noProof/>
        </w:rPr>
        <w:t>b)</w:t>
      </w:r>
      <w:r w:rsidRPr="001B36E4">
        <w:rPr>
          <w:noProof/>
        </w:rPr>
        <w:tab/>
        <w:t>Gesellschaften belgischen Rechts mit der Bezeichnung „société anonyme“/„naamloze vennootschap“, „société en commandite par actions“/„commanditaire vennootschap op aandelen“, „société privée à responsabilité limitée“/„besloten vennootschap met beperkte aansprakelijkheid“, „société coopérative à responsabilité limitée“/„coöperatieve vennootschap met beperkte aansprakelijkheid“, „société coopérative à responsabilité illimitée“/„coöperatieve vennootschap met onbeperkte aansprakelijkheid“, „société en nom collectif“/„vennootschap onder firma“ oder „société en commandite simple“/„gewone commanditaire vennootschap“, öffentliche Unternehmen, die eine der genannten Rechtsformen angenommen haben, und andere nach belgischem Recht gegründete Gesellschaften, die der belgischen Körperschaftsteuer unterliegen,</w:t>
      </w:r>
    </w:p>
    <w:p w14:paraId="1C2A978F" w14:textId="645C3F84" w:rsidR="005B1DF5" w:rsidRPr="001B36E4" w:rsidRDefault="005B1DF5" w:rsidP="005B1DF5">
      <w:pPr>
        <w:pStyle w:val="Point0"/>
        <w:rPr>
          <w:noProof/>
        </w:rPr>
      </w:pPr>
      <w:r w:rsidRPr="001B36E4">
        <w:rPr>
          <w:noProof/>
        </w:rPr>
        <w:t>c)</w:t>
      </w:r>
      <w:r w:rsidRPr="001B36E4">
        <w:rPr>
          <w:noProof/>
        </w:rPr>
        <w:tab/>
        <w:t>Gesellschaften bulgarischen Rechts mit der Bezeichnung „събирателно дружество“, „командитно дружество“, „дружество с ограничена отговорност“, „акционерно дружество“, „командитно дружество с акции“, „неперсонифицирано дружество“, „кооперации“, „кооперативни съюзи“, „държавни предприятия“, die nach bulgarischem Recht gegründet wurden und gewerbliche Tätigkeiten ausüben,</w:t>
      </w:r>
    </w:p>
    <w:p w14:paraId="290511EE" w14:textId="0B0BD024" w:rsidR="005B1DF5" w:rsidRPr="001B36E4" w:rsidRDefault="005B1DF5" w:rsidP="005B1DF5">
      <w:pPr>
        <w:pStyle w:val="Point0"/>
        <w:rPr>
          <w:noProof/>
        </w:rPr>
      </w:pPr>
      <w:r w:rsidRPr="001B36E4">
        <w:rPr>
          <w:noProof/>
        </w:rPr>
        <w:t>d)</w:t>
      </w:r>
      <w:r w:rsidRPr="001B36E4">
        <w:rPr>
          <w:noProof/>
        </w:rPr>
        <w:tab/>
        <w:t xml:space="preserve">Gesellschaften tschechischen Rechts mit der Bezeichnung „akciová společnost“, „společnost s ručením omezeným“,  </w:t>
      </w:r>
    </w:p>
    <w:p w14:paraId="428DAE27" w14:textId="5695C0EB" w:rsidR="005B1DF5" w:rsidRPr="001B36E4" w:rsidRDefault="005B1DF5" w:rsidP="005B1DF5">
      <w:pPr>
        <w:pStyle w:val="Point0"/>
        <w:rPr>
          <w:noProof/>
        </w:rPr>
      </w:pPr>
      <w:r w:rsidRPr="001B36E4">
        <w:rPr>
          <w:noProof/>
        </w:rPr>
        <w:t>e)</w:t>
      </w:r>
      <w:r w:rsidRPr="001B36E4">
        <w:rPr>
          <w:noProof/>
        </w:rPr>
        <w:tab/>
        <w:t xml:space="preserve">Gesellschaften dänischen Rechts mit der Bezeichnung „aktieselskab“ oder „anpartsselskab“. Weitere nach dem Körperschaftsteuergesetz steuerpflichtige Gesellschaften, soweit ihr steuerbarer Gewinn nach den allgemeinen steuerrechtlichen Bestimmungen für „aktieselskaber“ ermittelt und besteuert wird,  </w:t>
      </w:r>
    </w:p>
    <w:p w14:paraId="505EEE13" w14:textId="261CF30F" w:rsidR="005B1DF5" w:rsidRPr="001B36E4" w:rsidRDefault="005B1DF5" w:rsidP="005B1DF5">
      <w:pPr>
        <w:pStyle w:val="Point0"/>
        <w:rPr>
          <w:noProof/>
        </w:rPr>
      </w:pPr>
      <w:r w:rsidRPr="001B36E4">
        <w:rPr>
          <w:noProof/>
        </w:rPr>
        <w:t>f)</w:t>
      </w:r>
      <w:r w:rsidRPr="001B36E4">
        <w:rPr>
          <w:noProof/>
        </w:rPr>
        <w:tab/>
        <w:t xml:space="preserve">Gesellschaften deutschen Rechts mit der Bezeichnung „Aktiengesellschaft“, „Kommanditgesellschaft auf Aktien“, „Gesellschaft mit beschränkter Haftung“, „Versicherungsverein auf Gegenseitigkeit“, „Erwerbs- und Wirtschaftsgenossenschaft“ oder „Betrieb gewerblicher Art von juristischen Personen des öffentlichen Rechts“ und andere nach deutschem Recht gegründete Gesellschaften, die der deutschen Körperschaftsteuer unterliegen,  </w:t>
      </w:r>
    </w:p>
    <w:p w14:paraId="64E03BEC" w14:textId="1CF65E60" w:rsidR="005B1DF5" w:rsidRPr="001B36E4" w:rsidRDefault="005B1DF5" w:rsidP="005B1DF5">
      <w:pPr>
        <w:pStyle w:val="Point0"/>
        <w:rPr>
          <w:noProof/>
        </w:rPr>
      </w:pPr>
      <w:r w:rsidRPr="001B36E4">
        <w:rPr>
          <w:noProof/>
        </w:rPr>
        <w:t>g)</w:t>
      </w:r>
      <w:r w:rsidRPr="001B36E4">
        <w:rPr>
          <w:noProof/>
        </w:rPr>
        <w:tab/>
        <w:t xml:space="preserve">Gesellschaften estnischen Rechts mit der Bezeichnung „täisühing“, „usaldusühing“, „osaühing“, „aktsiaselts“ und „tulundusühistu“,  </w:t>
      </w:r>
    </w:p>
    <w:p w14:paraId="0967B197" w14:textId="5675D350" w:rsidR="005B1DF5" w:rsidRPr="001B36E4" w:rsidRDefault="005B1DF5" w:rsidP="005B1DF5">
      <w:pPr>
        <w:pStyle w:val="Point0"/>
        <w:rPr>
          <w:noProof/>
        </w:rPr>
      </w:pPr>
      <w:r w:rsidRPr="001B36E4">
        <w:rPr>
          <w:noProof/>
        </w:rPr>
        <w:t>h)</w:t>
      </w:r>
      <w:r w:rsidRPr="001B36E4">
        <w:rPr>
          <w:noProof/>
        </w:rPr>
        <w:tab/>
        <w:t xml:space="preserve">nach irischem Recht gegründete oder eingetragene Gesellschaften, gemäß dem Industrial and Provident Societies Act eingetragene Körperschaften, gemäß dem Building Societies Act gegründete „building societies“ und „trustee savings banks“ im Sinne des Trustee Savings Banks Act von </w:t>
      </w:r>
      <w:r w:rsidRPr="000C1A13">
        <w:rPr>
          <w:noProof/>
        </w:rPr>
        <w:t>1989</w:t>
      </w:r>
      <w:r w:rsidRPr="001B36E4">
        <w:rPr>
          <w:noProof/>
        </w:rPr>
        <w:t xml:space="preserve">,  </w:t>
      </w:r>
    </w:p>
    <w:p w14:paraId="6A14B410" w14:textId="5226688F" w:rsidR="005B1DF5" w:rsidRPr="001B36E4" w:rsidRDefault="005B1DF5" w:rsidP="005B1DF5">
      <w:pPr>
        <w:pStyle w:val="Point0"/>
        <w:rPr>
          <w:noProof/>
        </w:rPr>
      </w:pPr>
      <w:r w:rsidRPr="001B36E4">
        <w:rPr>
          <w:noProof/>
        </w:rPr>
        <w:t>i)</w:t>
      </w:r>
      <w:r w:rsidRPr="001B36E4">
        <w:rPr>
          <w:noProof/>
        </w:rPr>
        <w:tab/>
        <w:t xml:space="preserve">Gesellschaften griechischen Rechts mit der Bezeichnung „ανώνυμη εταιρεία“ oder „εταιρεία περιωρισμένης ευθύνης (Ε.Π.Ε.)“ und andere nach griechischem Recht gegründete Gesellschaften, die der griechischen Körperschaftsteuer unterliegen,  </w:t>
      </w:r>
    </w:p>
    <w:p w14:paraId="374CAB38" w14:textId="40A2A92A" w:rsidR="005B1DF5" w:rsidRPr="001B36E4" w:rsidRDefault="005B1DF5" w:rsidP="005B1DF5">
      <w:pPr>
        <w:pStyle w:val="Point0"/>
        <w:rPr>
          <w:noProof/>
        </w:rPr>
      </w:pPr>
      <w:r w:rsidRPr="001B36E4">
        <w:rPr>
          <w:noProof/>
        </w:rPr>
        <w:t>j)</w:t>
      </w:r>
      <w:r w:rsidRPr="001B36E4">
        <w:rPr>
          <w:noProof/>
        </w:rPr>
        <w:tab/>
        <w:t xml:space="preserve">Gesellschaften spanischen Rechts mit der Bezeichnung „sociedad anónima“, „sociedad comanditaria por acciones“, „sociedad de responsabilidad limitada“ sowie öffentlich-rechtliche Körperschaften, deren Tätigkeit unter das Privatrecht fällt. Andere nach spanischem Recht gegründete Körperschaften, die der spanischen Körperschaftsteuer („impuesto sobre sociedades“) unterliegen,  </w:t>
      </w:r>
    </w:p>
    <w:p w14:paraId="13516248" w14:textId="5B91FC9D" w:rsidR="005B1DF5" w:rsidRPr="001B36E4" w:rsidRDefault="005B1DF5" w:rsidP="005B1DF5">
      <w:pPr>
        <w:pStyle w:val="Point0"/>
        <w:rPr>
          <w:noProof/>
        </w:rPr>
      </w:pPr>
      <w:r w:rsidRPr="001B36E4">
        <w:rPr>
          <w:noProof/>
        </w:rPr>
        <w:t>k)</w:t>
      </w:r>
      <w:r w:rsidRPr="001B36E4">
        <w:rPr>
          <w:noProof/>
        </w:rPr>
        <w:tab/>
        <w:t xml:space="preserve">Gesellschaften französischen Rechts mit der Bezeichnung „société anonyme“, „société en commandite par actions“, „société à responsabilité limitée“, „société par actions simplifiées“, „société d’assurances mutuelles“, „caisse d’épargne et de prévoyance“, „société civile“, die automatisch der Körperschaftsteuer unterliegen, „coopératives“, „unions de coopératives“ sowie öffentliche Industrie- und Handelsbetriebe und </w:t>
      </w:r>
      <w:r w:rsidRPr="001B36E4">
        <w:rPr>
          <w:noProof/>
        </w:rPr>
        <w:noBreakHyphen/>
        <w:t xml:space="preserve">unternehmen und andere nach französischem Recht gegründete Gesellschaften, die der französischen Körperschaftsteuer unterliegen,  </w:t>
      </w:r>
    </w:p>
    <w:p w14:paraId="34341CF4" w14:textId="63FB8FD8" w:rsidR="005B1DF5" w:rsidRPr="001B36E4" w:rsidRDefault="005B1DF5" w:rsidP="005B1DF5">
      <w:pPr>
        <w:pStyle w:val="Point0"/>
        <w:rPr>
          <w:noProof/>
        </w:rPr>
      </w:pPr>
      <w:r w:rsidRPr="001B36E4">
        <w:rPr>
          <w:noProof/>
        </w:rPr>
        <w:t>l)</w:t>
      </w:r>
      <w:r w:rsidRPr="001B36E4">
        <w:rPr>
          <w:noProof/>
        </w:rPr>
        <w:tab/>
        <w:t xml:space="preserve">Gesellschaften italienischen Rechts mit der Bezeichnung „società per azioni“, „società in accomandita per azioni“, „società a responsabilità limitata“, „società cooperative“, „società di mutua assicurazione“ sowie öffentliche und private Körperschaften, deren Tätigkeit ganz oder überwiegend handelsgewerblicher Art ist,  </w:t>
      </w:r>
    </w:p>
    <w:p w14:paraId="4E478A57" w14:textId="3940EE3F" w:rsidR="005B1DF5" w:rsidRPr="001B36E4" w:rsidRDefault="005B1DF5" w:rsidP="005B1DF5">
      <w:pPr>
        <w:pStyle w:val="Point0"/>
        <w:rPr>
          <w:noProof/>
        </w:rPr>
      </w:pPr>
      <w:r w:rsidRPr="001B36E4">
        <w:rPr>
          <w:noProof/>
        </w:rPr>
        <w:t>m)</w:t>
      </w:r>
      <w:r w:rsidRPr="001B36E4">
        <w:rPr>
          <w:noProof/>
        </w:rPr>
        <w:tab/>
        <w:t xml:space="preserve">Gesellschaften zyprischen Rechts mit der Bezeichnung „εταιρείες“ im Sinne der Einkommensteuergesetze,  </w:t>
      </w:r>
    </w:p>
    <w:p w14:paraId="2993134F" w14:textId="465950D1" w:rsidR="005B1DF5" w:rsidRPr="001B36E4" w:rsidRDefault="005B1DF5" w:rsidP="005B1DF5">
      <w:pPr>
        <w:pStyle w:val="Point0"/>
        <w:rPr>
          <w:noProof/>
        </w:rPr>
      </w:pPr>
      <w:r w:rsidRPr="001B36E4">
        <w:rPr>
          <w:noProof/>
        </w:rPr>
        <w:t>n)</w:t>
      </w:r>
      <w:r w:rsidRPr="001B36E4">
        <w:rPr>
          <w:noProof/>
        </w:rPr>
        <w:tab/>
        <w:t xml:space="preserve">Gesellschaften lettischen Rechts mit der Bezeichnung „akciju sabiedrība“, „sabiedrība ar ierobežotu atbildību“,  </w:t>
      </w:r>
    </w:p>
    <w:p w14:paraId="0A58802A" w14:textId="284A1033" w:rsidR="005B1DF5" w:rsidRPr="000C1A13" w:rsidRDefault="005B1DF5" w:rsidP="005B1DF5">
      <w:pPr>
        <w:pStyle w:val="Point0"/>
        <w:rPr>
          <w:noProof/>
          <w:lang w:val="fr-BE"/>
        </w:rPr>
      </w:pPr>
      <w:r w:rsidRPr="000C1A13">
        <w:rPr>
          <w:noProof/>
          <w:lang w:val="fr-BE"/>
        </w:rPr>
        <w:t>o)</w:t>
      </w:r>
      <w:r w:rsidRPr="000C1A13">
        <w:rPr>
          <w:noProof/>
          <w:lang w:val="fr-BE"/>
        </w:rPr>
        <w:tab/>
        <w:t xml:space="preserve">Gesellschaften litauischen Rechts,  </w:t>
      </w:r>
    </w:p>
    <w:p w14:paraId="00398329" w14:textId="4C59B6A5" w:rsidR="005B1DF5" w:rsidRPr="000C1A13" w:rsidRDefault="005B1DF5" w:rsidP="005B1DF5">
      <w:pPr>
        <w:pStyle w:val="Point0"/>
        <w:rPr>
          <w:noProof/>
          <w:lang w:val="fr-BE"/>
        </w:rPr>
      </w:pPr>
      <w:r w:rsidRPr="000C1A13">
        <w:rPr>
          <w:noProof/>
          <w:lang w:val="fr-BE"/>
        </w:rPr>
        <w:t>p)</w:t>
      </w:r>
      <w:r w:rsidRPr="000C1A13">
        <w:rPr>
          <w:noProof/>
          <w:lang w:val="fr-BE"/>
        </w:rPr>
        <w:tab/>
        <w:t xml:space="preserve">Gesellschaften luxemburgischen Rechts mit der Bezeichnung „société anonyme“, „société en commandite par actions“, „société à responsabilité limitée“, „société coopérative“, „société coopérative organisée comme une société anonyme“, „association d’assurances mutuelles“, „association d’épargne-pension“, „entreprise de nature commerciale, industrielle ou minière de l’Etat, des communes, des syndicats de communes, des établissements publics et des autres personnes morales de droit public“ sowie andere nach luxemburgischem Recht gegründete Gesellschaften, die der luxemburgischen Körperschaftsteuer unterliegen,  </w:t>
      </w:r>
    </w:p>
    <w:p w14:paraId="39695C57" w14:textId="2270AE79" w:rsidR="005B1DF5" w:rsidRPr="000C1A13" w:rsidRDefault="005B1DF5" w:rsidP="005B1DF5">
      <w:pPr>
        <w:pStyle w:val="Point0"/>
        <w:rPr>
          <w:noProof/>
          <w:lang w:val="fr-BE"/>
        </w:rPr>
      </w:pPr>
      <w:r w:rsidRPr="000C1A13">
        <w:rPr>
          <w:noProof/>
          <w:lang w:val="fr-BE"/>
        </w:rPr>
        <w:t>q)</w:t>
      </w:r>
      <w:r w:rsidRPr="000C1A13">
        <w:rPr>
          <w:noProof/>
          <w:lang w:val="fr-BE"/>
        </w:rPr>
        <w:tab/>
        <w:t xml:space="preserve">Gesellschaften ungarischen Rechts mit der Bezeichnung „közkereseti társaság“, „betéti társaság“, „közös vállalat“, „korlátolt felelősségű társaság“, „részvénytársaság“, „egyesülés“, „szövetkezet“,  </w:t>
      </w:r>
    </w:p>
    <w:p w14:paraId="1A084209" w14:textId="5549A4BB" w:rsidR="005B1DF5" w:rsidRPr="000C1A13" w:rsidRDefault="005B1DF5" w:rsidP="005B1DF5">
      <w:pPr>
        <w:pStyle w:val="Point0"/>
        <w:rPr>
          <w:noProof/>
          <w:lang w:val="fr-BE"/>
        </w:rPr>
      </w:pPr>
      <w:r w:rsidRPr="000C1A13">
        <w:rPr>
          <w:noProof/>
          <w:lang w:val="fr-BE"/>
        </w:rPr>
        <w:t>r)</w:t>
      </w:r>
      <w:r w:rsidRPr="000C1A13">
        <w:rPr>
          <w:noProof/>
          <w:lang w:val="fr-BE"/>
        </w:rPr>
        <w:tab/>
        <w:t xml:space="preserve">Gesellschaften maltesischen Rechts mit der Bezeichnung „Kumpaniji ta’ Responsabilita’ Limitata“, „Soċjetajiet en commandite li l-kapital tagħhom maqsum f’azzjonijiet“,  </w:t>
      </w:r>
    </w:p>
    <w:p w14:paraId="49DA1F9F" w14:textId="3C68CD4A" w:rsidR="005B1DF5" w:rsidRPr="000C1A13" w:rsidRDefault="005B1DF5" w:rsidP="005B1DF5">
      <w:pPr>
        <w:pStyle w:val="Point0"/>
        <w:rPr>
          <w:noProof/>
          <w:lang w:val="nl-BE"/>
        </w:rPr>
      </w:pPr>
      <w:r w:rsidRPr="000C1A13">
        <w:rPr>
          <w:noProof/>
          <w:lang w:val="nl-BE"/>
        </w:rPr>
        <w:t>s)</w:t>
      </w:r>
      <w:r w:rsidRPr="000C1A13">
        <w:rPr>
          <w:noProof/>
          <w:lang w:val="nl-BE"/>
        </w:rPr>
        <w:tab/>
        <w:t xml:space="preserve">Gesellschaften niederländischen Rechts mit der Bezeichnung „naamloze vennootschap“, „besloten vennootschap met beperkte aansprakelijkheid“, „open commanditaire vennootschap“, „coöperatie“, „onderlinge waarborgmaatschappij“, „fonds voor gemene rekening“, „vereniging op coöperatieve grondslag“, „vereniging welke op onderlinge grondslag als verzekeraar of keredietinstelling optreedt“ und andere nach niederländischem Recht gegründete Gesellschaften, die der niederländischen Körperschaftsteuer unterliegen,  </w:t>
      </w:r>
    </w:p>
    <w:p w14:paraId="4FFBF41F" w14:textId="0D6CBC3C" w:rsidR="005B1DF5" w:rsidRPr="001B36E4" w:rsidRDefault="005B1DF5" w:rsidP="005B1DF5">
      <w:pPr>
        <w:pStyle w:val="Point0"/>
        <w:rPr>
          <w:noProof/>
        </w:rPr>
      </w:pPr>
      <w:r w:rsidRPr="001B36E4">
        <w:rPr>
          <w:noProof/>
        </w:rPr>
        <w:t>t)</w:t>
      </w:r>
      <w:r w:rsidRPr="001B36E4">
        <w:rPr>
          <w:noProof/>
        </w:rPr>
        <w:tab/>
        <w:t xml:space="preserve">Gesellschaften österreichischen Rechts mit der Bezeichnung „Aktiengesellschaft“, „Gesellschaft mit beschränkter Haftung“, „Versicherungsverein auf Gegenseitigkeit“, „Erwerbs- und Wirtschaftsgenossenschaft“, „Betrieb gewerblicher Art von Körperschaften des öffentlichen Rechts“, „Sparkasse“ sowie andere nach österreichischem Recht gegründete Gesellschaften, die der österreichischen Körperschaftsteuer unterliegen,  </w:t>
      </w:r>
    </w:p>
    <w:p w14:paraId="0FD12F8B" w14:textId="1CED00D4" w:rsidR="005B1DF5" w:rsidRPr="001B36E4" w:rsidRDefault="005B1DF5" w:rsidP="005B1DF5">
      <w:pPr>
        <w:pStyle w:val="Point0"/>
        <w:rPr>
          <w:noProof/>
        </w:rPr>
      </w:pPr>
      <w:r w:rsidRPr="001B36E4">
        <w:rPr>
          <w:noProof/>
        </w:rPr>
        <w:t>u)</w:t>
      </w:r>
      <w:r w:rsidRPr="001B36E4">
        <w:rPr>
          <w:noProof/>
        </w:rPr>
        <w:tab/>
        <w:t xml:space="preserve">Gesellschaften polnischen Rechts mit der Bezeichnung „spółka akcyjna“, „spółka z ograniczoną odpowiedzialnością“, „spółka komandytowo-akcyjna“,  </w:t>
      </w:r>
    </w:p>
    <w:p w14:paraId="671998A6" w14:textId="716CB032" w:rsidR="005B1DF5" w:rsidRPr="001B36E4" w:rsidRDefault="005B1DF5" w:rsidP="005B1DF5">
      <w:pPr>
        <w:pStyle w:val="Point0"/>
        <w:rPr>
          <w:noProof/>
        </w:rPr>
      </w:pPr>
      <w:r w:rsidRPr="001B36E4">
        <w:rPr>
          <w:noProof/>
        </w:rPr>
        <w:t>v)</w:t>
      </w:r>
      <w:r w:rsidRPr="001B36E4">
        <w:rPr>
          <w:noProof/>
        </w:rPr>
        <w:tab/>
        <w:t xml:space="preserve">Gesellschaften portugiesischen Rechts in Form von Handelsgesellschaften oder zivilrechtlichen Handelsgesellschaften sowie Genossenschaften und öffentliche Unternehmen,  </w:t>
      </w:r>
    </w:p>
    <w:p w14:paraId="5C01F823" w14:textId="7B2B01A8" w:rsidR="005B1DF5" w:rsidRPr="001B36E4" w:rsidRDefault="005B1DF5" w:rsidP="005B1DF5">
      <w:pPr>
        <w:pStyle w:val="Point0"/>
        <w:rPr>
          <w:noProof/>
        </w:rPr>
      </w:pPr>
      <w:r w:rsidRPr="001B36E4">
        <w:rPr>
          <w:noProof/>
        </w:rPr>
        <w:t>w)</w:t>
      </w:r>
      <w:r w:rsidRPr="001B36E4">
        <w:rPr>
          <w:noProof/>
        </w:rPr>
        <w:tab/>
        <w:t xml:space="preserve">Gesellschaften rumänischen Rechts mit der Bezeichnung „societăți pe acțiuni“, „societăți în comandită pe acțiuni“, „societăți cu răspundere limitată“, „societăți în nume colectiv“, „societăți în comandită simplă“,  </w:t>
      </w:r>
    </w:p>
    <w:p w14:paraId="52993CC4" w14:textId="51BD18EB" w:rsidR="005B1DF5" w:rsidRPr="001B36E4" w:rsidRDefault="005B1DF5" w:rsidP="005B1DF5">
      <w:pPr>
        <w:pStyle w:val="Point0"/>
        <w:rPr>
          <w:noProof/>
        </w:rPr>
      </w:pPr>
      <w:r w:rsidRPr="001B36E4">
        <w:rPr>
          <w:noProof/>
        </w:rPr>
        <w:t>x)</w:t>
      </w:r>
      <w:r w:rsidRPr="001B36E4">
        <w:rPr>
          <w:noProof/>
        </w:rPr>
        <w:tab/>
        <w:t xml:space="preserve">Gesellschaften slowenischen Rechts mit der Bezeichnung „delniška družba“, „komanditna družba“, „družba z omejeno odgovornostjo“,  </w:t>
      </w:r>
    </w:p>
    <w:p w14:paraId="5BBD142D" w14:textId="109DF2D2" w:rsidR="005B1DF5" w:rsidRPr="001B36E4" w:rsidRDefault="005B1DF5" w:rsidP="005B1DF5">
      <w:pPr>
        <w:pStyle w:val="Point0"/>
        <w:rPr>
          <w:noProof/>
        </w:rPr>
      </w:pPr>
      <w:r w:rsidRPr="001B36E4">
        <w:rPr>
          <w:noProof/>
        </w:rPr>
        <w:t>y)</w:t>
      </w:r>
      <w:r w:rsidRPr="001B36E4">
        <w:rPr>
          <w:noProof/>
        </w:rPr>
        <w:tab/>
        <w:t xml:space="preserve">Gesellschaften slowakischen Rechts mit der Bezeichnung „akciová spoločnosť“, „spoločnosť s ručením obmedzeným“, „komanditná spoločnosť“,  </w:t>
      </w:r>
    </w:p>
    <w:p w14:paraId="7FBBEE8A" w14:textId="24D01859" w:rsidR="005B1DF5" w:rsidRPr="001B36E4" w:rsidRDefault="005B1DF5" w:rsidP="005B1DF5">
      <w:pPr>
        <w:pStyle w:val="Point0"/>
        <w:rPr>
          <w:noProof/>
        </w:rPr>
      </w:pPr>
      <w:r w:rsidRPr="001B36E4">
        <w:rPr>
          <w:noProof/>
        </w:rPr>
        <w:t>z)</w:t>
      </w:r>
      <w:r w:rsidRPr="001B36E4">
        <w:rPr>
          <w:noProof/>
        </w:rPr>
        <w:tab/>
        <w:t xml:space="preserve">Gesellschaften finnischen Rechts mit der Bezeichnung „osakeyhtiö“/„aktiebolag“, „osuuskunta“/„andelslag“, „säästöpankki“/„sparbank“ und „vakuutusyhtiö“/„försäkringsbolag“,  </w:t>
      </w:r>
    </w:p>
    <w:p w14:paraId="67BB2F6C" w14:textId="483DA68E" w:rsidR="005B1DF5" w:rsidRPr="001B36E4" w:rsidRDefault="005B1DF5" w:rsidP="005B1DF5">
      <w:pPr>
        <w:pStyle w:val="Point0"/>
        <w:rPr>
          <w:noProof/>
        </w:rPr>
      </w:pPr>
      <w:r w:rsidRPr="001B36E4">
        <w:rPr>
          <w:noProof/>
        </w:rPr>
        <w:t>aa)</w:t>
      </w:r>
      <w:r w:rsidRPr="001B36E4">
        <w:rPr>
          <w:noProof/>
        </w:rPr>
        <w:tab/>
        <w:t xml:space="preserve">Gesellschaften schwedischen Rechts mit der Bezeichnung „aktiebolag“, „försäkringsaktiebolag“, „ekonomiska föreningar“, „sparbanker“, „ömsesidiga försäkringsbolag“, „försäkringsföreningar“,  </w:t>
      </w:r>
    </w:p>
    <w:p w14:paraId="32ED999A" w14:textId="5FCEAB35" w:rsidR="005B1DF5" w:rsidRPr="001B36E4" w:rsidRDefault="005B1DF5" w:rsidP="005B1DF5">
      <w:pPr>
        <w:pStyle w:val="Point0"/>
        <w:rPr>
          <w:noProof/>
        </w:rPr>
      </w:pPr>
      <w:r w:rsidRPr="001B36E4">
        <w:rPr>
          <w:noProof/>
        </w:rPr>
        <w:t>bb)</w:t>
      </w:r>
      <w:r w:rsidRPr="001B36E4">
        <w:rPr>
          <w:noProof/>
        </w:rPr>
        <w:tab/>
        <w:t xml:space="preserve">Gesellschaften kroatischen Rechts mit der Bezeichnung „dioničko društvo“, „društvo s ograničenom odgovornošću“ und andere nach kroatischem Recht gegründete Gesellschaften, die der kroatischen Gewinnsteuer unterliegen. </w:t>
      </w:r>
    </w:p>
    <w:p w14:paraId="1C26F6EE" w14:textId="60B230F3" w:rsidR="00357461" w:rsidRPr="001B36E4" w:rsidRDefault="00357461" w:rsidP="00357461">
      <w:pPr>
        <w:pStyle w:val="Annexetitre"/>
        <w:rPr>
          <w:noProof/>
        </w:rPr>
      </w:pPr>
      <w:r w:rsidRPr="001B36E4">
        <w:rPr>
          <w:noProof/>
        </w:rPr>
        <w:t xml:space="preserve">ANHANG II: </w:t>
      </w:r>
      <w:r w:rsidRPr="001B36E4">
        <w:rPr>
          <w:noProof/>
        </w:rPr>
        <w:br/>
        <w:t>Liste der in Artikel </w:t>
      </w:r>
      <w:r w:rsidRPr="000C1A13">
        <w:rPr>
          <w:noProof/>
        </w:rPr>
        <w:t>2</w:t>
      </w:r>
      <w:r w:rsidRPr="001B36E4">
        <w:rPr>
          <w:noProof/>
        </w:rPr>
        <w:t xml:space="preserve"> Absatz </w:t>
      </w:r>
      <w:r w:rsidRPr="000C1A13">
        <w:rPr>
          <w:noProof/>
        </w:rPr>
        <w:t>1</w:t>
      </w:r>
      <w:r w:rsidRPr="001B36E4">
        <w:rPr>
          <w:noProof/>
        </w:rPr>
        <w:t xml:space="preserve"> Buchstabe a genannten juristischen Personen, die auf der Ebene der Eigentümer einer Steuer auf Gewinne oder einer anderen Steuer mit ähnlichen Merkmalen unterliegen</w:t>
      </w:r>
    </w:p>
    <w:p w14:paraId="37B656B7" w14:textId="77777777" w:rsidR="00E6757B" w:rsidRPr="000C1A13" w:rsidRDefault="00E6757B" w:rsidP="00E6757B">
      <w:pPr>
        <w:pStyle w:val="Point0"/>
        <w:rPr>
          <w:noProof/>
          <w:lang w:val="fr-BE"/>
        </w:rPr>
      </w:pPr>
      <w:r w:rsidRPr="000C1A13">
        <w:rPr>
          <w:noProof/>
          <w:lang w:val="fr-BE"/>
        </w:rPr>
        <w:t>a)</w:t>
      </w:r>
      <w:r w:rsidRPr="000C1A13">
        <w:rPr>
          <w:noProof/>
          <w:lang w:val="fr-BE"/>
        </w:rPr>
        <w:tab/>
        <w:t xml:space="preserve">Belgien: la société en nom collectif/de vennootschap onder firma, la société en commandite simple/de gewone commanditaire vennootschap, la société coopérative à responsabilité illimitée/de coöperatieve vennootschap met onbeperkte aansprakelijkheid, </w:t>
      </w:r>
    </w:p>
    <w:p w14:paraId="69298B36" w14:textId="77777777" w:rsidR="00E6757B" w:rsidRPr="000C1A13" w:rsidRDefault="00E6757B" w:rsidP="00E6757B">
      <w:pPr>
        <w:pStyle w:val="Point0"/>
        <w:rPr>
          <w:noProof/>
          <w:lang w:val="fr-BE"/>
        </w:rPr>
      </w:pPr>
      <w:r w:rsidRPr="000C1A13">
        <w:rPr>
          <w:noProof/>
          <w:lang w:val="fr-BE"/>
        </w:rPr>
        <w:t>b)</w:t>
      </w:r>
      <w:r w:rsidRPr="000C1A13">
        <w:rPr>
          <w:noProof/>
          <w:lang w:val="fr-BE"/>
        </w:rPr>
        <w:tab/>
        <w:t xml:space="preserve">Bulgarien: </w:t>
      </w:r>
      <w:r w:rsidRPr="001B36E4">
        <w:rPr>
          <w:noProof/>
        </w:rPr>
        <w:t>събирателно</w:t>
      </w:r>
      <w:r w:rsidRPr="000C1A13">
        <w:rPr>
          <w:noProof/>
          <w:lang w:val="fr-BE"/>
        </w:rPr>
        <w:t xml:space="preserve"> </w:t>
      </w:r>
      <w:r w:rsidRPr="001B36E4">
        <w:rPr>
          <w:noProof/>
        </w:rPr>
        <w:t>дружество</w:t>
      </w:r>
      <w:r w:rsidRPr="000C1A13">
        <w:rPr>
          <w:noProof/>
          <w:lang w:val="fr-BE"/>
        </w:rPr>
        <w:t xml:space="preserve">, </w:t>
      </w:r>
      <w:r w:rsidRPr="001B36E4">
        <w:rPr>
          <w:noProof/>
        </w:rPr>
        <w:t>командитно</w:t>
      </w:r>
      <w:r w:rsidRPr="000C1A13">
        <w:rPr>
          <w:noProof/>
          <w:lang w:val="fr-BE"/>
        </w:rPr>
        <w:t xml:space="preserve"> </w:t>
      </w:r>
      <w:r w:rsidRPr="001B36E4">
        <w:rPr>
          <w:noProof/>
        </w:rPr>
        <w:t>дружество</w:t>
      </w:r>
      <w:r w:rsidRPr="000C1A13">
        <w:rPr>
          <w:noProof/>
          <w:lang w:val="fr-BE"/>
        </w:rPr>
        <w:t xml:space="preserve">, </w:t>
      </w:r>
    </w:p>
    <w:p w14:paraId="79CE838F" w14:textId="1EB4080D" w:rsidR="00E6757B" w:rsidRPr="000C1A13" w:rsidRDefault="00E6757B" w:rsidP="00E6757B">
      <w:pPr>
        <w:pStyle w:val="Point0"/>
        <w:rPr>
          <w:noProof/>
          <w:lang w:val="fr-BE"/>
        </w:rPr>
      </w:pPr>
      <w:r w:rsidRPr="000C1A13">
        <w:rPr>
          <w:noProof/>
          <w:lang w:val="fr-BE"/>
        </w:rPr>
        <w:t>c)</w:t>
      </w:r>
      <w:r w:rsidRPr="000C1A13">
        <w:rPr>
          <w:noProof/>
          <w:lang w:val="fr-BE"/>
        </w:rPr>
        <w:tab/>
        <w:t xml:space="preserve">Tschechien: veřejná obchodní společnost, komanditní společnost, </w:t>
      </w:r>
    </w:p>
    <w:p w14:paraId="029A0934" w14:textId="7BA58CD9" w:rsidR="00E6757B" w:rsidRPr="001B36E4" w:rsidRDefault="00E6757B" w:rsidP="00E6757B">
      <w:pPr>
        <w:pStyle w:val="Point0"/>
        <w:rPr>
          <w:noProof/>
        </w:rPr>
      </w:pPr>
      <w:r w:rsidRPr="001B36E4">
        <w:rPr>
          <w:noProof/>
        </w:rPr>
        <w:t>d)</w:t>
      </w:r>
      <w:r w:rsidRPr="001B36E4">
        <w:rPr>
          <w:noProof/>
        </w:rPr>
        <w:tab/>
        <w:t xml:space="preserve">Dänemark: interessentskaber, kommanditselskaber, </w:t>
      </w:r>
    </w:p>
    <w:p w14:paraId="6A5FB3EE" w14:textId="77777777" w:rsidR="00E6757B" w:rsidRPr="001B36E4" w:rsidRDefault="00E6757B" w:rsidP="00E6757B">
      <w:pPr>
        <w:pStyle w:val="Point0"/>
        <w:rPr>
          <w:noProof/>
        </w:rPr>
      </w:pPr>
      <w:r w:rsidRPr="001B36E4">
        <w:rPr>
          <w:noProof/>
        </w:rPr>
        <w:t>e)</w:t>
      </w:r>
      <w:r w:rsidRPr="001B36E4">
        <w:rPr>
          <w:noProof/>
        </w:rPr>
        <w:tab/>
        <w:t xml:space="preserve">Deutschland: offene Handelsgesellschaft, Kommanditgesellschaft, </w:t>
      </w:r>
    </w:p>
    <w:p w14:paraId="74869976" w14:textId="77777777" w:rsidR="00E6757B" w:rsidRPr="000C1A13" w:rsidRDefault="00E6757B" w:rsidP="00E6757B">
      <w:pPr>
        <w:pStyle w:val="Point0"/>
        <w:rPr>
          <w:noProof/>
          <w:lang w:val="en-IE"/>
        </w:rPr>
      </w:pPr>
      <w:r w:rsidRPr="000C1A13">
        <w:rPr>
          <w:noProof/>
          <w:lang w:val="en-IE"/>
        </w:rPr>
        <w:t>f)</w:t>
      </w:r>
      <w:r w:rsidRPr="000C1A13">
        <w:rPr>
          <w:noProof/>
          <w:lang w:val="en-IE"/>
        </w:rPr>
        <w:tab/>
        <w:t xml:space="preserve">Estland: täisühing, usaldusühing, </w:t>
      </w:r>
    </w:p>
    <w:p w14:paraId="6ABA3934" w14:textId="77777777" w:rsidR="00E6757B" w:rsidRPr="000C1A13" w:rsidRDefault="00E6757B" w:rsidP="00E6757B">
      <w:pPr>
        <w:pStyle w:val="Point0"/>
        <w:rPr>
          <w:noProof/>
          <w:lang w:val="en-IE"/>
        </w:rPr>
      </w:pPr>
      <w:r w:rsidRPr="000C1A13">
        <w:rPr>
          <w:noProof/>
          <w:lang w:val="en-IE"/>
        </w:rPr>
        <w:t>g)</w:t>
      </w:r>
      <w:r w:rsidRPr="000C1A13">
        <w:rPr>
          <w:noProof/>
          <w:lang w:val="en-IE"/>
        </w:rPr>
        <w:tab/>
        <w:t xml:space="preserve">Irland: partnerships, limited partnerships, unlimited companies, </w:t>
      </w:r>
    </w:p>
    <w:p w14:paraId="05316B1E" w14:textId="19194E88" w:rsidR="00E6757B" w:rsidRPr="000C1A13" w:rsidRDefault="00E6757B" w:rsidP="00E6757B">
      <w:pPr>
        <w:pStyle w:val="Point0"/>
        <w:rPr>
          <w:noProof/>
          <w:lang w:val="en-IE"/>
        </w:rPr>
      </w:pPr>
      <w:r w:rsidRPr="000C1A13">
        <w:rPr>
          <w:noProof/>
          <w:lang w:val="en-IE"/>
        </w:rPr>
        <w:t>h)</w:t>
      </w:r>
      <w:r w:rsidRPr="000C1A13">
        <w:rPr>
          <w:noProof/>
          <w:lang w:val="en-IE"/>
        </w:rPr>
        <w:tab/>
        <w:t xml:space="preserve">Griechenland: </w:t>
      </w:r>
      <w:r w:rsidRPr="001B36E4">
        <w:rPr>
          <w:noProof/>
        </w:rPr>
        <w:t>η</w:t>
      </w:r>
      <w:r w:rsidRPr="000C1A13">
        <w:rPr>
          <w:noProof/>
          <w:lang w:val="en-IE"/>
        </w:rPr>
        <w:t xml:space="preserve"> </w:t>
      </w:r>
      <w:r w:rsidRPr="001B36E4">
        <w:rPr>
          <w:noProof/>
        </w:rPr>
        <w:t>ομόρρυθμος</w:t>
      </w:r>
      <w:r w:rsidRPr="000C1A13">
        <w:rPr>
          <w:noProof/>
          <w:lang w:val="en-IE"/>
        </w:rPr>
        <w:t xml:space="preserve"> </w:t>
      </w:r>
      <w:r w:rsidRPr="001B36E4">
        <w:rPr>
          <w:noProof/>
        </w:rPr>
        <w:t>εταιρία</w:t>
      </w:r>
      <w:r w:rsidRPr="000C1A13">
        <w:rPr>
          <w:noProof/>
          <w:lang w:val="en-IE"/>
        </w:rPr>
        <w:t xml:space="preserve">, </w:t>
      </w:r>
      <w:r w:rsidRPr="001B36E4">
        <w:rPr>
          <w:noProof/>
        </w:rPr>
        <w:t>η</w:t>
      </w:r>
      <w:r w:rsidRPr="000C1A13">
        <w:rPr>
          <w:noProof/>
          <w:lang w:val="en-IE"/>
        </w:rPr>
        <w:t xml:space="preserve"> </w:t>
      </w:r>
      <w:r w:rsidRPr="001B36E4">
        <w:rPr>
          <w:noProof/>
        </w:rPr>
        <w:t>ετερόρρυθμος</w:t>
      </w:r>
      <w:r w:rsidRPr="000C1A13">
        <w:rPr>
          <w:noProof/>
          <w:lang w:val="en-IE"/>
        </w:rPr>
        <w:t xml:space="preserve"> </w:t>
      </w:r>
      <w:r w:rsidRPr="001B36E4">
        <w:rPr>
          <w:noProof/>
        </w:rPr>
        <w:t>εταιρία</w:t>
      </w:r>
      <w:r w:rsidRPr="000C1A13">
        <w:rPr>
          <w:noProof/>
          <w:lang w:val="en-IE"/>
        </w:rPr>
        <w:t xml:space="preserve">, </w:t>
      </w:r>
    </w:p>
    <w:p w14:paraId="53E70E9A" w14:textId="77777777" w:rsidR="00E6757B" w:rsidRPr="000C1A13" w:rsidRDefault="00E6757B" w:rsidP="00E6757B">
      <w:pPr>
        <w:pStyle w:val="Point0"/>
        <w:rPr>
          <w:noProof/>
          <w:lang w:val="en-IE"/>
        </w:rPr>
      </w:pPr>
      <w:r w:rsidRPr="000C1A13">
        <w:rPr>
          <w:noProof/>
          <w:lang w:val="en-IE"/>
        </w:rPr>
        <w:t>i)</w:t>
      </w:r>
      <w:r w:rsidRPr="000C1A13">
        <w:rPr>
          <w:noProof/>
          <w:lang w:val="en-IE"/>
        </w:rPr>
        <w:tab/>
        <w:t xml:space="preserve">Spanien: sociedad colectiva, sociedad en comandita simple, </w:t>
      </w:r>
    </w:p>
    <w:p w14:paraId="62280655" w14:textId="77777777" w:rsidR="00E6757B" w:rsidRPr="000C1A13" w:rsidRDefault="00E6757B" w:rsidP="00E6757B">
      <w:pPr>
        <w:pStyle w:val="Point0"/>
        <w:rPr>
          <w:noProof/>
          <w:lang w:val="fr-BE"/>
        </w:rPr>
      </w:pPr>
      <w:r w:rsidRPr="000C1A13">
        <w:rPr>
          <w:noProof/>
          <w:lang w:val="fr-BE"/>
        </w:rPr>
        <w:t>j)</w:t>
      </w:r>
      <w:r w:rsidRPr="000C1A13">
        <w:rPr>
          <w:noProof/>
          <w:lang w:val="fr-BE"/>
        </w:rPr>
        <w:tab/>
        <w:t xml:space="preserve">Frankreich: la société en nom collectif, la société en commandite simple, </w:t>
      </w:r>
    </w:p>
    <w:p w14:paraId="3487C34C" w14:textId="77777777" w:rsidR="00E6757B" w:rsidRPr="000C1A13" w:rsidRDefault="00E6757B" w:rsidP="00E6757B">
      <w:pPr>
        <w:pStyle w:val="Point0"/>
        <w:rPr>
          <w:noProof/>
          <w:lang w:val="fr-BE"/>
        </w:rPr>
      </w:pPr>
      <w:r w:rsidRPr="000C1A13">
        <w:rPr>
          <w:noProof/>
          <w:lang w:val="fr-BE"/>
        </w:rPr>
        <w:t>k)</w:t>
      </w:r>
      <w:r w:rsidRPr="000C1A13">
        <w:rPr>
          <w:noProof/>
          <w:lang w:val="fr-BE"/>
        </w:rPr>
        <w:tab/>
        <w:t xml:space="preserve">Kroatien: javno trgovačko društvo, komanditno društvo, gospodarsko interesno udruženje, </w:t>
      </w:r>
    </w:p>
    <w:p w14:paraId="575BFAF9" w14:textId="77777777" w:rsidR="00E6757B" w:rsidRPr="000C1A13" w:rsidRDefault="00E6757B" w:rsidP="00E6757B">
      <w:pPr>
        <w:pStyle w:val="Point0"/>
        <w:rPr>
          <w:noProof/>
          <w:lang w:val="fr-BE"/>
        </w:rPr>
      </w:pPr>
      <w:r w:rsidRPr="000C1A13">
        <w:rPr>
          <w:noProof/>
          <w:lang w:val="fr-BE"/>
        </w:rPr>
        <w:t>l)</w:t>
      </w:r>
      <w:r w:rsidRPr="000C1A13">
        <w:rPr>
          <w:noProof/>
          <w:lang w:val="fr-BE"/>
        </w:rPr>
        <w:tab/>
        <w:t xml:space="preserve">Italien: la società in nome collettivo, la società in accomandita semplice, </w:t>
      </w:r>
    </w:p>
    <w:p w14:paraId="7EB7FD6B" w14:textId="7AE667E2" w:rsidR="00E6757B" w:rsidRPr="000C1A13" w:rsidRDefault="00E6757B" w:rsidP="00E6757B">
      <w:pPr>
        <w:pStyle w:val="Point0"/>
        <w:rPr>
          <w:noProof/>
          <w:lang w:val="fr-BE"/>
        </w:rPr>
      </w:pPr>
      <w:r w:rsidRPr="000C1A13">
        <w:rPr>
          <w:noProof/>
          <w:lang w:val="fr-BE"/>
        </w:rPr>
        <w:t>m)</w:t>
      </w:r>
      <w:r w:rsidRPr="000C1A13">
        <w:rPr>
          <w:noProof/>
          <w:lang w:val="fr-BE"/>
        </w:rPr>
        <w:tab/>
        <w:t xml:space="preserve">Zypern: </w:t>
      </w:r>
      <w:r w:rsidRPr="001B36E4">
        <w:rPr>
          <w:noProof/>
        </w:rPr>
        <w:t>Ομόρρυθμες</w:t>
      </w:r>
      <w:r w:rsidRPr="000C1A13">
        <w:rPr>
          <w:noProof/>
          <w:lang w:val="fr-BE"/>
        </w:rPr>
        <w:t xml:space="preserve"> </w:t>
      </w:r>
      <w:r w:rsidRPr="001B36E4">
        <w:rPr>
          <w:noProof/>
        </w:rPr>
        <w:t>και</w:t>
      </w:r>
      <w:r w:rsidRPr="000C1A13">
        <w:rPr>
          <w:noProof/>
          <w:lang w:val="fr-BE"/>
        </w:rPr>
        <w:t xml:space="preserve"> </w:t>
      </w:r>
      <w:r w:rsidRPr="001B36E4">
        <w:rPr>
          <w:noProof/>
        </w:rPr>
        <w:t>ετερόρρυθμες</w:t>
      </w:r>
      <w:r w:rsidRPr="000C1A13">
        <w:rPr>
          <w:noProof/>
          <w:lang w:val="fr-BE"/>
        </w:rPr>
        <w:t xml:space="preserve"> </w:t>
      </w:r>
      <w:r w:rsidRPr="001B36E4">
        <w:rPr>
          <w:noProof/>
        </w:rPr>
        <w:t>εταιρείες</w:t>
      </w:r>
      <w:r w:rsidRPr="000C1A13">
        <w:rPr>
          <w:noProof/>
          <w:lang w:val="fr-BE"/>
        </w:rPr>
        <w:t xml:space="preserve"> (</w:t>
      </w:r>
      <w:r w:rsidRPr="001B36E4">
        <w:rPr>
          <w:noProof/>
        </w:rPr>
        <w:t>συνεταιρισμοί</w:t>
      </w:r>
      <w:r w:rsidRPr="000C1A13">
        <w:rPr>
          <w:noProof/>
          <w:lang w:val="fr-BE"/>
        </w:rPr>
        <w:t xml:space="preserve">), </w:t>
      </w:r>
    </w:p>
    <w:p w14:paraId="7381DF57" w14:textId="77777777" w:rsidR="00E6757B" w:rsidRPr="000C1A13" w:rsidRDefault="00E6757B" w:rsidP="00E6757B">
      <w:pPr>
        <w:pStyle w:val="Point0"/>
        <w:rPr>
          <w:noProof/>
          <w:lang w:val="fr-BE"/>
        </w:rPr>
      </w:pPr>
      <w:r w:rsidRPr="000C1A13">
        <w:rPr>
          <w:noProof/>
          <w:lang w:val="fr-BE"/>
        </w:rPr>
        <w:t>n)</w:t>
      </w:r>
      <w:r w:rsidRPr="000C1A13">
        <w:rPr>
          <w:noProof/>
          <w:lang w:val="fr-BE"/>
        </w:rPr>
        <w:tab/>
        <w:t xml:space="preserve">Lettland: pilnsabiedrība, komandītsabiedrība, </w:t>
      </w:r>
    </w:p>
    <w:p w14:paraId="5861F4FB" w14:textId="77777777" w:rsidR="00E6757B" w:rsidRPr="000C1A13" w:rsidRDefault="00E6757B" w:rsidP="00E6757B">
      <w:pPr>
        <w:pStyle w:val="Point0"/>
        <w:rPr>
          <w:noProof/>
          <w:lang w:val="fr-BE"/>
        </w:rPr>
      </w:pPr>
      <w:r w:rsidRPr="000C1A13">
        <w:rPr>
          <w:noProof/>
          <w:lang w:val="fr-BE"/>
        </w:rPr>
        <w:t>o)</w:t>
      </w:r>
      <w:r w:rsidRPr="000C1A13">
        <w:rPr>
          <w:noProof/>
          <w:lang w:val="fr-BE"/>
        </w:rPr>
        <w:tab/>
        <w:t xml:space="preserve">Litauen: tikrosios ūkinės bendrijos, komanditinės ūkinės bendrijos, </w:t>
      </w:r>
    </w:p>
    <w:p w14:paraId="41001C12" w14:textId="77777777" w:rsidR="00E6757B" w:rsidRPr="000C1A13" w:rsidRDefault="00E6757B" w:rsidP="00E6757B">
      <w:pPr>
        <w:pStyle w:val="Point0"/>
        <w:rPr>
          <w:noProof/>
          <w:lang w:val="fr-BE"/>
        </w:rPr>
      </w:pPr>
      <w:r w:rsidRPr="000C1A13">
        <w:rPr>
          <w:noProof/>
          <w:lang w:val="fr-BE"/>
        </w:rPr>
        <w:t>p)</w:t>
      </w:r>
      <w:r w:rsidRPr="000C1A13">
        <w:rPr>
          <w:noProof/>
          <w:lang w:val="fr-BE"/>
        </w:rPr>
        <w:tab/>
        <w:t xml:space="preserve">Luxemburg: la société en nom collectif, la société en commandite simple, </w:t>
      </w:r>
    </w:p>
    <w:p w14:paraId="3C41C50B" w14:textId="77777777" w:rsidR="00E6757B" w:rsidRPr="000C1A13" w:rsidRDefault="00E6757B" w:rsidP="00E6757B">
      <w:pPr>
        <w:pStyle w:val="Point0"/>
        <w:rPr>
          <w:noProof/>
          <w:lang w:val="fr-BE"/>
        </w:rPr>
      </w:pPr>
      <w:r w:rsidRPr="000C1A13">
        <w:rPr>
          <w:noProof/>
          <w:lang w:val="fr-BE"/>
        </w:rPr>
        <w:t>q)</w:t>
      </w:r>
      <w:r w:rsidRPr="000C1A13">
        <w:rPr>
          <w:noProof/>
          <w:lang w:val="fr-BE"/>
        </w:rPr>
        <w:tab/>
        <w:t xml:space="preserve">Ungarn: közkereseti társaság, betéti társaság, közös vállalat, egyesülés, egyéni cég, </w:t>
      </w:r>
    </w:p>
    <w:p w14:paraId="4230FD0E" w14:textId="77777777" w:rsidR="00E6757B" w:rsidRPr="000C1A13" w:rsidRDefault="00E6757B" w:rsidP="00E6757B">
      <w:pPr>
        <w:pStyle w:val="Point0"/>
        <w:rPr>
          <w:noProof/>
          <w:lang w:val="en-IE"/>
        </w:rPr>
      </w:pPr>
      <w:r w:rsidRPr="000C1A13">
        <w:rPr>
          <w:noProof/>
          <w:lang w:val="en-IE"/>
        </w:rPr>
        <w:t>r)</w:t>
      </w:r>
      <w:r w:rsidRPr="000C1A13">
        <w:rPr>
          <w:noProof/>
          <w:lang w:val="en-IE"/>
        </w:rPr>
        <w:tab/>
        <w:t xml:space="preserve">Malta: soċjeta f'isem kollettiv jew soċjeta in akkomandita, bil-kapital li mhux maqsum f'azzjonijiet meta s-soċji kollha li għandhom responsabbilita' llimitata huma soċjetajiet in akkomandita bil-kapital maqsum f'azzjonijiet — partnership en nom collectif or partnership en commandite with capital that is not divided into shares, when all the partners with unlimited liability are partnership en commandite with the capital divided into shares; </w:t>
      </w:r>
    </w:p>
    <w:p w14:paraId="6C68D58E" w14:textId="77777777" w:rsidR="00E6757B" w:rsidRPr="000C1A13" w:rsidRDefault="00E6757B" w:rsidP="00E6757B">
      <w:pPr>
        <w:pStyle w:val="Point0"/>
        <w:rPr>
          <w:noProof/>
          <w:lang w:val="nl-BE"/>
        </w:rPr>
      </w:pPr>
      <w:r w:rsidRPr="000C1A13">
        <w:rPr>
          <w:noProof/>
          <w:lang w:val="nl-BE"/>
        </w:rPr>
        <w:t>s)</w:t>
      </w:r>
      <w:r w:rsidRPr="000C1A13">
        <w:rPr>
          <w:noProof/>
          <w:lang w:val="nl-BE"/>
        </w:rPr>
        <w:tab/>
        <w:t xml:space="preserve"> Niederlande: de vennootschap onder firma, de commanditaire vennootschap, </w:t>
      </w:r>
    </w:p>
    <w:p w14:paraId="0CD58FC4" w14:textId="77777777" w:rsidR="00E6757B" w:rsidRPr="001B36E4" w:rsidRDefault="00E6757B" w:rsidP="00E6757B">
      <w:pPr>
        <w:pStyle w:val="Point0"/>
        <w:rPr>
          <w:noProof/>
        </w:rPr>
      </w:pPr>
      <w:r w:rsidRPr="001B36E4">
        <w:rPr>
          <w:noProof/>
        </w:rPr>
        <w:t>t)</w:t>
      </w:r>
      <w:r w:rsidRPr="001B36E4">
        <w:rPr>
          <w:noProof/>
        </w:rPr>
        <w:tab/>
        <w:t xml:space="preserve">Österreich: offene Gesellschaft, Kommanditgesellschaft, </w:t>
      </w:r>
    </w:p>
    <w:p w14:paraId="77F90A52" w14:textId="77777777" w:rsidR="00E6757B" w:rsidRPr="001B36E4" w:rsidRDefault="00E6757B" w:rsidP="00E6757B">
      <w:pPr>
        <w:pStyle w:val="Point0"/>
        <w:rPr>
          <w:noProof/>
        </w:rPr>
      </w:pPr>
      <w:r w:rsidRPr="001B36E4">
        <w:rPr>
          <w:noProof/>
        </w:rPr>
        <w:t>u)</w:t>
      </w:r>
      <w:r w:rsidRPr="001B36E4">
        <w:rPr>
          <w:noProof/>
        </w:rPr>
        <w:tab/>
        <w:t xml:space="preserve">Polen: spółka jawna, spółka komandytowa, </w:t>
      </w:r>
    </w:p>
    <w:p w14:paraId="280DEDDE" w14:textId="77777777" w:rsidR="00E6757B" w:rsidRPr="001B36E4" w:rsidRDefault="00E6757B" w:rsidP="00E6757B">
      <w:pPr>
        <w:pStyle w:val="Point0"/>
        <w:rPr>
          <w:noProof/>
        </w:rPr>
      </w:pPr>
      <w:r w:rsidRPr="001B36E4">
        <w:rPr>
          <w:noProof/>
        </w:rPr>
        <w:t>v)</w:t>
      </w:r>
      <w:r w:rsidRPr="001B36E4">
        <w:rPr>
          <w:noProof/>
        </w:rPr>
        <w:tab/>
        <w:t xml:space="preserve">Portugal: sociedade em nome colectivo, sociedade em comandita simples, </w:t>
      </w:r>
    </w:p>
    <w:p w14:paraId="396B1DB6" w14:textId="77777777" w:rsidR="00E6757B" w:rsidRPr="001B36E4" w:rsidRDefault="00E6757B" w:rsidP="00E6757B">
      <w:pPr>
        <w:pStyle w:val="Point0"/>
        <w:rPr>
          <w:noProof/>
        </w:rPr>
      </w:pPr>
      <w:r w:rsidRPr="001B36E4">
        <w:rPr>
          <w:noProof/>
        </w:rPr>
        <w:t>w)</w:t>
      </w:r>
      <w:r w:rsidRPr="001B36E4">
        <w:rPr>
          <w:noProof/>
        </w:rPr>
        <w:tab/>
        <w:t xml:space="preserve">Rumänien: societate în nume colectiv, societate în comandită simplă, </w:t>
      </w:r>
    </w:p>
    <w:p w14:paraId="5D5FB492" w14:textId="77777777" w:rsidR="00E6757B" w:rsidRPr="001B36E4" w:rsidRDefault="00E6757B" w:rsidP="00E6757B">
      <w:pPr>
        <w:pStyle w:val="Point0"/>
        <w:rPr>
          <w:noProof/>
        </w:rPr>
      </w:pPr>
      <w:r w:rsidRPr="001B36E4">
        <w:rPr>
          <w:noProof/>
        </w:rPr>
        <w:t>x)</w:t>
      </w:r>
      <w:r w:rsidRPr="001B36E4">
        <w:rPr>
          <w:noProof/>
        </w:rPr>
        <w:tab/>
        <w:t xml:space="preserve">Slowenien: družba z neomejeno odgovornostjo, komanditna družba, </w:t>
      </w:r>
    </w:p>
    <w:p w14:paraId="3B9F1CA1" w14:textId="77777777" w:rsidR="00E6757B" w:rsidRPr="001B36E4" w:rsidRDefault="00E6757B" w:rsidP="00E6757B">
      <w:pPr>
        <w:pStyle w:val="Point0"/>
        <w:rPr>
          <w:noProof/>
        </w:rPr>
      </w:pPr>
      <w:r w:rsidRPr="001B36E4">
        <w:rPr>
          <w:noProof/>
        </w:rPr>
        <w:t>y)</w:t>
      </w:r>
      <w:r w:rsidRPr="001B36E4">
        <w:rPr>
          <w:noProof/>
        </w:rPr>
        <w:tab/>
        <w:t xml:space="preserve">Slowakei: verejná obchodná spoločnosť, komanditná spoločnosť, </w:t>
      </w:r>
    </w:p>
    <w:p w14:paraId="621A334A" w14:textId="77777777" w:rsidR="00E6757B" w:rsidRPr="001B36E4" w:rsidRDefault="00E6757B" w:rsidP="00E6757B">
      <w:pPr>
        <w:pStyle w:val="Point0"/>
        <w:rPr>
          <w:noProof/>
        </w:rPr>
      </w:pPr>
      <w:r w:rsidRPr="001B36E4">
        <w:rPr>
          <w:noProof/>
        </w:rPr>
        <w:t>z)</w:t>
      </w:r>
      <w:r w:rsidRPr="001B36E4">
        <w:rPr>
          <w:noProof/>
        </w:rPr>
        <w:tab/>
        <w:t xml:space="preserve">Finnland: avoin yhtiö/ öppet bolag, kommandiittiyhtiö/kommanditbolag, </w:t>
      </w:r>
    </w:p>
    <w:p w14:paraId="1A2ACBDD" w14:textId="60C36C37" w:rsidR="001C2816" w:rsidRPr="001B36E4" w:rsidRDefault="00E6757B" w:rsidP="00E6757B">
      <w:pPr>
        <w:pStyle w:val="Point0"/>
        <w:rPr>
          <w:noProof/>
        </w:rPr>
      </w:pPr>
      <w:r w:rsidRPr="001B36E4">
        <w:rPr>
          <w:noProof/>
        </w:rPr>
        <w:t>aa)</w:t>
      </w:r>
      <w:r w:rsidRPr="001B36E4">
        <w:rPr>
          <w:noProof/>
        </w:rPr>
        <w:tab/>
        <w:t>Schweden: handelsbolag, kommanditbolag.</w:t>
      </w:r>
    </w:p>
    <w:p w14:paraId="441B69EC" w14:textId="33AB7B7F" w:rsidR="00E6757B" w:rsidRPr="001B36E4" w:rsidRDefault="00E6757B" w:rsidP="00E6757B">
      <w:pPr>
        <w:pStyle w:val="Annexetitre"/>
        <w:rPr>
          <w:noProof/>
        </w:rPr>
      </w:pPr>
      <w:r w:rsidRPr="001B36E4">
        <w:rPr>
          <w:noProof/>
        </w:rPr>
        <w:t xml:space="preserve">ANHANG III: </w:t>
      </w:r>
      <w:r w:rsidRPr="001B36E4">
        <w:rPr>
          <w:noProof/>
        </w:rPr>
        <w:br/>
        <w:t>Liste der Steuern auf Gewinne, die unmittelbar oder auf der Ebene der Eigentümer erhoben werden, sowie aller anderen Steuern mit ähnlichen Merkmalen gemäß Artikel </w:t>
      </w:r>
      <w:r w:rsidRPr="000C1A13">
        <w:rPr>
          <w:noProof/>
        </w:rPr>
        <w:t>2</w:t>
      </w:r>
      <w:r w:rsidRPr="001B36E4">
        <w:rPr>
          <w:noProof/>
        </w:rPr>
        <w:t xml:space="preserve"> Absatz </w:t>
      </w:r>
      <w:r w:rsidRPr="000C1A13">
        <w:rPr>
          <w:noProof/>
        </w:rPr>
        <w:t>1</w:t>
      </w:r>
      <w:r w:rsidRPr="001B36E4">
        <w:rPr>
          <w:noProof/>
        </w:rPr>
        <w:t xml:space="preserve"> Buchstabe c</w:t>
      </w:r>
    </w:p>
    <w:p w14:paraId="0BDB992E" w14:textId="77777777" w:rsidR="00E6757B" w:rsidRPr="001B36E4" w:rsidRDefault="00E6757B" w:rsidP="00E6757B">
      <w:pPr>
        <w:rPr>
          <w:noProof/>
        </w:rPr>
      </w:pPr>
    </w:p>
    <w:p w14:paraId="02902E9D" w14:textId="60331FD2" w:rsidR="00E6757B" w:rsidRPr="001B36E4" w:rsidRDefault="00E6757B" w:rsidP="00E6757B">
      <w:pPr>
        <w:pStyle w:val="Point0"/>
        <w:rPr>
          <w:noProof/>
        </w:rPr>
      </w:pPr>
      <w:r w:rsidRPr="001B36E4">
        <w:rPr>
          <w:noProof/>
        </w:rPr>
        <w:t>a)</w:t>
      </w:r>
      <w:r w:rsidRPr="001B36E4">
        <w:rPr>
          <w:noProof/>
        </w:rPr>
        <w:tab/>
        <w:t xml:space="preserve">impôt des sociétés/vennootschapsbelasting in Belgien,  </w:t>
      </w:r>
    </w:p>
    <w:p w14:paraId="7058F9A6" w14:textId="782F6432" w:rsidR="00E6757B" w:rsidRPr="001B36E4" w:rsidRDefault="00E6757B" w:rsidP="00E6757B">
      <w:pPr>
        <w:pStyle w:val="Point0"/>
        <w:rPr>
          <w:noProof/>
        </w:rPr>
      </w:pPr>
      <w:r w:rsidRPr="001B36E4">
        <w:rPr>
          <w:noProof/>
        </w:rPr>
        <w:t>b)</w:t>
      </w:r>
      <w:r w:rsidRPr="001B36E4">
        <w:rPr>
          <w:noProof/>
        </w:rPr>
        <w:tab/>
        <w:t xml:space="preserve">корпоративен данък in Bulgarien,  </w:t>
      </w:r>
    </w:p>
    <w:p w14:paraId="206E537D" w14:textId="477EDB9D" w:rsidR="00E6757B" w:rsidRPr="001B36E4" w:rsidRDefault="00E6757B" w:rsidP="00E6757B">
      <w:pPr>
        <w:pStyle w:val="Point0"/>
        <w:rPr>
          <w:noProof/>
        </w:rPr>
      </w:pPr>
      <w:r w:rsidRPr="001B36E4">
        <w:rPr>
          <w:noProof/>
        </w:rPr>
        <w:t>c)</w:t>
      </w:r>
      <w:r w:rsidRPr="001B36E4">
        <w:rPr>
          <w:noProof/>
        </w:rPr>
        <w:tab/>
        <w:t xml:space="preserve">daň z příjmů právnických osob in Tschechien,  </w:t>
      </w:r>
    </w:p>
    <w:p w14:paraId="4385A878" w14:textId="0DD70B93" w:rsidR="00E6757B" w:rsidRPr="001B36E4" w:rsidRDefault="00E6757B" w:rsidP="00E6757B">
      <w:pPr>
        <w:pStyle w:val="Point0"/>
        <w:rPr>
          <w:noProof/>
        </w:rPr>
      </w:pPr>
      <w:r w:rsidRPr="001B36E4">
        <w:rPr>
          <w:noProof/>
        </w:rPr>
        <w:t>d)</w:t>
      </w:r>
      <w:r w:rsidRPr="001B36E4">
        <w:rPr>
          <w:noProof/>
        </w:rPr>
        <w:tab/>
        <w:t xml:space="preserve">selskabsskat in Dänemark,  </w:t>
      </w:r>
    </w:p>
    <w:p w14:paraId="799CD710" w14:textId="76054B65" w:rsidR="00E6757B" w:rsidRPr="001B36E4" w:rsidRDefault="00E6757B" w:rsidP="00E6757B">
      <w:pPr>
        <w:pStyle w:val="Point0"/>
        <w:rPr>
          <w:noProof/>
        </w:rPr>
      </w:pPr>
      <w:r w:rsidRPr="001B36E4">
        <w:rPr>
          <w:noProof/>
        </w:rPr>
        <w:t>e)</w:t>
      </w:r>
      <w:r w:rsidRPr="001B36E4">
        <w:rPr>
          <w:noProof/>
        </w:rPr>
        <w:tab/>
        <w:t xml:space="preserve">Körperschaftsteuer in Deutschland,  </w:t>
      </w:r>
    </w:p>
    <w:p w14:paraId="10F367FE" w14:textId="2A1CB2CE" w:rsidR="00E6757B" w:rsidRPr="000C1A13" w:rsidRDefault="00E6757B" w:rsidP="00E6757B">
      <w:pPr>
        <w:pStyle w:val="Point0"/>
        <w:rPr>
          <w:noProof/>
          <w:lang w:val="en-IE"/>
        </w:rPr>
      </w:pPr>
      <w:r w:rsidRPr="000C1A13">
        <w:rPr>
          <w:noProof/>
          <w:lang w:val="en-IE"/>
        </w:rPr>
        <w:t>f)</w:t>
      </w:r>
      <w:r w:rsidRPr="000C1A13">
        <w:rPr>
          <w:noProof/>
          <w:lang w:val="en-IE"/>
        </w:rPr>
        <w:tab/>
        <w:t xml:space="preserve">tulumaks in Estland,  </w:t>
      </w:r>
    </w:p>
    <w:p w14:paraId="64E93365" w14:textId="0056B18E" w:rsidR="00E6757B" w:rsidRPr="000C1A13" w:rsidRDefault="00E6757B" w:rsidP="00E6757B">
      <w:pPr>
        <w:pStyle w:val="Point0"/>
        <w:rPr>
          <w:noProof/>
          <w:lang w:val="en-IE"/>
        </w:rPr>
      </w:pPr>
      <w:r w:rsidRPr="000C1A13">
        <w:rPr>
          <w:noProof/>
          <w:lang w:val="en-IE"/>
        </w:rPr>
        <w:t>g)</w:t>
      </w:r>
      <w:r w:rsidRPr="000C1A13">
        <w:rPr>
          <w:noProof/>
          <w:lang w:val="en-IE"/>
        </w:rPr>
        <w:tab/>
        <w:t xml:space="preserve">corporation tax in Irland,  </w:t>
      </w:r>
    </w:p>
    <w:p w14:paraId="61658567" w14:textId="577B278F" w:rsidR="00E6757B" w:rsidRPr="000C1A13" w:rsidRDefault="00E6757B" w:rsidP="00E6757B">
      <w:pPr>
        <w:pStyle w:val="Point0"/>
        <w:rPr>
          <w:noProof/>
          <w:lang w:val="en-IE"/>
        </w:rPr>
      </w:pPr>
      <w:r w:rsidRPr="000C1A13">
        <w:rPr>
          <w:noProof/>
          <w:lang w:val="en-IE"/>
        </w:rPr>
        <w:t>h)</w:t>
      </w:r>
      <w:r w:rsidRPr="000C1A13">
        <w:rPr>
          <w:noProof/>
          <w:lang w:val="en-IE"/>
        </w:rPr>
        <w:tab/>
      </w:r>
      <w:r w:rsidRPr="001B36E4">
        <w:rPr>
          <w:noProof/>
        </w:rPr>
        <w:t>φόρος</w:t>
      </w:r>
      <w:r w:rsidRPr="000C1A13">
        <w:rPr>
          <w:noProof/>
          <w:lang w:val="en-IE"/>
        </w:rPr>
        <w:t xml:space="preserve"> </w:t>
      </w:r>
      <w:r w:rsidRPr="001B36E4">
        <w:rPr>
          <w:noProof/>
        </w:rPr>
        <w:t>εισοδήματος</w:t>
      </w:r>
      <w:r w:rsidRPr="000C1A13">
        <w:rPr>
          <w:noProof/>
          <w:lang w:val="en-IE"/>
        </w:rPr>
        <w:t xml:space="preserve"> </w:t>
      </w:r>
      <w:r w:rsidRPr="001B36E4">
        <w:rPr>
          <w:noProof/>
        </w:rPr>
        <w:t>νομικών</w:t>
      </w:r>
      <w:r w:rsidRPr="000C1A13">
        <w:rPr>
          <w:noProof/>
          <w:lang w:val="en-IE"/>
        </w:rPr>
        <w:t xml:space="preserve"> </w:t>
      </w:r>
      <w:r w:rsidRPr="001B36E4">
        <w:rPr>
          <w:noProof/>
        </w:rPr>
        <w:t>προσώπων</w:t>
      </w:r>
      <w:r w:rsidRPr="000C1A13">
        <w:rPr>
          <w:noProof/>
          <w:lang w:val="en-IE"/>
        </w:rPr>
        <w:t xml:space="preserve"> </w:t>
      </w:r>
      <w:r w:rsidRPr="001B36E4">
        <w:rPr>
          <w:noProof/>
        </w:rPr>
        <w:t>κερδοσκοπικού</w:t>
      </w:r>
      <w:r w:rsidRPr="000C1A13">
        <w:rPr>
          <w:noProof/>
          <w:lang w:val="en-IE"/>
        </w:rPr>
        <w:t xml:space="preserve"> </w:t>
      </w:r>
      <w:r w:rsidRPr="001B36E4">
        <w:rPr>
          <w:noProof/>
        </w:rPr>
        <w:t>χαρακτήρα</w:t>
      </w:r>
      <w:r w:rsidRPr="000C1A13">
        <w:rPr>
          <w:noProof/>
          <w:lang w:val="en-IE"/>
        </w:rPr>
        <w:t xml:space="preserve"> in Griechenland,  </w:t>
      </w:r>
    </w:p>
    <w:p w14:paraId="0EBBA6D9" w14:textId="447648A5" w:rsidR="00E6757B" w:rsidRPr="000C1A13" w:rsidRDefault="00E6757B" w:rsidP="00E6757B">
      <w:pPr>
        <w:pStyle w:val="Point0"/>
        <w:rPr>
          <w:noProof/>
          <w:lang w:val="en-IE"/>
        </w:rPr>
      </w:pPr>
      <w:r w:rsidRPr="000C1A13">
        <w:rPr>
          <w:noProof/>
          <w:lang w:val="en-IE"/>
        </w:rPr>
        <w:t>i)</w:t>
      </w:r>
      <w:r w:rsidRPr="000C1A13">
        <w:rPr>
          <w:noProof/>
          <w:lang w:val="en-IE"/>
        </w:rPr>
        <w:tab/>
        <w:t xml:space="preserve">impuesto sobre sociedades in Spanien,  </w:t>
      </w:r>
    </w:p>
    <w:p w14:paraId="4FFC91EC" w14:textId="583972DC" w:rsidR="00E6757B" w:rsidRPr="000C1A13" w:rsidRDefault="00E6757B" w:rsidP="00E6757B">
      <w:pPr>
        <w:pStyle w:val="Point0"/>
        <w:rPr>
          <w:noProof/>
          <w:lang w:val="fr-BE"/>
        </w:rPr>
      </w:pPr>
      <w:r w:rsidRPr="000C1A13">
        <w:rPr>
          <w:noProof/>
          <w:lang w:val="fr-BE"/>
        </w:rPr>
        <w:t>j)</w:t>
      </w:r>
      <w:r w:rsidRPr="000C1A13">
        <w:rPr>
          <w:noProof/>
          <w:lang w:val="fr-BE"/>
        </w:rPr>
        <w:tab/>
        <w:t xml:space="preserve">impôt sur les sociétés in Frankreich,  </w:t>
      </w:r>
    </w:p>
    <w:p w14:paraId="2776E254" w14:textId="07A5D0A6" w:rsidR="00E6757B" w:rsidRPr="000C1A13" w:rsidRDefault="00E6757B" w:rsidP="00E6757B">
      <w:pPr>
        <w:pStyle w:val="Point0"/>
        <w:rPr>
          <w:noProof/>
          <w:lang w:val="nl-BE"/>
        </w:rPr>
      </w:pPr>
      <w:r w:rsidRPr="000C1A13">
        <w:rPr>
          <w:noProof/>
          <w:lang w:val="nl-BE"/>
        </w:rPr>
        <w:t>k)</w:t>
      </w:r>
      <w:r w:rsidRPr="000C1A13">
        <w:rPr>
          <w:noProof/>
          <w:lang w:val="nl-BE"/>
        </w:rPr>
        <w:tab/>
        <w:t xml:space="preserve">porez na dobit in Kroatien,  </w:t>
      </w:r>
    </w:p>
    <w:p w14:paraId="16D570F5" w14:textId="27A2BE7C" w:rsidR="00E6757B" w:rsidRPr="000C1A13" w:rsidRDefault="00E6757B" w:rsidP="00E6757B">
      <w:pPr>
        <w:pStyle w:val="Point0"/>
        <w:rPr>
          <w:noProof/>
          <w:lang w:val="nl-BE"/>
        </w:rPr>
      </w:pPr>
      <w:r w:rsidRPr="000C1A13">
        <w:rPr>
          <w:noProof/>
          <w:lang w:val="nl-BE"/>
        </w:rPr>
        <w:t>l)</w:t>
      </w:r>
      <w:r w:rsidRPr="000C1A13">
        <w:rPr>
          <w:noProof/>
          <w:lang w:val="nl-BE"/>
        </w:rPr>
        <w:tab/>
        <w:t xml:space="preserve">imposta sul reddito delle società in Italien,  </w:t>
      </w:r>
    </w:p>
    <w:p w14:paraId="155B2293" w14:textId="24D312F8" w:rsidR="00E6757B" w:rsidRPr="000C1A13" w:rsidRDefault="00E6757B" w:rsidP="00E6757B">
      <w:pPr>
        <w:pStyle w:val="Point0"/>
        <w:rPr>
          <w:noProof/>
          <w:lang w:val="nl-BE"/>
        </w:rPr>
      </w:pPr>
      <w:r w:rsidRPr="000C1A13">
        <w:rPr>
          <w:noProof/>
          <w:lang w:val="nl-BE"/>
        </w:rPr>
        <w:t>m)</w:t>
      </w:r>
      <w:r w:rsidRPr="000C1A13">
        <w:rPr>
          <w:noProof/>
          <w:lang w:val="nl-BE"/>
        </w:rPr>
        <w:tab/>
      </w:r>
      <w:r w:rsidRPr="001B36E4">
        <w:rPr>
          <w:noProof/>
        </w:rPr>
        <w:t>φόρος</w:t>
      </w:r>
      <w:r w:rsidRPr="000C1A13">
        <w:rPr>
          <w:noProof/>
          <w:lang w:val="nl-BE"/>
        </w:rPr>
        <w:t xml:space="preserve"> </w:t>
      </w:r>
      <w:r w:rsidRPr="001B36E4">
        <w:rPr>
          <w:noProof/>
        </w:rPr>
        <w:t>εισοδήματος</w:t>
      </w:r>
      <w:r w:rsidRPr="000C1A13">
        <w:rPr>
          <w:noProof/>
          <w:lang w:val="nl-BE"/>
        </w:rPr>
        <w:t xml:space="preserve"> in Zypern,  </w:t>
      </w:r>
    </w:p>
    <w:p w14:paraId="644A2463" w14:textId="1297B51B" w:rsidR="00E6757B" w:rsidRPr="000C1A13" w:rsidRDefault="00E6757B" w:rsidP="00E6757B">
      <w:pPr>
        <w:pStyle w:val="Point0"/>
        <w:rPr>
          <w:noProof/>
          <w:lang w:val="nl-BE"/>
        </w:rPr>
      </w:pPr>
      <w:r w:rsidRPr="000C1A13">
        <w:rPr>
          <w:noProof/>
          <w:lang w:val="nl-BE"/>
        </w:rPr>
        <w:t>n)</w:t>
      </w:r>
      <w:r w:rsidRPr="000C1A13">
        <w:rPr>
          <w:noProof/>
          <w:lang w:val="nl-BE"/>
        </w:rPr>
        <w:tab/>
        <w:t xml:space="preserve">uzņēmumu ienākuma nodoklis in Lettland,  </w:t>
      </w:r>
    </w:p>
    <w:p w14:paraId="0B62D2A5" w14:textId="12C0B120" w:rsidR="00E6757B" w:rsidRPr="000C1A13" w:rsidRDefault="00E6757B" w:rsidP="00E6757B">
      <w:pPr>
        <w:pStyle w:val="Point0"/>
        <w:rPr>
          <w:noProof/>
          <w:lang w:val="en-IE"/>
        </w:rPr>
      </w:pPr>
      <w:r w:rsidRPr="000C1A13">
        <w:rPr>
          <w:noProof/>
          <w:lang w:val="en-IE"/>
        </w:rPr>
        <w:t>o)</w:t>
      </w:r>
      <w:r w:rsidRPr="000C1A13">
        <w:rPr>
          <w:noProof/>
          <w:lang w:val="en-IE"/>
        </w:rPr>
        <w:tab/>
        <w:t xml:space="preserve">pelno mokestis in Litauen,  </w:t>
      </w:r>
    </w:p>
    <w:p w14:paraId="6937ADE6" w14:textId="13241FCB" w:rsidR="00E6757B" w:rsidRPr="000C1A13" w:rsidRDefault="00E6757B" w:rsidP="00E6757B">
      <w:pPr>
        <w:pStyle w:val="Point0"/>
        <w:rPr>
          <w:noProof/>
          <w:lang w:val="fr-BE"/>
        </w:rPr>
      </w:pPr>
      <w:r w:rsidRPr="000C1A13">
        <w:rPr>
          <w:noProof/>
          <w:lang w:val="fr-BE"/>
        </w:rPr>
        <w:t>p)</w:t>
      </w:r>
      <w:r w:rsidRPr="000C1A13">
        <w:rPr>
          <w:noProof/>
          <w:lang w:val="fr-BE"/>
        </w:rPr>
        <w:tab/>
        <w:t xml:space="preserve">impôt sur le revenu des collectivités in Luxemburg,  </w:t>
      </w:r>
    </w:p>
    <w:p w14:paraId="181745F8" w14:textId="368FD43D" w:rsidR="00E6757B" w:rsidRPr="000C1A13" w:rsidRDefault="00E6757B" w:rsidP="00E6757B">
      <w:pPr>
        <w:pStyle w:val="Point0"/>
        <w:rPr>
          <w:noProof/>
          <w:lang w:val="fr-BE"/>
        </w:rPr>
      </w:pPr>
      <w:r w:rsidRPr="000C1A13">
        <w:rPr>
          <w:noProof/>
          <w:lang w:val="fr-BE"/>
        </w:rPr>
        <w:t>q)</w:t>
      </w:r>
      <w:r w:rsidRPr="000C1A13">
        <w:rPr>
          <w:noProof/>
          <w:lang w:val="fr-BE"/>
        </w:rPr>
        <w:tab/>
        <w:t xml:space="preserve">társasági adó, osztalékadó in Ungarn,  </w:t>
      </w:r>
    </w:p>
    <w:p w14:paraId="4FE406C5" w14:textId="661323FC" w:rsidR="00E6757B" w:rsidRPr="000C1A13" w:rsidRDefault="00E6757B" w:rsidP="00E6757B">
      <w:pPr>
        <w:pStyle w:val="Point0"/>
        <w:rPr>
          <w:noProof/>
          <w:lang w:val="en-IE"/>
        </w:rPr>
      </w:pPr>
      <w:r w:rsidRPr="000C1A13">
        <w:rPr>
          <w:noProof/>
          <w:lang w:val="en-IE"/>
        </w:rPr>
        <w:t>r)</w:t>
      </w:r>
      <w:r w:rsidRPr="000C1A13">
        <w:rPr>
          <w:noProof/>
          <w:lang w:val="en-IE"/>
        </w:rPr>
        <w:tab/>
        <w:t xml:space="preserve">taxxa fuq l-income in Malta,  </w:t>
      </w:r>
    </w:p>
    <w:p w14:paraId="79E49EEF" w14:textId="63B85F7A" w:rsidR="00E6757B" w:rsidRPr="000C1A13" w:rsidRDefault="00E6757B" w:rsidP="00E6757B">
      <w:pPr>
        <w:pStyle w:val="Point0"/>
        <w:rPr>
          <w:noProof/>
          <w:lang w:val="nl-BE"/>
        </w:rPr>
      </w:pPr>
      <w:r w:rsidRPr="000C1A13">
        <w:rPr>
          <w:noProof/>
          <w:lang w:val="nl-BE"/>
        </w:rPr>
        <w:t>s)</w:t>
      </w:r>
      <w:r w:rsidRPr="000C1A13">
        <w:rPr>
          <w:noProof/>
          <w:lang w:val="nl-BE"/>
        </w:rPr>
        <w:tab/>
        <w:t xml:space="preserve">vennootschapsbelasting in den Niederlanden,  </w:t>
      </w:r>
    </w:p>
    <w:p w14:paraId="52B24231" w14:textId="6472AC98" w:rsidR="00E6757B" w:rsidRPr="001B36E4" w:rsidRDefault="00E6757B" w:rsidP="00E6757B">
      <w:pPr>
        <w:pStyle w:val="Point0"/>
        <w:rPr>
          <w:noProof/>
        </w:rPr>
      </w:pPr>
      <w:r w:rsidRPr="001B36E4">
        <w:rPr>
          <w:noProof/>
        </w:rPr>
        <w:t>t)</w:t>
      </w:r>
      <w:r w:rsidRPr="001B36E4">
        <w:rPr>
          <w:noProof/>
        </w:rPr>
        <w:tab/>
        <w:t xml:space="preserve">Körperschaftsteuer in Österreich,  </w:t>
      </w:r>
    </w:p>
    <w:p w14:paraId="1BA225F3" w14:textId="1BF159DD" w:rsidR="00E6757B" w:rsidRPr="001B36E4" w:rsidRDefault="00E6757B" w:rsidP="00E6757B">
      <w:pPr>
        <w:pStyle w:val="Point0"/>
        <w:rPr>
          <w:noProof/>
        </w:rPr>
      </w:pPr>
      <w:r w:rsidRPr="001B36E4">
        <w:rPr>
          <w:noProof/>
        </w:rPr>
        <w:t>u)</w:t>
      </w:r>
      <w:r w:rsidRPr="001B36E4">
        <w:rPr>
          <w:noProof/>
        </w:rPr>
        <w:tab/>
        <w:t xml:space="preserve">podatek dochodowy od osób prawnych in Polen,  </w:t>
      </w:r>
    </w:p>
    <w:p w14:paraId="36968E14" w14:textId="527B254C" w:rsidR="00E6757B" w:rsidRPr="001B36E4" w:rsidRDefault="00E6757B" w:rsidP="00E6757B">
      <w:pPr>
        <w:pStyle w:val="Point0"/>
        <w:rPr>
          <w:noProof/>
        </w:rPr>
      </w:pPr>
      <w:r w:rsidRPr="001B36E4">
        <w:rPr>
          <w:noProof/>
        </w:rPr>
        <w:t>v)</w:t>
      </w:r>
      <w:r w:rsidRPr="001B36E4">
        <w:rPr>
          <w:noProof/>
        </w:rPr>
        <w:tab/>
        <w:t xml:space="preserve">imposto sobre o rendimento das pessoas colectivas in Portugal,  </w:t>
      </w:r>
    </w:p>
    <w:p w14:paraId="48D574F3" w14:textId="569065B4" w:rsidR="00E6757B" w:rsidRPr="001B36E4" w:rsidRDefault="00E6757B" w:rsidP="00E6757B">
      <w:pPr>
        <w:pStyle w:val="Point0"/>
        <w:rPr>
          <w:noProof/>
        </w:rPr>
      </w:pPr>
      <w:r w:rsidRPr="001B36E4">
        <w:rPr>
          <w:noProof/>
        </w:rPr>
        <w:t>w)</w:t>
      </w:r>
      <w:r w:rsidRPr="001B36E4">
        <w:rPr>
          <w:noProof/>
        </w:rPr>
        <w:tab/>
        <w:t xml:space="preserve">impozit pe profit in Rumänien,  </w:t>
      </w:r>
    </w:p>
    <w:p w14:paraId="3FF46665" w14:textId="506D8A7B" w:rsidR="00E6757B" w:rsidRPr="001B36E4" w:rsidRDefault="00E6757B" w:rsidP="00E6757B">
      <w:pPr>
        <w:pStyle w:val="Point0"/>
        <w:rPr>
          <w:noProof/>
        </w:rPr>
      </w:pPr>
      <w:r w:rsidRPr="001B36E4">
        <w:rPr>
          <w:noProof/>
        </w:rPr>
        <w:t>x)</w:t>
      </w:r>
      <w:r w:rsidRPr="001B36E4">
        <w:rPr>
          <w:noProof/>
        </w:rPr>
        <w:tab/>
        <w:t xml:space="preserve">davek od dobička pravnih oseb in Slowenien,  </w:t>
      </w:r>
    </w:p>
    <w:p w14:paraId="1E08FB8C" w14:textId="1813C5B2" w:rsidR="00E6757B" w:rsidRPr="001B36E4" w:rsidRDefault="00E6757B" w:rsidP="00E6757B">
      <w:pPr>
        <w:pStyle w:val="Point0"/>
        <w:rPr>
          <w:noProof/>
        </w:rPr>
      </w:pPr>
      <w:r w:rsidRPr="001B36E4">
        <w:rPr>
          <w:noProof/>
        </w:rPr>
        <w:t>y)</w:t>
      </w:r>
      <w:r w:rsidRPr="001B36E4">
        <w:rPr>
          <w:noProof/>
        </w:rPr>
        <w:tab/>
        <w:t xml:space="preserve">daň z príjmov právnických osôb in der Slowakei,  </w:t>
      </w:r>
    </w:p>
    <w:p w14:paraId="59A6EEF1" w14:textId="4993F8C8" w:rsidR="00E6757B" w:rsidRPr="001B36E4" w:rsidRDefault="00E6757B" w:rsidP="00E6757B">
      <w:pPr>
        <w:pStyle w:val="Point0"/>
        <w:rPr>
          <w:noProof/>
        </w:rPr>
      </w:pPr>
      <w:r w:rsidRPr="001B36E4">
        <w:rPr>
          <w:noProof/>
        </w:rPr>
        <w:t>z)</w:t>
      </w:r>
      <w:r w:rsidRPr="001B36E4">
        <w:rPr>
          <w:noProof/>
        </w:rPr>
        <w:tab/>
        <w:t xml:space="preserve">yhteisöjen tulovero/inkomstskatten för samfund in Finnland,  </w:t>
      </w:r>
    </w:p>
    <w:p w14:paraId="608D7909" w14:textId="4CBBF68F" w:rsidR="00E6757B" w:rsidRPr="001B36E4" w:rsidRDefault="00E6757B" w:rsidP="00E6757B">
      <w:pPr>
        <w:pStyle w:val="Point0"/>
        <w:rPr>
          <w:noProof/>
        </w:rPr>
      </w:pPr>
      <w:r w:rsidRPr="001B36E4">
        <w:rPr>
          <w:noProof/>
        </w:rPr>
        <w:t>aa)</w:t>
      </w:r>
      <w:r w:rsidRPr="001B36E4">
        <w:rPr>
          <w:noProof/>
        </w:rPr>
        <w:tab/>
        <w:t xml:space="preserve">statlig inkomstskatt in Schweden.  </w:t>
      </w:r>
    </w:p>
    <w:p w14:paraId="6C786814" w14:textId="01B91F14" w:rsidR="00E6757B" w:rsidRPr="001B36E4" w:rsidRDefault="00E6757B" w:rsidP="00E6757B">
      <w:pPr>
        <w:pStyle w:val="Annexetitre"/>
        <w:rPr>
          <w:noProof/>
        </w:rPr>
      </w:pPr>
      <w:r w:rsidRPr="001B36E4">
        <w:rPr>
          <w:noProof/>
        </w:rPr>
        <w:t xml:space="preserve">ANHANG IV: </w:t>
      </w:r>
      <w:r w:rsidRPr="001B36E4">
        <w:rPr>
          <w:noProof/>
        </w:rPr>
        <w:br/>
        <w:t xml:space="preserve">Steuern auf Gewinne auf Ebene der Eigentümer </w:t>
      </w:r>
      <w:r w:rsidRPr="001B36E4">
        <w:rPr>
          <w:noProof/>
        </w:rPr>
        <w:br/>
        <w:t>in Bezug auf die unter Artikel </w:t>
      </w:r>
      <w:r w:rsidRPr="000C1A13">
        <w:rPr>
          <w:noProof/>
        </w:rPr>
        <w:t>2</w:t>
      </w:r>
      <w:r w:rsidRPr="001B36E4">
        <w:rPr>
          <w:noProof/>
        </w:rPr>
        <w:t xml:space="preserve"> Absatz </w:t>
      </w:r>
      <w:r w:rsidRPr="000C1A13">
        <w:rPr>
          <w:noProof/>
        </w:rPr>
        <w:t>1</w:t>
      </w:r>
      <w:r w:rsidRPr="001B36E4">
        <w:rPr>
          <w:noProof/>
        </w:rPr>
        <w:t xml:space="preserve"> Buchstabe a fallenden juristischen Personen:</w:t>
      </w:r>
    </w:p>
    <w:p w14:paraId="27A5CF15" w14:textId="0D47838A" w:rsidR="00E6757B" w:rsidRPr="001B36E4" w:rsidRDefault="00B6039F" w:rsidP="00E6757B">
      <w:pPr>
        <w:rPr>
          <w:noProof/>
        </w:rPr>
      </w:pPr>
      <w:r w:rsidRPr="001B36E4">
        <w:rPr>
          <w:noProof/>
        </w:rPr>
        <w:t xml:space="preserve">Einkommensteuer auf der Ebene der Eigentümer der in Anhang II aufgeführten juristischen Personen oder jede andere Steuer mit ähnlichen Merkmalen, die Unternehmenseinkünfte erfasst. </w:t>
      </w:r>
    </w:p>
    <w:sectPr w:rsidR="00E6757B" w:rsidRPr="001B36E4" w:rsidSect="00753616">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817EC" w14:textId="77777777" w:rsidR="00774571" w:rsidRDefault="00774571" w:rsidP="00774571">
      <w:pPr>
        <w:spacing w:before="0" w:after="0"/>
      </w:pPr>
      <w:r>
        <w:separator/>
      </w:r>
    </w:p>
  </w:endnote>
  <w:endnote w:type="continuationSeparator" w:id="0">
    <w:p w14:paraId="4765A703" w14:textId="77777777" w:rsidR="00774571" w:rsidRDefault="00774571" w:rsidP="007745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B856" w14:textId="501AE0F7" w:rsidR="001B36E4" w:rsidRPr="00753616" w:rsidRDefault="001B36E4" w:rsidP="00753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D2C2" w14:textId="16DD0B3E" w:rsidR="001B36E4" w:rsidRPr="00753616" w:rsidRDefault="00753616" w:rsidP="00753616">
    <w:pPr>
      <w:pStyle w:val="Footer"/>
      <w:rPr>
        <w:rFonts w:ascii="Arial" w:hAnsi="Arial" w:cs="Arial"/>
        <w:b/>
        <w:sz w:val="48"/>
      </w:rPr>
    </w:pPr>
    <w:r w:rsidRPr="00753616">
      <w:rPr>
        <w:rFonts w:ascii="Arial" w:hAnsi="Arial" w:cs="Arial"/>
        <w:b/>
        <w:sz w:val="48"/>
      </w:rPr>
      <w:t>DE</w:t>
    </w:r>
    <w:r w:rsidRPr="00753616">
      <w:rPr>
        <w:rFonts w:ascii="Arial" w:hAnsi="Arial" w:cs="Arial"/>
        <w:b/>
        <w:sz w:val="48"/>
      </w:rPr>
      <w:tab/>
    </w:r>
    <w:r w:rsidRPr="00753616">
      <w:rPr>
        <w:rFonts w:ascii="Arial" w:hAnsi="Arial" w:cs="Arial"/>
        <w:b/>
        <w:sz w:val="48"/>
      </w:rPr>
      <w:tab/>
    </w:r>
    <w:r w:rsidRPr="00753616">
      <w:tab/>
    </w:r>
    <w:r w:rsidRPr="0075361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0429" w14:textId="77777777" w:rsidR="00753616" w:rsidRPr="00753616" w:rsidRDefault="00753616" w:rsidP="007536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FED6" w14:textId="479EA7D2" w:rsidR="00753616" w:rsidRPr="00753616" w:rsidRDefault="00753616" w:rsidP="00753616">
    <w:pPr>
      <w:pStyle w:val="Footer"/>
      <w:rPr>
        <w:rFonts w:ascii="Arial" w:hAnsi="Arial" w:cs="Arial"/>
        <w:b/>
        <w:sz w:val="48"/>
      </w:rPr>
    </w:pPr>
    <w:r w:rsidRPr="00753616">
      <w:rPr>
        <w:rFonts w:ascii="Arial" w:hAnsi="Arial" w:cs="Arial"/>
        <w:b/>
        <w:sz w:val="48"/>
      </w:rPr>
      <w:t>DE</w:t>
    </w:r>
    <w:r w:rsidRPr="0075361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53616">
      <w:tab/>
    </w:r>
    <w:r w:rsidRPr="00753616">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46C8" w14:textId="77777777" w:rsidR="00753616" w:rsidRPr="00753616" w:rsidRDefault="00753616" w:rsidP="00753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45C9" w14:textId="77777777" w:rsidR="00774571" w:rsidRDefault="00774571" w:rsidP="00774571">
      <w:pPr>
        <w:spacing w:before="0" w:after="0"/>
      </w:pPr>
      <w:r>
        <w:separator/>
      </w:r>
    </w:p>
  </w:footnote>
  <w:footnote w:type="continuationSeparator" w:id="0">
    <w:p w14:paraId="4A3D587C" w14:textId="77777777" w:rsidR="00774571" w:rsidRDefault="00774571" w:rsidP="007745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9414D" w14:textId="77777777" w:rsidR="00753616" w:rsidRPr="00753616" w:rsidRDefault="00753616" w:rsidP="00753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1F6F" w14:textId="77777777" w:rsidR="00753616" w:rsidRPr="00753616" w:rsidRDefault="00753616" w:rsidP="0075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6C37" w14:textId="77777777" w:rsidR="00753616" w:rsidRPr="00753616" w:rsidRDefault="00753616" w:rsidP="00753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2265F7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1F074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398E4A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9CA92E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21AE02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78293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F1C620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AD0F89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0-26 14:12: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r"/>
    <w:docVar w:name="LW_ACCOMPAGNANT.CP" w:val="der"/>
    <w:docVar w:name="LW_ANNEX_NBR_FIRST" w:val="1"/>
    <w:docVar w:name="LW_ANNEX_NBR_LAST" w:val="4"/>
    <w:docVar w:name="LW_ANNEX_UNIQUE" w:val="0"/>
    <w:docVar w:name="LW_CORRIGENDUM" w:val="&lt;UNUSED&gt;"/>
    <w:docVar w:name="LW_COVERPAGE_EXISTS" w:val="True"/>
    <w:docVar w:name="LW_COVERPAGE_GUID" w:val="C068BF2E-AFA3-4E55-AA12-A94E2991F933"/>
    <w:docVar w:name="LW_COVERPAGE_TYPE" w:val="1"/>
    <w:docVar w:name="LW_CROSSREFERENCE" w:val="{SEC(2023) 308 final} - {SWD(2023) 301 final} - {SWD(2023) 302 final} - {SWD(2023) 303 final}"/>
    <w:docVar w:name="LW_DocType" w:val="ANNEX"/>
    <w:docVar w:name="LW_EMISSION" w:val="12.9.2023"/>
    <w:docVar w:name="LW_EMISSION_ISODATE" w:val="2023-09-12"/>
    <w:docVar w:name="LW_EMISSION_LOCATION" w:val="STR"/>
    <w:docVar w:name="LW_EMISSION_PREFIX" w:val="Straßburg,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zur Einführung eines hauptsitzbasierten Steuersystems für Kleinstunternehmen, kleine und mittlere Unternehmen sowie zur Änderung der Richtlinie 2011/16/EU"/>
    <w:docVar w:name="LW_OBJETACTEPRINCIPAL.CP" w:val="zur Einführung eines hauptsitzbasierten Steuersystems für Kleinstunternehmen, kleine und mittlere Unternehmen sowie zur Änderung der Richtlinie 2011/16/EU"/>
    <w:docVar w:name="LW_PART_NBR" w:val="&lt;UNUSED&gt;"/>
    <w:docVar w:name="LW_PART_NBR_TOTAL" w:val="&lt;UNUSED&gt;"/>
    <w:docVar w:name="LW_REF.INST.NEW" w:val="COM"/>
    <w:docVar w:name="LW_REF.INST.NEW_ADOPTED" w:val="final"/>
    <w:docVar w:name="LW_REF.INST.NEW_TEXT" w:val="(2023) 52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Richtlinie des Rates"/>
    <w:docVar w:name="LW_TYPEACTEPRINCIPAL.CP" w:val="Richtlinie des Rates"/>
    <w:docVar w:name="LwApiVersions" w:val="LW4CoDe 1.23.2.0; LW 8.0, Build 20211117"/>
  </w:docVars>
  <w:rsids>
    <w:rsidRoot w:val="00774571"/>
    <w:rsid w:val="00006B73"/>
    <w:rsid w:val="00034A38"/>
    <w:rsid w:val="000427D9"/>
    <w:rsid w:val="00065F43"/>
    <w:rsid w:val="00071BA8"/>
    <w:rsid w:val="0008030F"/>
    <w:rsid w:val="000B6458"/>
    <w:rsid w:val="000C1A13"/>
    <w:rsid w:val="000E198E"/>
    <w:rsid w:val="00104107"/>
    <w:rsid w:val="00104E5E"/>
    <w:rsid w:val="00105E4B"/>
    <w:rsid w:val="00114AAF"/>
    <w:rsid w:val="00166161"/>
    <w:rsid w:val="001826C9"/>
    <w:rsid w:val="001867EB"/>
    <w:rsid w:val="00195DD9"/>
    <w:rsid w:val="001B36E4"/>
    <w:rsid w:val="001B3E35"/>
    <w:rsid w:val="001C2816"/>
    <w:rsid w:val="001D6F25"/>
    <w:rsid w:val="0020043E"/>
    <w:rsid w:val="00247DA0"/>
    <w:rsid w:val="00272F43"/>
    <w:rsid w:val="00283B26"/>
    <w:rsid w:val="00284808"/>
    <w:rsid w:val="002B0C49"/>
    <w:rsid w:val="002C36DA"/>
    <w:rsid w:val="002E01A0"/>
    <w:rsid w:val="002E2D15"/>
    <w:rsid w:val="002E4CF3"/>
    <w:rsid w:val="002F20D4"/>
    <w:rsid w:val="00301274"/>
    <w:rsid w:val="00325731"/>
    <w:rsid w:val="003260DE"/>
    <w:rsid w:val="00344013"/>
    <w:rsid w:val="00351247"/>
    <w:rsid w:val="00357461"/>
    <w:rsid w:val="0036383F"/>
    <w:rsid w:val="003F2871"/>
    <w:rsid w:val="00425366"/>
    <w:rsid w:val="004510A6"/>
    <w:rsid w:val="00461FBF"/>
    <w:rsid w:val="004C5F7A"/>
    <w:rsid w:val="004F7DDC"/>
    <w:rsid w:val="00507195"/>
    <w:rsid w:val="0051287A"/>
    <w:rsid w:val="00516823"/>
    <w:rsid w:val="00524E26"/>
    <w:rsid w:val="00525718"/>
    <w:rsid w:val="00553034"/>
    <w:rsid w:val="005613DC"/>
    <w:rsid w:val="005B1DF5"/>
    <w:rsid w:val="005C2587"/>
    <w:rsid w:val="005E38EF"/>
    <w:rsid w:val="0063117E"/>
    <w:rsid w:val="00656F69"/>
    <w:rsid w:val="00667FDC"/>
    <w:rsid w:val="0069325C"/>
    <w:rsid w:val="006A4E94"/>
    <w:rsid w:val="006A558F"/>
    <w:rsid w:val="006B5A6A"/>
    <w:rsid w:val="006C0D33"/>
    <w:rsid w:val="006C15C3"/>
    <w:rsid w:val="006E7132"/>
    <w:rsid w:val="00731592"/>
    <w:rsid w:val="00735573"/>
    <w:rsid w:val="00741E28"/>
    <w:rsid w:val="00753616"/>
    <w:rsid w:val="00761D40"/>
    <w:rsid w:val="00774571"/>
    <w:rsid w:val="00783FD8"/>
    <w:rsid w:val="00796D7D"/>
    <w:rsid w:val="007B4B46"/>
    <w:rsid w:val="007C3296"/>
    <w:rsid w:val="007E6B0F"/>
    <w:rsid w:val="007F15BC"/>
    <w:rsid w:val="00827826"/>
    <w:rsid w:val="00830B39"/>
    <w:rsid w:val="00851444"/>
    <w:rsid w:val="008606C5"/>
    <w:rsid w:val="00874AFE"/>
    <w:rsid w:val="00892A4A"/>
    <w:rsid w:val="008B3E0B"/>
    <w:rsid w:val="008F2681"/>
    <w:rsid w:val="0090446C"/>
    <w:rsid w:val="0093361F"/>
    <w:rsid w:val="00964616"/>
    <w:rsid w:val="00981B14"/>
    <w:rsid w:val="00986B33"/>
    <w:rsid w:val="00987AD5"/>
    <w:rsid w:val="00992C18"/>
    <w:rsid w:val="009D4D2E"/>
    <w:rsid w:val="009D5059"/>
    <w:rsid w:val="009E641F"/>
    <w:rsid w:val="009F13DD"/>
    <w:rsid w:val="00A145EF"/>
    <w:rsid w:val="00A25EF8"/>
    <w:rsid w:val="00A466BA"/>
    <w:rsid w:val="00A54634"/>
    <w:rsid w:val="00A607C1"/>
    <w:rsid w:val="00AB4A58"/>
    <w:rsid w:val="00AC126A"/>
    <w:rsid w:val="00AF5A10"/>
    <w:rsid w:val="00B27944"/>
    <w:rsid w:val="00B41EF9"/>
    <w:rsid w:val="00B6039F"/>
    <w:rsid w:val="00B711EC"/>
    <w:rsid w:val="00B856AB"/>
    <w:rsid w:val="00BB0CF3"/>
    <w:rsid w:val="00BB646D"/>
    <w:rsid w:val="00BC2C24"/>
    <w:rsid w:val="00BC6995"/>
    <w:rsid w:val="00BE66D2"/>
    <w:rsid w:val="00BF17AA"/>
    <w:rsid w:val="00BF2600"/>
    <w:rsid w:val="00C072D2"/>
    <w:rsid w:val="00C1617E"/>
    <w:rsid w:val="00C24556"/>
    <w:rsid w:val="00C42CAB"/>
    <w:rsid w:val="00C826E0"/>
    <w:rsid w:val="00CA03CC"/>
    <w:rsid w:val="00CE344F"/>
    <w:rsid w:val="00CF5314"/>
    <w:rsid w:val="00D03C1F"/>
    <w:rsid w:val="00D9658C"/>
    <w:rsid w:val="00D967A2"/>
    <w:rsid w:val="00DB2C9E"/>
    <w:rsid w:val="00DD3862"/>
    <w:rsid w:val="00E21A0D"/>
    <w:rsid w:val="00E4453D"/>
    <w:rsid w:val="00E6757B"/>
    <w:rsid w:val="00E72D49"/>
    <w:rsid w:val="00E7301E"/>
    <w:rsid w:val="00E75496"/>
    <w:rsid w:val="00E86AFD"/>
    <w:rsid w:val="00E871BC"/>
    <w:rsid w:val="00ED363F"/>
    <w:rsid w:val="00EE1DC4"/>
    <w:rsid w:val="00EE6054"/>
    <w:rsid w:val="00EE671C"/>
    <w:rsid w:val="00EF3FF8"/>
    <w:rsid w:val="00F65203"/>
    <w:rsid w:val="00F85443"/>
    <w:rsid w:val="00FB3096"/>
    <w:rsid w:val="00FC71DD"/>
    <w:rsid w:val="00FD309C"/>
    <w:rsid w:val="129964F7"/>
    <w:rsid w:val="370CD2E1"/>
    <w:rsid w:val="4226FC96"/>
    <w:rsid w:val="5525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C38075"/>
  <w15:docId w15:val="{51D01DA7-29F0-4423-92BE-0FA7184A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4571"/>
    <w:rPr>
      <w:color w:val="0000FF"/>
      <w:u w:val="single"/>
    </w:rPr>
  </w:style>
  <w:style w:type="character" w:styleId="CommentReference">
    <w:name w:val="annotation reference"/>
    <w:rsid w:val="00774571"/>
    <w:rPr>
      <w:rFonts w:cs="Times New Roman"/>
      <w:sz w:val="16"/>
    </w:rPr>
  </w:style>
  <w:style w:type="paragraph" w:styleId="CommentText">
    <w:name w:val="annotation text"/>
    <w:basedOn w:val="Normal"/>
    <w:link w:val="CommentTextChar"/>
    <w:rsid w:val="00774571"/>
    <w:rPr>
      <w:sz w:val="20"/>
    </w:rPr>
  </w:style>
  <w:style w:type="character" w:customStyle="1" w:styleId="CommentTextChar">
    <w:name w:val="Comment Text Char"/>
    <w:basedOn w:val="DefaultParagraphFont"/>
    <w:link w:val="CommentText"/>
    <w:rsid w:val="00774571"/>
    <w:rPr>
      <w:rFonts w:ascii="Times New Roman" w:eastAsia="Times New Roman" w:hAnsi="Times New Roman" w:cs="Times New Roman"/>
      <w:sz w:val="20"/>
    </w:rPr>
  </w:style>
  <w:style w:type="paragraph" w:styleId="ListParagraph">
    <w:name w:val="List Paragraph"/>
    <w:basedOn w:val="Normal"/>
    <w:uiPriority w:val="34"/>
    <w:qFormat/>
    <w:rsid w:val="00774571"/>
    <w:pPr>
      <w:ind w:left="720"/>
      <w:contextualSpacing/>
    </w:pPr>
  </w:style>
  <w:style w:type="paragraph" w:styleId="BalloonText">
    <w:name w:val="Balloon Text"/>
    <w:basedOn w:val="Normal"/>
    <w:link w:val="BalloonTextChar"/>
    <w:uiPriority w:val="99"/>
    <w:semiHidden/>
    <w:unhideWhenUsed/>
    <w:rsid w:val="0077457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74571"/>
    <w:rPr>
      <w:rFonts w:ascii="Segoe UI" w:hAnsi="Segoe UI" w:cs="Segoe UI"/>
      <w:sz w:val="18"/>
    </w:rPr>
  </w:style>
  <w:style w:type="paragraph" w:styleId="Caption">
    <w:name w:val="caption"/>
    <w:basedOn w:val="Normal"/>
    <w:next w:val="Normal"/>
    <w:uiPriority w:val="35"/>
    <w:semiHidden/>
    <w:unhideWhenUsed/>
    <w:qFormat/>
    <w:rsid w:val="00034A38"/>
    <w:pPr>
      <w:spacing w:before="0" w:after="200"/>
    </w:pPr>
    <w:rPr>
      <w:i/>
      <w:color w:val="1F497D" w:themeColor="text2"/>
      <w:sz w:val="18"/>
    </w:rPr>
  </w:style>
  <w:style w:type="paragraph" w:styleId="TableofFigures">
    <w:name w:val="table of figures"/>
    <w:basedOn w:val="Normal"/>
    <w:next w:val="Normal"/>
    <w:uiPriority w:val="99"/>
    <w:semiHidden/>
    <w:unhideWhenUsed/>
    <w:rsid w:val="00034A38"/>
    <w:pPr>
      <w:spacing w:after="0"/>
    </w:pPr>
  </w:style>
  <w:style w:type="paragraph" w:styleId="ListBullet">
    <w:name w:val="List Bullet"/>
    <w:basedOn w:val="Normal"/>
    <w:uiPriority w:val="99"/>
    <w:semiHidden/>
    <w:unhideWhenUsed/>
    <w:rsid w:val="00034A38"/>
    <w:pPr>
      <w:numPr>
        <w:numId w:val="1"/>
      </w:numPr>
      <w:contextualSpacing/>
    </w:pPr>
  </w:style>
  <w:style w:type="paragraph" w:styleId="ListBullet2">
    <w:name w:val="List Bullet 2"/>
    <w:basedOn w:val="Normal"/>
    <w:uiPriority w:val="99"/>
    <w:semiHidden/>
    <w:unhideWhenUsed/>
    <w:rsid w:val="00034A38"/>
    <w:pPr>
      <w:numPr>
        <w:numId w:val="2"/>
      </w:numPr>
      <w:contextualSpacing/>
    </w:pPr>
  </w:style>
  <w:style w:type="paragraph" w:styleId="ListBullet3">
    <w:name w:val="List Bullet 3"/>
    <w:basedOn w:val="Normal"/>
    <w:uiPriority w:val="99"/>
    <w:semiHidden/>
    <w:unhideWhenUsed/>
    <w:rsid w:val="00034A38"/>
    <w:pPr>
      <w:numPr>
        <w:numId w:val="3"/>
      </w:numPr>
      <w:contextualSpacing/>
    </w:pPr>
  </w:style>
  <w:style w:type="paragraph" w:styleId="ListBullet4">
    <w:name w:val="List Bullet 4"/>
    <w:basedOn w:val="Normal"/>
    <w:uiPriority w:val="99"/>
    <w:semiHidden/>
    <w:unhideWhenUsed/>
    <w:rsid w:val="00034A38"/>
    <w:pPr>
      <w:numPr>
        <w:numId w:val="4"/>
      </w:numPr>
      <w:contextualSpacing/>
    </w:pPr>
  </w:style>
  <w:style w:type="paragraph" w:styleId="ListNumber">
    <w:name w:val="List Number"/>
    <w:basedOn w:val="Normal"/>
    <w:uiPriority w:val="99"/>
    <w:semiHidden/>
    <w:unhideWhenUsed/>
    <w:rsid w:val="00034A38"/>
    <w:pPr>
      <w:numPr>
        <w:numId w:val="5"/>
      </w:numPr>
      <w:contextualSpacing/>
    </w:pPr>
  </w:style>
  <w:style w:type="paragraph" w:styleId="ListNumber2">
    <w:name w:val="List Number 2"/>
    <w:basedOn w:val="Normal"/>
    <w:uiPriority w:val="99"/>
    <w:semiHidden/>
    <w:unhideWhenUsed/>
    <w:rsid w:val="00034A38"/>
    <w:pPr>
      <w:numPr>
        <w:numId w:val="6"/>
      </w:numPr>
      <w:contextualSpacing/>
    </w:pPr>
  </w:style>
  <w:style w:type="paragraph" w:styleId="ListNumber3">
    <w:name w:val="List Number 3"/>
    <w:basedOn w:val="Normal"/>
    <w:uiPriority w:val="99"/>
    <w:semiHidden/>
    <w:unhideWhenUsed/>
    <w:rsid w:val="00034A38"/>
    <w:pPr>
      <w:numPr>
        <w:numId w:val="7"/>
      </w:numPr>
      <w:contextualSpacing/>
    </w:pPr>
  </w:style>
  <w:style w:type="paragraph" w:styleId="ListNumber4">
    <w:name w:val="List Number 4"/>
    <w:basedOn w:val="Normal"/>
    <w:uiPriority w:val="99"/>
    <w:semiHidden/>
    <w:unhideWhenUsed/>
    <w:rsid w:val="00034A38"/>
    <w:pPr>
      <w:numPr>
        <w:numId w:val="8"/>
      </w:numPr>
      <w:contextualSpacing/>
    </w:pPr>
  </w:style>
  <w:style w:type="paragraph" w:styleId="CommentSubject">
    <w:name w:val="annotation subject"/>
    <w:basedOn w:val="CommentText"/>
    <w:next w:val="CommentText"/>
    <w:link w:val="CommentSubjectChar"/>
    <w:uiPriority w:val="99"/>
    <w:semiHidden/>
    <w:unhideWhenUsed/>
    <w:rsid w:val="00992C18"/>
    <w:rPr>
      <w:b/>
    </w:rPr>
  </w:style>
  <w:style w:type="character" w:customStyle="1" w:styleId="CommentSubjectChar">
    <w:name w:val="Comment Subject Char"/>
    <w:basedOn w:val="CommentTextChar"/>
    <w:link w:val="CommentSubject"/>
    <w:uiPriority w:val="99"/>
    <w:semiHidden/>
    <w:rsid w:val="00992C18"/>
    <w:rPr>
      <w:rFonts w:ascii="Times New Roman" w:eastAsia="Times New Roman" w:hAnsi="Times New Roman" w:cs="Times New Roman"/>
      <w:b/>
      <w:sz w:val="20"/>
    </w:rPr>
  </w:style>
  <w:style w:type="paragraph" w:customStyle="1" w:styleId="norm">
    <w:name w:val="norm"/>
    <w:basedOn w:val="Normal"/>
    <w:rsid w:val="00425366"/>
    <w:pPr>
      <w:spacing w:before="100" w:beforeAutospacing="1" w:after="100" w:afterAutospacing="1"/>
      <w:jc w:val="left"/>
    </w:pPr>
  </w:style>
  <w:style w:type="character" w:customStyle="1" w:styleId="superscript">
    <w:name w:val="superscript"/>
    <w:basedOn w:val="DefaultParagraphFont"/>
    <w:rsid w:val="00425366"/>
  </w:style>
  <w:style w:type="paragraph" w:customStyle="1" w:styleId="modref">
    <w:name w:val="modref"/>
    <w:basedOn w:val="Normal"/>
    <w:rsid w:val="00425366"/>
    <w:pPr>
      <w:spacing w:before="100" w:beforeAutospacing="1" w:after="100" w:afterAutospacing="1"/>
      <w:jc w:val="left"/>
    </w:pPr>
  </w:style>
  <w:style w:type="character" w:customStyle="1" w:styleId="UnresolvedMention">
    <w:name w:val="Unresolved Mention"/>
    <w:basedOn w:val="DefaultParagraphFont"/>
    <w:uiPriority w:val="99"/>
    <w:semiHidden/>
    <w:unhideWhenUsed/>
    <w:rsid w:val="00B41EF9"/>
    <w:rPr>
      <w:color w:val="605E5C"/>
      <w:shd w:val="clear" w:color="auto" w:fill="E1DFDD"/>
    </w:rPr>
  </w:style>
  <w:style w:type="paragraph" w:styleId="Header">
    <w:name w:val="header"/>
    <w:basedOn w:val="Normal"/>
    <w:link w:val="HeaderChar"/>
    <w:uiPriority w:val="99"/>
    <w:unhideWhenUsed/>
    <w:rsid w:val="00753616"/>
    <w:pPr>
      <w:tabs>
        <w:tab w:val="center" w:pos="4535"/>
        <w:tab w:val="right" w:pos="9071"/>
      </w:tabs>
      <w:spacing w:before="0"/>
    </w:pPr>
  </w:style>
  <w:style w:type="character" w:customStyle="1" w:styleId="HeaderChar">
    <w:name w:val="Header Char"/>
    <w:basedOn w:val="DefaultParagraphFont"/>
    <w:link w:val="Header"/>
    <w:uiPriority w:val="99"/>
    <w:rsid w:val="00753616"/>
    <w:rPr>
      <w:rFonts w:ascii="Times New Roman" w:hAnsi="Times New Roman" w:cs="Times New Roman"/>
      <w:sz w:val="24"/>
      <w:lang w:val="de-DE"/>
    </w:rPr>
  </w:style>
  <w:style w:type="paragraph" w:styleId="Footer">
    <w:name w:val="footer"/>
    <w:basedOn w:val="Normal"/>
    <w:link w:val="FooterChar"/>
    <w:uiPriority w:val="99"/>
    <w:unhideWhenUsed/>
    <w:rsid w:val="0075361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3616"/>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53616"/>
    <w:pPr>
      <w:tabs>
        <w:tab w:val="center" w:pos="7285"/>
        <w:tab w:val="right" w:pos="14003"/>
      </w:tabs>
      <w:spacing w:before="0"/>
    </w:pPr>
  </w:style>
  <w:style w:type="paragraph" w:customStyle="1" w:styleId="FooterLandscape">
    <w:name w:val="FooterLandscape"/>
    <w:basedOn w:val="Normal"/>
    <w:rsid w:val="0075361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5361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53616"/>
    <w:pPr>
      <w:spacing w:before="0"/>
      <w:jc w:val="right"/>
    </w:pPr>
    <w:rPr>
      <w:sz w:val="28"/>
    </w:rPr>
  </w:style>
  <w:style w:type="paragraph" w:customStyle="1" w:styleId="FooterSensitivity">
    <w:name w:val="Footer Sensitivity"/>
    <w:basedOn w:val="Normal"/>
    <w:rsid w:val="0075361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06646">
      <w:bodyDiv w:val="1"/>
      <w:marLeft w:val="0"/>
      <w:marRight w:val="0"/>
      <w:marTop w:val="0"/>
      <w:marBottom w:val="0"/>
      <w:divBdr>
        <w:top w:val="none" w:sz="0" w:space="0" w:color="auto"/>
        <w:left w:val="none" w:sz="0" w:space="0" w:color="auto"/>
        <w:bottom w:val="none" w:sz="0" w:space="0" w:color="auto"/>
        <w:right w:val="none" w:sz="0" w:space="0" w:color="auto"/>
      </w:divBdr>
      <w:divsChild>
        <w:div w:id="1943487752">
          <w:marLeft w:val="240"/>
          <w:marRight w:val="0"/>
          <w:marTop w:val="0"/>
          <w:marBottom w:val="0"/>
          <w:divBdr>
            <w:top w:val="none" w:sz="0" w:space="0" w:color="auto"/>
            <w:left w:val="none" w:sz="0" w:space="0" w:color="auto"/>
            <w:bottom w:val="none" w:sz="0" w:space="0" w:color="auto"/>
            <w:right w:val="none" w:sz="0" w:space="0" w:color="auto"/>
          </w:divBdr>
        </w:div>
        <w:div w:id="1529220143">
          <w:marLeft w:val="240"/>
          <w:marRight w:val="0"/>
          <w:marTop w:val="0"/>
          <w:marBottom w:val="0"/>
          <w:divBdr>
            <w:top w:val="none" w:sz="0" w:space="0" w:color="auto"/>
            <w:left w:val="none" w:sz="0" w:space="0" w:color="auto"/>
            <w:bottom w:val="none" w:sz="0" w:space="0" w:color="auto"/>
            <w:right w:val="none" w:sz="0" w:space="0" w:color="auto"/>
          </w:divBdr>
        </w:div>
        <w:div w:id="2044087260">
          <w:marLeft w:val="240"/>
          <w:marRight w:val="0"/>
          <w:marTop w:val="0"/>
          <w:marBottom w:val="0"/>
          <w:divBdr>
            <w:top w:val="none" w:sz="0" w:space="0" w:color="auto"/>
            <w:left w:val="none" w:sz="0" w:space="0" w:color="auto"/>
            <w:bottom w:val="none" w:sz="0" w:space="0" w:color="auto"/>
            <w:right w:val="none" w:sz="0" w:space="0" w:color="auto"/>
          </w:divBdr>
        </w:div>
        <w:div w:id="1717776863">
          <w:marLeft w:val="240"/>
          <w:marRight w:val="0"/>
          <w:marTop w:val="0"/>
          <w:marBottom w:val="0"/>
          <w:divBdr>
            <w:top w:val="none" w:sz="0" w:space="0" w:color="auto"/>
            <w:left w:val="none" w:sz="0" w:space="0" w:color="auto"/>
            <w:bottom w:val="none" w:sz="0" w:space="0" w:color="auto"/>
            <w:right w:val="none" w:sz="0" w:space="0" w:color="auto"/>
          </w:divBdr>
        </w:div>
        <w:div w:id="1569415214">
          <w:marLeft w:val="240"/>
          <w:marRight w:val="0"/>
          <w:marTop w:val="0"/>
          <w:marBottom w:val="0"/>
          <w:divBdr>
            <w:top w:val="none" w:sz="0" w:space="0" w:color="auto"/>
            <w:left w:val="none" w:sz="0" w:space="0" w:color="auto"/>
            <w:bottom w:val="none" w:sz="0" w:space="0" w:color="auto"/>
            <w:right w:val="none" w:sz="0" w:space="0" w:color="auto"/>
          </w:divBdr>
        </w:div>
        <w:div w:id="2079091653">
          <w:marLeft w:val="240"/>
          <w:marRight w:val="0"/>
          <w:marTop w:val="0"/>
          <w:marBottom w:val="0"/>
          <w:divBdr>
            <w:top w:val="none" w:sz="0" w:space="0" w:color="auto"/>
            <w:left w:val="none" w:sz="0" w:space="0" w:color="auto"/>
            <w:bottom w:val="none" w:sz="0" w:space="0" w:color="auto"/>
            <w:right w:val="none" w:sz="0" w:space="0" w:color="auto"/>
          </w:divBdr>
        </w:div>
        <w:div w:id="221335187">
          <w:marLeft w:val="240"/>
          <w:marRight w:val="0"/>
          <w:marTop w:val="0"/>
          <w:marBottom w:val="0"/>
          <w:divBdr>
            <w:top w:val="none" w:sz="0" w:space="0" w:color="auto"/>
            <w:left w:val="none" w:sz="0" w:space="0" w:color="auto"/>
            <w:bottom w:val="none" w:sz="0" w:space="0" w:color="auto"/>
            <w:right w:val="none" w:sz="0" w:space="0" w:color="auto"/>
          </w:divBdr>
        </w:div>
        <w:div w:id="13191192">
          <w:marLeft w:val="240"/>
          <w:marRight w:val="0"/>
          <w:marTop w:val="0"/>
          <w:marBottom w:val="0"/>
          <w:divBdr>
            <w:top w:val="none" w:sz="0" w:space="0" w:color="auto"/>
            <w:left w:val="none" w:sz="0" w:space="0" w:color="auto"/>
            <w:bottom w:val="none" w:sz="0" w:space="0" w:color="auto"/>
            <w:right w:val="none" w:sz="0" w:space="0" w:color="auto"/>
          </w:divBdr>
        </w:div>
        <w:div w:id="1899245406">
          <w:marLeft w:val="240"/>
          <w:marRight w:val="0"/>
          <w:marTop w:val="0"/>
          <w:marBottom w:val="0"/>
          <w:divBdr>
            <w:top w:val="none" w:sz="0" w:space="0" w:color="auto"/>
            <w:left w:val="none" w:sz="0" w:space="0" w:color="auto"/>
            <w:bottom w:val="none" w:sz="0" w:space="0" w:color="auto"/>
            <w:right w:val="none" w:sz="0" w:space="0" w:color="auto"/>
          </w:divBdr>
        </w:div>
        <w:div w:id="1322857156">
          <w:marLeft w:val="240"/>
          <w:marRight w:val="0"/>
          <w:marTop w:val="0"/>
          <w:marBottom w:val="0"/>
          <w:divBdr>
            <w:top w:val="none" w:sz="0" w:space="0" w:color="auto"/>
            <w:left w:val="none" w:sz="0" w:space="0" w:color="auto"/>
            <w:bottom w:val="none" w:sz="0" w:space="0" w:color="auto"/>
            <w:right w:val="none" w:sz="0" w:space="0" w:color="auto"/>
          </w:divBdr>
        </w:div>
        <w:div w:id="486216280">
          <w:marLeft w:val="240"/>
          <w:marRight w:val="0"/>
          <w:marTop w:val="0"/>
          <w:marBottom w:val="0"/>
          <w:divBdr>
            <w:top w:val="none" w:sz="0" w:space="0" w:color="auto"/>
            <w:left w:val="none" w:sz="0" w:space="0" w:color="auto"/>
            <w:bottom w:val="none" w:sz="0" w:space="0" w:color="auto"/>
            <w:right w:val="none" w:sz="0" w:space="0" w:color="auto"/>
          </w:divBdr>
        </w:div>
        <w:div w:id="1485316548">
          <w:marLeft w:val="240"/>
          <w:marRight w:val="0"/>
          <w:marTop w:val="0"/>
          <w:marBottom w:val="0"/>
          <w:divBdr>
            <w:top w:val="none" w:sz="0" w:space="0" w:color="auto"/>
            <w:left w:val="none" w:sz="0" w:space="0" w:color="auto"/>
            <w:bottom w:val="none" w:sz="0" w:space="0" w:color="auto"/>
            <w:right w:val="none" w:sz="0" w:space="0" w:color="auto"/>
          </w:divBdr>
        </w:div>
        <w:div w:id="1617560023">
          <w:marLeft w:val="240"/>
          <w:marRight w:val="0"/>
          <w:marTop w:val="0"/>
          <w:marBottom w:val="0"/>
          <w:divBdr>
            <w:top w:val="none" w:sz="0" w:space="0" w:color="auto"/>
            <w:left w:val="none" w:sz="0" w:space="0" w:color="auto"/>
            <w:bottom w:val="none" w:sz="0" w:space="0" w:color="auto"/>
            <w:right w:val="none" w:sz="0" w:space="0" w:color="auto"/>
          </w:divBdr>
        </w:div>
        <w:div w:id="244925234">
          <w:marLeft w:val="240"/>
          <w:marRight w:val="0"/>
          <w:marTop w:val="0"/>
          <w:marBottom w:val="0"/>
          <w:divBdr>
            <w:top w:val="none" w:sz="0" w:space="0" w:color="auto"/>
            <w:left w:val="none" w:sz="0" w:space="0" w:color="auto"/>
            <w:bottom w:val="none" w:sz="0" w:space="0" w:color="auto"/>
            <w:right w:val="none" w:sz="0" w:space="0" w:color="auto"/>
          </w:divBdr>
        </w:div>
        <w:div w:id="1878540127">
          <w:marLeft w:val="240"/>
          <w:marRight w:val="0"/>
          <w:marTop w:val="0"/>
          <w:marBottom w:val="0"/>
          <w:divBdr>
            <w:top w:val="none" w:sz="0" w:space="0" w:color="auto"/>
            <w:left w:val="none" w:sz="0" w:space="0" w:color="auto"/>
            <w:bottom w:val="none" w:sz="0" w:space="0" w:color="auto"/>
            <w:right w:val="none" w:sz="0" w:space="0" w:color="auto"/>
          </w:divBdr>
        </w:div>
        <w:div w:id="957220191">
          <w:marLeft w:val="240"/>
          <w:marRight w:val="0"/>
          <w:marTop w:val="0"/>
          <w:marBottom w:val="0"/>
          <w:divBdr>
            <w:top w:val="none" w:sz="0" w:space="0" w:color="auto"/>
            <w:left w:val="none" w:sz="0" w:space="0" w:color="auto"/>
            <w:bottom w:val="none" w:sz="0" w:space="0" w:color="auto"/>
            <w:right w:val="none" w:sz="0" w:space="0" w:color="auto"/>
          </w:divBdr>
        </w:div>
        <w:div w:id="408189888">
          <w:marLeft w:val="240"/>
          <w:marRight w:val="0"/>
          <w:marTop w:val="0"/>
          <w:marBottom w:val="0"/>
          <w:divBdr>
            <w:top w:val="none" w:sz="0" w:space="0" w:color="auto"/>
            <w:left w:val="none" w:sz="0" w:space="0" w:color="auto"/>
            <w:bottom w:val="none" w:sz="0" w:space="0" w:color="auto"/>
            <w:right w:val="none" w:sz="0" w:space="0" w:color="auto"/>
          </w:divBdr>
        </w:div>
        <w:div w:id="767852200">
          <w:marLeft w:val="240"/>
          <w:marRight w:val="0"/>
          <w:marTop w:val="0"/>
          <w:marBottom w:val="0"/>
          <w:divBdr>
            <w:top w:val="none" w:sz="0" w:space="0" w:color="auto"/>
            <w:left w:val="none" w:sz="0" w:space="0" w:color="auto"/>
            <w:bottom w:val="none" w:sz="0" w:space="0" w:color="auto"/>
            <w:right w:val="none" w:sz="0" w:space="0" w:color="auto"/>
          </w:divBdr>
        </w:div>
        <w:div w:id="268633138">
          <w:marLeft w:val="240"/>
          <w:marRight w:val="0"/>
          <w:marTop w:val="0"/>
          <w:marBottom w:val="0"/>
          <w:divBdr>
            <w:top w:val="none" w:sz="0" w:space="0" w:color="auto"/>
            <w:left w:val="none" w:sz="0" w:space="0" w:color="auto"/>
            <w:bottom w:val="none" w:sz="0" w:space="0" w:color="auto"/>
            <w:right w:val="none" w:sz="0" w:space="0" w:color="auto"/>
          </w:divBdr>
        </w:div>
        <w:div w:id="147481079">
          <w:marLeft w:val="240"/>
          <w:marRight w:val="0"/>
          <w:marTop w:val="0"/>
          <w:marBottom w:val="0"/>
          <w:divBdr>
            <w:top w:val="none" w:sz="0" w:space="0" w:color="auto"/>
            <w:left w:val="none" w:sz="0" w:space="0" w:color="auto"/>
            <w:bottom w:val="none" w:sz="0" w:space="0" w:color="auto"/>
            <w:right w:val="none" w:sz="0" w:space="0" w:color="auto"/>
          </w:divBdr>
        </w:div>
        <w:div w:id="1631090284">
          <w:marLeft w:val="240"/>
          <w:marRight w:val="0"/>
          <w:marTop w:val="0"/>
          <w:marBottom w:val="0"/>
          <w:divBdr>
            <w:top w:val="none" w:sz="0" w:space="0" w:color="auto"/>
            <w:left w:val="none" w:sz="0" w:space="0" w:color="auto"/>
            <w:bottom w:val="none" w:sz="0" w:space="0" w:color="auto"/>
            <w:right w:val="none" w:sz="0" w:space="0" w:color="auto"/>
          </w:divBdr>
        </w:div>
        <w:div w:id="863589692">
          <w:marLeft w:val="240"/>
          <w:marRight w:val="0"/>
          <w:marTop w:val="0"/>
          <w:marBottom w:val="0"/>
          <w:divBdr>
            <w:top w:val="none" w:sz="0" w:space="0" w:color="auto"/>
            <w:left w:val="none" w:sz="0" w:space="0" w:color="auto"/>
            <w:bottom w:val="none" w:sz="0" w:space="0" w:color="auto"/>
            <w:right w:val="none" w:sz="0" w:space="0" w:color="auto"/>
          </w:divBdr>
        </w:div>
        <w:div w:id="33770551">
          <w:marLeft w:val="240"/>
          <w:marRight w:val="0"/>
          <w:marTop w:val="0"/>
          <w:marBottom w:val="0"/>
          <w:divBdr>
            <w:top w:val="none" w:sz="0" w:space="0" w:color="auto"/>
            <w:left w:val="none" w:sz="0" w:space="0" w:color="auto"/>
            <w:bottom w:val="none" w:sz="0" w:space="0" w:color="auto"/>
            <w:right w:val="none" w:sz="0" w:space="0" w:color="auto"/>
          </w:divBdr>
        </w:div>
        <w:div w:id="2107800406">
          <w:marLeft w:val="240"/>
          <w:marRight w:val="0"/>
          <w:marTop w:val="0"/>
          <w:marBottom w:val="0"/>
          <w:divBdr>
            <w:top w:val="none" w:sz="0" w:space="0" w:color="auto"/>
            <w:left w:val="none" w:sz="0" w:space="0" w:color="auto"/>
            <w:bottom w:val="none" w:sz="0" w:space="0" w:color="auto"/>
            <w:right w:val="none" w:sz="0" w:space="0" w:color="auto"/>
          </w:divBdr>
        </w:div>
        <w:div w:id="1246961586">
          <w:marLeft w:val="240"/>
          <w:marRight w:val="0"/>
          <w:marTop w:val="0"/>
          <w:marBottom w:val="0"/>
          <w:divBdr>
            <w:top w:val="none" w:sz="0" w:space="0" w:color="auto"/>
            <w:left w:val="none" w:sz="0" w:space="0" w:color="auto"/>
            <w:bottom w:val="none" w:sz="0" w:space="0" w:color="auto"/>
            <w:right w:val="none" w:sz="0" w:space="0" w:color="auto"/>
          </w:divBdr>
        </w:div>
        <w:div w:id="336931358">
          <w:marLeft w:val="240"/>
          <w:marRight w:val="0"/>
          <w:marTop w:val="0"/>
          <w:marBottom w:val="0"/>
          <w:divBdr>
            <w:top w:val="none" w:sz="0" w:space="0" w:color="auto"/>
            <w:left w:val="none" w:sz="0" w:space="0" w:color="auto"/>
            <w:bottom w:val="none" w:sz="0" w:space="0" w:color="auto"/>
            <w:right w:val="none" w:sz="0" w:space="0" w:color="auto"/>
          </w:divBdr>
        </w:div>
        <w:div w:id="1295986321">
          <w:marLeft w:val="240"/>
          <w:marRight w:val="0"/>
          <w:marTop w:val="0"/>
          <w:marBottom w:val="0"/>
          <w:divBdr>
            <w:top w:val="none" w:sz="0" w:space="0" w:color="auto"/>
            <w:left w:val="none" w:sz="0" w:space="0" w:color="auto"/>
            <w:bottom w:val="none" w:sz="0" w:space="0" w:color="auto"/>
            <w:right w:val="none" w:sz="0" w:space="0" w:color="auto"/>
          </w:divBdr>
        </w:div>
        <w:div w:id="43142355">
          <w:marLeft w:val="240"/>
          <w:marRight w:val="0"/>
          <w:marTop w:val="0"/>
          <w:marBottom w:val="0"/>
          <w:divBdr>
            <w:top w:val="none" w:sz="0" w:space="0" w:color="auto"/>
            <w:left w:val="none" w:sz="0" w:space="0" w:color="auto"/>
            <w:bottom w:val="none" w:sz="0" w:space="0" w:color="auto"/>
            <w:right w:val="none" w:sz="0" w:space="0" w:color="auto"/>
          </w:divBdr>
        </w:div>
      </w:divsChild>
    </w:div>
    <w:div w:id="1871793186">
      <w:bodyDiv w:val="1"/>
      <w:marLeft w:val="0"/>
      <w:marRight w:val="0"/>
      <w:marTop w:val="0"/>
      <w:marBottom w:val="0"/>
      <w:divBdr>
        <w:top w:val="none" w:sz="0" w:space="0" w:color="auto"/>
        <w:left w:val="none" w:sz="0" w:space="0" w:color="auto"/>
        <w:bottom w:val="none" w:sz="0" w:space="0" w:color="auto"/>
        <w:right w:val="none" w:sz="0" w:space="0" w:color="auto"/>
      </w:divBdr>
      <w:divsChild>
        <w:div w:id="318385306">
          <w:marLeft w:val="600"/>
          <w:marRight w:val="0"/>
          <w:marTop w:val="0"/>
          <w:marBottom w:val="0"/>
          <w:divBdr>
            <w:top w:val="none" w:sz="0" w:space="0" w:color="auto"/>
            <w:left w:val="none" w:sz="0" w:space="0" w:color="auto"/>
            <w:bottom w:val="none" w:sz="0" w:space="0" w:color="auto"/>
            <w:right w:val="none" w:sz="0" w:space="0" w:color="auto"/>
          </w:divBdr>
        </w:div>
        <w:div w:id="917832920">
          <w:marLeft w:val="600"/>
          <w:marRight w:val="0"/>
          <w:marTop w:val="0"/>
          <w:marBottom w:val="0"/>
          <w:divBdr>
            <w:top w:val="none" w:sz="0" w:space="0" w:color="auto"/>
            <w:left w:val="none" w:sz="0" w:space="0" w:color="auto"/>
            <w:bottom w:val="none" w:sz="0" w:space="0" w:color="auto"/>
            <w:right w:val="none" w:sz="0" w:space="0" w:color="auto"/>
          </w:divBdr>
        </w:div>
        <w:div w:id="1337077213">
          <w:marLeft w:val="600"/>
          <w:marRight w:val="0"/>
          <w:marTop w:val="0"/>
          <w:marBottom w:val="0"/>
          <w:divBdr>
            <w:top w:val="none" w:sz="0" w:space="0" w:color="auto"/>
            <w:left w:val="none" w:sz="0" w:space="0" w:color="auto"/>
            <w:bottom w:val="none" w:sz="0" w:space="0" w:color="auto"/>
            <w:right w:val="none" w:sz="0" w:space="0" w:color="auto"/>
          </w:divBdr>
        </w:div>
        <w:div w:id="411128865">
          <w:marLeft w:val="600"/>
          <w:marRight w:val="0"/>
          <w:marTop w:val="0"/>
          <w:marBottom w:val="0"/>
          <w:divBdr>
            <w:top w:val="none" w:sz="0" w:space="0" w:color="auto"/>
            <w:left w:val="none" w:sz="0" w:space="0" w:color="auto"/>
            <w:bottom w:val="none" w:sz="0" w:space="0" w:color="auto"/>
            <w:right w:val="none" w:sz="0" w:space="0" w:color="auto"/>
          </w:divBdr>
        </w:div>
        <w:div w:id="222764509">
          <w:marLeft w:val="600"/>
          <w:marRight w:val="0"/>
          <w:marTop w:val="0"/>
          <w:marBottom w:val="0"/>
          <w:divBdr>
            <w:top w:val="none" w:sz="0" w:space="0" w:color="auto"/>
            <w:left w:val="none" w:sz="0" w:space="0" w:color="auto"/>
            <w:bottom w:val="none" w:sz="0" w:space="0" w:color="auto"/>
            <w:right w:val="none" w:sz="0" w:space="0" w:color="auto"/>
          </w:divBdr>
        </w:div>
        <w:div w:id="733744479">
          <w:marLeft w:val="600"/>
          <w:marRight w:val="0"/>
          <w:marTop w:val="0"/>
          <w:marBottom w:val="0"/>
          <w:divBdr>
            <w:top w:val="none" w:sz="0" w:space="0" w:color="auto"/>
            <w:left w:val="none" w:sz="0" w:space="0" w:color="auto"/>
            <w:bottom w:val="none" w:sz="0" w:space="0" w:color="auto"/>
            <w:right w:val="none" w:sz="0" w:space="0" w:color="auto"/>
          </w:divBdr>
        </w:div>
        <w:div w:id="14700033">
          <w:marLeft w:val="600"/>
          <w:marRight w:val="0"/>
          <w:marTop w:val="0"/>
          <w:marBottom w:val="0"/>
          <w:divBdr>
            <w:top w:val="none" w:sz="0" w:space="0" w:color="auto"/>
            <w:left w:val="none" w:sz="0" w:space="0" w:color="auto"/>
            <w:bottom w:val="none" w:sz="0" w:space="0" w:color="auto"/>
            <w:right w:val="none" w:sz="0" w:space="0" w:color="auto"/>
          </w:divBdr>
        </w:div>
        <w:div w:id="762382377">
          <w:marLeft w:val="600"/>
          <w:marRight w:val="0"/>
          <w:marTop w:val="0"/>
          <w:marBottom w:val="0"/>
          <w:divBdr>
            <w:top w:val="none" w:sz="0" w:space="0" w:color="auto"/>
            <w:left w:val="none" w:sz="0" w:space="0" w:color="auto"/>
            <w:bottom w:val="none" w:sz="0" w:space="0" w:color="auto"/>
            <w:right w:val="none" w:sz="0" w:space="0" w:color="auto"/>
          </w:divBdr>
        </w:div>
        <w:div w:id="494927925">
          <w:marLeft w:val="600"/>
          <w:marRight w:val="0"/>
          <w:marTop w:val="0"/>
          <w:marBottom w:val="0"/>
          <w:divBdr>
            <w:top w:val="none" w:sz="0" w:space="0" w:color="auto"/>
            <w:left w:val="none" w:sz="0" w:space="0" w:color="auto"/>
            <w:bottom w:val="none" w:sz="0" w:space="0" w:color="auto"/>
            <w:right w:val="none" w:sz="0" w:space="0" w:color="auto"/>
          </w:divBdr>
        </w:div>
        <w:div w:id="2109497028">
          <w:marLeft w:val="600"/>
          <w:marRight w:val="0"/>
          <w:marTop w:val="0"/>
          <w:marBottom w:val="0"/>
          <w:divBdr>
            <w:top w:val="none" w:sz="0" w:space="0" w:color="auto"/>
            <w:left w:val="none" w:sz="0" w:space="0" w:color="auto"/>
            <w:bottom w:val="none" w:sz="0" w:space="0" w:color="auto"/>
            <w:right w:val="none" w:sz="0" w:space="0" w:color="auto"/>
          </w:divBdr>
        </w:div>
        <w:div w:id="532769125">
          <w:marLeft w:val="600"/>
          <w:marRight w:val="0"/>
          <w:marTop w:val="0"/>
          <w:marBottom w:val="0"/>
          <w:divBdr>
            <w:top w:val="none" w:sz="0" w:space="0" w:color="auto"/>
            <w:left w:val="none" w:sz="0" w:space="0" w:color="auto"/>
            <w:bottom w:val="none" w:sz="0" w:space="0" w:color="auto"/>
            <w:right w:val="none" w:sz="0" w:space="0" w:color="auto"/>
          </w:divBdr>
        </w:div>
        <w:div w:id="1904411348">
          <w:marLeft w:val="600"/>
          <w:marRight w:val="0"/>
          <w:marTop w:val="0"/>
          <w:marBottom w:val="0"/>
          <w:divBdr>
            <w:top w:val="none" w:sz="0" w:space="0" w:color="auto"/>
            <w:left w:val="none" w:sz="0" w:space="0" w:color="auto"/>
            <w:bottom w:val="none" w:sz="0" w:space="0" w:color="auto"/>
            <w:right w:val="none" w:sz="0" w:space="0" w:color="auto"/>
          </w:divBdr>
        </w:div>
        <w:div w:id="1974480383">
          <w:marLeft w:val="600"/>
          <w:marRight w:val="0"/>
          <w:marTop w:val="0"/>
          <w:marBottom w:val="0"/>
          <w:divBdr>
            <w:top w:val="none" w:sz="0" w:space="0" w:color="auto"/>
            <w:left w:val="none" w:sz="0" w:space="0" w:color="auto"/>
            <w:bottom w:val="none" w:sz="0" w:space="0" w:color="auto"/>
            <w:right w:val="none" w:sz="0" w:space="0" w:color="auto"/>
          </w:divBdr>
        </w:div>
        <w:div w:id="753086494">
          <w:marLeft w:val="600"/>
          <w:marRight w:val="0"/>
          <w:marTop w:val="0"/>
          <w:marBottom w:val="0"/>
          <w:divBdr>
            <w:top w:val="none" w:sz="0" w:space="0" w:color="auto"/>
            <w:left w:val="none" w:sz="0" w:space="0" w:color="auto"/>
            <w:bottom w:val="none" w:sz="0" w:space="0" w:color="auto"/>
            <w:right w:val="none" w:sz="0" w:space="0" w:color="auto"/>
          </w:divBdr>
        </w:div>
        <w:div w:id="2121682303">
          <w:marLeft w:val="600"/>
          <w:marRight w:val="0"/>
          <w:marTop w:val="0"/>
          <w:marBottom w:val="0"/>
          <w:divBdr>
            <w:top w:val="none" w:sz="0" w:space="0" w:color="auto"/>
            <w:left w:val="none" w:sz="0" w:space="0" w:color="auto"/>
            <w:bottom w:val="none" w:sz="0" w:space="0" w:color="auto"/>
            <w:right w:val="none" w:sz="0" w:space="0" w:color="auto"/>
          </w:divBdr>
        </w:div>
        <w:div w:id="791174720">
          <w:marLeft w:val="600"/>
          <w:marRight w:val="0"/>
          <w:marTop w:val="0"/>
          <w:marBottom w:val="0"/>
          <w:divBdr>
            <w:top w:val="none" w:sz="0" w:space="0" w:color="auto"/>
            <w:left w:val="none" w:sz="0" w:space="0" w:color="auto"/>
            <w:bottom w:val="none" w:sz="0" w:space="0" w:color="auto"/>
            <w:right w:val="none" w:sz="0" w:space="0" w:color="auto"/>
          </w:divBdr>
        </w:div>
        <w:div w:id="1446001779">
          <w:marLeft w:val="600"/>
          <w:marRight w:val="0"/>
          <w:marTop w:val="0"/>
          <w:marBottom w:val="0"/>
          <w:divBdr>
            <w:top w:val="none" w:sz="0" w:space="0" w:color="auto"/>
            <w:left w:val="none" w:sz="0" w:space="0" w:color="auto"/>
            <w:bottom w:val="none" w:sz="0" w:space="0" w:color="auto"/>
            <w:right w:val="none" w:sz="0" w:space="0" w:color="auto"/>
          </w:divBdr>
        </w:div>
        <w:div w:id="506138161">
          <w:marLeft w:val="600"/>
          <w:marRight w:val="0"/>
          <w:marTop w:val="0"/>
          <w:marBottom w:val="0"/>
          <w:divBdr>
            <w:top w:val="none" w:sz="0" w:space="0" w:color="auto"/>
            <w:left w:val="none" w:sz="0" w:space="0" w:color="auto"/>
            <w:bottom w:val="none" w:sz="0" w:space="0" w:color="auto"/>
            <w:right w:val="none" w:sz="0" w:space="0" w:color="auto"/>
          </w:divBdr>
        </w:div>
        <w:div w:id="140267825">
          <w:marLeft w:val="600"/>
          <w:marRight w:val="0"/>
          <w:marTop w:val="0"/>
          <w:marBottom w:val="0"/>
          <w:divBdr>
            <w:top w:val="none" w:sz="0" w:space="0" w:color="auto"/>
            <w:left w:val="none" w:sz="0" w:space="0" w:color="auto"/>
            <w:bottom w:val="none" w:sz="0" w:space="0" w:color="auto"/>
            <w:right w:val="none" w:sz="0" w:space="0" w:color="auto"/>
          </w:divBdr>
        </w:div>
        <w:div w:id="1689137897">
          <w:marLeft w:val="600"/>
          <w:marRight w:val="0"/>
          <w:marTop w:val="0"/>
          <w:marBottom w:val="0"/>
          <w:divBdr>
            <w:top w:val="none" w:sz="0" w:space="0" w:color="auto"/>
            <w:left w:val="none" w:sz="0" w:space="0" w:color="auto"/>
            <w:bottom w:val="none" w:sz="0" w:space="0" w:color="auto"/>
            <w:right w:val="none" w:sz="0" w:space="0" w:color="auto"/>
          </w:divBdr>
        </w:div>
        <w:div w:id="860625407">
          <w:marLeft w:val="600"/>
          <w:marRight w:val="0"/>
          <w:marTop w:val="0"/>
          <w:marBottom w:val="0"/>
          <w:divBdr>
            <w:top w:val="none" w:sz="0" w:space="0" w:color="auto"/>
            <w:left w:val="none" w:sz="0" w:space="0" w:color="auto"/>
            <w:bottom w:val="none" w:sz="0" w:space="0" w:color="auto"/>
            <w:right w:val="none" w:sz="0" w:space="0" w:color="auto"/>
          </w:divBdr>
        </w:div>
        <w:div w:id="1774398322">
          <w:marLeft w:val="600"/>
          <w:marRight w:val="0"/>
          <w:marTop w:val="0"/>
          <w:marBottom w:val="0"/>
          <w:divBdr>
            <w:top w:val="none" w:sz="0" w:space="0" w:color="auto"/>
            <w:left w:val="none" w:sz="0" w:space="0" w:color="auto"/>
            <w:bottom w:val="none" w:sz="0" w:space="0" w:color="auto"/>
            <w:right w:val="none" w:sz="0" w:space="0" w:color="auto"/>
          </w:divBdr>
        </w:div>
        <w:div w:id="998577972">
          <w:marLeft w:val="600"/>
          <w:marRight w:val="0"/>
          <w:marTop w:val="0"/>
          <w:marBottom w:val="0"/>
          <w:divBdr>
            <w:top w:val="none" w:sz="0" w:space="0" w:color="auto"/>
            <w:left w:val="none" w:sz="0" w:space="0" w:color="auto"/>
            <w:bottom w:val="none" w:sz="0" w:space="0" w:color="auto"/>
            <w:right w:val="none" w:sz="0" w:space="0" w:color="auto"/>
          </w:divBdr>
        </w:div>
        <w:div w:id="708334770">
          <w:marLeft w:val="600"/>
          <w:marRight w:val="0"/>
          <w:marTop w:val="0"/>
          <w:marBottom w:val="0"/>
          <w:divBdr>
            <w:top w:val="none" w:sz="0" w:space="0" w:color="auto"/>
            <w:left w:val="none" w:sz="0" w:space="0" w:color="auto"/>
            <w:bottom w:val="none" w:sz="0" w:space="0" w:color="auto"/>
            <w:right w:val="none" w:sz="0" w:space="0" w:color="auto"/>
          </w:divBdr>
        </w:div>
        <w:div w:id="1179662704">
          <w:marLeft w:val="600"/>
          <w:marRight w:val="0"/>
          <w:marTop w:val="0"/>
          <w:marBottom w:val="0"/>
          <w:divBdr>
            <w:top w:val="none" w:sz="0" w:space="0" w:color="auto"/>
            <w:left w:val="none" w:sz="0" w:space="0" w:color="auto"/>
            <w:bottom w:val="none" w:sz="0" w:space="0" w:color="auto"/>
            <w:right w:val="none" w:sz="0" w:space="0" w:color="auto"/>
          </w:divBdr>
        </w:div>
        <w:div w:id="482744210">
          <w:marLeft w:val="600"/>
          <w:marRight w:val="0"/>
          <w:marTop w:val="0"/>
          <w:marBottom w:val="0"/>
          <w:divBdr>
            <w:top w:val="none" w:sz="0" w:space="0" w:color="auto"/>
            <w:left w:val="none" w:sz="0" w:space="0" w:color="auto"/>
            <w:bottom w:val="none" w:sz="0" w:space="0" w:color="auto"/>
            <w:right w:val="none" w:sz="0" w:space="0" w:color="auto"/>
          </w:divBdr>
        </w:div>
        <w:div w:id="1148015075">
          <w:marLeft w:val="720"/>
          <w:marRight w:val="0"/>
          <w:marTop w:val="0"/>
          <w:marBottom w:val="0"/>
          <w:divBdr>
            <w:top w:val="none" w:sz="0" w:space="0" w:color="auto"/>
            <w:left w:val="none" w:sz="0" w:space="0" w:color="auto"/>
            <w:bottom w:val="none" w:sz="0" w:space="0" w:color="auto"/>
            <w:right w:val="none" w:sz="0" w:space="0" w:color="auto"/>
          </w:divBdr>
        </w:div>
        <w:div w:id="617414709">
          <w:marLeft w:val="720"/>
          <w:marRight w:val="0"/>
          <w:marTop w:val="0"/>
          <w:marBottom w:val="0"/>
          <w:divBdr>
            <w:top w:val="none" w:sz="0" w:space="0" w:color="auto"/>
            <w:left w:val="none" w:sz="0" w:space="0" w:color="auto"/>
            <w:bottom w:val="none" w:sz="0" w:space="0" w:color="auto"/>
            <w:right w:val="none" w:sz="0" w:space="0" w:color="auto"/>
          </w:divBdr>
        </w:div>
        <w:div w:id="19963395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D31888F9CAF499D48AA1C498EDE8C" ma:contentTypeVersion="3" ma:contentTypeDescription="Create a new document." ma:contentTypeScope="" ma:versionID="ebdd20ca96593554a2236a058e846143">
  <xsd:schema xmlns:xsd="http://www.w3.org/2001/XMLSchema" xmlns:xs="http://www.w3.org/2001/XMLSchema" xmlns:p="http://schemas.microsoft.com/office/2006/metadata/properties" xmlns:ns2="136e2794-2baf-4521-b96f-8753e6e4d2e9" targetNamespace="http://schemas.microsoft.com/office/2006/metadata/properties" ma:root="true" ma:fieldsID="81d4e2b064d11ddf100f8eab220a22cd" ns2:_="">
    <xsd:import namespace="136e2794-2baf-4521-b96f-8753e6e4d2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e2794-2baf-4521-b96f-8753e6e4d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66309-B920-412C-ADD4-9EBC8AE6A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e2794-2baf-4521-b96f-8753e6e4d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96EB1-7F8B-4185-82D6-3035C2A394C2}">
  <ds:schemaRefs>
    <ds:schemaRef ds:uri="http://schemas.microsoft.com/sharepoint/v3/contenttype/forms"/>
  </ds:schemaRefs>
</ds:datastoreItem>
</file>

<file path=customXml/itemProps3.xml><?xml version="1.0" encoding="utf-8"?>
<ds:datastoreItem xmlns:ds="http://schemas.openxmlformats.org/officeDocument/2006/customXml" ds:itemID="{4EB0F644-E968-49EC-BB09-92227C257D50}">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6f72634d-5da9-4e9f-98c3-3013ce1d074f"/>
    <ds:schemaRef ds:uri="013aa35d-30e5-41d1-9a7b-1c862c53965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ANNEX.dotm</Template>
  <TotalTime>13</TotalTime>
  <Pages>6</Pages>
  <Words>1902</Words>
  <Characters>10845</Characters>
  <Application>Microsoft Office Word</Application>
  <DocSecurity>0</DocSecurity>
  <Lines>90</Lines>
  <Paragraphs>25</Paragraphs>
  <ScaleCrop>false</ScaleCrop>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Pillar Two_v24-11-2021_ISC-2 ANNEXES</dc:title>
  <dc:subject/>
  <dc:creator>XXXXXXX</dc:creator>
  <cp:keywords/>
  <dc:description>LegisWrite controls on green</dc:description>
  <cp:lastModifiedBy>EC CoDe</cp:lastModifiedBy>
  <cp:revision>26</cp:revision>
  <dcterms:created xsi:type="dcterms:W3CDTF">2023-09-06T13:27:00Z</dcterms:created>
  <dcterms:modified xsi:type="dcterms:W3CDTF">2023-10-26T12:12:00Z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0x010100FD0D31888F9CAF499D48AA1C498EDE8C</vt:lpwstr>
  </property>
  <property fmtid="{D5CDD505-2E9C-101B-9397-08002B2CF9AE}" pid="14" name="MSIP_Label_6bd9ddd1-4d20-43f6-abfa-fc3c07406f94_Enabled">
    <vt:lpwstr>true</vt:lpwstr>
  </property>
  <property fmtid="{D5CDD505-2E9C-101B-9397-08002B2CF9AE}" pid="15" name="MSIP_Label_6bd9ddd1-4d20-43f6-abfa-fc3c07406f94_SetDate">
    <vt:lpwstr>2023-08-28T09:51:13Z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d79d31d3-bc00-493d-9069-eccc4f913d97</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