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99107" w14:textId="1F611061" w:rsidR="00C65BF1" w:rsidRDefault="000D674B" w:rsidP="000D674B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7811BD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alt="9A698369-AADC-4D54-BC02-C3746D0CA626" style="width:455.25pt;height:351.75pt">
            <v:imagedata r:id="rId8" o:title=""/>
          </v:shape>
        </w:pict>
      </w:r>
    </w:p>
    <w:bookmarkEnd w:id="0"/>
    <w:p w14:paraId="4A9D81B3" w14:textId="77777777" w:rsidR="00C65BF1" w:rsidRDefault="00C65BF1" w:rsidP="00C65BF1">
      <w:pPr>
        <w:sectPr w:rsidR="00C65BF1" w:rsidSect="000D67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178586CC" w14:textId="77777777" w:rsidR="00C65BF1" w:rsidRDefault="00C65BF1" w:rsidP="00C65BF1">
      <w:bookmarkStart w:id="1" w:name="_GoBack"/>
      <w:bookmarkEnd w:id="1"/>
    </w:p>
    <w:sdt>
      <w:sdtPr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id w:val="131969198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91009F" w14:textId="77777777" w:rsidR="00C65BF1" w:rsidRPr="00482A9F" w:rsidRDefault="00C65BF1" w:rsidP="00C65BF1">
          <w:pPr>
            <w:pStyle w:val="TOCHeading"/>
            <w:rPr>
              <w:rStyle w:val="Heading1Char"/>
              <w:rFonts w:ascii="Times New Roman" w:hAnsi="Times New Roman" w:cs="Times New Roman"/>
              <w:sz w:val="24"/>
              <w:szCs w:val="24"/>
            </w:rPr>
          </w:pPr>
          <w:r w:rsidRPr="00482A9F">
            <w:rPr>
              <w:rStyle w:val="Heading1Char"/>
              <w:rFonts w:ascii="Times New Roman" w:hAnsi="Times New Roman" w:cs="Times New Roman"/>
              <w:sz w:val="24"/>
              <w:szCs w:val="24"/>
            </w:rPr>
            <w:t>Kontenut</w:t>
          </w:r>
        </w:p>
        <w:p w14:paraId="6DD1BCA9" w14:textId="77777777" w:rsidR="00C65BF1" w:rsidRPr="00482A9F" w:rsidRDefault="00C65BF1" w:rsidP="00C65BF1">
          <w:pPr>
            <w:rPr>
              <w:rFonts w:ascii="Times New Roman" w:hAnsi="Times New Roman" w:cs="Times New Roman"/>
            </w:rPr>
          </w:pPr>
        </w:p>
        <w:p w14:paraId="2C662182" w14:textId="620E4A65" w:rsidR="00482A9F" w:rsidRPr="00482A9F" w:rsidRDefault="00C65BF1">
          <w:pPr>
            <w:pStyle w:val="TOC1"/>
            <w:tabs>
              <w:tab w:val="right" w:leader="dot" w:pos="9063"/>
            </w:tabs>
            <w:rPr>
              <w:rFonts w:ascii="Times New Roman" w:eastAsiaTheme="minorEastAsia" w:hAnsi="Times New Roman" w:cs="Times New Roman"/>
              <w:lang w:val="en-IE" w:eastAsia="en-IE"/>
            </w:rPr>
          </w:pPr>
          <w:r w:rsidRPr="00482A9F">
            <w:rPr>
              <w:rFonts w:ascii="Times New Roman" w:hAnsi="Times New Roman" w:cs="Times New Roman"/>
            </w:rPr>
            <w:fldChar w:fldCharType="begin"/>
          </w:r>
          <w:r w:rsidRPr="00482A9F">
            <w:rPr>
              <w:rFonts w:ascii="Times New Roman" w:hAnsi="Times New Roman" w:cs="Times New Roman"/>
            </w:rPr>
            <w:instrText xml:space="preserve"> TOC \o "1-3" \h \z \u </w:instrText>
          </w:r>
          <w:r w:rsidRPr="00482A9F">
            <w:rPr>
              <w:rFonts w:ascii="Times New Roman" w:hAnsi="Times New Roman" w:cs="Times New Roman"/>
            </w:rPr>
            <w:fldChar w:fldCharType="separate"/>
          </w:r>
          <w:hyperlink w:anchor="_Toc146529217" w:history="1">
            <w:r w:rsidR="00482A9F" w:rsidRPr="00482A9F">
              <w:rPr>
                <w:rStyle w:val="Hyperlink"/>
                <w:rFonts w:ascii="Times New Roman" w:hAnsi="Times New Roman" w:cs="Times New Roman"/>
              </w:rPr>
              <w:t>SOMMARJU</w:t>
            </w:r>
            <w:r w:rsidR="00482A9F" w:rsidRPr="00482A9F">
              <w:rPr>
                <w:rFonts w:ascii="Times New Roman" w:hAnsi="Times New Roman" w:cs="Times New Roman"/>
                <w:webHidden/>
              </w:rPr>
              <w:tab/>
            </w:r>
            <w:r w:rsidR="00482A9F" w:rsidRPr="00482A9F">
              <w:rPr>
                <w:rFonts w:ascii="Times New Roman" w:hAnsi="Times New Roman" w:cs="Times New Roman"/>
                <w:webHidden/>
              </w:rPr>
              <w:fldChar w:fldCharType="begin"/>
            </w:r>
            <w:r w:rsidR="00482A9F" w:rsidRPr="00482A9F">
              <w:rPr>
                <w:rFonts w:ascii="Times New Roman" w:hAnsi="Times New Roman" w:cs="Times New Roman"/>
                <w:webHidden/>
              </w:rPr>
              <w:instrText xml:space="preserve"> PAGEREF _Toc146529217 \h </w:instrText>
            </w:r>
            <w:r w:rsidR="00482A9F" w:rsidRPr="00482A9F">
              <w:rPr>
                <w:rFonts w:ascii="Times New Roman" w:hAnsi="Times New Roman" w:cs="Times New Roman"/>
                <w:webHidden/>
              </w:rPr>
            </w:r>
            <w:r w:rsidR="00482A9F" w:rsidRPr="00482A9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482A9F" w:rsidRPr="00482A9F">
              <w:rPr>
                <w:rFonts w:ascii="Times New Roman" w:hAnsi="Times New Roman" w:cs="Times New Roman"/>
                <w:webHidden/>
              </w:rPr>
              <w:t>2</w:t>
            </w:r>
            <w:r w:rsidR="00482A9F" w:rsidRPr="00482A9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6520307F" w14:textId="4240182C" w:rsidR="00482A9F" w:rsidRPr="00482A9F" w:rsidRDefault="000D674B">
          <w:pPr>
            <w:pStyle w:val="TOC1"/>
            <w:tabs>
              <w:tab w:val="left" w:pos="440"/>
              <w:tab w:val="right" w:leader="dot" w:pos="9063"/>
            </w:tabs>
            <w:rPr>
              <w:rFonts w:ascii="Times New Roman" w:eastAsiaTheme="minorEastAsia" w:hAnsi="Times New Roman" w:cs="Times New Roman"/>
              <w:lang w:val="en-IE" w:eastAsia="en-IE"/>
            </w:rPr>
          </w:pPr>
          <w:hyperlink w:anchor="_Toc146529218" w:history="1">
            <w:r w:rsidR="00482A9F" w:rsidRPr="00482A9F">
              <w:rPr>
                <w:rStyle w:val="Hyperlink"/>
                <w:rFonts w:ascii="Times New Roman" w:hAnsi="Times New Roman" w:cs="Times New Roman"/>
              </w:rPr>
              <w:t>1</w:t>
            </w:r>
            <w:r w:rsidR="00482A9F" w:rsidRPr="00482A9F">
              <w:rPr>
                <w:rFonts w:ascii="Times New Roman" w:eastAsiaTheme="minorEastAsia" w:hAnsi="Times New Roman" w:cs="Times New Roman"/>
                <w:lang w:val="en-IE" w:eastAsia="en-IE"/>
              </w:rPr>
              <w:tab/>
            </w:r>
            <w:r w:rsidR="00482A9F" w:rsidRPr="00482A9F">
              <w:rPr>
                <w:rStyle w:val="Hyperlink"/>
                <w:rFonts w:ascii="Times New Roman" w:hAnsi="Times New Roman" w:cs="Times New Roman"/>
              </w:rPr>
              <w:t>SFOND</w:t>
            </w:r>
            <w:r w:rsidR="00482A9F" w:rsidRPr="00482A9F">
              <w:rPr>
                <w:rFonts w:ascii="Times New Roman" w:hAnsi="Times New Roman" w:cs="Times New Roman"/>
                <w:webHidden/>
              </w:rPr>
              <w:tab/>
            </w:r>
            <w:r w:rsidR="00482A9F" w:rsidRPr="00482A9F">
              <w:rPr>
                <w:rFonts w:ascii="Times New Roman" w:hAnsi="Times New Roman" w:cs="Times New Roman"/>
                <w:webHidden/>
              </w:rPr>
              <w:fldChar w:fldCharType="begin"/>
            </w:r>
            <w:r w:rsidR="00482A9F" w:rsidRPr="00482A9F">
              <w:rPr>
                <w:rFonts w:ascii="Times New Roman" w:hAnsi="Times New Roman" w:cs="Times New Roman"/>
                <w:webHidden/>
              </w:rPr>
              <w:instrText xml:space="preserve"> PAGEREF _Toc146529218 \h </w:instrText>
            </w:r>
            <w:r w:rsidR="00482A9F" w:rsidRPr="00482A9F">
              <w:rPr>
                <w:rFonts w:ascii="Times New Roman" w:hAnsi="Times New Roman" w:cs="Times New Roman"/>
                <w:webHidden/>
              </w:rPr>
            </w:r>
            <w:r w:rsidR="00482A9F" w:rsidRPr="00482A9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482A9F" w:rsidRPr="00482A9F">
              <w:rPr>
                <w:rFonts w:ascii="Times New Roman" w:hAnsi="Times New Roman" w:cs="Times New Roman"/>
                <w:webHidden/>
              </w:rPr>
              <w:t>2</w:t>
            </w:r>
            <w:r w:rsidR="00482A9F" w:rsidRPr="00482A9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1EF161CA" w14:textId="330457A1" w:rsidR="00482A9F" w:rsidRPr="00482A9F" w:rsidRDefault="000D674B">
          <w:pPr>
            <w:pStyle w:val="TOC1"/>
            <w:tabs>
              <w:tab w:val="left" w:pos="440"/>
              <w:tab w:val="right" w:leader="dot" w:pos="9063"/>
            </w:tabs>
            <w:rPr>
              <w:rFonts w:ascii="Times New Roman" w:eastAsiaTheme="minorEastAsia" w:hAnsi="Times New Roman" w:cs="Times New Roman"/>
              <w:lang w:val="en-IE" w:eastAsia="en-IE"/>
            </w:rPr>
          </w:pPr>
          <w:hyperlink w:anchor="_Toc146529219" w:history="1">
            <w:r w:rsidR="00482A9F" w:rsidRPr="00482A9F">
              <w:rPr>
                <w:rStyle w:val="Hyperlink"/>
                <w:rFonts w:ascii="Times New Roman" w:hAnsi="Times New Roman" w:cs="Times New Roman"/>
              </w:rPr>
              <w:t>2</w:t>
            </w:r>
            <w:r w:rsidR="00482A9F" w:rsidRPr="00482A9F">
              <w:rPr>
                <w:rFonts w:ascii="Times New Roman" w:eastAsiaTheme="minorEastAsia" w:hAnsi="Times New Roman" w:cs="Times New Roman"/>
                <w:lang w:val="en-IE" w:eastAsia="en-IE"/>
              </w:rPr>
              <w:tab/>
            </w:r>
            <w:r w:rsidR="00482A9F" w:rsidRPr="00482A9F">
              <w:rPr>
                <w:rStyle w:val="Hyperlink"/>
                <w:rFonts w:ascii="Times New Roman" w:hAnsi="Times New Roman" w:cs="Times New Roman"/>
              </w:rPr>
              <w:t>FAĊILITAJIET TAL-IRRADJAZZJONI APPROVATI</w:t>
            </w:r>
            <w:r w:rsidR="00482A9F" w:rsidRPr="00482A9F">
              <w:rPr>
                <w:rFonts w:ascii="Times New Roman" w:hAnsi="Times New Roman" w:cs="Times New Roman"/>
                <w:webHidden/>
              </w:rPr>
              <w:tab/>
            </w:r>
            <w:r w:rsidR="00482A9F" w:rsidRPr="00482A9F">
              <w:rPr>
                <w:rFonts w:ascii="Times New Roman" w:hAnsi="Times New Roman" w:cs="Times New Roman"/>
                <w:webHidden/>
              </w:rPr>
              <w:fldChar w:fldCharType="begin"/>
            </w:r>
            <w:r w:rsidR="00482A9F" w:rsidRPr="00482A9F">
              <w:rPr>
                <w:rFonts w:ascii="Times New Roman" w:hAnsi="Times New Roman" w:cs="Times New Roman"/>
                <w:webHidden/>
              </w:rPr>
              <w:instrText xml:space="preserve"> PAGEREF _Toc146529219 \h </w:instrText>
            </w:r>
            <w:r w:rsidR="00482A9F" w:rsidRPr="00482A9F">
              <w:rPr>
                <w:rFonts w:ascii="Times New Roman" w:hAnsi="Times New Roman" w:cs="Times New Roman"/>
                <w:webHidden/>
              </w:rPr>
            </w:r>
            <w:r w:rsidR="00482A9F" w:rsidRPr="00482A9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482A9F" w:rsidRPr="00482A9F">
              <w:rPr>
                <w:rFonts w:ascii="Times New Roman" w:hAnsi="Times New Roman" w:cs="Times New Roman"/>
                <w:webHidden/>
              </w:rPr>
              <w:t>3</w:t>
            </w:r>
            <w:r w:rsidR="00482A9F" w:rsidRPr="00482A9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2D413A35" w14:textId="758BEE1A" w:rsidR="00482A9F" w:rsidRPr="00482A9F" w:rsidRDefault="000D674B">
          <w:pPr>
            <w:pStyle w:val="TOC1"/>
            <w:tabs>
              <w:tab w:val="left" w:pos="440"/>
              <w:tab w:val="right" w:leader="dot" w:pos="9063"/>
            </w:tabs>
            <w:rPr>
              <w:rFonts w:ascii="Times New Roman" w:eastAsiaTheme="minorEastAsia" w:hAnsi="Times New Roman" w:cs="Times New Roman"/>
              <w:lang w:val="en-IE" w:eastAsia="en-IE"/>
            </w:rPr>
          </w:pPr>
          <w:hyperlink w:anchor="_Toc146529220" w:history="1">
            <w:r w:rsidR="00482A9F" w:rsidRPr="00482A9F">
              <w:rPr>
                <w:rStyle w:val="Hyperlink"/>
                <w:rFonts w:ascii="Times New Roman" w:hAnsi="Times New Roman" w:cs="Times New Roman"/>
              </w:rPr>
              <w:t>3</w:t>
            </w:r>
            <w:r w:rsidR="00482A9F" w:rsidRPr="00482A9F">
              <w:rPr>
                <w:rFonts w:ascii="Times New Roman" w:eastAsiaTheme="minorEastAsia" w:hAnsi="Times New Roman" w:cs="Times New Roman"/>
                <w:lang w:val="en-IE" w:eastAsia="en-IE"/>
              </w:rPr>
              <w:tab/>
            </w:r>
            <w:r w:rsidR="00482A9F" w:rsidRPr="00482A9F">
              <w:rPr>
                <w:rStyle w:val="Hyperlink"/>
                <w:rFonts w:ascii="Times New Roman" w:hAnsi="Times New Roman" w:cs="Times New Roman"/>
              </w:rPr>
              <w:t>RIŻULTATI TAL-VERIFIKI MWETTQA FIL-FAĊILITAJIET TAL-IRRADJAZZJONI FL-2020-2021</w:t>
            </w:r>
            <w:r w:rsidR="00482A9F" w:rsidRPr="00482A9F">
              <w:rPr>
                <w:rFonts w:ascii="Times New Roman" w:hAnsi="Times New Roman" w:cs="Times New Roman"/>
                <w:webHidden/>
              </w:rPr>
              <w:tab/>
            </w:r>
            <w:r w:rsidR="00482A9F" w:rsidRPr="00482A9F">
              <w:rPr>
                <w:rFonts w:ascii="Times New Roman" w:hAnsi="Times New Roman" w:cs="Times New Roman"/>
                <w:webHidden/>
              </w:rPr>
              <w:fldChar w:fldCharType="begin"/>
            </w:r>
            <w:r w:rsidR="00482A9F" w:rsidRPr="00482A9F">
              <w:rPr>
                <w:rFonts w:ascii="Times New Roman" w:hAnsi="Times New Roman" w:cs="Times New Roman"/>
                <w:webHidden/>
              </w:rPr>
              <w:instrText xml:space="preserve"> PAGEREF _Toc146529220 \h </w:instrText>
            </w:r>
            <w:r w:rsidR="00482A9F" w:rsidRPr="00482A9F">
              <w:rPr>
                <w:rFonts w:ascii="Times New Roman" w:hAnsi="Times New Roman" w:cs="Times New Roman"/>
                <w:webHidden/>
              </w:rPr>
            </w:r>
            <w:r w:rsidR="00482A9F" w:rsidRPr="00482A9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482A9F" w:rsidRPr="00482A9F">
              <w:rPr>
                <w:rFonts w:ascii="Times New Roman" w:hAnsi="Times New Roman" w:cs="Times New Roman"/>
                <w:webHidden/>
              </w:rPr>
              <w:t>4</w:t>
            </w:r>
            <w:r w:rsidR="00482A9F" w:rsidRPr="00482A9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3A62C318" w14:textId="1EA66C00" w:rsidR="00482A9F" w:rsidRPr="00482A9F" w:rsidRDefault="000D674B">
          <w:pPr>
            <w:pStyle w:val="TOC1"/>
            <w:tabs>
              <w:tab w:val="left" w:pos="440"/>
              <w:tab w:val="right" w:leader="dot" w:pos="9063"/>
            </w:tabs>
            <w:rPr>
              <w:rFonts w:ascii="Times New Roman" w:eastAsiaTheme="minorEastAsia" w:hAnsi="Times New Roman" w:cs="Times New Roman"/>
              <w:lang w:val="en-IE" w:eastAsia="en-IE"/>
            </w:rPr>
          </w:pPr>
          <w:hyperlink w:anchor="_Toc146529221" w:history="1">
            <w:r w:rsidR="00482A9F" w:rsidRPr="00482A9F">
              <w:rPr>
                <w:rStyle w:val="Hyperlink"/>
                <w:rFonts w:ascii="Times New Roman" w:hAnsi="Times New Roman" w:cs="Times New Roman"/>
              </w:rPr>
              <w:t>4</w:t>
            </w:r>
            <w:r w:rsidR="00482A9F" w:rsidRPr="00482A9F">
              <w:rPr>
                <w:rFonts w:ascii="Times New Roman" w:eastAsiaTheme="minorEastAsia" w:hAnsi="Times New Roman" w:cs="Times New Roman"/>
                <w:lang w:val="en-IE" w:eastAsia="en-IE"/>
              </w:rPr>
              <w:tab/>
            </w:r>
            <w:r w:rsidR="00482A9F" w:rsidRPr="00482A9F">
              <w:rPr>
                <w:rStyle w:val="Hyperlink"/>
                <w:rFonts w:ascii="Times New Roman" w:hAnsi="Times New Roman" w:cs="Times New Roman"/>
              </w:rPr>
              <w:t>RIŻULTATI TAL-VERIFIKI FIL-FAŻI TAL-KUMMERĊJALIZZAZZJONI TAL-PRODOTT</w:t>
            </w:r>
            <w:r w:rsidR="00206370">
              <w:rPr>
                <w:rStyle w:val="Hyperlink"/>
                <w:rFonts w:ascii="Times New Roman" w:hAnsi="Times New Roman" w:cs="Times New Roman"/>
              </w:rPr>
              <w:t xml:space="preserve"> ..............................................................................................................................</w:t>
            </w:r>
            <w:r w:rsidR="00206370">
              <w:rPr>
                <w:rFonts w:ascii="Times New Roman" w:hAnsi="Times New Roman" w:cs="Times New Roman"/>
                <w:webHidden/>
              </w:rPr>
              <w:t xml:space="preserve">................................... </w:t>
            </w:r>
            <w:r w:rsidR="00482A9F" w:rsidRPr="00482A9F">
              <w:rPr>
                <w:rFonts w:ascii="Times New Roman" w:hAnsi="Times New Roman" w:cs="Times New Roman"/>
                <w:webHidden/>
              </w:rPr>
              <w:fldChar w:fldCharType="begin"/>
            </w:r>
            <w:r w:rsidR="00482A9F" w:rsidRPr="00482A9F">
              <w:rPr>
                <w:rFonts w:ascii="Times New Roman" w:hAnsi="Times New Roman" w:cs="Times New Roman"/>
                <w:webHidden/>
              </w:rPr>
              <w:instrText xml:space="preserve"> PAGEREF _Toc146529221 \h </w:instrText>
            </w:r>
            <w:r w:rsidR="00482A9F" w:rsidRPr="00482A9F">
              <w:rPr>
                <w:rFonts w:ascii="Times New Roman" w:hAnsi="Times New Roman" w:cs="Times New Roman"/>
                <w:webHidden/>
              </w:rPr>
            </w:r>
            <w:r w:rsidR="00482A9F" w:rsidRPr="00482A9F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482A9F" w:rsidRPr="00482A9F">
              <w:rPr>
                <w:rFonts w:ascii="Times New Roman" w:hAnsi="Times New Roman" w:cs="Times New Roman"/>
                <w:webHidden/>
              </w:rPr>
              <w:t>5</w:t>
            </w:r>
            <w:r w:rsidR="00482A9F" w:rsidRPr="00482A9F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31D4A67B" w14:textId="79E34043" w:rsidR="00C65BF1" w:rsidRDefault="00C65BF1" w:rsidP="00C65BF1">
          <w:r w:rsidRPr="00482A9F">
            <w:rPr>
              <w:rFonts w:ascii="Times New Roman" w:hAnsi="Times New Roman" w:cs="Times New Roman"/>
              <w:b/>
            </w:rPr>
            <w:fldChar w:fldCharType="end"/>
          </w:r>
        </w:p>
      </w:sdtContent>
    </w:sdt>
    <w:p w14:paraId="460399F8" w14:textId="77777777" w:rsidR="00C65BF1" w:rsidRDefault="00C65BF1" w:rsidP="00C65BF1"/>
    <w:p w14:paraId="13369E68" w14:textId="77777777" w:rsidR="00C65BF1" w:rsidRDefault="00C65BF1" w:rsidP="00C65BF1">
      <w:r>
        <w:br w:type="page"/>
      </w:r>
    </w:p>
    <w:p w14:paraId="3167B10E" w14:textId="77777777" w:rsidR="00C65BF1" w:rsidRDefault="00C65BF1" w:rsidP="00C65BF1">
      <w:pPr>
        <w:pStyle w:val="Heading1"/>
        <w:numPr>
          <w:ilvl w:val="0"/>
          <w:numId w:val="0"/>
        </w:numPr>
        <w:ind w:left="432" w:hanging="432"/>
      </w:pPr>
      <w:bookmarkStart w:id="2" w:name="_Toc146529217"/>
      <w:r>
        <w:t>SOMMARJU</w:t>
      </w:r>
      <w:bookmarkEnd w:id="2"/>
    </w:p>
    <w:p w14:paraId="7200458B" w14:textId="77777777" w:rsidR="00C65BF1" w:rsidRPr="0050668B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Skont l-Artikolu 7(3) tad-Direttiva 1999/2/KE tal-Parlament Ewropew u tal-Kunsill tat-22 ta’ Frar 1999</w:t>
      </w:r>
      <w:r>
        <w:rPr>
          <w:rStyle w:val="FootnoteReference"/>
          <w:rFonts w:eastAsiaTheme="majorEastAsia"/>
          <w:noProof/>
        </w:rPr>
        <w:footnoteReference w:id="1"/>
      </w:r>
      <w:r>
        <w:rPr>
          <w:noProof/>
        </w:rPr>
        <w:t xml:space="preserve"> dwar l-approssimazzjoni tal-liġijiet tal-Istati Membri li jikkonċernaw ikel u ingredjenti tal-ikel trattati b’radjazzjoni li tijonizza, kull sena l-Istati Membri għandhom jibagħtu lill-Kummissjoni: </w:t>
      </w:r>
    </w:p>
    <w:p w14:paraId="0F78CF13" w14:textId="77777777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–</w:t>
      </w:r>
      <w:r>
        <w:rPr>
          <w:noProof/>
        </w:rPr>
        <w:tab/>
        <w:t xml:space="preserve">ir-riżultati tal-verifiki mwettqa fil-faċilitajiet tar-radjazzjoni jonizzanti, inkluż il-kategoriji u l-kwantitajiet tal-oġġetti tal-ikel ittrattati bir-radjazzjoni jonizzanti u d-dożi amministrati, u </w:t>
      </w:r>
    </w:p>
    <w:p w14:paraId="28ACBCD5" w14:textId="77777777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–</w:t>
      </w:r>
      <w:r>
        <w:rPr>
          <w:noProof/>
        </w:rPr>
        <w:tab/>
        <w:t xml:space="preserve">ir-riżultati tal-verifiki mwettqa fil-fażi tal-kummerċjalizzazzjoni tal-prodott. </w:t>
      </w:r>
    </w:p>
    <w:p w14:paraId="6FE11999" w14:textId="6A283F99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L-Artikolu 7(4) tad-Direttiva jirrikjedi li l-Kummissjoni tippubblika, f’</w:t>
      </w:r>
      <w:r>
        <w:rPr>
          <w:i/>
          <w:iCs/>
          <w:noProof/>
        </w:rPr>
        <w:t>Il-Ġurnal Uffiċjali tal-Unjoni Ewropea</w:t>
      </w:r>
      <w:r>
        <w:rPr>
          <w:noProof/>
        </w:rPr>
        <w:t xml:space="preserve">, rapport dwar l-informazzjoni pprovduta kull sena mill-awtoritajiet ta’ sorveljanza nazzjonali. </w:t>
      </w:r>
    </w:p>
    <w:p w14:paraId="299FF958" w14:textId="50541478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 xml:space="preserve">Dan ir-rapport ikopri l-perjodu mill-1 ta’ Jannar 2020 sal-31 ta’ Diċembru 2021. Fih ġabra tal-informazzjoni mibgħuta lill-Kummissjoni mill-Istati Membri tal-UE u mill-Irlanda ta’ Fuq. Il-pajjiżi tal-EFTA ma ssottomettew l-ebda </w:t>
      </w:r>
      <w:r>
        <w:rPr>
          <w:i/>
          <w:iCs/>
          <w:noProof/>
        </w:rPr>
        <w:t>data</w:t>
      </w:r>
      <w:r>
        <w:rPr>
          <w:noProof/>
        </w:rPr>
        <w:t xml:space="preserve"> fl-2020 u l-2021.</w:t>
      </w:r>
    </w:p>
    <w:p w14:paraId="792D7B0F" w14:textId="744F0FEC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 xml:space="preserve">Perjodu: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1/1/2020 – 31/12/2021</w:t>
      </w:r>
    </w:p>
    <w:p w14:paraId="60D6E356" w14:textId="1B4EB6A2" w:rsidR="00C65BF1" w:rsidRPr="00EA550D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Pajjiżi kkonċernati: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is-27 Stat Membru tal-UE u l-Irlanda ta’ Fuq</w:t>
      </w:r>
    </w:p>
    <w:p w14:paraId="52D7C381" w14:textId="77777777" w:rsidR="00C65BF1" w:rsidRPr="00F711ED" w:rsidRDefault="00C65BF1" w:rsidP="00C65BF1">
      <w:pPr>
        <w:pStyle w:val="Text1"/>
        <w:spacing w:after="0"/>
        <w:rPr>
          <w:b/>
          <w:noProof/>
        </w:rPr>
      </w:pPr>
      <w:r>
        <w:rPr>
          <w:b/>
          <w:noProof/>
        </w:rPr>
        <w:t>Faċilitajiet tal-irradjazzjoni:</w:t>
      </w:r>
    </w:p>
    <w:p w14:paraId="3A740E3F" w14:textId="1DEEA360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–</w:t>
      </w:r>
      <w:r>
        <w:rPr>
          <w:noProof/>
        </w:rPr>
        <w:tab/>
        <w:t>L-għadd ta’ pajjiżi li għandhom it-tagħmir:</w:t>
      </w:r>
      <w:r>
        <w:rPr>
          <w:noProof/>
        </w:rPr>
        <w:tab/>
        <w:t xml:space="preserve">13-il Stat Membru u n-Norveġja </w:t>
      </w:r>
    </w:p>
    <w:p w14:paraId="11534D53" w14:textId="3E125642" w:rsidR="00C65BF1" w:rsidRPr="000D18BE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–</w:t>
      </w:r>
      <w:r>
        <w:rPr>
          <w:noProof/>
        </w:rPr>
        <w:tab/>
        <w:t>L-għadd ta’ faċilitajiet approvati:</w:t>
      </w:r>
      <w:r>
        <w:rPr>
          <w:noProof/>
        </w:rPr>
        <w:tab/>
        <w:t xml:space="preserve">22 </w:t>
      </w:r>
    </w:p>
    <w:p w14:paraId="43CA12BD" w14:textId="77777777" w:rsidR="00C65BF1" w:rsidRPr="000D18BE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–</w:t>
      </w:r>
      <w:r>
        <w:rPr>
          <w:noProof/>
        </w:rPr>
        <w:tab/>
        <w:t>L-għadd ta’ faċilitajiet magħluqa:</w:t>
      </w:r>
      <w:r>
        <w:rPr>
          <w:noProof/>
        </w:rPr>
        <w:tab/>
      </w:r>
      <w:r>
        <w:rPr>
          <w:noProof/>
        </w:rPr>
        <w:tab/>
        <w:t>0</w:t>
      </w:r>
    </w:p>
    <w:p w14:paraId="3A3DAF3B" w14:textId="77777777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–</w:t>
      </w:r>
      <w:r>
        <w:rPr>
          <w:noProof/>
        </w:rPr>
        <w:tab/>
        <w:t>L-għadd ta’ pajjiżi li jużaw ir-radjazzjoni:</w:t>
      </w:r>
      <w:r>
        <w:rPr>
          <w:noProof/>
        </w:rPr>
        <w:tab/>
        <w:t>10 Stati Membri</w:t>
      </w:r>
    </w:p>
    <w:p w14:paraId="6B784AB7" w14:textId="77777777" w:rsidR="00C65BF1" w:rsidRPr="00F711ED" w:rsidRDefault="00C65BF1" w:rsidP="00C65BF1">
      <w:pPr>
        <w:pStyle w:val="Text1"/>
        <w:spacing w:after="0"/>
        <w:rPr>
          <w:b/>
          <w:noProof/>
        </w:rPr>
      </w:pPr>
      <w:r>
        <w:rPr>
          <w:b/>
          <w:i/>
          <w:iCs/>
          <w:noProof/>
        </w:rPr>
        <w:t>Data</w:t>
      </w:r>
      <w:r>
        <w:rPr>
          <w:b/>
          <w:noProof/>
        </w:rPr>
        <w:t xml:space="preserve"> dwar it-trattamenti:</w:t>
      </w:r>
    </w:p>
    <w:p w14:paraId="00D737FC" w14:textId="0FC7779D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–</w:t>
      </w:r>
      <w:r>
        <w:rPr>
          <w:noProof/>
        </w:rPr>
        <w:tab/>
        <w:t>Il-kwantità ta’ prodotti ttrattati:</w:t>
      </w:r>
      <w:r>
        <w:rPr>
          <w:noProof/>
        </w:rPr>
        <w:tab/>
      </w:r>
      <w:r>
        <w:rPr>
          <w:noProof/>
        </w:rPr>
        <w:tab/>
        <w:t>5 029,1 tunnellata (-35,8 % meta mqabbel mal-2018-2019)</w:t>
      </w:r>
    </w:p>
    <w:p w14:paraId="5B8B686E" w14:textId="47DE59F2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–</w:t>
      </w:r>
      <w:r>
        <w:rPr>
          <w:noProof/>
        </w:rPr>
        <w:tab/>
        <w:t>Il-komoditajiet ewlenin ittrattati:</w:t>
      </w:r>
      <w:r>
        <w:rPr>
          <w:noProof/>
        </w:rPr>
        <w:tab/>
      </w:r>
      <w:r>
        <w:rPr>
          <w:noProof/>
        </w:rPr>
        <w:tab/>
        <w:t>“Koxox taż-żrinġijiet (76,4 %)”, “Pollam” (11,9 %) u “Ħxejjex aromatiċi mnixxfa, ħwawar u taħwir tal-ħxejjex” (11,6 %)</w:t>
      </w:r>
    </w:p>
    <w:p w14:paraId="0E323269" w14:textId="42128AFD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–</w:t>
      </w:r>
      <w:r>
        <w:rPr>
          <w:noProof/>
        </w:rPr>
        <w:tab/>
        <w:t xml:space="preserve">Il-post ewlieni tal-irradjazzjoni:  </w:t>
      </w:r>
      <w:r>
        <w:rPr>
          <w:noProof/>
        </w:rPr>
        <w:tab/>
      </w:r>
      <w:r>
        <w:rPr>
          <w:noProof/>
        </w:rPr>
        <w:tab/>
        <w:t>Il-Belġju (83 %)</w:t>
      </w:r>
    </w:p>
    <w:p w14:paraId="36C49B0B" w14:textId="77777777" w:rsidR="00C65BF1" w:rsidRPr="00F711ED" w:rsidRDefault="00C65BF1" w:rsidP="00C65BF1">
      <w:pPr>
        <w:pStyle w:val="Text1"/>
        <w:spacing w:after="0"/>
        <w:rPr>
          <w:b/>
          <w:noProof/>
        </w:rPr>
      </w:pPr>
      <w:r>
        <w:rPr>
          <w:b/>
          <w:noProof/>
        </w:rPr>
        <w:t>Verifiki fil-fażi tal-kummerċjalizzazzjoni:</w:t>
      </w:r>
    </w:p>
    <w:p w14:paraId="2F7CD7FA" w14:textId="5EB24EB2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–</w:t>
      </w:r>
      <w:r>
        <w:rPr>
          <w:noProof/>
        </w:rPr>
        <w:tab/>
        <w:t>L-għadd ta’ kampjuni analizzati:</w:t>
      </w:r>
      <w:r>
        <w:rPr>
          <w:noProof/>
        </w:rPr>
        <w:tab/>
      </w:r>
      <w:r>
        <w:rPr>
          <w:noProof/>
        </w:rPr>
        <w:tab/>
        <w:t>7 667</w:t>
      </w:r>
    </w:p>
    <w:p w14:paraId="637669A2" w14:textId="54C12C18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–</w:t>
      </w:r>
      <w:r>
        <w:rPr>
          <w:noProof/>
        </w:rPr>
        <w:tab/>
        <w:t>L-għadd ta’ kampjuni mhux konformi:</w:t>
      </w:r>
      <w:r>
        <w:rPr>
          <w:noProof/>
        </w:rPr>
        <w:tab/>
        <w:t>66 (0,9 %)</w:t>
      </w:r>
    </w:p>
    <w:p w14:paraId="50BF678F" w14:textId="06C8F476" w:rsidR="00C65BF1" w:rsidRPr="00B83E36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–</w:t>
      </w:r>
      <w:r>
        <w:rPr>
          <w:noProof/>
        </w:rPr>
        <w:tab/>
        <w:t>Il-komoditajiet ewlenin analizzati:</w:t>
      </w:r>
      <w:r>
        <w:rPr>
          <w:noProof/>
        </w:rPr>
        <w:tab/>
      </w:r>
      <w:r>
        <w:rPr>
          <w:noProof/>
        </w:rPr>
        <w:tab/>
        <w:t xml:space="preserve">“Ħxejjex aromatiċi u ħwawar” (43,84 %) “Ċereali, żrieragħ, ħxejjex, frott u l-prodotti tagħhom” (25,98 %) </w:t>
      </w:r>
    </w:p>
    <w:p w14:paraId="59F4AE84" w14:textId="77777777" w:rsidR="00C65BF1" w:rsidRDefault="00C65BF1" w:rsidP="00C65BF1">
      <w:pPr>
        <w:pStyle w:val="Heading1"/>
        <w:tabs>
          <w:tab w:val="num" w:pos="623"/>
          <w:tab w:val="left" w:pos="2107"/>
        </w:tabs>
        <w:ind w:left="480" w:hanging="480"/>
      </w:pPr>
      <w:bookmarkStart w:id="3" w:name="_Toc146529218"/>
      <w:r>
        <w:t>SFOND</w:t>
      </w:r>
      <w:bookmarkEnd w:id="3"/>
    </w:p>
    <w:p w14:paraId="1AD7E86E" w14:textId="1B4BC593" w:rsidR="00C65BF1" w:rsidRPr="0050668B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 xml:space="preserve">L-irradjazzjoni tal-ikel hija t-trattament tal-oġġetti tal-ikel permezz ta’ ċertu tip ta’ enerġija radjanti magħrufa bħala radjazzjoni jonizzanti. L-enerġija radjanti għandha tul ta’ mewġ u gradi ta’ potenza differenti u tisparixxi meta jitneħħa s-sors tal-enerġija. L-irradjazzjoni tintuża għal skopijiet sanitarji u fitosanitarji biex toqtol il-batterji patoġeniċi (bħal </w:t>
      </w:r>
      <w:r>
        <w:rPr>
          <w:i/>
          <w:iCs/>
          <w:noProof/>
        </w:rPr>
        <w:t>Salmonella</w:t>
      </w:r>
      <w:r>
        <w:rPr>
          <w:noProof/>
        </w:rPr>
        <w:t xml:space="preserve">, </w:t>
      </w:r>
      <w:r>
        <w:rPr>
          <w:i/>
          <w:iCs/>
          <w:noProof/>
        </w:rPr>
        <w:t>Campylobacter</w:t>
      </w:r>
      <w:r>
        <w:rPr>
          <w:noProof/>
        </w:rPr>
        <w:t xml:space="preserve"> u </w:t>
      </w:r>
      <w:r>
        <w:rPr>
          <w:i/>
          <w:iCs/>
          <w:noProof/>
        </w:rPr>
        <w:t>E. coli</w:t>
      </w:r>
      <w:r>
        <w:rPr>
          <w:noProof/>
        </w:rPr>
        <w:t>) li jistgħu jikkawżaw l-avvelenament mill-ikel u biex telimina l-organiżmi ta’ ħsara għall-pjanti jew għall-prodotti tal-pjanti bħal insetti u pesti oħra. Tintuża wkoll biex tittardja s-sajran tal-frott, biex jitwaqqaf it-tinbit u l-ġerminazzjoni fil-ħaxix (bħall-basal u l-patata) u biex fl-aħħar mill-aħħar tiġi estiża l-ħajja tal-oġġetti tal-ikel fuq l-ixkaffa. L-irradjazzjoni tal-ikel ma tistax tissostitwixxi l-immaniġġjar kif suppost tal-ikel. L-ikel irradjat xorta jeħtieġ refriġerazzjoni u tisjir xierqa qabel il-konsum meta jkun meħtieġ.</w:t>
      </w:r>
    </w:p>
    <w:p w14:paraId="67FC7BB5" w14:textId="77777777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Il-qafas regolatorju tal-UE għall-irradjazzjoni tal-ikel (“id-direttivi dwar l-irradjazzjoni tal-ikel”) jikkonsisti minn:</w:t>
      </w:r>
    </w:p>
    <w:p w14:paraId="5C22ADFD" w14:textId="73B847B2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–</w:t>
      </w:r>
      <w:r>
        <w:rPr>
          <w:noProof/>
        </w:rPr>
        <w:tab/>
        <w:t xml:space="preserve">Id-Direttiva 1999/2/KE (id-Direttiva Qafas) tal-Parlament Ewropew u tal-Kunsill tat-22 ta’ Frar 1999 dwar l-approssimazzjoni tal-liġijiet tal-Istati Membri li jikkonċernaw ikel u ingredjenti tal-ikel trattati b’radjazzjoni li tijonizza. Din tistabbilixxi d-dispożizzjonijiet għall-manifattura, il-kummerċjalizzazzjoni u l-importazzjoni ta’ ikel u ingredjenti tal-ikel ittrattati bir-radjazzjoni jonizzanti. </w:t>
      </w:r>
    </w:p>
    <w:p w14:paraId="39799794" w14:textId="251CD13C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–</w:t>
      </w:r>
      <w:r>
        <w:rPr>
          <w:noProof/>
        </w:rPr>
        <w:tab/>
        <w:t>Id-Direttiva 1999/3/KE (Direttiva ta’ Implimentazzjoni) tal-Parlament Ewropew u tal-Kunsill tat-22 ta’ Frar 1999 dwar l-istabbiliment ta’ lista Komunitarja ta’ ikel u ta’ ingredjenti tal-ikel ittrattati bir-radjazzjoni jonizzanti</w:t>
      </w:r>
      <w:r>
        <w:rPr>
          <w:rStyle w:val="FootnoteReference"/>
          <w:noProof/>
        </w:rPr>
        <w:footnoteReference w:id="2"/>
      </w:r>
      <w:r>
        <w:rPr>
          <w:noProof/>
        </w:rPr>
        <w:t>. Bħalissa, din il-lista tinkludi kategorija waħda biss ta’ ikel: ħxejjex aromatiċi mnixxfa, ħwawar u taħwir tal-ħxejjex. Il-lista ta’ awtorizzazzjonijiet nazzjonali ta’ ikel u ingredjenti tal-ikel oħra li jistgħu jiġu ttrattati bir-radjazzjoni jonizzanti hija ppubblikata mill-Kummissjoni f’</w:t>
      </w:r>
      <w:r>
        <w:rPr>
          <w:i/>
          <w:iCs/>
          <w:noProof/>
        </w:rPr>
        <w:t>Il-Ġurnal Uffiċjali tal-Unjoni Ewropea</w:t>
      </w:r>
      <w:r>
        <w:rPr>
          <w:noProof/>
        </w:rPr>
        <w:t xml:space="preserve">. </w:t>
      </w:r>
    </w:p>
    <w:p w14:paraId="08B8EC59" w14:textId="78397239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 xml:space="preserve">L-ikel u l-ingredjenti tal-ikel jistgħu jiġu ttrattati bir-radjazzjoni jonizzanti biss f’faċilitajiet tal-irradjazzjoni approvati. Għall-faċilitajiet ibbażati fit-territorju tal-UE, l-approvazzjoni tingħata mill-awtoritajiet kompetenti tal-Istati Membri. L-Artikolu 7(3) tad-Direttiva 1999/2/KE jirrikjedi li l-Istati Membri jgħarrfu lill-Kummissjoni bil-lista tal-faċilitajiet tal-irradjazzjoni approvati tagħhom. </w:t>
      </w:r>
    </w:p>
    <w:p w14:paraId="46B1AD5C" w14:textId="77777777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Skont l-Artikolu 6 tad-Direttiva 1999/2/KE, kwalunkwe ikel irradjat jew kwalunkwe ingredjent tal-ikel irradjat ta’ ikel kompost irid jiġi ttikkettat bil-kliem “irradjat” jew “trattat b’radjazzjoni li tijonizza”.</w:t>
      </w:r>
    </w:p>
    <w:p w14:paraId="29547AFD" w14:textId="5D62832E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Biex tiġi kkontrollata l-implimentazzjoni korretta ta’ dan ir-rekwiżit tat-tikkettar u jiġi identifikat l-ikel li seta’ ġie ttrattat illegalment bir-radjazzjoni jonizzanti, ġew standardizzati diversi metodi analitiċi mill-Kumitat Ewropew għall-Istandardizzazzjoni (CEN).</w:t>
      </w:r>
    </w:p>
    <w:p w14:paraId="28FF0A36" w14:textId="77777777" w:rsidR="00C65BF1" w:rsidRDefault="00C65BF1" w:rsidP="00C65BF1">
      <w:pPr>
        <w:pStyle w:val="Heading1"/>
        <w:tabs>
          <w:tab w:val="num" w:pos="623"/>
        </w:tabs>
        <w:ind w:left="480" w:hanging="480"/>
      </w:pPr>
      <w:bookmarkStart w:id="4" w:name="_Toc146529219"/>
      <w:r>
        <w:t>FAĊILITAJIET TAL-IRRADJAZZJONI APPROVATI</w:t>
      </w:r>
      <w:bookmarkEnd w:id="4"/>
    </w:p>
    <w:p w14:paraId="5B378C56" w14:textId="7EE0224D" w:rsidR="00C65BF1" w:rsidRPr="00ED2EC4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Fi tmiem il-perjodu ta’ rapportar (l-1 ta’ Jannar 2020 – il-31 ta’ Diċembru 2021), kien hemm 22 faċilità tal-irradjazzjoni approvati fl-UE, li kienu jinsabu fi 13-il Stat Membru: Franza (5), il-Ġermanja (4), il-Bulgarija (1), in-Netherlands (2), Spanja (2), il-Belġju (1), ir-Repubblika Ċeka (1), il-Kroazja (1), l-Estonja (1), l-Italja (1), l-Ungerija (1), il-Polonja (1) u r-Rumanija (1).</w:t>
      </w:r>
    </w:p>
    <w:p w14:paraId="7D0FAD75" w14:textId="30EC13C8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Minn dawk it-13-il Stat Membru mgħammra b’faċilitajiet tal-irradjazzjoni, tlieta ma irradjaw l-ebda oġġett tal-ikel matul il-perjodu 2020-2021: il-Bulgarija, l-Italja u r-Rumanija.</w:t>
      </w:r>
    </w:p>
    <w:p w14:paraId="5D7E691F" w14:textId="7868782E" w:rsidR="00C65BF1" w:rsidRPr="00147C3D" w:rsidRDefault="00C65BF1" w:rsidP="00C65BF1">
      <w:pPr>
        <w:pStyle w:val="Heading1"/>
        <w:tabs>
          <w:tab w:val="num" w:pos="623"/>
        </w:tabs>
        <w:ind w:left="480" w:hanging="480"/>
      </w:pPr>
      <w:bookmarkStart w:id="5" w:name="_Toc146529220"/>
      <w:r>
        <w:t>RIŻULTATI TAL-VERIFIKI MWETTQA FIL-FAĊILITAJIET TAL-IRRADJAZZJONI FL-2020-2021</w:t>
      </w:r>
      <w:bookmarkEnd w:id="5"/>
    </w:p>
    <w:p w14:paraId="5593C1C5" w14:textId="405E9D55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 xml:space="preserve">Kwantità totali ta’ 5 029,1 tunnellata ta’ oġġetti tal-ikel ġew ittrattati bl-irradjazzjoni jonizzanti fl-Istati Membri tal-UE matul is-snin 2020 u 2021. It-trattament seħħ prinċipalment fil-Belġju, li ttratta 83 % tal-ikel irradjat tal-UE. </w:t>
      </w:r>
    </w:p>
    <w:p w14:paraId="33FC9276" w14:textId="77777777" w:rsidR="00D2094D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It-tliet komoditajiet ewlenin irradjati fl-UE kienu koxox taż-żrinġijiet (76,42 %), pollam (11,92 %) u ħxejjex aromatiċi mnixxfa, ħwawar u taħwir tal-ħxejjex (11,6 %).</w:t>
      </w:r>
    </w:p>
    <w:p w14:paraId="207D97E8" w14:textId="1DD5F3F4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 xml:space="preserve">L-Illustrazzjoni 1 turi d-distribuzzjoni tal-prodotti irradjati fil-faċilitajiet approvati fl-Istati Membri tal-UE fl-2020 u l-2021. </w:t>
      </w:r>
    </w:p>
    <w:p w14:paraId="0D3963FE" w14:textId="4BB4A8A1" w:rsidR="00C65BF1" w:rsidRDefault="00C65BF1" w:rsidP="00C65BF1">
      <w:pPr>
        <w:pStyle w:val="Caption"/>
      </w:pPr>
      <w:r>
        <w:t>Illustrazzjoni 1 — Distribuzzjoni, skont il-kategorija, tal-oġġetti tal-ikel irradjati fl-UE fl-2020-2021</w:t>
      </w:r>
    </w:p>
    <w:p w14:paraId="6DBDD067" w14:textId="3203F2DE" w:rsidR="00C65BF1" w:rsidRPr="00FF3029" w:rsidRDefault="00960500" w:rsidP="00C65BF1">
      <w:r>
        <w:rPr>
          <w:lang w:val="en-GB" w:eastAsia="en-GB"/>
        </w:rPr>
        <w:drawing>
          <wp:inline distT="0" distB="0" distL="0" distR="0" wp14:anchorId="7767E0B4" wp14:editId="33B01B96">
            <wp:extent cx="5761355" cy="4855845"/>
            <wp:effectExtent l="0" t="0" r="10795" b="1905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5F0E40C" w14:textId="77777777" w:rsidR="00C65BF1" w:rsidRPr="00A4508B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 xml:space="preserve">Il-kwantitajiet ta’ oġġetti tal-ikel (f’tunnellati) ittrattati bir-radjazzjoni jonizzanti fl-UE ilhom jonqsu mill-2010, kif jidher fl-Illustrazzjoni 2. </w:t>
      </w:r>
    </w:p>
    <w:p w14:paraId="2569781A" w14:textId="77777777" w:rsidR="00C65BF1" w:rsidRDefault="00C65BF1" w:rsidP="00C65BF1">
      <w:pPr>
        <w:pStyle w:val="Caption"/>
      </w:pPr>
      <w:r>
        <w:t>Illustrazzjoni 2 – Kwantitajiet ta’ oġġetti tal-ikel ittrattati bir-radjazzjoni jonizzanti fi stabbilimenti tal-irradjazzjoni approvati fl-Unjoni Ewropea mill-2010</w:t>
      </w:r>
    </w:p>
    <w:p w14:paraId="5A314BD2" w14:textId="1620589A" w:rsidR="00C65BF1" w:rsidRDefault="00960500" w:rsidP="00C65BF1">
      <w:r>
        <w:rPr>
          <w:lang w:val="en-GB" w:eastAsia="en-GB"/>
        </w:rPr>
        <w:drawing>
          <wp:inline distT="0" distB="0" distL="0" distR="0" wp14:anchorId="5C452469" wp14:editId="285A5D02">
            <wp:extent cx="5761355" cy="3759200"/>
            <wp:effectExtent l="0" t="0" r="10795" b="1270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C8B45B5-ED4D-5BBC-EC80-390D5CE603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03690FB" w14:textId="77777777" w:rsidR="00C65BF1" w:rsidRDefault="00C65BF1" w:rsidP="00C65BF1">
      <w:pPr>
        <w:pStyle w:val="Heading1"/>
      </w:pPr>
      <w:bookmarkStart w:id="6" w:name="_Toc146529221"/>
      <w:r>
        <w:t>RIŻULTATI TAL-VERIFIKI FIL-FAŻI TAL-KUMMERĊJALIZZAZZJONI TAL-PRODOTT</w:t>
      </w:r>
      <w:bookmarkEnd w:id="6"/>
    </w:p>
    <w:p w14:paraId="3864B0EB" w14:textId="17D68F37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Għall-perjodu 2020-2021, ġew analizzati 7 667 kampjun minn 24 Stat Membru, jiġifieri b’mod ġenerali 21,8 % inqas mill-medja fl-2018-2019. Id-</w:t>
      </w:r>
      <w:r>
        <w:rPr>
          <w:i/>
          <w:iCs/>
          <w:noProof/>
        </w:rPr>
        <w:t>data</w:t>
      </w:r>
      <w:r>
        <w:rPr>
          <w:noProof/>
        </w:rPr>
        <w:t xml:space="preserve"> għal kull Stat Membru hija disponibbli fl-Anness II u spjegata fil-qosor fl-Illustrazzjoni 3.</w:t>
      </w:r>
    </w:p>
    <w:p w14:paraId="09E40902" w14:textId="119D4D0E" w:rsidR="00C65BF1" w:rsidRDefault="00C65BF1" w:rsidP="00C65BF1">
      <w:pPr>
        <w:pStyle w:val="Caption"/>
      </w:pPr>
      <w:r>
        <w:t>Illustrazzjoni 3 – Kampjuni analizzati fil-fażi tal-kummerċjalizzazzjoni tal-prodott f’kull Stat Membru fl-2020-2021</w:t>
      </w:r>
    </w:p>
    <w:p w14:paraId="0C3A38D8" w14:textId="24C8A4FA" w:rsidR="00C65BF1" w:rsidRDefault="00C8033F" w:rsidP="00C65BF1">
      <w:r>
        <w:rPr>
          <w:lang w:val="en-GB" w:eastAsia="en-GB"/>
        </w:rPr>
        <w:drawing>
          <wp:inline distT="0" distB="0" distL="0" distR="0" wp14:anchorId="406DC351" wp14:editId="3DBE7C1B">
            <wp:extent cx="5761355" cy="3783330"/>
            <wp:effectExtent l="0" t="0" r="10795" b="762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7C514745-CDC0-9832-F25B-386850BC4A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0E0B8EC" w14:textId="77777777" w:rsidR="00352E8A" w:rsidRDefault="00352E8A" w:rsidP="00C65BF1">
      <w:pPr>
        <w:pStyle w:val="Text1"/>
        <w:spacing w:after="0"/>
        <w:rPr>
          <w:noProof/>
        </w:rPr>
      </w:pPr>
    </w:p>
    <w:p w14:paraId="30A362E7" w14:textId="641FBE9F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Tliet Stati Membri ma wettqu l-ebda verifika analitika fl-istadju tal-kummerċjalizzazzjoni tal-prodott fl-2020-2021 minħabba restrizzjonijiet baġitarji (id-Danimarka), jew minħabba nuqqas ta’ kapaċità tal-laboratorji (Ċipru u l-Estonja).</w:t>
      </w:r>
    </w:p>
    <w:p w14:paraId="071606BF" w14:textId="16C086DF" w:rsidR="00C65BF1" w:rsidRPr="00E44148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 xml:space="preserve">Minn total ta’ 7 667 kampjun analizzat, 66 ma kinux konformi (0,9 %) u 80 (1 %) ma wasslux għal riżultati konklużivi. In-nuqqas ta’ konformità osservat kien jikkonsisti l-aktar f’tikkettar skorrett u irradjazzjoni pprojbita. Il-perċentwal ta’ nuqqas ta’ konformità (0,9 %) kien ftit aktar baxx minn dak tal-perjodu ta’ rapportar preċedenti 2018-2019 (1 %). </w:t>
      </w:r>
    </w:p>
    <w:p w14:paraId="730D8428" w14:textId="25714F0D" w:rsidR="00C65BF1" w:rsidRDefault="00C65BF1" w:rsidP="00C65BF1">
      <w:pPr>
        <w:pStyle w:val="Text1"/>
        <w:spacing w:after="0"/>
        <w:rPr>
          <w:noProof/>
        </w:rPr>
      </w:pPr>
      <w:r>
        <w:rPr>
          <w:noProof/>
        </w:rPr>
        <w:t>Fl-istadju tal-kummerċjalizzazzjoni, kif muri fl-Illustrazzjoni 4, il-maġġoranza tal-oġġetti tal-ikel analizzati kienu “ħxejjex aromatiċi u ħwawar” (43,84 %) segwiti minn “ċereali, żrieragħ, ħxejjex, frott u l-prodotti tagħhom” (25,98 %).</w:t>
      </w:r>
    </w:p>
    <w:p w14:paraId="749C6D61" w14:textId="3E45195F" w:rsidR="007C6010" w:rsidRDefault="007C6010">
      <w:pPr>
        <w:rPr>
          <w:rFonts w:ascii="Times New Roman" w:eastAsia="Times New Roman" w:hAnsi="Times New Roman" w:cs="Times New Roman"/>
          <w:sz w:val="24"/>
          <w:szCs w:val="20"/>
        </w:rPr>
      </w:pPr>
      <w:r>
        <w:br w:type="page"/>
      </w:r>
    </w:p>
    <w:p w14:paraId="7BEB2B33" w14:textId="77777777" w:rsidR="007C6010" w:rsidRDefault="007C6010" w:rsidP="00C65BF1">
      <w:pPr>
        <w:pStyle w:val="Text1"/>
        <w:spacing w:after="0"/>
        <w:rPr>
          <w:noProof/>
        </w:rPr>
      </w:pPr>
    </w:p>
    <w:p w14:paraId="6893EA44" w14:textId="07E52DA1" w:rsidR="00C65BF1" w:rsidRDefault="00C65BF1" w:rsidP="00C65BF1">
      <w:pPr>
        <w:pStyle w:val="Caption"/>
      </w:pPr>
      <w:r>
        <w:t>Illustrazzjoni 4 – Kategorija tal-oġġetti tal-ikel analizzata fil-fażi tal-kummerċjalizzazzjoni tal-prodott fl-Unjoni Ewropea fl-2020-2021</w:t>
      </w:r>
    </w:p>
    <w:p w14:paraId="7E1434C1" w14:textId="5A3B6399" w:rsidR="007C6010" w:rsidRPr="007C6010" w:rsidRDefault="00C8033F" w:rsidP="007C6010">
      <w:r>
        <w:rPr>
          <w:lang w:val="en-GB" w:eastAsia="en-GB"/>
        </w:rPr>
        <w:drawing>
          <wp:inline distT="0" distB="0" distL="0" distR="0" wp14:anchorId="3368DB1F" wp14:editId="3A5C81C3">
            <wp:extent cx="5761355" cy="3369945"/>
            <wp:effectExtent l="0" t="0" r="10795" b="1905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D3145F99-D2BC-D7F9-90BC-EC0A55910B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D8F16BC" w14:textId="3CCB755F" w:rsidR="00C65BF1" w:rsidRDefault="00C65BF1" w:rsidP="00C65BF1"/>
    <w:p w14:paraId="6462A2AA" w14:textId="09EAEA4A" w:rsidR="00BF6D2C" w:rsidRDefault="00BF6D2C" w:rsidP="00C65BF1"/>
    <w:sectPr w:rsidR="00BF6D2C" w:rsidSect="00906FF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134" w:right="1417" w:bottom="1134" w:left="141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8608" w14:textId="77777777" w:rsidR="00BF5812" w:rsidRDefault="00BF5812" w:rsidP="00C65BF1">
      <w:pPr>
        <w:spacing w:after="0" w:line="240" w:lineRule="auto"/>
      </w:pPr>
      <w:r>
        <w:separator/>
      </w:r>
    </w:p>
  </w:endnote>
  <w:endnote w:type="continuationSeparator" w:id="0">
    <w:p w14:paraId="5FB488BF" w14:textId="77777777" w:rsidR="00BF5812" w:rsidRDefault="00BF5812" w:rsidP="00C6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2DFBB" w14:textId="2C71E7A5" w:rsidR="00482A9F" w:rsidRPr="000D674B" w:rsidRDefault="00482A9F" w:rsidP="000D6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ADADB" w14:textId="5E27E8B0" w:rsidR="00482A9F" w:rsidRPr="000D674B" w:rsidRDefault="000D674B" w:rsidP="000D674B">
    <w:pPr>
      <w:pStyle w:val="FooterCoverPage"/>
      <w:rPr>
        <w:rFonts w:ascii="Arial" w:hAnsi="Arial" w:cs="Arial"/>
        <w:b/>
        <w:sz w:val="48"/>
      </w:rPr>
    </w:pPr>
    <w:r w:rsidRPr="000D674B">
      <w:rPr>
        <w:rFonts w:ascii="Arial" w:hAnsi="Arial" w:cs="Arial"/>
        <w:b/>
        <w:sz w:val="48"/>
      </w:rPr>
      <w:t>MT</w:t>
    </w:r>
    <w:r w:rsidRPr="000D674B">
      <w:rPr>
        <w:rFonts w:ascii="Arial" w:hAnsi="Arial" w:cs="Arial"/>
        <w:b/>
        <w:sz w:val="48"/>
      </w:rPr>
      <w:tab/>
    </w:r>
    <w:r w:rsidRPr="000D674B">
      <w:rPr>
        <w:rFonts w:ascii="Arial" w:hAnsi="Arial" w:cs="Arial"/>
        <w:b/>
        <w:sz w:val="48"/>
      </w:rPr>
      <w:tab/>
    </w:r>
    <w:r w:rsidRPr="000D674B">
      <w:tab/>
    </w:r>
    <w:r w:rsidRPr="000D674B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4A109" w14:textId="77777777" w:rsidR="000D674B" w:rsidRPr="000D674B" w:rsidRDefault="000D674B" w:rsidP="000D674B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79ACF" w14:textId="77777777" w:rsidR="008F6798" w:rsidRDefault="000D674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437521"/>
      <w:docPartObj>
        <w:docPartGallery w:val="Page Numbers (Bottom of Page)"/>
        <w:docPartUnique/>
      </w:docPartObj>
    </w:sdtPr>
    <w:sdtEndPr/>
    <w:sdtContent>
      <w:p w14:paraId="4B5B7540" w14:textId="596B1275" w:rsidR="008F6798" w:rsidRDefault="00906F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74B">
          <w:t>1</w:t>
        </w:r>
        <w:r>
          <w:fldChar w:fldCharType="end"/>
        </w:r>
      </w:p>
    </w:sdtContent>
  </w:sdt>
  <w:p w14:paraId="0EAE0413" w14:textId="77777777" w:rsidR="008F6798" w:rsidRDefault="000D674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81D09" w14:textId="77777777" w:rsidR="008F6798" w:rsidRDefault="000D6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E6479" w14:textId="77777777" w:rsidR="00BF5812" w:rsidRDefault="00BF5812" w:rsidP="00C65BF1">
      <w:pPr>
        <w:spacing w:after="0" w:line="240" w:lineRule="auto"/>
      </w:pPr>
      <w:r>
        <w:separator/>
      </w:r>
    </w:p>
  </w:footnote>
  <w:footnote w:type="continuationSeparator" w:id="0">
    <w:p w14:paraId="3E206CB6" w14:textId="77777777" w:rsidR="00BF5812" w:rsidRDefault="00BF5812" w:rsidP="00C65BF1">
      <w:pPr>
        <w:spacing w:after="0" w:line="240" w:lineRule="auto"/>
      </w:pPr>
      <w:r>
        <w:continuationSeparator/>
      </w:r>
    </w:p>
  </w:footnote>
  <w:footnote w:id="1">
    <w:p w14:paraId="551C3FE9" w14:textId="77777777" w:rsidR="00C65BF1" w:rsidRPr="0064473B" w:rsidRDefault="00C65BF1" w:rsidP="00C65BF1">
      <w:pPr>
        <w:pStyle w:val="FootnoteText"/>
      </w:pPr>
      <w:r>
        <w:rPr>
          <w:rStyle w:val="FootnoteReference"/>
        </w:rPr>
        <w:footnoteRef/>
      </w:r>
      <w:r>
        <w:t xml:space="preserve"> Id-Direttiva 1999/2/KE tal-Parlament Ewropew u tal-Kunsill tat-22 ta’ Frar 1999 dwar l-approssimazzjoni tal-liġijiet tal-Istati Membri li jikkonċernaw ikel u ingredjenti tal-ikel trattati b’radjazzjoni li tijonizza (ĠU L 066, 13.3.1999, p. 16).</w:t>
      </w:r>
    </w:p>
  </w:footnote>
  <w:footnote w:id="2">
    <w:p w14:paraId="37CCBC50" w14:textId="18DCEECD" w:rsidR="009A0DB3" w:rsidRDefault="009A0DB3" w:rsidP="009A0DB3">
      <w:pPr>
        <w:pStyle w:val="FootnoteText"/>
      </w:pPr>
      <w:r>
        <w:rPr>
          <w:rStyle w:val="FootnoteReference"/>
        </w:rPr>
        <w:footnoteRef/>
      </w:r>
      <w:r>
        <w:t xml:space="preserve"> ĠU L 66, 13.3.1999, p. 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E8DBD" w14:textId="77777777" w:rsidR="000D674B" w:rsidRPr="000D674B" w:rsidRDefault="000D674B" w:rsidP="000D67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586A4" w14:textId="77777777" w:rsidR="000D674B" w:rsidRPr="000D674B" w:rsidRDefault="000D674B" w:rsidP="000D674B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F3572" w14:textId="77777777" w:rsidR="000D674B" w:rsidRPr="000D674B" w:rsidRDefault="000D674B" w:rsidP="000D674B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12A2" w14:textId="77777777" w:rsidR="008F6798" w:rsidRDefault="000D674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BB16D" w14:textId="77777777" w:rsidR="008F6798" w:rsidRDefault="000D674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EE1B1" w14:textId="77777777" w:rsidR="008F6798" w:rsidRDefault="000D67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207A3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9A698369-AADC-4D54-BC02-C3746D0CA626"/>
    <w:docVar w:name="LW_COVERPAGE_TYPE" w:val="1"/>
    <w:docVar w:name="LW_CROSSREFERENCE" w:val="&lt;UNUSED&gt;"/>
    <w:docVar w:name="LW_DocType" w:val="NORMAL"/>
    <w:docVar w:name="LW_EMISSION" w:val="27.10.2023"/>
    <w:docVar w:name="LW_EMISSION_ISODATE" w:val="2023-10-27"/>
    <w:docVar w:name="LW_EMISSION_LOCATION" w:val="BRX"/>
    <w:docVar w:name="LW_EMISSION_PREFIX" w:val="Brussell, "/>
    <w:docVar w:name="LW_EMISSION_SUFFIX" w:val=" "/>
    <w:docVar w:name="LW_ID_DOCTYPE_NONLW" w:val="CP-006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3) 676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dwar l-ikel u l-ingredjenti tal-ikel ittrattati bir-radjazzjoni jonizzanti għas-snin 2020-2021_x000b__x000d__x000d__x000d__x000d__x000d__x000d__x000d__x000b_"/>
    <w:docVar w:name="LW_TYPE.DOC.CP" w:val="RAPPORT TAL-KUMMISSJONI LILL-PARLAMENT EWROPEW U LILL-KUNSILL"/>
    <w:docVar w:name="LwApiVersions" w:val="LW4CoDe 1.23.2.0; LW 8.0, Build 20211117"/>
  </w:docVars>
  <w:rsids>
    <w:rsidRoot w:val="00C65BF1"/>
    <w:rsid w:val="00024932"/>
    <w:rsid w:val="00042F30"/>
    <w:rsid w:val="00095C0A"/>
    <w:rsid w:val="000C01F7"/>
    <w:rsid w:val="000D674B"/>
    <w:rsid w:val="000F6F8A"/>
    <w:rsid w:val="00123A88"/>
    <w:rsid w:val="0017177A"/>
    <w:rsid w:val="001953A7"/>
    <w:rsid w:val="0019599E"/>
    <w:rsid w:val="001D7326"/>
    <w:rsid w:val="001E6117"/>
    <w:rsid w:val="00206370"/>
    <w:rsid w:val="00287306"/>
    <w:rsid w:val="003404E4"/>
    <w:rsid w:val="00352E8A"/>
    <w:rsid w:val="00354871"/>
    <w:rsid w:val="00393B9B"/>
    <w:rsid w:val="003F59F5"/>
    <w:rsid w:val="004679C2"/>
    <w:rsid w:val="00482A9F"/>
    <w:rsid w:val="00493C4D"/>
    <w:rsid w:val="0050668B"/>
    <w:rsid w:val="005422F9"/>
    <w:rsid w:val="005668A9"/>
    <w:rsid w:val="00631285"/>
    <w:rsid w:val="0063666C"/>
    <w:rsid w:val="006D6F70"/>
    <w:rsid w:val="00726373"/>
    <w:rsid w:val="007439EA"/>
    <w:rsid w:val="00780F05"/>
    <w:rsid w:val="0078181A"/>
    <w:rsid w:val="007C6010"/>
    <w:rsid w:val="007F2F0E"/>
    <w:rsid w:val="00800FE3"/>
    <w:rsid w:val="0082375D"/>
    <w:rsid w:val="008501D0"/>
    <w:rsid w:val="00851BB6"/>
    <w:rsid w:val="008A7D84"/>
    <w:rsid w:val="008C0F7E"/>
    <w:rsid w:val="008E1F66"/>
    <w:rsid w:val="00906FFF"/>
    <w:rsid w:val="00940178"/>
    <w:rsid w:val="00960500"/>
    <w:rsid w:val="009A0DB3"/>
    <w:rsid w:val="009A1468"/>
    <w:rsid w:val="009D343A"/>
    <w:rsid w:val="00A709EB"/>
    <w:rsid w:val="00AC09CB"/>
    <w:rsid w:val="00AF5B39"/>
    <w:rsid w:val="00B459C3"/>
    <w:rsid w:val="00B9685E"/>
    <w:rsid w:val="00BE1857"/>
    <w:rsid w:val="00BE1E80"/>
    <w:rsid w:val="00BF2112"/>
    <w:rsid w:val="00BF5812"/>
    <w:rsid w:val="00BF6D2C"/>
    <w:rsid w:val="00C01389"/>
    <w:rsid w:val="00C65BF1"/>
    <w:rsid w:val="00C70E52"/>
    <w:rsid w:val="00C8033F"/>
    <w:rsid w:val="00CC5F14"/>
    <w:rsid w:val="00CE70ED"/>
    <w:rsid w:val="00D2094D"/>
    <w:rsid w:val="00D6459B"/>
    <w:rsid w:val="00DE1875"/>
    <w:rsid w:val="00E02986"/>
    <w:rsid w:val="00E44148"/>
    <w:rsid w:val="00E77588"/>
    <w:rsid w:val="00EF213F"/>
    <w:rsid w:val="00F33760"/>
    <w:rsid w:val="00FB2B5C"/>
    <w:rsid w:val="00FC108D"/>
    <w:rsid w:val="00FC6627"/>
    <w:rsid w:val="00FD25A8"/>
    <w:rsid w:val="00FE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0187964"/>
  <w15:chartTrackingRefBased/>
  <w15:docId w15:val="{18A5DE96-A6AF-456B-8868-29AD2DC9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BF1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BF1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BF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BF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BF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BF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BF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BF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BF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sid w:val="00C65BF1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C65BF1"/>
    <w:pPr>
      <w:spacing w:after="0" w:line="240" w:lineRule="auto"/>
      <w:jc w:val="both"/>
    </w:pPr>
    <w:rPr>
      <w:rFonts w:ascii="Times New Roman" w:hAnsi="Times New Roman" w:cs="Times New Roman"/>
      <w:noProof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C65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BF1"/>
    <w:rPr>
      <w:noProof/>
      <w:lang w:val="mt-MT"/>
    </w:rPr>
  </w:style>
  <w:style w:type="paragraph" w:styleId="Footer">
    <w:name w:val="footer"/>
    <w:basedOn w:val="Normal"/>
    <w:link w:val="FooterChar"/>
    <w:uiPriority w:val="99"/>
    <w:unhideWhenUsed/>
    <w:rsid w:val="00C65B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BF1"/>
    <w:rPr>
      <w:noProof/>
      <w:lang w:val="mt-MT"/>
    </w:rPr>
  </w:style>
  <w:style w:type="paragraph" w:customStyle="1" w:styleId="FooterCoverPage">
    <w:name w:val="Footer Cover Page"/>
    <w:basedOn w:val="Normal"/>
    <w:link w:val="FooterCoverPageChar"/>
    <w:rsid w:val="00C65BF1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C65BF1"/>
    <w:rPr>
      <w:rFonts w:ascii="Times New Roman" w:hAnsi="Times New Roman" w:cs="Times New Roman"/>
      <w:noProof/>
      <w:sz w:val="24"/>
    </w:rPr>
  </w:style>
  <w:style w:type="paragraph" w:customStyle="1" w:styleId="FooterSensitivity">
    <w:name w:val="Footer Sensitivity"/>
    <w:basedOn w:val="Normal"/>
    <w:link w:val="FooterSensitivityChar"/>
    <w:rsid w:val="00C65B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C65BF1"/>
    <w:rPr>
      <w:rFonts w:ascii="Times New Roman" w:hAnsi="Times New Roman" w:cs="Times New Roman"/>
      <w:b/>
      <w:noProof/>
      <w:sz w:val="32"/>
    </w:rPr>
  </w:style>
  <w:style w:type="paragraph" w:customStyle="1" w:styleId="HeaderCoverPage">
    <w:name w:val="Header Cover Page"/>
    <w:basedOn w:val="Normal"/>
    <w:link w:val="HeaderCoverPageChar"/>
    <w:rsid w:val="00C65BF1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C65BF1"/>
    <w:rPr>
      <w:rFonts w:ascii="Times New Roman" w:hAnsi="Times New Roman" w:cs="Times New Roman"/>
      <w:noProof/>
      <w:sz w:val="24"/>
    </w:rPr>
  </w:style>
  <w:style w:type="paragraph" w:customStyle="1" w:styleId="HeaderSensitivity">
    <w:name w:val="Header Sensitivity"/>
    <w:basedOn w:val="Normal"/>
    <w:link w:val="HeaderSensitivityChar"/>
    <w:rsid w:val="00C65BF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C65BF1"/>
    <w:rPr>
      <w:rFonts w:ascii="Times New Roman" w:hAnsi="Times New Roman" w:cs="Times New Roman"/>
      <w:b/>
      <w:noProof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C65BF1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C65BF1"/>
    <w:rPr>
      <w:rFonts w:ascii="Times New Roman" w:hAnsi="Times New Roman" w:cs="Times New Roman"/>
      <w:noProof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65BF1"/>
    <w:rPr>
      <w:rFonts w:ascii="Arial" w:eastAsiaTheme="majorEastAsia" w:hAnsi="Arial" w:cstheme="majorBidi"/>
      <w:b/>
      <w:noProof/>
      <w:color w:val="000000" w:themeColor="text1"/>
      <w:sz w:val="28"/>
      <w:szCs w:val="32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BF1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BF1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BF1"/>
    <w:rPr>
      <w:rFonts w:asciiTheme="majorHAnsi" w:eastAsiaTheme="majorEastAsia" w:hAnsiTheme="majorHAnsi" w:cstheme="majorBidi"/>
      <w:i/>
      <w:iCs/>
      <w:noProof/>
      <w:color w:val="2E74B5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BF1"/>
    <w:rPr>
      <w:rFonts w:asciiTheme="majorHAnsi" w:eastAsiaTheme="majorEastAsia" w:hAnsiTheme="majorHAnsi" w:cstheme="majorBidi"/>
      <w:noProof/>
      <w:color w:val="2E74B5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BF1"/>
    <w:rPr>
      <w:rFonts w:asciiTheme="majorHAnsi" w:eastAsiaTheme="majorEastAsia" w:hAnsiTheme="majorHAnsi" w:cstheme="majorBidi"/>
      <w:noProof/>
      <w:color w:val="1F4D78" w:themeColor="accent1" w:themeShade="7F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BF1"/>
    <w:rPr>
      <w:rFonts w:asciiTheme="majorHAnsi" w:eastAsiaTheme="majorEastAsia" w:hAnsiTheme="majorHAnsi" w:cstheme="majorBidi"/>
      <w:i/>
      <w:iCs/>
      <w:noProof/>
      <w:color w:val="1F4D78" w:themeColor="accent1" w:themeShade="7F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BF1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BF1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mt-MT"/>
    </w:rPr>
  </w:style>
  <w:style w:type="paragraph" w:customStyle="1" w:styleId="Text1">
    <w:name w:val="Text 1"/>
    <w:basedOn w:val="Normal"/>
    <w:qFormat/>
    <w:rsid w:val="00C65BF1"/>
    <w:pPr>
      <w:spacing w:before="120" w:after="240" w:line="240" w:lineRule="auto"/>
      <w:ind w:left="482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B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BF1"/>
    <w:rPr>
      <w:noProof/>
      <w:sz w:val="20"/>
      <w:szCs w:val="20"/>
      <w:lang w:val="mt-MT"/>
    </w:rPr>
  </w:style>
  <w:style w:type="character" w:styleId="FootnoteReference">
    <w:name w:val="footnote reference"/>
    <w:basedOn w:val="DefaultParagraphFont"/>
    <w:uiPriority w:val="99"/>
    <w:semiHidden/>
    <w:unhideWhenUsed/>
    <w:rsid w:val="00C65BF1"/>
    <w:rPr>
      <w:vertAlign w:val="superscript"/>
    </w:rPr>
  </w:style>
  <w:style w:type="paragraph" w:customStyle="1" w:styleId="Annexetitre">
    <w:name w:val="Annexe titre"/>
    <w:basedOn w:val="Normal"/>
    <w:next w:val="Normal"/>
    <w:link w:val="AnnexetitreChar"/>
    <w:rsid w:val="00C65BF1"/>
    <w:pPr>
      <w:spacing w:before="120" w:after="120" w:line="240" w:lineRule="auto"/>
      <w:jc w:val="center"/>
    </w:pPr>
    <w:rPr>
      <w:rFonts w:ascii="Times New Roman" w:hAnsi="Times New Roman" w:cs="Times New Roman"/>
      <w:b/>
      <w:noProof w:val="0"/>
      <w:sz w:val="24"/>
      <w:u w:val="single"/>
    </w:rPr>
  </w:style>
  <w:style w:type="table" w:styleId="TableGrid">
    <w:name w:val="Table Grid"/>
    <w:basedOn w:val="TableNormal"/>
    <w:uiPriority w:val="59"/>
    <w:rsid w:val="00C65B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etitreChar">
    <w:name w:val="Annexe titre Char"/>
    <w:basedOn w:val="DefaultParagraphFont"/>
    <w:link w:val="Annexetitre"/>
    <w:rsid w:val="00C65BF1"/>
    <w:rPr>
      <w:rFonts w:ascii="Times New Roman" w:hAnsi="Times New Roman" w:cs="Times New Roman"/>
      <w:b/>
      <w:sz w:val="24"/>
      <w:u w:val="single"/>
      <w:lang w:val="mt-MT"/>
    </w:rPr>
  </w:style>
  <w:style w:type="paragraph" w:styleId="Caption">
    <w:name w:val="caption"/>
    <w:basedOn w:val="Normal"/>
    <w:next w:val="Normal"/>
    <w:uiPriority w:val="35"/>
    <w:unhideWhenUsed/>
    <w:qFormat/>
    <w:rsid w:val="00C65BF1"/>
    <w:pPr>
      <w:keepNext/>
      <w:spacing w:before="240" w:after="12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C65BF1"/>
    <w:pPr>
      <w:numPr>
        <w:numId w:val="0"/>
      </w:numPr>
      <w:outlineLvl w:val="9"/>
    </w:pPr>
    <w:rPr>
      <w:rFonts w:asciiTheme="majorHAnsi" w:hAnsiTheme="majorHAnsi"/>
      <w:b w:val="0"/>
      <w:noProof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C65BF1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65B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760"/>
    <w:rPr>
      <w:rFonts w:ascii="Segoe UI" w:hAnsi="Segoe UI" w:cs="Segoe UI"/>
      <w:noProof/>
      <w:sz w:val="18"/>
      <w:szCs w:val="18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FD2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5A8"/>
    <w:rPr>
      <w:noProof/>
      <w:sz w:val="20"/>
      <w:szCs w:val="20"/>
      <w:lang w:val="mt-M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5A8"/>
    <w:rPr>
      <w:b/>
      <w:bCs/>
      <w:noProof/>
      <w:sz w:val="20"/>
      <w:szCs w:val="20"/>
      <w:lang w:val="mt-MT"/>
    </w:rPr>
  </w:style>
  <w:style w:type="paragraph" w:styleId="Revision">
    <w:name w:val="Revision"/>
    <w:hidden/>
    <w:uiPriority w:val="99"/>
    <w:semiHidden/>
    <w:rsid w:val="0082375D"/>
    <w:pPr>
      <w:spacing w:after="0" w:line="240" w:lineRule="auto"/>
    </w:pPr>
    <w:rPr>
      <w:noProof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09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09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chart" Target="charts/chart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ET1.cec.eu.int\offline\07\grecdap\Desktop\SANTE-2023-02177-00-00-MT-SRC-0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NET1.cec.eu.int\offline\07\grecdap\Desktop\SANTE-2023-02177-00-00-MT-SRC-0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NET1.cec.eu.int\offline\07\grecdap\Desktop\SANTE-2023-02177-00-00-MT-SRC-0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NET1.cec.eu.int\offline\07\grecdap\Desktop\SANTE-2023-02177-00-00-MT-SRC-0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2952592099208902"/>
          <c:y val="0.1128148999859306"/>
          <c:w val="0.52098213045257757"/>
          <c:h val="0.85888327638290496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27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502-4ECA-9C7B-D83994571E53}"/>
              </c:ext>
            </c:extLst>
          </c:dPt>
          <c:dPt>
            <c:idx val="1"/>
            <c:bubble3D val="0"/>
            <c:explosion val="26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502-4ECA-9C7B-D83994571E53}"/>
              </c:ext>
            </c:extLst>
          </c:dPt>
          <c:dPt>
            <c:idx val="2"/>
            <c:bubble3D val="0"/>
            <c:explosion val="17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502-4ECA-9C7B-D83994571E53}"/>
              </c:ext>
            </c:extLst>
          </c:dPt>
          <c:dPt>
            <c:idx val="3"/>
            <c:bubble3D val="0"/>
            <c:explosion val="18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502-4ECA-9C7B-D83994571E53}"/>
              </c:ext>
            </c:extLst>
          </c:dPt>
          <c:dLbls>
            <c:dLbl>
              <c:idx val="0"/>
              <c:layout>
                <c:manualLayout>
                  <c:x val="5.9466943009285005E-2"/>
                  <c:y val="-9.5670407188010925E-2"/>
                </c:manualLayout>
              </c:layout>
              <c:tx>
                <c:rich>
                  <a:bodyPr/>
                  <a:lstStyle/>
                  <a:p>
                    <a:fld id="{93EF1556-CEEB-4E57-9F5C-32E79C4AA980}" type="CATEGORYNAM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
76,42%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502-4ECA-9C7B-D83994571E53}"/>
                </c:ext>
              </c:extLst>
            </c:dLbl>
            <c:dLbl>
              <c:idx val="1"/>
              <c:layout>
                <c:manualLayout>
                  <c:x val="-4.7466840785232674E-2"/>
                  <c:y val="1.9932952003919983E-2"/>
                </c:manualLayout>
              </c:layout>
              <c:tx>
                <c:rich>
                  <a:bodyPr/>
                  <a:lstStyle/>
                  <a:p>
                    <a:fld id="{4B5F28D8-FEB2-4780-A756-5FCF84ACEE89}" type="CATEGORYNAM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[CATEGORY NAME]</a:t>
                    </a:fld>
                    <a:r>
                      <a:rPr lang="en-US" baseline="0"/>
                      <a:t>
0,06%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502-4ECA-9C7B-D83994571E53}"/>
                </c:ext>
              </c:extLst>
            </c:dLbl>
            <c:dLbl>
              <c:idx val="2"/>
              <c:layout>
                <c:manualLayout>
                  <c:x val="-2.0725811492631203E-2"/>
                  <c:y val="-4.9473658676214456E-2"/>
                </c:manualLayout>
              </c:layout>
              <c:tx>
                <c:rich>
                  <a:bodyPr/>
                  <a:lstStyle/>
                  <a:p>
                    <a:fld id="{BCE32844-EDD8-4E79-9DAC-3341561F024F}" type="CATEGORYNAM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
11,6%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502-4ECA-9C7B-D83994571E53}"/>
                </c:ext>
              </c:extLst>
            </c:dLbl>
            <c:dLbl>
              <c:idx val="3"/>
              <c:layout>
                <c:manualLayout>
                  <c:x val="6.5088287391411356E-2"/>
                  <c:y val="-4.1788269996749484E-2"/>
                </c:manualLayout>
              </c:layout>
              <c:tx>
                <c:rich>
                  <a:bodyPr/>
                  <a:lstStyle/>
                  <a:p>
                    <a:fld id="{76E20DE3-2A2C-4CBB-94FC-775743AFD82A}" type="CATEGORYNAM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
11,92%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502-4ECA-9C7B-D83994571E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'Irradiated foodstuffs'!$A$6:$A$9</c:f>
              <c:strCache>
                <c:ptCount val="4"/>
                <c:pt idx="0">
                  <c:v>Koxox taż-żrinġijiet iffriżati</c:v>
                </c:pt>
                <c:pt idx="1">
                  <c:v>Demm iddeidratat, plażma u koagulanti</c:v>
                </c:pt>
                <c:pt idx="2">
                  <c:v>Ħxejjex aromatiċi, ħwawar u taħwir tal-ħxejjex (imnixxfa)</c:v>
                </c:pt>
                <c:pt idx="3">
                  <c:v>Pollam</c:v>
                </c:pt>
              </c:strCache>
            </c:strRef>
          </c:cat>
          <c:val>
            <c:numRef>
              <c:f>'Irradiated foodstuffs'!$B$6:$B$9</c:f>
              <c:numCache>
                <c:formatCode>General</c:formatCode>
                <c:ptCount val="4"/>
                <c:pt idx="0">
                  <c:v>76.42</c:v>
                </c:pt>
                <c:pt idx="1">
                  <c:v>0.06</c:v>
                </c:pt>
                <c:pt idx="2">
                  <c:v>11.6</c:v>
                </c:pt>
                <c:pt idx="3">
                  <c:v>11.92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502-4ECA-9C7B-D83994571E53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'evolution 2010-2021'!$B$1</c:f>
              <c:strCache>
                <c:ptCount val="1"/>
                <c:pt idx="0">
                  <c:v>Kwantitajiet / sena (f’tunnellati)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'evolution 2010-2021'!$A$2:$A$13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'evolution 2010-2021'!$B$2:$B$13</c:f>
              <c:numCache>
                <c:formatCode>General</c:formatCode>
                <c:ptCount val="12"/>
                <c:pt idx="0">
                  <c:v>9263.4</c:v>
                </c:pt>
                <c:pt idx="1">
                  <c:v>8067.5</c:v>
                </c:pt>
                <c:pt idx="2">
                  <c:v>7972.1</c:v>
                </c:pt>
                <c:pt idx="3">
                  <c:v>6876.2</c:v>
                </c:pt>
                <c:pt idx="4">
                  <c:v>5550.9</c:v>
                </c:pt>
                <c:pt idx="5">
                  <c:v>5685.9</c:v>
                </c:pt>
                <c:pt idx="6">
                  <c:v>4973.7</c:v>
                </c:pt>
                <c:pt idx="7">
                  <c:v>5237.2</c:v>
                </c:pt>
                <c:pt idx="8">
                  <c:v>3860.6</c:v>
                </c:pt>
                <c:pt idx="9">
                  <c:v>3971.2</c:v>
                </c:pt>
                <c:pt idx="10">
                  <c:v>3364.4</c:v>
                </c:pt>
                <c:pt idx="11">
                  <c:v>1664.7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76F-48B0-B6FC-058A5537F0BA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232185216"/>
        <c:axId val="1231812688"/>
      </c:lineChart>
      <c:catAx>
        <c:axId val="1232185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1812688"/>
        <c:crosses val="autoZero"/>
        <c:auto val="1"/>
        <c:lblAlgn val="ctr"/>
        <c:lblOffset val="100"/>
        <c:noMultiLvlLbl val="0"/>
      </c:catAx>
      <c:valAx>
        <c:axId val="1231812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2185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527830183661991E-2"/>
          <c:y val="1.4501699123889895E-2"/>
          <c:w val="0.92647216981633795"/>
          <c:h val="0.909707562754073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'samples market stage per MS'!$G$1</c:f>
              <c:strCache>
                <c:ptCount val="1"/>
                <c:pt idx="0">
                  <c:v>kampjuni totali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'samples market stage per MS'!$F$2:$F$28</c:f>
              <c:strCache>
                <c:ptCount val="27"/>
                <c:pt idx="0">
                  <c:v>DE</c:v>
                </c:pt>
                <c:pt idx="1">
                  <c:v>IT</c:v>
                </c:pt>
                <c:pt idx="2">
                  <c:v>RO</c:v>
                </c:pt>
                <c:pt idx="3">
                  <c:v>PL</c:v>
                </c:pt>
                <c:pt idx="4">
                  <c:v>ES</c:v>
                </c:pt>
                <c:pt idx="5">
                  <c:v>BE</c:v>
                </c:pt>
                <c:pt idx="6">
                  <c:v>HR</c:v>
                </c:pt>
                <c:pt idx="7">
                  <c:v>FI</c:v>
                </c:pt>
                <c:pt idx="8">
                  <c:v>HU</c:v>
                </c:pt>
                <c:pt idx="9">
                  <c:v>IE</c:v>
                </c:pt>
                <c:pt idx="10">
                  <c:v>AT</c:v>
                </c:pt>
                <c:pt idx="11">
                  <c:v>FR</c:v>
                </c:pt>
                <c:pt idx="12">
                  <c:v>LU</c:v>
                </c:pt>
                <c:pt idx="13">
                  <c:v>CZ</c:v>
                </c:pt>
                <c:pt idx="14">
                  <c:v>MT</c:v>
                </c:pt>
                <c:pt idx="15">
                  <c:v>SK</c:v>
                </c:pt>
                <c:pt idx="16">
                  <c:v>SI</c:v>
                </c:pt>
                <c:pt idx="17">
                  <c:v>NL</c:v>
                </c:pt>
                <c:pt idx="18">
                  <c:v>PT</c:v>
                </c:pt>
                <c:pt idx="19">
                  <c:v>GR</c:v>
                </c:pt>
                <c:pt idx="20">
                  <c:v>LV</c:v>
                </c:pt>
                <c:pt idx="21">
                  <c:v>SE</c:v>
                </c:pt>
                <c:pt idx="22">
                  <c:v>LT</c:v>
                </c:pt>
                <c:pt idx="23">
                  <c:v>BG</c:v>
                </c:pt>
                <c:pt idx="24">
                  <c:v>DK</c:v>
                </c:pt>
                <c:pt idx="25">
                  <c:v>EE</c:v>
                </c:pt>
                <c:pt idx="26">
                  <c:v>CY</c:v>
                </c:pt>
              </c:strCache>
            </c:strRef>
          </c:cat>
          <c:val>
            <c:numRef>
              <c:f>'samples market stage per MS'!$G$2:$G$28</c:f>
              <c:numCache>
                <c:formatCode>General</c:formatCode>
                <c:ptCount val="27"/>
                <c:pt idx="0">
                  <c:v>4165</c:v>
                </c:pt>
                <c:pt idx="1">
                  <c:v>792</c:v>
                </c:pt>
                <c:pt idx="2">
                  <c:v>570</c:v>
                </c:pt>
                <c:pt idx="3">
                  <c:v>476</c:v>
                </c:pt>
                <c:pt idx="4">
                  <c:v>311</c:v>
                </c:pt>
                <c:pt idx="5">
                  <c:v>231</c:v>
                </c:pt>
                <c:pt idx="6">
                  <c:v>177</c:v>
                </c:pt>
                <c:pt idx="7">
                  <c:v>141</c:v>
                </c:pt>
                <c:pt idx="8">
                  <c:v>129</c:v>
                </c:pt>
                <c:pt idx="9">
                  <c:v>101</c:v>
                </c:pt>
                <c:pt idx="10">
                  <c:v>94</c:v>
                </c:pt>
                <c:pt idx="11">
                  <c:v>73</c:v>
                </c:pt>
                <c:pt idx="12">
                  <c:v>70</c:v>
                </c:pt>
                <c:pt idx="13">
                  <c:v>67</c:v>
                </c:pt>
                <c:pt idx="14">
                  <c:v>59</c:v>
                </c:pt>
                <c:pt idx="15">
                  <c:v>50</c:v>
                </c:pt>
                <c:pt idx="16">
                  <c:v>42</c:v>
                </c:pt>
                <c:pt idx="17">
                  <c:v>37</c:v>
                </c:pt>
                <c:pt idx="18">
                  <c:v>26</c:v>
                </c:pt>
                <c:pt idx="19">
                  <c:v>20</c:v>
                </c:pt>
                <c:pt idx="20">
                  <c:v>18</c:v>
                </c:pt>
                <c:pt idx="21">
                  <c:v>10</c:v>
                </c:pt>
                <c:pt idx="22">
                  <c:v>5</c:v>
                </c:pt>
                <c:pt idx="23">
                  <c:v>3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54-4A0E-9522-FB441CE1153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466992496"/>
        <c:axId val="1466992912"/>
      </c:barChart>
      <c:catAx>
        <c:axId val="1466992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6992912"/>
        <c:crosses val="autoZero"/>
        <c:auto val="1"/>
        <c:lblAlgn val="ctr"/>
        <c:lblOffset val="100"/>
        <c:noMultiLvlLbl val="0"/>
      </c:catAx>
      <c:valAx>
        <c:axId val="1466992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6992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45A-45A0-86AF-3BB4D9626F6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45A-45A0-86AF-3BB4D9626F6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45A-45A0-86AF-3BB4D9626F6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45A-45A0-86AF-3BB4D9626F6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45A-45A0-86AF-3BB4D9626F6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645A-45A0-86AF-3BB4D9626F6A}"/>
              </c:ext>
            </c:extLst>
          </c:dPt>
          <c:dLbls>
            <c:dLbl>
              <c:idx val="0"/>
              <c:layout>
                <c:manualLayout>
                  <c:x val="8.3333333333334356E-3"/>
                  <c:y val="-8.3333333333333329E-2"/>
                </c:manualLayout>
              </c:layout>
              <c:tx>
                <c:rich>
                  <a:bodyPr/>
                  <a:lstStyle/>
                  <a:p>
                    <a:fld id="{34C0EDFD-3D96-4334-A067-0D1FF82ADE2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25,98%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45A-45A0-86AF-3BB4D9626F6A}"/>
                </c:ext>
              </c:extLst>
            </c:dLbl>
            <c:dLbl>
              <c:idx val="1"/>
              <c:layout>
                <c:manualLayout>
                  <c:x val="2.7777777777775741E-3"/>
                  <c:y val="-3.7037037037037035E-2"/>
                </c:manualLayout>
              </c:layout>
              <c:tx>
                <c:rich>
                  <a:bodyPr/>
                  <a:lstStyle/>
                  <a:p>
                    <a:fld id="{1405FA19-B350-4C81-AC82-4F5D91075DFD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10,68%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45A-45A0-86AF-3BB4D9626F6A}"/>
                </c:ext>
              </c:extLst>
            </c:dLbl>
            <c:dLbl>
              <c:idx val="2"/>
              <c:layout>
                <c:manualLayout>
                  <c:x val="-5.3210535492651867E-2"/>
                  <c:y val="-1.0582010582010581E-2"/>
                </c:manualLayout>
              </c:layout>
              <c:tx>
                <c:rich>
                  <a:bodyPr/>
                  <a:lstStyle/>
                  <a:p>
                    <a:fld id="{50531912-4E62-4DB4-A148-9425867D2CB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43,84%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45A-45A0-86AF-3BB4D9626F6A}"/>
                </c:ext>
              </c:extLst>
            </c:dLbl>
            <c:dLbl>
              <c:idx val="3"/>
              <c:layout>
                <c:manualLayout>
                  <c:x val="-8.7458766210379332E-2"/>
                  <c:y val="4.3576082102230157E-2"/>
                </c:manualLayout>
              </c:layout>
              <c:tx>
                <c:rich>
                  <a:bodyPr/>
                  <a:lstStyle/>
                  <a:p>
                    <a:fld id="{6008D2CF-C1D2-4B6E-8EF4-FE9320F0669F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5,46%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45A-45A0-86AF-3BB4D9626F6A}"/>
                </c:ext>
              </c:extLst>
            </c:dLbl>
            <c:dLbl>
              <c:idx val="4"/>
              <c:layout>
                <c:manualLayout>
                  <c:x val="2.4055465342892181E-2"/>
                  <c:y val="-4.904140437002252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6EF4B63-80A4-40CC-BFA0-58710B3DECC2}" type="CATEGORYNAME">
                      <a:rPr lang="en-US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
1,51%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467210404496858"/>
                      <c:h val="0.1392690385154653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645A-45A0-86AF-3BB4D9626F6A}"/>
                </c:ext>
              </c:extLst>
            </c:dLbl>
            <c:dLbl>
              <c:idx val="5"/>
              <c:layout>
                <c:manualLayout>
                  <c:x val="4.2977740205603444E-2"/>
                  <c:y val="-2.4691358024691357E-2"/>
                </c:manualLayout>
              </c:layout>
              <c:tx>
                <c:rich>
                  <a:bodyPr/>
                  <a:lstStyle/>
                  <a:p>
                    <a:fld id="{2985810C-DF5B-44CF-8BDC-FD7113B41929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12,53%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645A-45A0-86AF-3BB4D9626F6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'samples market stage per MS'!$AB$2:$AB$7</c:f>
              <c:strCache>
                <c:ptCount val="6"/>
                <c:pt idx="0">
                  <c:v>Ċereali, żrieragħ, ħxejjex, frott u l-prodotti tagħhom</c:v>
                </c:pt>
                <c:pt idx="1">
                  <c:v>Ħut, krustaċji, frott tal-baħar bil-qoxra u l-prodotti tagħhom</c:v>
                </c:pt>
                <c:pt idx="2">
                  <c:v>Ħxejjex aromatiċi u ħwawar</c:v>
                </c:pt>
                <c:pt idx="3">
                  <c:v>Laħam u prodotti tal-laħam</c:v>
                </c:pt>
                <c:pt idx="4">
                  <c:v>Ħalib u prodotti tal-ħalib</c:v>
                </c:pt>
                <c:pt idx="5">
                  <c:v>Oħrajn</c:v>
                </c:pt>
              </c:strCache>
            </c:strRef>
          </c:cat>
          <c:val>
            <c:numRef>
              <c:f>'samples market stage per MS'!$AC$2:$AC$7</c:f>
              <c:numCache>
                <c:formatCode>General</c:formatCode>
                <c:ptCount val="6"/>
                <c:pt idx="0">
                  <c:v>25.98</c:v>
                </c:pt>
                <c:pt idx="1">
                  <c:v>10.68</c:v>
                </c:pt>
                <c:pt idx="2">
                  <c:v>43.84</c:v>
                </c:pt>
                <c:pt idx="3">
                  <c:v>5.46</c:v>
                </c:pt>
                <c:pt idx="4">
                  <c:v>1.51</c:v>
                </c:pt>
                <c:pt idx="5">
                  <c:v>12.53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45A-45A0-86AF-3BB4D9626F6A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EA8A-6775-4BE8-B9D0-0E1D9475F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1010</Words>
  <Characters>7803</Characters>
  <Application>Microsoft Office Word</Application>
  <DocSecurity>0</DocSecurity>
  <Lines>144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30</cp:revision>
  <dcterms:created xsi:type="dcterms:W3CDTF">2023-09-04T10:18:00Z</dcterms:created>
  <dcterms:modified xsi:type="dcterms:W3CDTF">2023-10-26T13:30:00Z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CP-006</vt:lpwstr>
  </property>
  <property fmtid="{D5CDD505-2E9C-101B-9397-08002B2CF9AE}" pid="7" name="Last edited using">
    <vt:lpwstr>LW 9.0, Build 20230317</vt:lpwstr>
  </property>
  <property fmtid="{D5CDD505-2E9C-101B-9397-08002B2CF9AE}" pid="8" name="Created using">
    <vt:lpwstr>LW 7.0.1, Build 20190916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2022-12-01T16:40:36Z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405d6216-831c-4ea4-aa93-98aef02a92e1</vt:lpwstr>
  </property>
  <property fmtid="{D5CDD505-2E9C-101B-9397-08002B2CF9AE}" pid="15" name="MSIP_Label_6bd9ddd1-4d20-43f6-abfa-fc3c07406f94_ContentBits">
    <vt:lpwstr>0</vt:lpwstr>
  </property>
</Properties>
</file>