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99107" w14:textId="611577A9" w:rsidR="00C65BF1" w:rsidRDefault="00897D38" w:rsidP="00897D38">
      <w:pPr>
        <w:pStyle w:val="Pagedecouverture"/>
        <w:rPr>
          <w:noProof/>
        </w:rPr>
      </w:pPr>
      <w:bookmarkStart w:id="0" w:name="LW_BM_COVERPAGE"/>
      <w:r>
        <w:rPr>
          <w:noProof/>
        </w:rPr>
        <w:pict w14:anchorId="191C0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5BBC14BF-CFD1-48CF-A588-B162D33D9EDE" style="width:455.25pt;height:336.75pt">
            <v:imagedata r:id="rId8" o:title=""/>
          </v:shape>
        </w:pict>
      </w:r>
    </w:p>
    <w:bookmarkEnd w:id="0"/>
    <w:p w14:paraId="4A9D81B3" w14:textId="77777777" w:rsidR="00C65BF1" w:rsidRDefault="00C65BF1" w:rsidP="00C65BF1">
      <w:pPr>
        <w:sectPr w:rsidR="00C65BF1" w:rsidSect="00897D38">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178586CC" w14:textId="77777777" w:rsidR="00C65BF1" w:rsidRDefault="00C65BF1" w:rsidP="00C65BF1">
      <w:bookmarkStart w:id="1" w:name="_GoBack"/>
      <w:bookmarkEnd w:id="1"/>
    </w:p>
    <w:sdt>
      <w:sdtPr>
        <w:rPr>
          <w:rFonts w:asciiTheme="minorHAnsi" w:eastAsiaTheme="minorHAnsi" w:hAnsiTheme="minorHAnsi" w:cstheme="minorBidi"/>
          <w:noProof/>
          <w:color w:val="auto"/>
          <w:sz w:val="22"/>
          <w:szCs w:val="22"/>
        </w:rPr>
        <w:id w:val="1319691980"/>
        <w:docPartObj>
          <w:docPartGallery w:val="Table of Contents"/>
          <w:docPartUnique/>
        </w:docPartObj>
      </w:sdtPr>
      <w:sdtEndPr>
        <w:rPr>
          <w:b/>
          <w:bCs/>
        </w:rPr>
      </w:sdtEndPr>
      <w:sdtContent>
        <w:p w14:paraId="7891009F" w14:textId="77777777" w:rsidR="00C65BF1" w:rsidRPr="00E77588" w:rsidRDefault="00C65BF1" w:rsidP="00C65BF1">
          <w:pPr>
            <w:pStyle w:val="TOCHeading"/>
            <w:rPr>
              <w:rStyle w:val="Heading1Char"/>
              <w:rFonts w:ascii="Times New Roman" w:hAnsi="Times New Roman" w:cs="Times New Roman"/>
              <w:sz w:val="24"/>
              <w:szCs w:val="24"/>
            </w:rPr>
          </w:pPr>
          <w:r>
            <w:rPr>
              <w:rStyle w:val="Heading1Char"/>
              <w:rFonts w:ascii="Times New Roman" w:hAnsi="Times New Roman"/>
              <w:sz w:val="24"/>
            </w:rPr>
            <w:t>Indholdsfortegnelse</w:t>
          </w:r>
        </w:p>
        <w:p w14:paraId="6DD1BCA9" w14:textId="77777777" w:rsidR="00C65BF1" w:rsidRPr="00E77588" w:rsidRDefault="00C65BF1" w:rsidP="00C65BF1">
          <w:pPr>
            <w:rPr>
              <w:rFonts w:ascii="Times New Roman" w:hAnsi="Times New Roman" w:cs="Times New Roman"/>
            </w:rPr>
          </w:pPr>
        </w:p>
        <w:p w14:paraId="593E4C6D" w14:textId="01503349" w:rsidR="00D73395" w:rsidRDefault="00C65BF1">
          <w:pPr>
            <w:pStyle w:val="TOC1"/>
            <w:tabs>
              <w:tab w:val="right" w:leader="dot" w:pos="9063"/>
            </w:tabs>
            <w:rPr>
              <w:rFonts w:eastAsiaTheme="minorEastAsia"/>
              <w:lang w:val="en-IE" w:eastAsia="en-IE"/>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46107200" w:history="1">
            <w:r w:rsidR="00D73395" w:rsidRPr="005A0C2B">
              <w:rPr>
                <w:rStyle w:val="Hyperlink"/>
              </w:rPr>
              <w:t>RESUMÉ</w:t>
            </w:r>
            <w:r w:rsidR="00D73395">
              <w:rPr>
                <w:webHidden/>
              </w:rPr>
              <w:tab/>
            </w:r>
            <w:r w:rsidR="00D73395">
              <w:rPr>
                <w:webHidden/>
              </w:rPr>
              <w:fldChar w:fldCharType="begin"/>
            </w:r>
            <w:r w:rsidR="00D73395">
              <w:rPr>
                <w:webHidden/>
              </w:rPr>
              <w:instrText xml:space="preserve"> PAGEREF _Toc146107200 \h </w:instrText>
            </w:r>
            <w:r w:rsidR="00D73395">
              <w:rPr>
                <w:webHidden/>
              </w:rPr>
            </w:r>
            <w:r w:rsidR="00D73395">
              <w:rPr>
                <w:webHidden/>
              </w:rPr>
              <w:fldChar w:fldCharType="separate"/>
            </w:r>
            <w:r w:rsidR="00D73395">
              <w:rPr>
                <w:webHidden/>
              </w:rPr>
              <w:t>2</w:t>
            </w:r>
            <w:r w:rsidR="00D73395">
              <w:rPr>
                <w:webHidden/>
              </w:rPr>
              <w:fldChar w:fldCharType="end"/>
            </w:r>
          </w:hyperlink>
        </w:p>
        <w:p w14:paraId="4606E104" w14:textId="427BADE9" w:rsidR="00D73395" w:rsidRDefault="00897D38">
          <w:pPr>
            <w:pStyle w:val="TOC1"/>
            <w:tabs>
              <w:tab w:val="left" w:pos="440"/>
              <w:tab w:val="right" w:leader="dot" w:pos="9063"/>
            </w:tabs>
            <w:rPr>
              <w:rFonts w:eastAsiaTheme="minorEastAsia"/>
              <w:lang w:val="en-IE" w:eastAsia="en-IE"/>
            </w:rPr>
          </w:pPr>
          <w:hyperlink w:anchor="_Toc146107201" w:history="1">
            <w:r w:rsidR="00D73395" w:rsidRPr="005A0C2B">
              <w:rPr>
                <w:rStyle w:val="Hyperlink"/>
              </w:rPr>
              <w:t>1</w:t>
            </w:r>
            <w:r w:rsidR="00D73395">
              <w:rPr>
                <w:rFonts w:eastAsiaTheme="minorEastAsia"/>
                <w:lang w:val="en-IE" w:eastAsia="en-IE"/>
              </w:rPr>
              <w:tab/>
            </w:r>
            <w:r w:rsidR="00D73395" w:rsidRPr="005A0C2B">
              <w:rPr>
                <w:rStyle w:val="Hyperlink"/>
              </w:rPr>
              <w:t>BAGGRUND</w:t>
            </w:r>
            <w:r w:rsidR="00D73395">
              <w:rPr>
                <w:webHidden/>
              </w:rPr>
              <w:tab/>
            </w:r>
            <w:r w:rsidR="00D73395">
              <w:rPr>
                <w:webHidden/>
              </w:rPr>
              <w:fldChar w:fldCharType="begin"/>
            </w:r>
            <w:r w:rsidR="00D73395">
              <w:rPr>
                <w:webHidden/>
              </w:rPr>
              <w:instrText xml:space="preserve"> PAGEREF _Toc146107201 \h </w:instrText>
            </w:r>
            <w:r w:rsidR="00D73395">
              <w:rPr>
                <w:webHidden/>
              </w:rPr>
            </w:r>
            <w:r w:rsidR="00D73395">
              <w:rPr>
                <w:webHidden/>
              </w:rPr>
              <w:fldChar w:fldCharType="separate"/>
            </w:r>
            <w:r w:rsidR="00D73395">
              <w:rPr>
                <w:webHidden/>
              </w:rPr>
              <w:t>2</w:t>
            </w:r>
            <w:r w:rsidR="00D73395">
              <w:rPr>
                <w:webHidden/>
              </w:rPr>
              <w:fldChar w:fldCharType="end"/>
            </w:r>
          </w:hyperlink>
        </w:p>
        <w:p w14:paraId="10F3341E" w14:textId="67C2291F" w:rsidR="00D73395" w:rsidRDefault="00897D38">
          <w:pPr>
            <w:pStyle w:val="TOC1"/>
            <w:tabs>
              <w:tab w:val="left" w:pos="440"/>
              <w:tab w:val="right" w:leader="dot" w:pos="9063"/>
            </w:tabs>
            <w:rPr>
              <w:rFonts w:eastAsiaTheme="minorEastAsia"/>
              <w:lang w:val="en-IE" w:eastAsia="en-IE"/>
            </w:rPr>
          </w:pPr>
          <w:hyperlink w:anchor="_Toc146107202" w:history="1">
            <w:r w:rsidR="00D73395" w:rsidRPr="005A0C2B">
              <w:rPr>
                <w:rStyle w:val="Hyperlink"/>
              </w:rPr>
              <w:t>2</w:t>
            </w:r>
            <w:r w:rsidR="00D73395">
              <w:rPr>
                <w:rFonts w:eastAsiaTheme="minorEastAsia"/>
                <w:lang w:val="en-IE" w:eastAsia="en-IE"/>
              </w:rPr>
              <w:tab/>
            </w:r>
            <w:r w:rsidR="00D73395" w:rsidRPr="005A0C2B">
              <w:rPr>
                <w:rStyle w:val="Hyperlink"/>
              </w:rPr>
              <w:t>GODKENDTE BESTRÅLINGSANLÆG</w:t>
            </w:r>
            <w:r w:rsidR="00D73395">
              <w:rPr>
                <w:webHidden/>
              </w:rPr>
              <w:tab/>
            </w:r>
            <w:r w:rsidR="00D73395">
              <w:rPr>
                <w:webHidden/>
              </w:rPr>
              <w:fldChar w:fldCharType="begin"/>
            </w:r>
            <w:r w:rsidR="00D73395">
              <w:rPr>
                <w:webHidden/>
              </w:rPr>
              <w:instrText xml:space="preserve"> PAGEREF _Toc146107202 \h </w:instrText>
            </w:r>
            <w:r w:rsidR="00D73395">
              <w:rPr>
                <w:webHidden/>
              </w:rPr>
            </w:r>
            <w:r w:rsidR="00D73395">
              <w:rPr>
                <w:webHidden/>
              </w:rPr>
              <w:fldChar w:fldCharType="separate"/>
            </w:r>
            <w:r w:rsidR="00D73395">
              <w:rPr>
                <w:webHidden/>
              </w:rPr>
              <w:t>3</w:t>
            </w:r>
            <w:r w:rsidR="00D73395">
              <w:rPr>
                <w:webHidden/>
              </w:rPr>
              <w:fldChar w:fldCharType="end"/>
            </w:r>
          </w:hyperlink>
        </w:p>
        <w:p w14:paraId="5D231852" w14:textId="493213B5" w:rsidR="00D73395" w:rsidRDefault="00897D38">
          <w:pPr>
            <w:pStyle w:val="TOC1"/>
            <w:tabs>
              <w:tab w:val="left" w:pos="440"/>
              <w:tab w:val="right" w:leader="dot" w:pos="9063"/>
            </w:tabs>
            <w:rPr>
              <w:rFonts w:eastAsiaTheme="minorEastAsia"/>
              <w:lang w:val="en-IE" w:eastAsia="en-IE"/>
            </w:rPr>
          </w:pPr>
          <w:hyperlink w:anchor="_Toc146107203" w:history="1">
            <w:r w:rsidR="00D73395" w:rsidRPr="005A0C2B">
              <w:rPr>
                <w:rStyle w:val="Hyperlink"/>
              </w:rPr>
              <w:t>3</w:t>
            </w:r>
            <w:r w:rsidR="00D73395">
              <w:rPr>
                <w:rFonts w:eastAsiaTheme="minorEastAsia"/>
                <w:lang w:val="en-IE" w:eastAsia="en-IE"/>
              </w:rPr>
              <w:tab/>
            </w:r>
            <w:r w:rsidR="00D73395" w:rsidRPr="005A0C2B">
              <w:rPr>
                <w:rStyle w:val="Hyperlink"/>
              </w:rPr>
              <w:t>RESULTATERNE AF KONTROL UDFØRT PÅ BESTRÅLINGSANLÆG I 2020-2021</w:t>
            </w:r>
            <w:r w:rsidR="00D73395">
              <w:rPr>
                <w:webHidden/>
              </w:rPr>
              <w:tab/>
            </w:r>
            <w:r w:rsidR="00D73395">
              <w:rPr>
                <w:webHidden/>
              </w:rPr>
              <w:fldChar w:fldCharType="begin"/>
            </w:r>
            <w:r w:rsidR="00D73395">
              <w:rPr>
                <w:webHidden/>
              </w:rPr>
              <w:instrText xml:space="preserve"> PAGEREF _Toc146107203 \h </w:instrText>
            </w:r>
            <w:r w:rsidR="00D73395">
              <w:rPr>
                <w:webHidden/>
              </w:rPr>
            </w:r>
            <w:r w:rsidR="00D73395">
              <w:rPr>
                <w:webHidden/>
              </w:rPr>
              <w:fldChar w:fldCharType="separate"/>
            </w:r>
            <w:r w:rsidR="00D73395">
              <w:rPr>
                <w:webHidden/>
              </w:rPr>
              <w:t>4</w:t>
            </w:r>
            <w:r w:rsidR="00D73395">
              <w:rPr>
                <w:webHidden/>
              </w:rPr>
              <w:fldChar w:fldCharType="end"/>
            </w:r>
          </w:hyperlink>
        </w:p>
        <w:p w14:paraId="2668EF30" w14:textId="42B8BF19" w:rsidR="00D73395" w:rsidRDefault="00897D38">
          <w:pPr>
            <w:pStyle w:val="TOC1"/>
            <w:tabs>
              <w:tab w:val="left" w:pos="440"/>
              <w:tab w:val="right" w:leader="dot" w:pos="9063"/>
            </w:tabs>
            <w:rPr>
              <w:rFonts w:eastAsiaTheme="minorEastAsia"/>
              <w:lang w:val="en-IE" w:eastAsia="en-IE"/>
            </w:rPr>
          </w:pPr>
          <w:hyperlink w:anchor="_Toc146107204" w:history="1">
            <w:r w:rsidR="00D73395" w:rsidRPr="005A0C2B">
              <w:rPr>
                <w:rStyle w:val="Hyperlink"/>
              </w:rPr>
              <w:t>4</w:t>
            </w:r>
            <w:r w:rsidR="00D73395">
              <w:rPr>
                <w:rFonts w:eastAsiaTheme="minorEastAsia"/>
                <w:lang w:val="en-IE" w:eastAsia="en-IE"/>
              </w:rPr>
              <w:tab/>
            </w:r>
            <w:r w:rsidR="00D73395" w:rsidRPr="005A0C2B">
              <w:rPr>
                <w:rStyle w:val="Hyperlink"/>
              </w:rPr>
              <w:t>RESULTATER AF KONTROL I MARKEDSFØRINGSLEDDET</w:t>
            </w:r>
            <w:r w:rsidR="00D73395">
              <w:rPr>
                <w:webHidden/>
              </w:rPr>
              <w:tab/>
            </w:r>
            <w:r w:rsidR="00D73395">
              <w:rPr>
                <w:webHidden/>
              </w:rPr>
              <w:fldChar w:fldCharType="begin"/>
            </w:r>
            <w:r w:rsidR="00D73395">
              <w:rPr>
                <w:webHidden/>
              </w:rPr>
              <w:instrText xml:space="preserve"> PAGEREF _Toc146107204 \h </w:instrText>
            </w:r>
            <w:r w:rsidR="00D73395">
              <w:rPr>
                <w:webHidden/>
              </w:rPr>
            </w:r>
            <w:r w:rsidR="00D73395">
              <w:rPr>
                <w:webHidden/>
              </w:rPr>
              <w:fldChar w:fldCharType="separate"/>
            </w:r>
            <w:r w:rsidR="00D73395">
              <w:rPr>
                <w:webHidden/>
              </w:rPr>
              <w:t>5</w:t>
            </w:r>
            <w:r w:rsidR="00D73395">
              <w:rPr>
                <w:webHidden/>
              </w:rPr>
              <w:fldChar w:fldCharType="end"/>
            </w:r>
          </w:hyperlink>
        </w:p>
        <w:p w14:paraId="31D4A67B" w14:textId="22ACBF68" w:rsidR="00C65BF1" w:rsidRDefault="00C65BF1" w:rsidP="00C65BF1">
          <w:r>
            <w:rPr>
              <w:rFonts w:ascii="Times New Roman" w:hAnsi="Times New Roman" w:cs="Times New Roman"/>
              <w:b/>
            </w:rPr>
            <w:fldChar w:fldCharType="end"/>
          </w:r>
        </w:p>
      </w:sdtContent>
    </w:sdt>
    <w:p w14:paraId="460399F8" w14:textId="77777777" w:rsidR="00C65BF1" w:rsidRDefault="00C65BF1" w:rsidP="00C65BF1"/>
    <w:p w14:paraId="13369E68" w14:textId="77777777" w:rsidR="00C65BF1" w:rsidRDefault="00C65BF1" w:rsidP="00C65BF1">
      <w:r>
        <w:br w:type="page"/>
      </w:r>
    </w:p>
    <w:p w14:paraId="3167B10E" w14:textId="77777777" w:rsidR="00C65BF1" w:rsidRDefault="00C65BF1" w:rsidP="00C65BF1">
      <w:pPr>
        <w:pStyle w:val="Heading1"/>
        <w:numPr>
          <w:ilvl w:val="0"/>
          <w:numId w:val="0"/>
        </w:numPr>
        <w:ind w:left="432" w:hanging="432"/>
      </w:pPr>
      <w:bookmarkStart w:id="2" w:name="_Toc146107200"/>
      <w:r>
        <w:t>RESUMÉ</w:t>
      </w:r>
      <w:bookmarkEnd w:id="2"/>
    </w:p>
    <w:p w14:paraId="7200458B" w14:textId="77777777" w:rsidR="00C65BF1" w:rsidRPr="0050668B" w:rsidRDefault="00C65BF1" w:rsidP="00C65BF1">
      <w:pPr>
        <w:pStyle w:val="Text1"/>
        <w:spacing w:after="0"/>
        <w:rPr>
          <w:noProof/>
        </w:rPr>
      </w:pPr>
      <w:r>
        <w:rPr>
          <w:noProof/>
        </w:rPr>
        <w:t>I henhold til artikel 7, stk. 3, i Europa-Parlamentets og Rådets direktiv 1999/2/EF af 22. februar 1999</w:t>
      </w:r>
      <w:r>
        <w:rPr>
          <w:rStyle w:val="FootnoteReference"/>
          <w:rFonts w:eastAsiaTheme="majorEastAsia"/>
          <w:noProof/>
        </w:rPr>
        <w:footnoteReference w:id="1"/>
      </w:r>
      <w:r>
        <w:rPr>
          <w:noProof/>
        </w:rPr>
        <w:t xml:space="preserve"> om indbyrdes tilnærmelse af medlemsstaternes lovgivning om levnedsmidler og levnedsmiddelingredienser, som er behandlet med ioniserende stråling, skal medlemsstaterne hvert år fremsende Kommissionen: </w:t>
      </w:r>
    </w:p>
    <w:p w14:paraId="0F78CF13" w14:textId="77777777" w:rsidR="00C65BF1" w:rsidRDefault="00C65BF1" w:rsidP="00C65BF1">
      <w:pPr>
        <w:pStyle w:val="Text1"/>
        <w:spacing w:after="0"/>
        <w:rPr>
          <w:noProof/>
        </w:rPr>
      </w:pPr>
      <w:r>
        <w:rPr>
          <w:noProof/>
        </w:rPr>
        <w:t>–</w:t>
      </w:r>
      <w:r>
        <w:rPr>
          <w:noProof/>
        </w:rPr>
        <w:tab/>
        <w:t xml:space="preserve">resultaterne af den kontrol, der er foretaget på anlæg, der foretager ioniserende bestråling, herunder de kategorier og mængder af fødevarer, der er behandlet med ioniserende stråling, samt de anvendte doser, og </w:t>
      </w:r>
    </w:p>
    <w:p w14:paraId="28ACBCD5" w14:textId="77777777" w:rsidR="00C65BF1" w:rsidRDefault="00C65BF1" w:rsidP="00C65BF1">
      <w:pPr>
        <w:pStyle w:val="Text1"/>
        <w:spacing w:after="0"/>
        <w:rPr>
          <w:noProof/>
        </w:rPr>
      </w:pPr>
      <w:r>
        <w:rPr>
          <w:noProof/>
        </w:rPr>
        <w:t>–</w:t>
      </w:r>
      <w:r>
        <w:rPr>
          <w:noProof/>
        </w:rPr>
        <w:tab/>
        <w:t xml:space="preserve">resultaterne af den kontrol, der er foretaget i markedsføringsleddet. </w:t>
      </w:r>
    </w:p>
    <w:p w14:paraId="6FE11999" w14:textId="6A283F99" w:rsidR="00C65BF1" w:rsidRDefault="00C65BF1" w:rsidP="00C65BF1">
      <w:pPr>
        <w:pStyle w:val="Text1"/>
        <w:spacing w:after="0"/>
        <w:rPr>
          <w:noProof/>
        </w:rPr>
      </w:pPr>
      <w:r>
        <w:rPr>
          <w:noProof/>
        </w:rPr>
        <w:t xml:space="preserve">I henhold til direktivets artikel 7, stk. 4, skal Kommissionen i </w:t>
      </w:r>
      <w:r>
        <w:rPr>
          <w:i/>
          <w:iCs/>
          <w:noProof/>
        </w:rPr>
        <w:t>Den Europæiske Unions Tidende</w:t>
      </w:r>
      <w:r>
        <w:rPr>
          <w:noProof/>
        </w:rPr>
        <w:t xml:space="preserve"> offentliggøre en rapport på grundlag af de oplysninger, de nationale kontrolmyndigheder indgiver hvert år. </w:t>
      </w:r>
    </w:p>
    <w:p w14:paraId="299FF958" w14:textId="50541478" w:rsidR="00C65BF1" w:rsidRDefault="00C65BF1" w:rsidP="00C65BF1">
      <w:pPr>
        <w:pStyle w:val="Text1"/>
        <w:spacing w:after="0"/>
        <w:rPr>
          <w:noProof/>
        </w:rPr>
      </w:pPr>
      <w:r>
        <w:rPr>
          <w:noProof/>
        </w:rPr>
        <w:t>Denne rapport dækker perioden fra 1. januar 2020 til 31. december 2021. Den indeholder en sammenfatning af de oplysninger, som EU-medlemsstaterne og Nordirland har indsendt til Kommissionen. EFTA-landene indsendte ingen data i 2020 og 2021.</w:t>
      </w:r>
    </w:p>
    <w:p w14:paraId="792D7B0F" w14:textId="744F0FEC" w:rsidR="00C65BF1" w:rsidRDefault="00C65BF1" w:rsidP="00C65BF1">
      <w:pPr>
        <w:pStyle w:val="Text1"/>
        <w:spacing w:after="0"/>
        <w:rPr>
          <w:noProof/>
        </w:rPr>
      </w:pPr>
      <w:r>
        <w:rPr>
          <w:noProof/>
        </w:rPr>
        <w:t xml:space="preserve">Periode: </w:t>
      </w:r>
      <w:r>
        <w:rPr>
          <w:noProof/>
        </w:rPr>
        <w:tab/>
      </w:r>
      <w:r>
        <w:rPr>
          <w:noProof/>
        </w:rPr>
        <w:tab/>
      </w:r>
      <w:r>
        <w:rPr>
          <w:noProof/>
        </w:rPr>
        <w:tab/>
      </w:r>
      <w:r>
        <w:rPr>
          <w:noProof/>
        </w:rPr>
        <w:tab/>
      </w:r>
      <w:r>
        <w:rPr>
          <w:noProof/>
        </w:rPr>
        <w:tab/>
        <w:t>1.1.2020 – 31.12.2021</w:t>
      </w:r>
    </w:p>
    <w:p w14:paraId="60D6E356" w14:textId="1B4EB6A2" w:rsidR="00C65BF1" w:rsidRPr="00EA550D" w:rsidRDefault="00C65BF1" w:rsidP="00C65BF1">
      <w:pPr>
        <w:pStyle w:val="Text1"/>
        <w:spacing w:after="0"/>
        <w:rPr>
          <w:noProof/>
        </w:rPr>
      </w:pPr>
      <w:r>
        <w:rPr>
          <w:noProof/>
        </w:rPr>
        <w:t>Berørte lande:</w:t>
      </w:r>
      <w:r>
        <w:rPr>
          <w:noProof/>
        </w:rPr>
        <w:tab/>
      </w:r>
      <w:r>
        <w:rPr>
          <w:noProof/>
        </w:rPr>
        <w:tab/>
      </w:r>
      <w:r>
        <w:rPr>
          <w:noProof/>
        </w:rPr>
        <w:tab/>
        <w:t>27 EU-medlemsstater og Nordirland</w:t>
      </w:r>
    </w:p>
    <w:p w14:paraId="52D7C381" w14:textId="77777777" w:rsidR="00C65BF1" w:rsidRPr="00F711ED" w:rsidRDefault="00C65BF1" w:rsidP="00C65BF1">
      <w:pPr>
        <w:pStyle w:val="Text1"/>
        <w:spacing w:after="0"/>
        <w:rPr>
          <w:b/>
          <w:noProof/>
        </w:rPr>
      </w:pPr>
      <w:r>
        <w:rPr>
          <w:b/>
          <w:noProof/>
        </w:rPr>
        <w:t>Bestrålingsanlæg:</w:t>
      </w:r>
    </w:p>
    <w:p w14:paraId="3A740E3F" w14:textId="1DEEA360" w:rsidR="00C65BF1" w:rsidRDefault="00C65BF1" w:rsidP="00C65BF1">
      <w:pPr>
        <w:pStyle w:val="Text1"/>
        <w:spacing w:after="0"/>
        <w:rPr>
          <w:noProof/>
        </w:rPr>
      </w:pPr>
      <w:r>
        <w:rPr>
          <w:noProof/>
        </w:rPr>
        <w:t>–</w:t>
      </w:r>
      <w:r>
        <w:rPr>
          <w:noProof/>
        </w:rPr>
        <w:tab/>
        <w:t>Antal lande med anlæg:</w:t>
      </w:r>
      <w:r>
        <w:rPr>
          <w:noProof/>
        </w:rPr>
        <w:tab/>
        <w:t xml:space="preserve">13 medlemsstater og Norge </w:t>
      </w:r>
    </w:p>
    <w:p w14:paraId="11534D53" w14:textId="3E125642" w:rsidR="00C65BF1" w:rsidRPr="000D18BE" w:rsidRDefault="00C65BF1" w:rsidP="00C65BF1">
      <w:pPr>
        <w:pStyle w:val="Text1"/>
        <w:spacing w:after="0"/>
        <w:rPr>
          <w:noProof/>
        </w:rPr>
      </w:pPr>
      <w:r>
        <w:rPr>
          <w:noProof/>
        </w:rPr>
        <w:t>–</w:t>
      </w:r>
      <w:r>
        <w:rPr>
          <w:noProof/>
        </w:rPr>
        <w:tab/>
        <w:t>Antal godkendte anlæg:</w:t>
      </w:r>
      <w:r>
        <w:rPr>
          <w:noProof/>
        </w:rPr>
        <w:tab/>
        <w:t xml:space="preserve">22 </w:t>
      </w:r>
    </w:p>
    <w:p w14:paraId="43CA12BD" w14:textId="77777777" w:rsidR="00C65BF1" w:rsidRPr="000D18BE" w:rsidRDefault="00C65BF1" w:rsidP="00C65BF1">
      <w:pPr>
        <w:pStyle w:val="Text1"/>
        <w:spacing w:after="0"/>
        <w:rPr>
          <w:noProof/>
        </w:rPr>
      </w:pPr>
      <w:r>
        <w:rPr>
          <w:noProof/>
        </w:rPr>
        <w:t>–</w:t>
      </w:r>
      <w:r>
        <w:rPr>
          <w:noProof/>
        </w:rPr>
        <w:tab/>
        <w:t>Antal nedlagte anlæg:</w:t>
      </w:r>
      <w:r>
        <w:rPr>
          <w:noProof/>
        </w:rPr>
        <w:tab/>
      </w:r>
      <w:r>
        <w:rPr>
          <w:noProof/>
        </w:rPr>
        <w:tab/>
        <w:t>0</w:t>
      </w:r>
    </w:p>
    <w:p w14:paraId="3A3DAF3B" w14:textId="77777777" w:rsidR="00C65BF1" w:rsidRDefault="00C65BF1" w:rsidP="00C65BF1">
      <w:pPr>
        <w:pStyle w:val="Text1"/>
        <w:spacing w:after="0"/>
        <w:rPr>
          <w:noProof/>
        </w:rPr>
      </w:pPr>
      <w:r>
        <w:rPr>
          <w:noProof/>
        </w:rPr>
        <w:t>–</w:t>
      </w:r>
      <w:r>
        <w:rPr>
          <w:noProof/>
        </w:rPr>
        <w:tab/>
        <w:t>Antal lande, der anvender bestråling:</w:t>
      </w:r>
      <w:r>
        <w:rPr>
          <w:noProof/>
        </w:rPr>
        <w:tab/>
        <w:t>10 medlemsstater</w:t>
      </w:r>
    </w:p>
    <w:p w14:paraId="6B784AB7" w14:textId="77777777" w:rsidR="00C65BF1" w:rsidRPr="00F711ED" w:rsidRDefault="00C65BF1" w:rsidP="00C65BF1">
      <w:pPr>
        <w:pStyle w:val="Text1"/>
        <w:spacing w:after="0"/>
        <w:rPr>
          <w:b/>
          <w:noProof/>
        </w:rPr>
      </w:pPr>
      <w:r>
        <w:rPr>
          <w:b/>
          <w:noProof/>
        </w:rPr>
        <w:t>Behandlingsdata:</w:t>
      </w:r>
    </w:p>
    <w:p w14:paraId="00D737FC" w14:textId="0FC7779D" w:rsidR="00C65BF1" w:rsidRDefault="00C65BF1" w:rsidP="00C65BF1">
      <w:pPr>
        <w:pStyle w:val="Text1"/>
        <w:spacing w:after="0"/>
        <w:rPr>
          <w:noProof/>
        </w:rPr>
      </w:pPr>
      <w:r>
        <w:rPr>
          <w:noProof/>
        </w:rPr>
        <w:t>–</w:t>
      </w:r>
      <w:r>
        <w:rPr>
          <w:noProof/>
        </w:rPr>
        <w:tab/>
        <w:t>Mængde af behandlede produkter:</w:t>
      </w:r>
      <w:r>
        <w:rPr>
          <w:noProof/>
        </w:rPr>
        <w:tab/>
      </w:r>
      <w:r>
        <w:rPr>
          <w:noProof/>
        </w:rPr>
        <w:tab/>
        <w:t>5 029,1 ton (-35,8 % sammenlignet med 2018-2019)</w:t>
      </w:r>
    </w:p>
    <w:p w14:paraId="5B8B686E" w14:textId="47DE59F2" w:rsidR="00C65BF1" w:rsidRDefault="00C65BF1" w:rsidP="00C65BF1">
      <w:pPr>
        <w:pStyle w:val="Text1"/>
        <w:spacing w:after="0"/>
        <w:rPr>
          <w:noProof/>
        </w:rPr>
      </w:pPr>
      <w:r>
        <w:rPr>
          <w:noProof/>
        </w:rPr>
        <w:t>–</w:t>
      </w:r>
      <w:r>
        <w:rPr>
          <w:noProof/>
        </w:rPr>
        <w:tab/>
        <w:t>Primært behandlede varer:</w:t>
      </w:r>
      <w:r>
        <w:rPr>
          <w:noProof/>
        </w:rPr>
        <w:tab/>
      </w:r>
      <w:r>
        <w:rPr>
          <w:noProof/>
        </w:rPr>
        <w:tab/>
        <w:t>"Frølår" (76.4 %), "Fjerkræ" (11,9 %) og "Tørrede, aromatiske urter, krydderier og krydderurter" (11.6 %)</w:t>
      </w:r>
    </w:p>
    <w:p w14:paraId="0E323269" w14:textId="42128AFD" w:rsidR="00C65BF1" w:rsidRDefault="00C65BF1" w:rsidP="00C65BF1">
      <w:pPr>
        <w:pStyle w:val="Text1"/>
        <w:spacing w:after="0"/>
        <w:rPr>
          <w:noProof/>
        </w:rPr>
      </w:pPr>
      <w:r>
        <w:rPr>
          <w:noProof/>
        </w:rPr>
        <w:t>–</w:t>
      </w:r>
      <w:r>
        <w:rPr>
          <w:noProof/>
        </w:rPr>
        <w:tab/>
        <w:t xml:space="preserve">Primært sted for bestråling:  </w:t>
      </w:r>
      <w:r>
        <w:rPr>
          <w:noProof/>
        </w:rPr>
        <w:tab/>
      </w:r>
      <w:r>
        <w:rPr>
          <w:noProof/>
        </w:rPr>
        <w:tab/>
        <w:t>Belgien (83 %)</w:t>
      </w:r>
    </w:p>
    <w:p w14:paraId="36C49B0B" w14:textId="77777777" w:rsidR="00C65BF1" w:rsidRPr="00F711ED" w:rsidRDefault="00C65BF1" w:rsidP="00C65BF1">
      <w:pPr>
        <w:pStyle w:val="Text1"/>
        <w:spacing w:after="0"/>
        <w:rPr>
          <w:b/>
          <w:noProof/>
        </w:rPr>
      </w:pPr>
      <w:r>
        <w:rPr>
          <w:b/>
          <w:noProof/>
        </w:rPr>
        <w:t>Kontrol foretaget i markedsføringsleddet:</w:t>
      </w:r>
    </w:p>
    <w:p w14:paraId="2F7CD7FA" w14:textId="5EB24EB2" w:rsidR="00C65BF1" w:rsidRDefault="00C65BF1" w:rsidP="00C65BF1">
      <w:pPr>
        <w:pStyle w:val="Text1"/>
        <w:spacing w:after="0"/>
        <w:rPr>
          <w:noProof/>
        </w:rPr>
      </w:pPr>
      <w:r>
        <w:rPr>
          <w:noProof/>
        </w:rPr>
        <w:t>–</w:t>
      </w:r>
      <w:r>
        <w:rPr>
          <w:noProof/>
        </w:rPr>
        <w:tab/>
        <w:t>Antal analyserede prøver:</w:t>
      </w:r>
      <w:r>
        <w:rPr>
          <w:noProof/>
        </w:rPr>
        <w:tab/>
      </w:r>
      <w:r>
        <w:rPr>
          <w:noProof/>
        </w:rPr>
        <w:tab/>
        <w:t>7 667</w:t>
      </w:r>
    </w:p>
    <w:p w14:paraId="637669A2" w14:textId="54C12C18" w:rsidR="00C65BF1" w:rsidRDefault="00C65BF1" w:rsidP="00C65BF1">
      <w:pPr>
        <w:pStyle w:val="Text1"/>
        <w:spacing w:after="0"/>
        <w:rPr>
          <w:noProof/>
        </w:rPr>
      </w:pPr>
      <w:r>
        <w:rPr>
          <w:noProof/>
        </w:rPr>
        <w:t>–</w:t>
      </w:r>
      <w:r>
        <w:rPr>
          <w:noProof/>
        </w:rPr>
        <w:tab/>
        <w:t>Antal prøver, der ikke overholdt kravene:</w:t>
      </w:r>
      <w:r>
        <w:rPr>
          <w:noProof/>
        </w:rPr>
        <w:tab/>
        <w:t>66 (0,9 %)</w:t>
      </w:r>
    </w:p>
    <w:p w14:paraId="50BF678F" w14:textId="06C8F476" w:rsidR="00C65BF1" w:rsidRPr="00B83E36" w:rsidRDefault="00C65BF1" w:rsidP="00C65BF1">
      <w:pPr>
        <w:pStyle w:val="Text1"/>
        <w:spacing w:after="0"/>
        <w:rPr>
          <w:noProof/>
        </w:rPr>
      </w:pPr>
      <w:r>
        <w:rPr>
          <w:noProof/>
        </w:rPr>
        <w:t>–</w:t>
      </w:r>
      <w:r>
        <w:rPr>
          <w:noProof/>
        </w:rPr>
        <w:tab/>
        <w:t>Primært analyserede varer:</w:t>
      </w:r>
      <w:r>
        <w:rPr>
          <w:noProof/>
        </w:rPr>
        <w:tab/>
      </w:r>
      <w:r>
        <w:rPr>
          <w:noProof/>
        </w:rPr>
        <w:tab/>
        <w:t xml:space="preserve">"Urter og krydderier" (43,84 %) og "Korn, frø, grøntsager, frugt og produkter heraf" (25,98 %) </w:t>
      </w:r>
    </w:p>
    <w:p w14:paraId="59F4AE84" w14:textId="77777777" w:rsidR="00C65BF1" w:rsidRDefault="00C65BF1" w:rsidP="00C65BF1">
      <w:pPr>
        <w:pStyle w:val="Heading1"/>
        <w:tabs>
          <w:tab w:val="num" w:pos="623"/>
          <w:tab w:val="left" w:pos="2107"/>
        </w:tabs>
        <w:ind w:left="480" w:hanging="480"/>
      </w:pPr>
      <w:bookmarkStart w:id="3" w:name="_Toc146107201"/>
      <w:r>
        <w:t>BAGGRUND</w:t>
      </w:r>
      <w:bookmarkEnd w:id="3"/>
    </w:p>
    <w:p w14:paraId="1AD7E86E" w14:textId="1B4BC593" w:rsidR="00C65BF1" w:rsidRPr="0050668B" w:rsidRDefault="00C65BF1" w:rsidP="00C65BF1">
      <w:pPr>
        <w:pStyle w:val="Text1"/>
        <w:spacing w:after="0"/>
        <w:rPr>
          <w:noProof/>
        </w:rPr>
      </w:pPr>
      <w:r>
        <w:rPr>
          <w:noProof/>
        </w:rPr>
        <w:t>Bestråling af fødevarer er behandling af fødevarer ved en bestemt form for strålingsenergi, der er kendt som ioniserende stråling. Strålingsenergi har forskellige bølgelængder og grader af effekt og forsvinder, når energikilden fjernes. Bestråling anvendes til sundhedsmæssige og plantesundhedsmæssige formål for at dræbe patogene bakterier (såsom Salmonella, Campylobacter og E. coli), der kan forårsage fødevareforgiftning, og til at eliminere skadegørere på planter eller planteprodukter som f.eks. insekter og andre skadedyr. Den anvendes også til at forsinke modning af frugter, til at forhindre grøntsager (såsom løg og kartofler) i at spire og i sidste ende til at forlænge fødevarers holdbarhed. Bestråling af fødevarer kan ikke erstatte korrekt håndtering af fødevarer. Bestrålede fødevarer kræver stadig passende køling og skal koges/steges forud for indtagelse, når det er nødvendigt.</w:t>
      </w:r>
    </w:p>
    <w:p w14:paraId="67FC7BB5" w14:textId="77777777" w:rsidR="00C65BF1" w:rsidRDefault="00C65BF1" w:rsidP="00C65BF1">
      <w:pPr>
        <w:pStyle w:val="Text1"/>
        <w:spacing w:after="0"/>
        <w:rPr>
          <w:noProof/>
        </w:rPr>
      </w:pPr>
      <w:r>
        <w:rPr>
          <w:noProof/>
        </w:rPr>
        <w:t>EU's lovgivningsmæssige ramme for bestråling af fødevarer ("direktiver om bestråling af fødevarer") består af:</w:t>
      </w:r>
    </w:p>
    <w:p w14:paraId="5C22ADFD" w14:textId="73B847B2" w:rsidR="00C65BF1" w:rsidRDefault="00C65BF1" w:rsidP="00C65BF1">
      <w:pPr>
        <w:pStyle w:val="Text1"/>
        <w:spacing w:after="0"/>
        <w:rPr>
          <w:noProof/>
        </w:rPr>
      </w:pPr>
      <w:r>
        <w:rPr>
          <w:noProof/>
        </w:rPr>
        <w:t>–</w:t>
      </w:r>
      <w:r>
        <w:rPr>
          <w:noProof/>
        </w:rPr>
        <w:tab/>
        <w:t xml:space="preserve">Europa-Parlamentets og Rådets direktiv 1999/2/EF (rammedirektiv) af 22. februar 1999 om indbyrdes tilnærmelse af medlemsstaternes lovgivning om fødevarer og fødevareingredienser, som er behandlet med ioniserende stråling. I direktivet fastsættes der bestemmelser for fremstilling, markedsføring og import af fødevarer og fødevareingredienser, som er behandlet med ioniserende stråling. </w:t>
      </w:r>
    </w:p>
    <w:p w14:paraId="39799794" w14:textId="251CD13C" w:rsidR="00C65BF1" w:rsidRDefault="00C65BF1" w:rsidP="00C65BF1">
      <w:pPr>
        <w:pStyle w:val="Text1"/>
        <w:spacing w:after="0"/>
        <w:rPr>
          <w:noProof/>
        </w:rPr>
      </w:pPr>
      <w:r>
        <w:rPr>
          <w:noProof/>
        </w:rPr>
        <w:t>–</w:t>
      </w:r>
      <w:r>
        <w:rPr>
          <w:noProof/>
        </w:rPr>
        <w:tab/>
        <w:t>Europa-Parlamentets og Rådets direktiv 1999/3/EF (gennemførelsesdirektiv) af 22. februar 1999 om opstilling af en fællesskabsliste over fødevarer og fødevareingredienser, som er behandlet med ioniserende stråling</w:t>
      </w:r>
      <w:r>
        <w:rPr>
          <w:rStyle w:val="FootnoteReference"/>
          <w:noProof/>
        </w:rPr>
        <w:footnoteReference w:id="2"/>
      </w:r>
      <w:r>
        <w:rPr>
          <w:noProof/>
        </w:rPr>
        <w:t xml:space="preserve">. Listen omfatter i øjeblikket kun én fødevarekategori: tørrede aromatiske urter, krydderier og krydderurter. Kommissionen offentliggør i Den Europæiske Unions Tidende listen over nationale godkendelser af andre fødevarer og fødevareingredienser, som det er tilladt at behandle med ioniserende stråling. </w:t>
      </w:r>
    </w:p>
    <w:p w14:paraId="08B8EC59" w14:textId="78397239" w:rsidR="00C65BF1" w:rsidRDefault="00C65BF1" w:rsidP="00C65BF1">
      <w:pPr>
        <w:pStyle w:val="Text1"/>
        <w:spacing w:after="0"/>
        <w:rPr>
          <w:noProof/>
        </w:rPr>
      </w:pPr>
      <w:r>
        <w:rPr>
          <w:noProof/>
        </w:rPr>
        <w:t xml:space="preserve">Fødevarer og fødevareingredienser må kun behandles med ioniserende stråling på godkendte bestrålingsanlæg. For anlæg, der er beliggende på EU's område, gives godkendelsen af medlemsstaternes kompetente myndigheder. Medlemsstaterne skal i henhold til artikel 7, stk. 3, i direktiv 1999/2/EF meddele Kommissionen listen over deres godkendte bestrålingsanlæg. </w:t>
      </w:r>
    </w:p>
    <w:p w14:paraId="46B1AD5C" w14:textId="77777777" w:rsidR="00C65BF1" w:rsidRDefault="00C65BF1" w:rsidP="00C65BF1">
      <w:pPr>
        <w:pStyle w:val="Text1"/>
        <w:spacing w:after="0"/>
        <w:rPr>
          <w:noProof/>
        </w:rPr>
      </w:pPr>
      <w:r>
        <w:rPr>
          <w:noProof/>
        </w:rPr>
        <w:t>I henhold til artikel 6 i direktiv 1999/2/EF skal bestrålede fødevarer eller bestrålede fødevareingredienser, der indgår i en sammensat fødevare, mærkes med betegnelsen "bestrålet" eller "strålekonserveret" eller "behandlet med ioniserende stråling" eller "konserveret med ioniserende stråling".</w:t>
      </w:r>
    </w:p>
    <w:p w14:paraId="29547AFD" w14:textId="5D62832E" w:rsidR="00C65BF1" w:rsidRDefault="00C65BF1" w:rsidP="00C65BF1">
      <w:pPr>
        <w:pStyle w:val="Text1"/>
        <w:spacing w:after="0"/>
        <w:rPr>
          <w:noProof/>
        </w:rPr>
      </w:pPr>
      <w:r>
        <w:rPr>
          <w:noProof/>
        </w:rPr>
        <w:t>For at kontrollere, at dette mærkningskrav gennemføres korrekt og påvise fødevarer, der kan være blevet ulovligt behandlet med ioniserende stråling, har Den Europæiske Standardiseringsorganisation (CEN) standardiseret en række analysemetoder.</w:t>
      </w:r>
    </w:p>
    <w:p w14:paraId="28FF0A36" w14:textId="77777777" w:rsidR="00C65BF1" w:rsidRDefault="00C65BF1" w:rsidP="00C65BF1">
      <w:pPr>
        <w:pStyle w:val="Heading1"/>
        <w:tabs>
          <w:tab w:val="num" w:pos="623"/>
        </w:tabs>
        <w:ind w:left="480" w:hanging="480"/>
      </w:pPr>
      <w:bookmarkStart w:id="4" w:name="_Toc146107202"/>
      <w:r>
        <w:t>GODKENDTE BESTRÅLINGSANLÆG</w:t>
      </w:r>
      <w:bookmarkEnd w:id="4"/>
    </w:p>
    <w:p w14:paraId="5B378C56" w14:textId="7EE0224D" w:rsidR="00C65BF1" w:rsidRPr="00ED2EC4" w:rsidRDefault="00C65BF1" w:rsidP="00C65BF1">
      <w:pPr>
        <w:pStyle w:val="Text1"/>
        <w:spacing w:after="0"/>
        <w:rPr>
          <w:noProof/>
        </w:rPr>
      </w:pPr>
      <w:r>
        <w:rPr>
          <w:noProof/>
        </w:rPr>
        <w:t>Ved udgangen af rapporteringsperioden (1. januar 2020 – 31. december 2021) var der 22 godkendte bestrålingsanlæg i EU, som var beliggende i 13 medlemsstater: Frankrig (5), Tyskland (4), Bulgarien (1, Nederlandene (2), Spanien (2), Belgien (1), Tjekkiet (1), Kroatien (1), Estland (1), Italien (1), Ungarn (1), Polen (1) og Rumænien (1).</w:t>
      </w:r>
    </w:p>
    <w:p w14:paraId="7D0FAD75" w14:textId="30EC13C8" w:rsidR="00C65BF1" w:rsidRDefault="00C65BF1" w:rsidP="00C65BF1">
      <w:pPr>
        <w:pStyle w:val="Text1"/>
        <w:spacing w:after="0"/>
        <w:rPr>
          <w:noProof/>
        </w:rPr>
      </w:pPr>
      <w:r>
        <w:rPr>
          <w:noProof/>
        </w:rPr>
        <w:t>Af de 13 medlemsstater, der råder over bestrålingsanlæg, blev der i tre medlemsstater ikke foretaget bestråling af nogen fødevarer i perioden 2020-2021. Bulgarien, Italien og Rumænien.</w:t>
      </w:r>
    </w:p>
    <w:p w14:paraId="5D7E691F" w14:textId="7868782E" w:rsidR="00C65BF1" w:rsidRPr="00147C3D" w:rsidRDefault="00C65BF1" w:rsidP="00C65BF1">
      <w:pPr>
        <w:pStyle w:val="Heading1"/>
        <w:tabs>
          <w:tab w:val="num" w:pos="623"/>
        </w:tabs>
        <w:ind w:left="480" w:hanging="480"/>
      </w:pPr>
      <w:bookmarkStart w:id="5" w:name="_Toc146107203"/>
      <w:r>
        <w:t>RESULTATERNE AF KONTROL UDFØRT PÅ BESTRÅLINGSANLÆG I 2020-2021</w:t>
      </w:r>
      <w:bookmarkEnd w:id="5"/>
    </w:p>
    <w:p w14:paraId="5593C1C5" w14:textId="405E9D55" w:rsidR="00C65BF1" w:rsidRDefault="00C65BF1" w:rsidP="00C65BF1">
      <w:pPr>
        <w:pStyle w:val="Text1"/>
        <w:spacing w:after="0"/>
        <w:rPr>
          <w:noProof/>
        </w:rPr>
      </w:pPr>
      <w:r>
        <w:rPr>
          <w:noProof/>
        </w:rPr>
        <w:t xml:space="preserve">I alt blev 5 029,1 ton fødevarer behandlet med ioniserende stråling i EU-medlemsstaterne i årene 2020 og 2021. Behandlingen blev primært foretaget i Belgien, som behandlede 83 % af de bestrålede fødevarer i EU. </w:t>
      </w:r>
    </w:p>
    <w:p w14:paraId="33FC9276" w14:textId="77777777" w:rsidR="00D2094D" w:rsidRDefault="00C65BF1" w:rsidP="00C65BF1">
      <w:pPr>
        <w:pStyle w:val="Text1"/>
        <w:spacing w:after="0"/>
        <w:rPr>
          <w:noProof/>
        </w:rPr>
      </w:pPr>
      <w:r>
        <w:rPr>
          <w:noProof/>
        </w:rPr>
        <w:t>De tre vigtigste varer, der blev bestrålet i EU, var frølår (76,42 %), fjerkræ (11,92 %) og tørrede aromatiske urter, krydderier og krydderurter (11,6 %).</w:t>
      </w:r>
    </w:p>
    <w:p w14:paraId="207D97E8" w14:textId="1DD5F3F4" w:rsidR="00C65BF1" w:rsidRDefault="00C65BF1" w:rsidP="00C65BF1">
      <w:pPr>
        <w:pStyle w:val="Text1"/>
        <w:spacing w:after="0"/>
        <w:rPr>
          <w:noProof/>
        </w:rPr>
      </w:pPr>
      <w:r>
        <w:rPr>
          <w:noProof/>
        </w:rPr>
        <w:t xml:space="preserve">Figur 1 viser fordelingen af produkter, der blev bestrålet på godkendte anlæg i EU-medlemsstaterne i 2020 og 2021. </w:t>
      </w:r>
    </w:p>
    <w:p w14:paraId="0D3963FE" w14:textId="4BB4A8A1" w:rsidR="00C65BF1" w:rsidRDefault="00C65BF1" w:rsidP="00C65BF1">
      <w:pPr>
        <w:pStyle w:val="Caption"/>
      </w:pPr>
      <w:r>
        <w:t>Figur 1 — Fordeling pr. kategori af bestrålede fødevarer i EU i 2020-2021</w:t>
      </w:r>
    </w:p>
    <w:p w14:paraId="6DBDD067" w14:textId="6074F8D6" w:rsidR="00C65BF1" w:rsidRPr="00FF3029" w:rsidRDefault="00767AF3" w:rsidP="00C65BF1">
      <w:r w:rsidRPr="00767AF3">
        <w:rPr>
          <w:lang w:val="en-GB" w:eastAsia="en-GB"/>
        </w:rPr>
        <w:drawing>
          <wp:inline distT="0" distB="0" distL="0" distR="0" wp14:anchorId="102B31AB" wp14:editId="2354910E">
            <wp:extent cx="5761355" cy="4848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4848225"/>
                    </a:xfrm>
                    <a:prstGeom prst="rect">
                      <a:avLst/>
                    </a:prstGeom>
                    <a:noFill/>
                    <a:ln>
                      <a:noFill/>
                    </a:ln>
                  </pic:spPr>
                </pic:pic>
              </a:graphicData>
            </a:graphic>
          </wp:inline>
        </w:drawing>
      </w:r>
    </w:p>
    <w:p w14:paraId="25F0E40C" w14:textId="77777777" w:rsidR="00C65BF1" w:rsidRPr="00A4508B" w:rsidRDefault="00C65BF1" w:rsidP="00C65BF1">
      <w:pPr>
        <w:pStyle w:val="Text1"/>
        <w:spacing w:after="0"/>
        <w:rPr>
          <w:noProof/>
        </w:rPr>
      </w:pPr>
      <w:r>
        <w:rPr>
          <w:noProof/>
        </w:rPr>
        <w:t xml:space="preserve">Mængden af fødevarer (i ton), der er behandlet med ioniserende stråling i EU, er faldet siden 2010 som vist i figur 2. </w:t>
      </w:r>
    </w:p>
    <w:p w14:paraId="2569781A" w14:textId="77777777" w:rsidR="00C65BF1" w:rsidRDefault="00C65BF1" w:rsidP="00C65BF1">
      <w:pPr>
        <w:pStyle w:val="Caption"/>
      </w:pPr>
      <w:r>
        <w:t>Figur 2 — Mængder af fødevarer, der er behandlet med ioniserende stråling på godkendte bestrålingsanlæg i Den Europæiske Union siden 2010</w:t>
      </w:r>
    </w:p>
    <w:p w14:paraId="5A314BD2" w14:textId="4CE2A33D" w:rsidR="00C65BF1" w:rsidRDefault="006B6176" w:rsidP="00C65BF1">
      <w:r w:rsidRPr="006B6176">
        <w:rPr>
          <w:lang w:val="en-GB" w:eastAsia="en-GB"/>
        </w:rPr>
        <w:drawing>
          <wp:inline distT="0" distB="0" distL="0" distR="0" wp14:anchorId="0EB9E1BE" wp14:editId="5117BED0">
            <wp:extent cx="5761355" cy="375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3756025"/>
                    </a:xfrm>
                    <a:prstGeom prst="rect">
                      <a:avLst/>
                    </a:prstGeom>
                    <a:noFill/>
                    <a:ln>
                      <a:noFill/>
                    </a:ln>
                  </pic:spPr>
                </pic:pic>
              </a:graphicData>
            </a:graphic>
          </wp:inline>
        </w:drawing>
      </w:r>
    </w:p>
    <w:p w14:paraId="303690FB" w14:textId="77777777" w:rsidR="00C65BF1" w:rsidRDefault="00C65BF1" w:rsidP="00C65BF1">
      <w:pPr>
        <w:pStyle w:val="Heading1"/>
      </w:pPr>
      <w:bookmarkStart w:id="6" w:name="_Toc146107204"/>
      <w:r>
        <w:t>RESULTATER AF KONTROL I MARKEDSFØRINGSLEDDET</w:t>
      </w:r>
      <w:bookmarkEnd w:id="6"/>
    </w:p>
    <w:p w14:paraId="3864B0EB" w14:textId="17D68F37" w:rsidR="00C65BF1" w:rsidRDefault="00C65BF1" w:rsidP="00C65BF1">
      <w:pPr>
        <w:pStyle w:val="Text1"/>
        <w:spacing w:after="0"/>
        <w:rPr>
          <w:noProof/>
        </w:rPr>
      </w:pPr>
      <w:r>
        <w:rPr>
          <w:noProof/>
        </w:rPr>
        <w:t>I perioden 2020-2021 blev 7 667 prøver analyseret af 24 medlemsstater, dvs. i alt 21,8 % mindre i gennemsnit end i 2018-2019. Oplysningerne for hver EU-medlemsstat findes i bilag II og er sammenfattet i figur 3.</w:t>
      </w:r>
    </w:p>
    <w:p w14:paraId="09E40902" w14:textId="119D4D0E" w:rsidR="00C65BF1" w:rsidRDefault="00C65BF1" w:rsidP="00C65BF1">
      <w:pPr>
        <w:pStyle w:val="Caption"/>
      </w:pPr>
      <w:r>
        <w:t>Figur 3 — Antal analyserede prøver i markedsføringsleddet i hver medlemsstat i 2020-2021</w:t>
      </w:r>
    </w:p>
    <w:p w14:paraId="0C3A38D8" w14:textId="02D6591B" w:rsidR="00C65BF1" w:rsidRDefault="008627BC" w:rsidP="00C65BF1">
      <w:r w:rsidRPr="008627BC">
        <w:rPr>
          <w:lang w:val="en-GB" w:eastAsia="en-GB"/>
        </w:rPr>
        <w:drawing>
          <wp:inline distT="0" distB="0" distL="0" distR="0" wp14:anchorId="59132680" wp14:editId="5497F3E6">
            <wp:extent cx="5761355" cy="3780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3780155"/>
                    </a:xfrm>
                    <a:prstGeom prst="rect">
                      <a:avLst/>
                    </a:prstGeom>
                    <a:noFill/>
                    <a:ln>
                      <a:noFill/>
                    </a:ln>
                  </pic:spPr>
                </pic:pic>
              </a:graphicData>
            </a:graphic>
          </wp:inline>
        </w:drawing>
      </w:r>
    </w:p>
    <w:p w14:paraId="30E0B8EC" w14:textId="77777777" w:rsidR="00352E8A" w:rsidRDefault="00352E8A" w:rsidP="00C65BF1">
      <w:pPr>
        <w:pStyle w:val="Text1"/>
        <w:spacing w:after="0"/>
        <w:rPr>
          <w:noProof/>
        </w:rPr>
      </w:pPr>
    </w:p>
    <w:p w14:paraId="30A362E7" w14:textId="641FBE9F" w:rsidR="00C65BF1" w:rsidRDefault="00C65BF1" w:rsidP="00C65BF1">
      <w:pPr>
        <w:pStyle w:val="Text1"/>
        <w:spacing w:after="0"/>
        <w:rPr>
          <w:noProof/>
        </w:rPr>
      </w:pPr>
      <w:r>
        <w:rPr>
          <w:noProof/>
        </w:rPr>
        <w:t>Tre medlemsstater udførte ikke analytisk kontrol i markedsføringsleddet i 2020-2021 som følge af budgetmæssige begrænsninger (Danmark) eller manglende laboratoriekapacitet (Cypern og Estland).</w:t>
      </w:r>
    </w:p>
    <w:p w14:paraId="071606BF" w14:textId="16C086DF" w:rsidR="00C65BF1" w:rsidRPr="00E44148" w:rsidRDefault="00C65BF1" w:rsidP="00C65BF1">
      <w:pPr>
        <w:pStyle w:val="Text1"/>
        <w:spacing w:after="0"/>
        <w:rPr>
          <w:noProof/>
        </w:rPr>
      </w:pPr>
      <w:r>
        <w:rPr>
          <w:noProof/>
        </w:rPr>
        <w:t xml:space="preserve">Ud af de i alt 7 667 analyserede prøver overholdt 66 ikke kravene (0,9 %), og 80 prøver (1 %) gav upræcise resultater. Den konstaterede manglende overholdelse var hovedsageligt ukorrekt mærkning og forbudt bestråling. Procentdelen af manglende overholdelse (0,9 %) var lidt højere end i den foregående rapporteringsperiode 2018-2019 (1 %). </w:t>
      </w:r>
    </w:p>
    <w:p w14:paraId="730D8428" w14:textId="25714F0D" w:rsidR="00C65BF1" w:rsidRDefault="00C65BF1" w:rsidP="00C65BF1">
      <w:pPr>
        <w:pStyle w:val="Text1"/>
        <w:spacing w:after="0"/>
        <w:rPr>
          <w:noProof/>
        </w:rPr>
      </w:pPr>
      <w:r>
        <w:rPr>
          <w:noProof/>
        </w:rPr>
        <w:t>I markedsføringsleddet, som vist i figur 4, var de vigtigste analyserede fødevarer "urter og krydderier" (43,84 %) og "korn, frø, grøntsager, frugt og produkter heraf" (25,98 %).</w:t>
      </w:r>
    </w:p>
    <w:p w14:paraId="749C6D61" w14:textId="3E45195F" w:rsidR="007C6010" w:rsidRDefault="007C6010">
      <w:pPr>
        <w:rPr>
          <w:rFonts w:ascii="Times New Roman" w:eastAsia="Times New Roman" w:hAnsi="Times New Roman" w:cs="Times New Roman"/>
          <w:sz w:val="24"/>
          <w:szCs w:val="20"/>
        </w:rPr>
      </w:pPr>
      <w:r>
        <w:br w:type="page"/>
      </w:r>
    </w:p>
    <w:p w14:paraId="7BEB2B33" w14:textId="77777777" w:rsidR="007C6010" w:rsidRDefault="007C6010" w:rsidP="00C65BF1">
      <w:pPr>
        <w:pStyle w:val="Text1"/>
        <w:spacing w:after="0"/>
        <w:rPr>
          <w:noProof/>
        </w:rPr>
      </w:pPr>
    </w:p>
    <w:p w14:paraId="6893EA44" w14:textId="07E52DA1" w:rsidR="00C65BF1" w:rsidRDefault="00C65BF1" w:rsidP="00C65BF1">
      <w:pPr>
        <w:pStyle w:val="Caption"/>
      </w:pPr>
      <w:r>
        <w:t>Figur 4 — Fødevarekategori, der er analyseret i markedsføringsleddet i Den Europæiske Union i 2020-2021</w:t>
      </w:r>
    </w:p>
    <w:p w14:paraId="7E1434C1" w14:textId="77777777" w:rsidR="007C6010" w:rsidRPr="007C6010" w:rsidRDefault="007C6010" w:rsidP="007C6010"/>
    <w:p w14:paraId="0D8F16BC" w14:textId="3CCB755F" w:rsidR="00C65BF1" w:rsidRDefault="00C65BF1" w:rsidP="00C65BF1"/>
    <w:p w14:paraId="6462A2AA" w14:textId="375B8E2A" w:rsidR="00BF6D2C" w:rsidRDefault="004E4A27" w:rsidP="00C65BF1">
      <w:r w:rsidRPr="004E4A27">
        <w:rPr>
          <w:lang w:val="en-GB" w:eastAsia="en-GB"/>
        </w:rPr>
        <w:drawing>
          <wp:inline distT="0" distB="0" distL="0" distR="0" wp14:anchorId="0236FDD1" wp14:editId="5941EE4D">
            <wp:extent cx="5761355" cy="33667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366770"/>
                    </a:xfrm>
                    <a:prstGeom prst="rect">
                      <a:avLst/>
                    </a:prstGeom>
                    <a:noFill/>
                    <a:ln>
                      <a:noFill/>
                    </a:ln>
                  </pic:spPr>
                </pic:pic>
              </a:graphicData>
            </a:graphic>
          </wp:inline>
        </w:drawing>
      </w:r>
    </w:p>
    <w:sectPr w:rsidR="00BF6D2C" w:rsidSect="00906FFF">
      <w:headerReference w:type="even" r:id="rId19"/>
      <w:headerReference w:type="default" r:id="rId20"/>
      <w:footerReference w:type="even" r:id="rId21"/>
      <w:footerReference w:type="default" r:id="rId22"/>
      <w:headerReference w:type="first" r:id="rId23"/>
      <w:footerReference w:type="first" r:id="rId24"/>
      <w:pgSz w:w="11907" w:h="16839"/>
      <w:pgMar w:top="1134" w:right="1417" w:bottom="1134"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08608" w14:textId="77777777" w:rsidR="00BF5812" w:rsidRDefault="00BF5812" w:rsidP="00C65BF1">
      <w:pPr>
        <w:spacing w:after="0" w:line="240" w:lineRule="auto"/>
      </w:pPr>
      <w:r>
        <w:separator/>
      </w:r>
    </w:p>
  </w:endnote>
  <w:endnote w:type="continuationSeparator" w:id="0">
    <w:p w14:paraId="5FB488BF" w14:textId="77777777" w:rsidR="00BF5812" w:rsidRDefault="00BF5812" w:rsidP="00C65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408F0" w14:textId="77777777" w:rsidR="00897D38" w:rsidRPr="00897D38" w:rsidRDefault="00897D38" w:rsidP="00897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3A350" w14:textId="3CB2B576" w:rsidR="00897D38" w:rsidRPr="00897D38" w:rsidRDefault="00897D38" w:rsidP="00897D38">
    <w:pPr>
      <w:pStyle w:val="FooterCoverPage"/>
      <w:rPr>
        <w:rFonts w:ascii="Arial" w:hAnsi="Arial" w:cs="Arial"/>
        <w:b/>
        <w:sz w:val="48"/>
      </w:rPr>
    </w:pPr>
    <w:r w:rsidRPr="00897D38">
      <w:rPr>
        <w:rFonts w:ascii="Arial" w:hAnsi="Arial" w:cs="Arial"/>
        <w:b/>
        <w:sz w:val="48"/>
      </w:rPr>
      <w:t>DA</w:t>
    </w:r>
    <w:r w:rsidRPr="00897D38">
      <w:rPr>
        <w:rFonts w:ascii="Arial" w:hAnsi="Arial" w:cs="Arial"/>
        <w:b/>
        <w:sz w:val="48"/>
      </w:rPr>
      <w:tab/>
    </w:r>
    <w:r w:rsidRPr="00897D38">
      <w:rPr>
        <w:rFonts w:ascii="Arial" w:hAnsi="Arial" w:cs="Arial"/>
        <w:b/>
        <w:sz w:val="48"/>
      </w:rPr>
      <w:tab/>
    </w:r>
    <w:r w:rsidRPr="00897D38">
      <w:tab/>
    </w:r>
    <w:r w:rsidRPr="00897D38">
      <w:rPr>
        <w:rFonts w:ascii="Arial" w:hAnsi="Arial" w:cs="Arial"/>
        <w:b/>
        <w:sz w:val="48"/>
      </w:rPr>
      <w:t>DA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789FB" w14:textId="77777777" w:rsidR="00897D38" w:rsidRPr="00897D38" w:rsidRDefault="00897D38" w:rsidP="00897D3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79ACF" w14:textId="77777777" w:rsidR="008F6798" w:rsidRDefault="00897D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437521"/>
      <w:docPartObj>
        <w:docPartGallery w:val="Page Numbers (Bottom of Page)"/>
        <w:docPartUnique/>
      </w:docPartObj>
    </w:sdtPr>
    <w:sdtEndPr/>
    <w:sdtContent>
      <w:p w14:paraId="4B5B7540" w14:textId="02E0E461" w:rsidR="008F6798" w:rsidRDefault="00906FFF">
        <w:pPr>
          <w:pStyle w:val="Footer"/>
          <w:jc w:val="center"/>
        </w:pPr>
        <w:r>
          <w:fldChar w:fldCharType="begin"/>
        </w:r>
        <w:r>
          <w:instrText xml:space="preserve"> PAGE   \* MERGEFORMAT </w:instrText>
        </w:r>
        <w:r>
          <w:fldChar w:fldCharType="separate"/>
        </w:r>
        <w:r w:rsidR="00897D38">
          <w:t>1</w:t>
        </w:r>
        <w:r>
          <w:fldChar w:fldCharType="end"/>
        </w:r>
      </w:p>
    </w:sdtContent>
  </w:sdt>
  <w:p w14:paraId="0EAE0413" w14:textId="77777777" w:rsidR="008F6798" w:rsidRDefault="00897D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1D09" w14:textId="77777777" w:rsidR="008F6798" w:rsidRDefault="00897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E6479" w14:textId="77777777" w:rsidR="00BF5812" w:rsidRDefault="00BF5812" w:rsidP="00C65BF1">
      <w:pPr>
        <w:spacing w:after="0" w:line="240" w:lineRule="auto"/>
      </w:pPr>
      <w:r>
        <w:separator/>
      </w:r>
    </w:p>
  </w:footnote>
  <w:footnote w:type="continuationSeparator" w:id="0">
    <w:p w14:paraId="3E206CB6" w14:textId="77777777" w:rsidR="00BF5812" w:rsidRDefault="00BF5812" w:rsidP="00C65BF1">
      <w:pPr>
        <w:spacing w:after="0" w:line="240" w:lineRule="auto"/>
      </w:pPr>
      <w:r>
        <w:continuationSeparator/>
      </w:r>
    </w:p>
  </w:footnote>
  <w:footnote w:id="1">
    <w:p w14:paraId="551C3FE9" w14:textId="77777777" w:rsidR="00C65BF1" w:rsidRPr="0064473B" w:rsidRDefault="00C65BF1" w:rsidP="00C65BF1">
      <w:pPr>
        <w:pStyle w:val="FootnoteText"/>
      </w:pPr>
      <w:r>
        <w:rPr>
          <w:rStyle w:val="FootnoteReference"/>
        </w:rPr>
        <w:footnoteRef/>
      </w:r>
      <w:r>
        <w:t xml:space="preserve"> Europa-Parlamentets og Rådets direktiv 1999/2/EF af 22. februar 1999 om indbyrdes tilnærmelse af medlemsstaternes lovgivning om levnedsmidler og levnedsmiddelingredienser, som er behandlet med ioniserende stråling (EFT L 066 af 13.3.1999, s. 16).</w:t>
      </w:r>
    </w:p>
  </w:footnote>
  <w:footnote w:id="2">
    <w:p w14:paraId="37CCBC50" w14:textId="18DCEECD" w:rsidR="009A0DB3" w:rsidRDefault="009A0DB3" w:rsidP="009A0DB3">
      <w:pPr>
        <w:pStyle w:val="FootnoteText"/>
      </w:pPr>
      <w:r>
        <w:rPr>
          <w:rStyle w:val="FootnoteReference"/>
        </w:rPr>
        <w:footnoteRef/>
      </w:r>
      <w:r>
        <w:t xml:space="preserve">      EFT L 66 af 13.3.1999, s. 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2F184" w14:textId="77777777" w:rsidR="00897D38" w:rsidRPr="00897D38" w:rsidRDefault="00897D38" w:rsidP="00897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C01F6" w14:textId="77777777" w:rsidR="00897D38" w:rsidRPr="00897D38" w:rsidRDefault="00897D38" w:rsidP="00897D3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D9AD" w14:textId="77777777" w:rsidR="00897D38" w:rsidRPr="00897D38" w:rsidRDefault="00897D38" w:rsidP="00897D3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12A2" w14:textId="77777777" w:rsidR="008F6798" w:rsidRDefault="00897D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BB16D" w14:textId="77777777" w:rsidR="008F6798" w:rsidRDefault="00897D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E1B1" w14:textId="77777777" w:rsidR="008F6798" w:rsidRDefault="00897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4207A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5BBC14BF-CFD1-48CF-A588-B162D33D9EDE"/>
    <w:docVar w:name="LW_COVERPAGE_TYPE" w:val="1"/>
    <w:docVar w:name="LW_CROSSREFERENCE" w:val="&lt;UNUSED&gt;"/>
    <w:docVar w:name="LW_DocType" w:val="NORMAL"/>
    <w:docVar w:name="LW_EMISSION" w:val="27.10.2023"/>
    <w:docVar w:name="LW_EMISSION_ISODATE" w:val="2023-10-27"/>
    <w:docVar w:name="LW_EMISSION_LOCATION" w:val="BRX"/>
    <w:docVar w:name="LW_EMISSION_PREFIX" w:val="Bruxelles, den "/>
    <w:docVar w:name="LW_EMISSION_SUFFIX" w:val=" "/>
    <w:docVar w:name="LW_ID_DOCTYPE_NONLW" w:val="CP-006"/>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23) 676"/>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m fødevarer og fødevareingredienser, som er behandlet med ioniserende stråling i 2020-2021_x000b__x000b_"/>
    <w:docVar w:name="LW_TYPE.DOC.CP" w:val="RAPPORT FRA KOMMISSIONEN TIL EUROPA-PARLAMENTET OG RÅDET"/>
    <w:docVar w:name="LwApiVersions" w:val="LW4CoDe 1.23.2.0; LW 8.0, Build 20211117"/>
  </w:docVars>
  <w:rsids>
    <w:rsidRoot w:val="00C65BF1"/>
    <w:rsid w:val="00024932"/>
    <w:rsid w:val="00042F30"/>
    <w:rsid w:val="00095C0A"/>
    <w:rsid w:val="000A1DE2"/>
    <w:rsid w:val="000C01F7"/>
    <w:rsid w:val="000F6F8A"/>
    <w:rsid w:val="00123A88"/>
    <w:rsid w:val="001953A7"/>
    <w:rsid w:val="0019599E"/>
    <w:rsid w:val="001A2BA6"/>
    <w:rsid w:val="001D7326"/>
    <w:rsid w:val="001E6117"/>
    <w:rsid w:val="0024019E"/>
    <w:rsid w:val="00293E88"/>
    <w:rsid w:val="002E5B94"/>
    <w:rsid w:val="0030375B"/>
    <w:rsid w:val="003404E4"/>
    <w:rsid w:val="00352E8A"/>
    <w:rsid w:val="00354871"/>
    <w:rsid w:val="00393B9B"/>
    <w:rsid w:val="003F59F5"/>
    <w:rsid w:val="004613F7"/>
    <w:rsid w:val="004679C2"/>
    <w:rsid w:val="004E4A27"/>
    <w:rsid w:val="0050668B"/>
    <w:rsid w:val="005620E2"/>
    <w:rsid w:val="005668A9"/>
    <w:rsid w:val="00572988"/>
    <w:rsid w:val="005A5A30"/>
    <w:rsid w:val="00631285"/>
    <w:rsid w:val="0063666C"/>
    <w:rsid w:val="006B6176"/>
    <w:rsid w:val="006D6F70"/>
    <w:rsid w:val="00726373"/>
    <w:rsid w:val="00730A52"/>
    <w:rsid w:val="007439EA"/>
    <w:rsid w:val="00767AF3"/>
    <w:rsid w:val="0078181A"/>
    <w:rsid w:val="007C6010"/>
    <w:rsid w:val="007F2F0E"/>
    <w:rsid w:val="0082375D"/>
    <w:rsid w:val="008501D0"/>
    <w:rsid w:val="00851BB6"/>
    <w:rsid w:val="008627BC"/>
    <w:rsid w:val="00897D38"/>
    <w:rsid w:val="008A7D84"/>
    <w:rsid w:val="008C0F7E"/>
    <w:rsid w:val="008E1F66"/>
    <w:rsid w:val="00906FFF"/>
    <w:rsid w:val="00940178"/>
    <w:rsid w:val="009A0DB3"/>
    <w:rsid w:val="009A1468"/>
    <w:rsid w:val="009D343A"/>
    <w:rsid w:val="00A633FD"/>
    <w:rsid w:val="00AC09CB"/>
    <w:rsid w:val="00AF5B39"/>
    <w:rsid w:val="00B459C3"/>
    <w:rsid w:val="00B9685E"/>
    <w:rsid w:val="00BE1857"/>
    <w:rsid w:val="00BF2112"/>
    <w:rsid w:val="00BF5812"/>
    <w:rsid w:val="00BF6D2C"/>
    <w:rsid w:val="00C65BF1"/>
    <w:rsid w:val="00CC5F14"/>
    <w:rsid w:val="00CE70ED"/>
    <w:rsid w:val="00D2094D"/>
    <w:rsid w:val="00D6459B"/>
    <w:rsid w:val="00D73395"/>
    <w:rsid w:val="00E02986"/>
    <w:rsid w:val="00E44148"/>
    <w:rsid w:val="00E77588"/>
    <w:rsid w:val="00EF213F"/>
    <w:rsid w:val="00F33760"/>
    <w:rsid w:val="00FB2B5C"/>
    <w:rsid w:val="00FC6627"/>
    <w:rsid w:val="00FD25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187964"/>
  <w15:chartTrackingRefBased/>
  <w15:docId w15:val="{18A5DE96-A6AF-456B-8868-29AD2DC9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C65BF1"/>
    <w:pPr>
      <w:keepNext/>
      <w:keepLines/>
      <w:numPr>
        <w:numId w:val="1"/>
      </w:numPr>
      <w:spacing w:before="240" w:after="0"/>
      <w:outlineLvl w:val="0"/>
    </w:pPr>
    <w:rPr>
      <w:rFonts w:ascii="Arial" w:eastAsiaTheme="majorEastAsia" w:hAnsi="Arial" w:cstheme="majorBidi"/>
      <w:b/>
      <w:color w:val="000000" w:themeColor="text1"/>
      <w:sz w:val="28"/>
      <w:szCs w:val="32"/>
    </w:rPr>
  </w:style>
  <w:style w:type="paragraph" w:styleId="Heading2">
    <w:name w:val="heading 2"/>
    <w:basedOn w:val="Normal"/>
    <w:next w:val="Normal"/>
    <w:link w:val="Heading2Char"/>
    <w:uiPriority w:val="9"/>
    <w:semiHidden/>
    <w:unhideWhenUsed/>
    <w:qFormat/>
    <w:rsid w:val="00C65BF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5BF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65BF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5BF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65BF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65BF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65BF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5BF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C65BF1"/>
    <w:rPr>
      <w:color w:val="0000FF"/>
      <w:shd w:val="clear" w:color="auto" w:fill="auto"/>
    </w:rPr>
  </w:style>
  <w:style w:type="paragraph" w:customStyle="1" w:styleId="Pagedecouverture">
    <w:name w:val="Page de couverture"/>
    <w:basedOn w:val="Normal"/>
    <w:next w:val="Normal"/>
    <w:rsid w:val="00C65BF1"/>
    <w:pPr>
      <w:spacing w:after="0" w:line="240" w:lineRule="auto"/>
      <w:jc w:val="both"/>
    </w:pPr>
    <w:rPr>
      <w:rFonts w:ascii="Times New Roman" w:hAnsi="Times New Roman" w:cs="Times New Roman"/>
      <w:noProof w:val="0"/>
      <w:sz w:val="24"/>
    </w:rPr>
  </w:style>
  <w:style w:type="paragraph" w:styleId="Header">
    <w:name w:val="header"/>
    <w:basedOn w:val="Normal"/>
    <w:link w:val="HeaderChar"/>
    <w:uiPriority w:val="99"/>
    <w:unhideWhenUsed/>
    <w:rsid w:val="00C65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F1"/>
    <w:rPr>
      <w:noProof/>
      <w:lang w:val="da-DK"/>
    </w:rPr>
  </w:style>
  <w:style w:type="paragraph" w:styleId="Footer">
    <w:name w:val="footer"/>
    <w:basedOn w:val="Normal"/>
    <w:link w:val="FooterChar"/>
    <w:uiPriority w:val="99"/>
    <w:unhideWhenUsed/>
    <w:rsid w:val="00C65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F1"/>
    <w:rPr>
      <w:noProof/>
      <w:lang w:val="da-DK"/>
    </w:rPr>
  </w:style>
  <w:style w:type="paragraph" w:customStyle="1" w:styleId="FooterCoverPage">
    <w:name w:val="Footer Cover Page"/>
    <w:basedOn w:val="Normal"/>
    <w:link w:val="FooterCoverPageChar"/>
    <w:rsid w:val="00C65BF1"/>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C65BF1"/>
    <w:rPr>
      <w:rFonts w:ascii="Times New Roman" w:hAnsi="Times New Roman" w:cs="Times New Roman"/>
      <w:noProof/>
      <w:sz w:val="24"/>
    </w:rPr>
  </w:style>
  <w:style w:type="paragraph" w:customStyle="1" w:styleId="FooterSensitivity">
    <w:name w:val="Footer Sensitivity"/>
    <w:basedOn w:val="Normal"/>
    <w:link w:val="FooterSensitivityChar"/>
    <w:rsid w:val="00C65BF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C65BF1"/>
    <w:rPr>
      <w:rFonts w:ascii="Times New Roman" w:hAnsi="Times New Roman" w:cs="Times New Roman"/>
      <w:b/>
      <w:noProof/>
      <w:sz w:val="32"/>
    </w:rPr>
  </w:style>
  <w:style w:type="paragraph" w:customStyle="1" w:styleId="HeaderCoverPage">
    <w:name w:val="Header Cover Page"/>
    <w:basedOn w:val="Normal"/>
    <w:link w:val="HeaderCoverPageChar"/>
    <w:rsid w:val="00C65BF1"/>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C65BF1"/>
    <w:rPr>
      <w:rFonts w:ascii="Times New Roman" w:hAnsi="Times New Roman" w:cs="Times New Roman"/>
      <w:noProof/>
      <w:sz w:val="24"/>
    </w:rPr>
  </w:style>
  <w:style w:type="paragraph" w:customStyle="1" w:styleId="HeaderSensitivity">
    <w:name w:val="Header Sensitivity"/>
    <w:basedOn w:val="Normal"/>
    <w:link w:val="HeaderSensitivityChar"/>
    <w:rsid w:val="00C65BF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C65BF1"/>
    <w:rPr>
      <w:rFonts w:ascii="Times New Roman" w:hAnsi="Times New Roman" w:cs="Times New Roman"/>
      <w:b/>
      <w:noProof/>
      <w:sz w:val="32"/>
    </w:rPr>
  </w:style>
  <w:style w:type="paragraph" w:customStyle="1" w:styleId="HeaderSensitivityRight">
    <w:name w:val="Header Sensitivity Right"/>
    <w:basedOn w:val="Normal"/>
    <w:link w:val="HeaderSensitivityRightChar"/>
    <w:rsid w:val="00C65BF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C65BF1"/>
    <w:rPr>
      <w:rFonts w:ascii="Times New Roman" w:hAnsi="Times New Roman" w:cs="Times New Roman"/>
      <w:noProof/>
      <w:sz w:val="28"/>
    </w:rPr>
  </w:style>
  <w:style w:type="character" w:customStyle="1" w:styleId="Heading1Char">
    <w:name w:val="Heading 1 Char"/>
    <w:basedOn w:val="DefaultParagraphFont"/>
    <w:link w:val="Heading1"/>
    <w:uiPriority w:val="9"/>
    <w:rsid w:val="00C65BF1"/>
    <w:rPr>
      <w:rFonts w:ascii="Arial" w:eastAsiaTheme="majorEastAsia" w:hAnsi="Arial" w:cstheme="majorBidi"/>
      <w:b/>
      <w:noProof/>
      <w:color w:val="000000" w:themeColor="text1"/>
      <w:sz w:val="28"/>
      <w:szCs w:val="32"/>
      <w:lang w:val="da-DK"/>
    </w:rPr>
  </w:style>
  <w:style w:type="character" w:customStyle="1" w:styleId="Heading2Char">
    <w:name w:val="Heading 2 Char"/>
    <w:basedOn w:val="DefaultParagraphFont"/>
    <w:link w:val="Heading2"/>
    <w:uiPriority w:val="9"/>
    <w:semiHidden/>
    <w:rsid w:val="00C65BF1"/>
    <w:rPr>
      <w:rFonts w:asciiTheme="majorHAnsi" w:eastAsiaTheme="majorEastAsia" w:hAnsiTheme="majorHAnsi" w:cstheme="majorBidi"/>
      <w:noProof/>
      <w:color w:val="2E74B5" w:themeColor="accent1" w:themeShade="BF"/>
      <w:sz w:val="26"/>
      <w:szCs w:val="26"/>
      <w:lang w:val="da-DK"/>
    </w:rPr>
  </w:style>
  <w:style w:type="character" w:customStyle="1" w:styleId="Heading3Char">
    <w:name w:val="Heading 3 Char"/>
    <w:basedOn w:val="DefaultParagraphFont"/>
    <w:link w:val="Heading3"/>
    <w:uiPriority w:val="9"/>
    <w:semiHidden/>
    <w:rsid w:val="00C65BF1"/>
    <w:rPr>
      <w:rFonts w:asciiTheme="majorHAnsi" w:eastAsiaTheme="majorEastAsia" w:hAnsiTheme="majorHAnsi" w:cstheme="majorBidi"/>
      <w:noProof/>
      <w:color w:val="1F4D78" w:themeColor="accent1" w:themeShade="7F"/>
      <w:sz w:val="24"/>
      <w:szCs w:val="24"/>
      <w:lang w:val="da-DK"/>
    </w:rPr>
  </w:style>
  <w:style w:type="character" w:customStyle="1" w:styleId="Heading4Char">
    <w:name w:val="Heading 4 Char"/>
    <w:basedOn w:val="DefaultParagraphFont"/>
    <w:link w:val="Heading4"/>
    <w:uiPriority w:val="9"/>
    <w:semiHidden/>
    <w:rsid w:val="00C65BF1"/>
    <w:rPr>
      <w:rFonts w:asciiTheme="majorHAnsi" w:eastAsiaTheme="majorEastAsia" w:hAnsiTheme="majorHAnsi" w:cstheme="majorBidi"/>
      <w:i/>
      <w:iCs/>
      <w:noProof/>
      <w:color w:val="2E74B5" w:themeColor="accent1" w:themeShade="BF"/>
      <w:lang w:val="da-DK"/>
    </w:rPr>
  </w:style>
  <w:style w:type="character" w:customStyle="1" w:styleId="Heading5Char">
    <w:name w:val="Heading 5 Char"/>
    <w:basedOn w:val="DefaultParagraphFont"/>
    <w:link w:val="Heading5"/>
    <w:uiPriority w:val="9"/>
    <w:semiHidden/>
    <w:rsid w:val="00C65BF1"/>
    <w:rPr>
      <w:rFonts w:asciiTheme="majorHAnsi" w:eastAsiaTheme="majorEastAsia" w:hAnsiTheme="majorHAnsi" w:cstheme="majorBidi"/>
      <w:noProof/>
      <w:color w:val="2E74B5" w:themeColor="accent1" w:themeShade="BF"/>
      <w:lang w:val="da-DK"/>
    </w:rPr>
  </w:style>
  <w:style w:type="character" w:customStyle="1" w:styleId="Heading6Char">
    <w:name w:val="Heading 6 Char"/>
    <w:basedOn w:val="DefaultParagraphFont"/>
    <w:link w:val="Heading6"/>
    <w:uiPriority w:val="9"/>
    <w:semiHidden/>
    <w:rsid w:val="00C65BF1"/>
    <w:rPr>
      <w:rFonts w:asciiTheme="majorHAnsi" w:eastAsiaTheme="majorEastAsia" w:hAnsiTheme="majorHAnsi" w:cstheme="majorBidi"/>
      <w:noProof/>
      <w:color w:val="1F4D78" w:themeColor="accent1" w:themeShade="7F"/>
      <w:lang w:val="da-DK"/>
    </w:rPr>
  </w:style>
  <w:style w:type="character" w:customStyle="1" w:styleId="Heading7Char">
    <w:name w:val="Heading 7 Char"/>
    <w:basedOn w:val="DefaultParagraphFont"/>
    <w:link w:val="Heading7"/>
    <w:uiPriority w:val="9"/>
    <w:semiHidden/>
    <w:rsid w:val="00C65BF1"/>
    <w:rPr>
      <w:rFonts w:asciiTheme="majorHAnsi" w:eastAsiaTheme="majorEastAsia" w:hAnsiTheme="majorHAnsi" w:cstheme="majorBidi"/>
      <w:i/>
      <w:iCs/>
      <w:noProof/>
      <w:color w:val="1F4D78" w:themeColor="accent1" w:themeShade="7F"/>
      <w:lang w:val="da-DK"/>
    </w:rPr>
  </w:style>
  <w:style w:type="character" w:customStyle="1" w:styleId="Heading8Char">
    <w:name w:val="Heading 8 Char"/>
    <w:basedOn w:val="DefaultParagraphFont"/>
    <w:link w:val="Heading8"/>
    <w:uiPriority w:val="9"/>
    <w:semiHidden/>
    <w:rsid w:val="00C65BF1"/>
    <w:rPr>
      <w:rFonts w:asciiTheme="majorHAnsi" w:eastAsiaTheme="majorEastAsia" w:hAnsiTheme="majorHAnsi" w:cstheme="majorBidi"/>
      <w:noProof/>
      <w:color w:val="272727" w:themeColor="text1" w:themeTint="D8"/>
      <w:sz w:val="21"/>
      <w:szCs w:val="21"/>
      <w:lang w:val="da-DK"/>
    </w:rPr>
  </w:style>
  <w:style w:type="character" w:customStyle="1" w:styleId="Heading9Char">
    <w:name w:val="Heading 9 Char"/>
    <w:basedOn w:val="DefaultParagraphFont"/>
    <w:link w:val="Heading9"/>
    <w:uiPriority w:val="9"/>
    <w:semiHidden/>
    <w:rsid w:val="00C65BF1"/>
    <w:rPr>
      <w:rFonts w:asciiTheme="majorHAnsi" w:eastAsiaTheme="majorEastAsia" w:hAnsiTheme="majorHAnsi" w:cstheme="majorBidi"/>
      <w:i/>
      <w:iCs/>
      <w:noProof/>
      <w:color w:val="272727" w:themeColor="text1" w:themeTint="D8"/>
      <w:sz w:val="21"/>
      <w:szCs w:val="21"/>
      <w:lang w:val="da-DK"/>
    </w:rPr>
  </w:style>
  <w:style w:type="paragraph" w:customStyle="1" w:styleId="Text1">
    <w:name w:val="Text 1"/>
    <w:basedOn w:val="Normal"/>
    <w:qFormat/>
    <w:rsid w:val="00C65BF1"/>
    <w:pPr>
      <w:spacing w:before="120" w:after="240" w:line="240" w:lineRule="auto"/>
      <w:ind w:left="482"/>
      <w:jc w:val="both"/>
    </w:pPr>
    <w:rPr>
      <w:rFonts w:ascii="Times New Roman" w:eastAsia="Times New Roman" w:hAnsi="Times New Roman" w:cs="Times New Roman"/>
      <w:noProof w:val="0"/>
      <w:sz w:val="24"/>
      <w:szCs w:val="20"/>
      <w:lang w:eastAsia="en-GB"/>
    </w:rPr>
  </w:style>
  <w:style w:type="paragraph" w:styleId="FootnoteText">
    <w:name w:val="footnote text"/>
    <w:basedOn w:val="Normal"/>
    <w:link w:val="FootnoteTextChar"/>
    <w:uiPriority w:val="99"/>
    <w:semiHidden/>
    <w:unhideWhenUsed/>
    <w:rsid w:val="00C65B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BF1"/>
    <w:rPr>
      <w:noProof/>
      <w:sz w:val="20"/>
      <w:szCs w:val="20"/>
      <w:lang w:val="da-DK"/>
    </w:rPr>
  </w:style>
  <w:style w:type="character" w:styleId="FootnoteReference">
    <w:name w:val="footnote reference"/>
    <w:basedOn w:val="DefaultParagraphFont"/>
    <w:uiPriority w:val="99"/>
    <w:semiHidden/>
    <w:unhideWhenUsed/>
    <w:rsid w:val="00C65BF1"/>
    <w:rPr>
      <w:vertAlign w:val="superscript"/>
    </w:rPr>
  </w:style>
  <w:style w:type="paragraph" w:customStyle="1" w:styleId="Annexetitre">
    <w:name w:val="Annexe titre"/>
    <w:basedOn w:val="Normal"/>
    <w:next w:val="Normal"/>
    <w:link w:val="AnnexetitreChar"/>
    <w:rsid w:val="00C65BF1"/>
    <w:pPr>
      <w:spacing w:before="120" w:after="120" w:line="240" w:lineRule="auto"/>
      <w:jc w:val="center"/>
    </w:pPr>
    <w:rPr>
      <w:rFonts w:ascii="Times New Roman" w:hAnsi="Times New Roman" w:cs="Times New Roman"/>
      <w:b/>
      <w:noProof w:val="0"/>
      <w:sz w:val="24"/>
      <w:u w:val="single"/>
    </w:rPr>
  </w:style>
  <w:style w:type="table" w:styleId="TableGrid">
    <w:name w:val="Table Grid"/>
    <w:basedOn w:val="TableNormal"/>
    <w:uiPriority w:val="59"/>
    <w:rsid w:val="00C65BF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etitreChar">
    <w:name w:val="Annexe titre Char"/>
    <w:basedOn w:val="DefaultParagraphFont"/>
    <w:link w:val="Annexetitre"/>
    <w:rsid w:val="00C65BF1"/>
    <w:rPr>
      <w:rFonts w:ascii="Times New Roman" w:hAnsi="Times New Roman" w:cs="Times New Roman"/>
      <w:b/>
      <w:sz w:val="24"/>
      <w:u w:val="single"/>
      <w:lang w:val="da-DK"/>
    </w:rPr>
  </w:style>
  <w:style w:type="paragraph" w:styleId="Caption">
    <w:name w:val="caption"/>
    <w:basedOn w:val="Normal"/>
    <w:next w:val="Normal"/>
    <w:uiPriority w:val="35"/>
    <w:unhideWhenUsed/>
    <w:qFormat/>
    <w:rsid w:val="00C65BF1"/>
    <w:pPr>
      <w:keepNext/>
      <w:spacing w:before="240" w:after="120" w:line="240" w:lineRule="auto"/>
    </w:pPr>
    <w:rPr>
      <w:i/>
      <w:iCs/>
      <w:color w:val="44546A" w:themeColor="text2"/>
      <w:sz w:val="18"/>
      <w:szCs w:val="18"/>
    </w:rPr>
  </w:style>
  <w:style w:type="paragraph" w:styleId="TOCHeading">
    <w:name w:val="TOC Heading"/>
    <w:basedOn w:val="Heading1"/>
    <w:next w:val="Normal"/>
    <w:uiPriority w:val="39"/>
    <w:unhideWhenUsed/>
    <w:qFormat/>
    <w:rsid w:val="00C65BF1"/>
    <w:pPr>
      <w:numPr>
        <w:numId w:val="0"/>
      </w:numPr>
      <w:outlineLvl w:val="9"/>
    </w:pPr>
    <w:rPr>
      <w:rFonts w:asciiTheme="majorHAnsi" w:hAnsiTheme="majorHAnsi"/>
      <w:b w:val="0"/>
      <w:noProof w:val="0"/>
      <w:color w:val="2E74B5" w:themeColor="accent1" w:themeShade="BF"/>
      <w:sz w:val="32"/>
    </w:rPr>
  </w:style>
  <w:style w:type="paragraph" w:styleId="TOC1">
    <w:name w:val="toc 1"/>
    <w:basedOn w:val="Normal"/>
    <w:next w:val="Normal"/>
    <w:autoRedefine/>
    <w:uiPriority w:val="39"/>
    <w:unhideWhenUsed/>
    <w:rsid w:val="00C65BF1"/>
    <w:pPr>
      <w:spacing w:after="100"/>
    </w:pPr>
  </w:style>
  <w:style w:type="character" w:styleId="Hyperlink">
    <w:name w:val="Hyperlink"/>
    <w:basedOn w:val="DefaultParagraphFont"/>
    <w:uiPriority w:val="99"/>
    <w:unhideWhenUsed/>
    <w:rsid w:val="00C65BF1"/>
    <w:rPr>
      <w:color w:val="0563C1" w:themeColor="hyperlink"/>
      <w:u w:val="single"/>
    </w:rPr>
  </w:style>
  <w:style w:type="paragraph" w:styleId="BalloonText">
    <w:name w:val="Balloon Text"/>
    <w:basedOn w:val="Normal"/>
    <w:link w:val="BalloonTextChar"/>
    <w:uiPriority w:val="99"/>
    <w:semiHidden/>
    <w:unhideWhenUsed/>
    <w:rsid w:val="00F3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60"/>
    <w:rPr>
      <w:rFonts w:ascii="Segoe UI" w:hAnsi="Segoe UI" w:cs="Segoe UI"/>
      <w:noProof/>
      <w:sz w:val="18"/>
      <w:szCs w:val="18"/>
      <w:lang w:val="da-DK"/>
    </w:rPr>
  </w:style>
  <w:style w:type="character" w:styleId="CommentReference">
    <w:name w:val="annotation reference"/>
    <w:basedOn w:val="DefaultParagraphFont"/>
    <w:uiPriority w:val="99"/>
    <w:semiHidden/>
    <w:unhideWhenUsed/>
    <w:rsid w:val="00FD25A8"/>
    <w:rPr>
      <w:sz w:val="16"/>
      <w:szCs w:val="16"/>
    </w:rPr>
  </w:style>
  <w:style w:type="paragraph" w:styleId="CommentText">
    <w:name w:val="annotation text"/>
    <w:basedOn w:val="Normal"/>
    <w:link w:val="CommentTextChar"/>
    <w:uiPriority w:val="99"/>
    <w:semiHidden/>
    <w:unhideWhenUsed/>
    <w:rsid w:val="00FD25A8"/>
    <w:pPr>
      <w:spacing w:line="240" w:lineRule="auto"/>
    </w:pPr>
    <w:rPr>
      <w:sz w:val="20"/>
      <w:szCs w:val="20"/>
    </w:rPr>
  </w:style>
  <w:style w:type="character" w:customStyle="1" w:styleId="CommentTextChar">
    <w:name w:val="Comment Text Char"/>
    <w:basedOn w:val="DefaultParagraphFont"/>
    <w:link w:val="CommentText"/>
    <w:uiPriority w:val="99"/>
    <w:semiHidden/>
    <w:rsid w:val="00FD25A8"/>
    <w:rPr>
      <w:noProof/>
      <w:sz w:val="20"/>
      <w:szCs w:val="20"/>
      <w:lang w:val="da-DK"/>
    </w:rPr>
  </w:style>
  <w:style w:type="paragraph" w:styleId="CommentSubject">
    <w:name w:val="annotation subject"/>
    <w:basedOn w:val="CommentText"/>
    <w:next w:val="CommentText"/>
    <w:link w:val="CommentSubjectChar"/>
    <w:uiPriority w:val="99"/>
    <w:semiHidden/>
    <w:unhideWhenUsed/>
    <w:rsid w:val="00FD25A8"/>
    <w:rPr>
      <w:b/>
      <w:bCs/>
    </w:rPr>
  </w:style>
  <w:style w:type="character" w:customStyle="1" w:styleId="CommentSubjectChar">
    <w:name w:val="Comment Subject Char"/>
    <w:basedOn w:val="CommentTextChar"/>
    <w:link w:val="CommentSubject"/>
    <w:uiPriority w:val="99"/>
    <w:semiHidden/>
    <w:rsid w:val="00FD25A8"/>
    <w:rPr>
      <w:b/>
      <w:bCs/>
      <w:noProof/>
      <w:sz w:val="20"/>
      <w:szCs w:val="20"/>
      <w:lang w:val="da-DK"/>
    </w:rPr>
  </w:style>
  <w:style w:type="paragraph" w:styleId="Revision">
    <w:name w:val="Revision"/>
    <w:hidden/>
    <w:uiPriority w:val="99"/>
    <w:semiHidden/>
    <w:rsid w:val="0082375D"/>
    <w:pPr>
      <w:spacing w:after="0" w:line="240" w:lineRule="auto"/>
    </w:pPr>
    <w:rPr>
      <w:noProof/>
    </w:rPr>
  </w:style>
  <w:style w:type="character" w:customStyle="1" w:styleId="UnresolvedMention">
    <w:name w:val="Unresolved Mention"/>
    <w:basedOn w:val="DefaultParagraphFont"/>
    <w:uiPriority w:val="99"/>
    <w:semiHidden/>
    <w:unhideWhenUsed/>
    <w:rsid w:val="00D2094D"/>
    <w:rPr>
      <w:color w:val="605E5C"/>
      <w:shd w:val="clear" w:color="auto" w:fill="E1DFDD"/>
    </w:rPr>
  </w:style>
  <w:style w:type="character" w:styleId="FollowedHyperlink">
    <w:name w:val="FollowedHyperlink"/>
    <w:basedOn w:val="DefaultParagraphFont"/>
    <w:uiPriority w:val="99"/>
    <w:semiHidden/>
    <w:unhideWhenUsed/>
    <w:rsid w:val="00D209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CBFB4-8CC7-4E4F-BB20-A7B3ECC5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1082</Words>
  <Characters>6743</Characters>
  <Application>Microsoft Office Word</Application>
  <DocSecurity>0</DocSecurity>
  <Lines>140</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31</cp:revision>
  <dcterms:created xsi:type="dcterms:W3CDTF">2023-09-04T10:18:00Z</dcterms:created>
  <dcterms:modified xsi:type="dcterms:W3CDTF">2023-10-26T13:31:00Z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9.0, Build 20230317</vt:lpwstr>
  </property>
  <property fmtid="{D5CDD505-2E9C-101B-9397-08002B2CF9AE}" pid="8" name="Created using">
    <vt:lpwstr>LW 7.0.1, Build 20190916</vt:lpwstr>
  </property>
  <property fmtid="{D5CDD505-2E9C-101B-9397-08002B2CF9AE}" pid="9" name="MSIP_Label_6bd9ddd1-4d20-43f6-abfa-fc3c07406f94_Enabled">
    <vt:lpwstr>true</vt:lpwstr>
  </property>
  <property fmtid="{D5CDD505-2E9C-101B-9397-08002B2CF9AE}" pid="10" name="MSIP_Label_6bd9ddd1-4d20-43f6-abfa-fc3c07406f94_SetDate">
    <vt:lpwstr>2022-12-01T16:40:36Z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405d6216-831c-4ea4-aa93-98aef02a92e1</vt:lpwstr>
  </property>
  <property fmtid="{D5CDD505-2E9C-101B-9397-08002B2CF9AE}" pid="15" name="MSIP_Label_6bd9ddd1-4d20-43f6-abfa-fc3c07406f94_ContentBits">
    <vt:lpwstr>0</vt:lpwstr>
  </property>
</Properties>
</file>