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99107" w14:textId="03C26F2C" w:rsidR="00C65BF1" w:rsidRDefault="00475571" w:rsidP="00475571">
      <w:pPr>
        <w:pStyle w:val="Pagedecouverture"/>
        <w:rPr>
          <w:noProof/>
        </w:rPr>
      </w:pPr>
      <w:bookmarkStart w:id="0" w:name="LW_BM_COVERPAGE"/>
      <w:r>
        <w:rPr>
          <w:noProof/>
        </w:rPr>
        <w:pict w14:anchorId="5A2734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alt="22A0F122-DAED-4D5E-92BB-C590AEA0866F" style="width:455.25pt;height:324pt">
            <v:imagedata r:id="rId8" o:title=""/>
          </v:shape>
        </w:pict>
      </w:r>
    </w:p>
    <w:bookmarkEnd w:id="0"/>
    <w:p w14:paraId="4A9D81B3" w14:textId="77777777" w:rsidR="00C65BF1" w:rsidRDefault="00C65BF1" w:rsidP="00C65BF1">
      <w:pPr>
        <w:sectPr w:rsidR="00C65BF1" w:rsidSect="0047557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178586CC" w14:textId="77777777" w:rsidR="00C65BF1" w:rsidRDefault="00C65BF1" w:rsidP="00C65BF1">
      <w:bookmarkStart w:id="1" w:name="_GoBack"/>
      <w:bookmarkEnd w:id="1"/>
    </w:p>
    <w:sdt>
      <w:sdtPr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id w:val="13196919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891009F" w14:textId="77777777" w:rsidR="00C65BF1" w:rsidRPr="00E77588" w:rsidRDefault="00C65BF1" w:rsidP="00C65BF1">
          <w:pPr>
            <w:pStyle w:val="TOCHeading"/>
            <w:rPr>
              <w:rStyle w:val="Heading1Char"/>
              <w:rFonts w:ascii="Times New Roman" w:hAnsi="Times New Roman" w:cs="Times New Roman"/>
              <w:sz w:val="24"/>
              <w:szCs w:val="24"/>
            </w:rPr>
          </w:pPr>
          <w:r>
            <w:rPr>
              <w:rStyle w:val="Heading1Char"/>
              <w:rFonts w:ascii="Times New Roman" w:hAnsi="Times New Roman"/>
              <w:sz w:val="24"/>
            </w:rPr>
            <w:t>Índice</w:t>
          </w:r>
        </w:p>
        <w:p w14:paraId="6DD1BCA9" w14:textId="77777777" w:rsidR="00C65BF1" w:rsidRPr="00E77588" w:rsidRDefault="00C65BF1" w:rsidP="00C65BF1">
          <w:pPr>
            <w:rPr>
              <w:rFonts w:ascii="Times New Roman" w:hAnsi="Times New Roman" w:cs="Times New Roman"/>
            </w:rPr>
          </w:pPr>
        </w:p>
        <w:p w14:paraId="6F09567D" w14:textId="3DCB7AAE" w:rsidR="00F02BA2" w:rsidRDefault="00C65BF1">
          <w:pPr>
            <w:pStyle w:val="TOC1"/>
            <w:tabs>
              <w:tab w:val="right" w:leader="dot" w:pos="9063"/>
            </w:tabs>
            <w:rPr>
              <w:rFonts w:eastAsiaTheme="minorEastAsia"/>
              <w:lang w:eastAsia="es-ES"/>
            </w:rPr>
          </w:pP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TOC \o "1-3" \h \z \u </w:instrText>
          </w:r>
          <w:r>
            <w:rPr>
              <w:rFonts w:ascii="Times New Roman" w:hAnsi="Times New Roman" w:cs="Times New Roman"/>
            </w:rPr>
            <w:fldChar w:fldCharType="separate"/>
          </w:r>
          <w:hyperlink w:anchor="_Toc146121243" w:history="1">
            <w:r w:rsidR="00F02BA2" w:rsidRPr="002548AE">
              <w:rPr>
                <w:rStyle w:val="Hyperlink"/>
              </w:rPr>
              <w:t>RESUMEN</w:t>
            </w:r>
            <w:r w:rsidR="00F02BA2">
              <w:rPr>
                <w:webHidden/>
              </w:rPr>
              <w:tab/>
            </w:r>
            <w:r w:rsidR="00F02BA2">
              <w:rPr>
                <w:webHidden/>
              </w:rPr>
              <w:fldChar w:fldCharType="begin"/>
            </w:r>
            <w:r w:rsidR="00F02BA2">
              <w:rPr>
                <w:webHidden/>
              </w:rPr>
              <w:instrText xml:space="preserve"> PAGEREF _Toc146121243 \h </w:instrText>
            </w:r>
            <w:r w:rsidR="00F02BA2">
              <w:rPr>
                <w:webHidden/>
              </w:rPr>
            </w:r>
            <w:r w:rsidR="00F02BA2">
              <w:rPr>
                <w:webHidden/>
              </w:rPr>
              <w:fldChar w:fldCharType="separate"/>
            </w:r>
            <w:r w:rsidR="00F02BA2">
              <w:rPr>
                <w:webHidden/>
              </w:rPr>
              <w:t>2</w:t>
            </w:r>
            <w:r w:rsidR="00F02BA2">
              <w:rPr>
                <w:webHidden/>
              </w:rPr>
              <w:fldChar w:fldCharType="end"/>
            </w:r>
          </w:hyperlink>
        </w:p>
        <w:p w14:paraId="5447EF92" w14:textId="6A13F642" w:rsidR="00F02BA2" w:rsidRDefault="00475571">
          <w:pPr>
            <w:pStyle w:val="TOC1"/>
            <w:tabs>
              <w:tab w:val="left" w:pos="440"/>
              <w:tab w:val="right" w:leader="dot" w:pos="9063"/>
            </w:tabs>
            <w:rPr>
              <w:rFonts w:eastAsiaTheme="minorEastAsia"/>
              <w:lang w:eastAsia="es-ES"/>
            </w:rPr>
          </w:pPr>
          <w:hyperlink w:anchor="_Toc146121244" w:history="1">
            <w:r w:rsidR="00F02BA2" w:rsidRPr="002548AE">
              <w:rPr>
                <w:rStyle w:val="Hyperlink"/>
              </w:rPr>
              <w:t>1</w:t>
            </w:r>
            <w:r w:rsidR="00F02BA2">
              <w:rPr>
                <w:rFonts w:eastAsiaTheme="minorEastAsia"/>
                <w:lang w:eastAsia="es-ES"/>
              </w:rPr>
              <w:tab/>
            </w:r>
            <w:r w:rsidR="00F02BA2" w:rsidRPr="002548AE">
              <w:rPr>
                <w:rStyle w:val="Hyperlink"/>
              </w:rPr>
              <w:t>CONTEXTO</w:t>
            </w:r>
            <w:r w:rsidR="00F02BA2">
              <w:rPr>
                <w:webHidden/>
              </w:rPr>
              <w:tab/>
            </w:r>
            <w:r w:rsidR="00F02BA2">
              <w:rPr>
                <w:webHidden/>
              </w:rPr>
              <w:fldChar w:fldCharType="begin"/>
            </w:r>
            <w:r w:rsidR="00F02BA2">
              <w:rPr>
                <w:webHidden/>
              </w:rPr>
              <w:instrText xml:space="preserve"> PAGEREF _Toc146121244 \h </w:instrText>
            </w:r>
            <w:r w:rsidR="00F02BA2">
              <w:rPr>
                <w:webHidden/>
              </w:rPr>
            </w:r>
            <w:r w:rsidR="00F02BA2">
              <w:rPr>
                <w:webHidden/>
              </w:rPr>
              <w:fldChar w:fldCharType="separate"/>
            </w:r>
            <w:r w:rsidR="00F02BA2">
              <w:rPr>
                <w:webHidden/>
              </w:rPr>
              <w:t>3</w:t>
            </w:r>
            <w:r w:rsidR="00F02BA2">
              <w:rPr>
                <w:webHidden/>
              </w:rPr>
              <w:fldChar w:fldCharType="end"/>
            </w:r>
          </w:hyperlink>
        </w:p>
        <w:p w14:paraId="66BE9F1C" w14:textId="4D584416" w:rsidR="00F02BA2" w:rsidRDefault="00475571">
          <w:pPr>
            <w:pStyle w:val="TOC1"/>
            <w:tabs>
              <w:tab w:val="left" w:pos="440"/>
              <w:tab w:val="right" w:leader="dot" w:pos="9063"/>
            </w:tabs>
            <w:rPr>
              <w:rFonts w:eastAsiaTheme="minorEastAsia"/>
              <w:lang w:eastAsia="es-ES"/>
            </w:rPr>
          </w:pPr>
          <w:hyperlink w:anchor="_Toc146121245" w:history="1">
            <w:r w:rsidR="00F02BA2" w:rsidRPr="002548AE">
              <w:rPr>
                <w:rStyle w:val="Hyperlink"/>
              </w:rPr>
              <w:t>2</w:t>
            </w:r>
            <w:r w:rsidR="00F02BA2">
              <w:rPr>
                <w:rFonts w:eastAsiaTheme="minorEastAsia"/>
                <w:lang w:eastAsia="es-ES"/>
              </w:rPr>
              <w:tab/>
            </w:r>
            <w:r w:rsidR="00F02BA2" w:rsidRPr="002548AE">
              <w:rPr>
                <w:rStyle w:val="Hyperlink"/>
              </w:rPr>
              <w:t>INSTALACIONES DE IRRADIACIÓN AUTORIZADAS</w:t>
            </w:r>
            <w:r w:rsidR="00F02BA2">
              <w:rPr>
                <w:webHidden/>
              </w:rPr>
              <w:tab/>
            </w:r>
            <w:r w:rsidR="00F02BA2">
              <w:rPr>
                <w:webHidden/>
              </w:rPr>
              <w:fldChar w:fldCharType="begin"/>
            </w:r>
            <w:r w:rsidR="00F02BA2">
              <w:rPr>
                <w:webHidden/>
              </w:rPr>
              <w:instrText xml:space="preserve"> PAGEREF _Toc146121245 \h </w:instrText>
            </w:r>
            <w:r w:rsidR="00F02BA2">
              <w:rPr>
                <w:webHidden/>
              </w:rPr>
            </w:r>
            <w:r w:rsidR="00F02BA2">
              <w:rPr>
                <w:webHidden/>
              </w:rPr>
              <w:fldChar w:fldCharType="separate"/>
            </w:r>
            <w:r w:rsidR="00F02BA2">
              <w:rPr>
                <w:webHidden/>
              </w:rPr>
              <w:t>3</w:t>
            </w:r>
            <w:r w:rsidR="00F02BA2">
              <w:rPr>
                <w:webHidden/>
              </w:rPr>
              <w:fldChar w:fldCharType="end"/>
            </w:r>
          </w:hyperlink>
        </w:p>
        <w:p w14:paraId="39EAE4AA" w14:textId="5A0ACDEA" w:rsidR="00F02BA2" w:rsidRDefault="00475571">
          <w:pPr>
            <w:pStyle w:val="TOC1"/>
            <w:tabs>
              <w:tab w:val="left" w:pos="440"/>
              <w:tab w:val="right" w:leader="dot" w:pos="9063"/>
            </w:tabs>
            <w:rPr>
              <w:rFonts w:eastAsiaTheme="minorEastAsia"/>
              <w:lang w:eastAsia="es-ES"/>
            </w:rPr>
          </w:pPr>
          <w:hyperlink w:anchor="_Toc146121246" w:history="1">
            <w:r w:rsidR="00F02BA2" w:rsidRPr="002548AE">
              <w:rPr>
                <w:rStyle w:val="Hyperlink"/>
              </w:rPr>
              <w:t>3</w:t>
            </w:r>
            <w:r w:rsidR="00F02BA2">
              <w:rPr>
                <w:rFonts w:eastAsiaTheme="minorEastAsia"/>
                <w:lang w:eastAsia="es-ES"/>
              </w:rPr>
              <w:tab/>
            </w:r>
            <w:r w:rsidR="00F02BA2" w:rsidRPr="002548AE">
              <w:rPr>
                <w:rStyle w:val="Hyperlink"/>
              </w:rPr>
              <w:t>RESULTADOS DE LOS CONTROLES EFECTUADOS EN INSTALACIONES DE IRRADIACIÓN EN EL PERÍODO 2020-2021</w:t>
            </w:r>
            <w:r w:rsidR="00F02BA2">
              <w:rPr>
                <w:webHidden/>
              </w:rPr>
              <w:tab/>
            </w:r>
            <w:r w:rsidR="00F02BA2">
              <w:rPr>
                <w:webHidden/>
              </w:rPr>
              <w:fldChar w:fldCharType="begin"/>
            </w:r>
            <w:r w:rsidR="00F02BA2">
              <w:rPr>
                <w:webHidden/>
              </w:rPr>
              <w:instrText xml:space="preserve"> PAGEREF _Toc146121246 \h </w:instrText>
            </w:r>
            <w:r w:rsidR="00F02BA2">
              <w:rPr>
                <w:webHidden/>
              </w:rPr>
            </w:r>
            <w:r w:rsidR="00F02BA2">
              <w:rPr>
                <w:webHidden/>
              </w:rPr>
              <w:fldChar w:fldCharType="separate"/>
            </w:r>
            <w:r w:rsidR="00F02BA2">
              <w:rPr>
                <w:webHidden/>
              </w:rPr>
              <w:t>4</w:t>
            </w:r>
            <w:r w:rsidR="00F02BA2">
              <w:rPr>
                <w:webHidden/>
              </w:rPr>
              <w:fldChar w:fldCharType="end"/>
            </w:r>
          </w:hyperlink>
        </w:p>
        <w:p w14:paraId="03533264" w14:textId="14D3195B" w:rsidR="00F02BA2" w:rsidRDefault="00475571">
          <w:pPr>
            <w:pStyle w:val="TOC1"/>
            <w:tabs>
              <w:tab w:val="left" w:pos="440"/>
              <w:tab w:val="right" w:leader="dot" w:pos="9063"/>
            </w:tabs>
            <w:rPr>
              <w:rFonts w:eastAsiaTheme="minorEastAsia"/>
              <w:lang w:eastAsia="es-ES"/>
            </w:rPr>
          </w:pPr>
          <w:hyperlink w:anchor="_Toc146121247" w:history="1">
            <w:r w:rsidR="00F02BA2" w:rsidRPr="002548AE">
              <w:rPr>
                <w:rStyle w:val="Hyperlink"/>
              </w:rPr>
              <w:t>4</w:t>
            </w:r>
            <w:r w:rsidR="00F02BA2">
              <w:rPr>
                <w:rFonts w:eastAsiaTheme="minorEastAsia"/>
                <w:lang w:eastAsia="es-ES"/>
              </w:rPr>
              <w:tab/>
            </w:r>
            <w:r w:rsidR="00F02BA2" w:rsidRPr="002548AE">
              <w:rPr>
                <w:rStyle w:val="Hyperlink"/>
              </w:rPr>
              <w:t>RESULTADOS DE LOS CONTROLES EN LA FASE DE COMERCIALIZACIÓN DE LOS PRODUCTOS</w:t>
            </w:r>
            <w:r w:rsidR="00F02BA2">
              <w:rPr>
                <w:webHidden/>
              </w:rPr>
              <w:tab/>
            </w:r>
            <w:r w:rsidR="00F02BA2">
              <w:rPr>
                <w:webHidden/>
              </w:rPr>
              <w:fldChar w:fldCharType="begin"/>
            </w:r>
            <w:r w:rsidR="00F02BA2">
              <w:rPr>
                <w:webHidden/>
              </w:rPr>
              <w:instrText xml:space="preserve"> PAGEREF _Toc146121247 \h </w:instrText>
            </w:r>
            <w:r w:rsidR="00F02BA2">
              <w:rPr>
                <w:webHidden/>
              </w:rPr>
            </w:r>
            <w:r w:rsidR="00F02BA2">
              <w:rPr>
                <w:webHidden/>
              </w:rPr>
              <w:fldChar w:fldCharType="separate"/>
            </w:r>
            <w:r w:rsidR="00F02BA2">
              <w:rPr>
                <w:webHidden/>
              </w:rPr>
              <w:t>5</w:t>
            </w:r>
            <w:r w:rsidR="00F02BA2">
              <w:rPr>
                <w:webHidden/>
              </w:rPr>
              <w:fldChar w:fldCharType="end"/>
            </w:r>
          </w:hyperlink>
        </w:p>
        <w:p w14:paraId="31D4A67B" w14:textId="29C0D7A2" w:rsidR="00C65BF1" w:rsidRDefault="00C65BF1" w:rsidP="00C65BF1">
          <w:r>
            <w:rPr>
              <w:rFonts w:ascii="Times New Roman" w:hAnsi="Times New Roman" w:cs="Times New Roman"/>
              <w:b/>
            </w:rPr>
            <w:fldChar w:fldCharType="end"/>
          </w:r>
        </w:p>
      </w:sdtContent>
    </w:sdt>
    <w:p w14:paraId="13369E68" w14:textId="77777777" w:rsidR="00C65BF1" w:rsidRDefault="00C65BF1" w:rsidP="00C65BF1">
      <w:r>
        <w:br w:type="page"/>
      </w:r>
    </w:p>
    <w:p w14:paraId="3167B10E" w14:textId="77777777" w:rsidR="00C65BF1" w:rsidRDefault="00C65BF1" w:rsidP="00C65BF1">
      <w:pPr>
        <w:pStyle w:val="Heading1"/>
        <w:numPr>
          <w:ilvl w:val="0"/>
          <w:numId w:val="0"/>
        </w:numPr>
        <w:ind w:left="432" w:hanging="432"/>
      </w:pPr>
      <w:bookmarkStart w:id="2" w:name="_Toc146121243"/>
      <w:r>
        <w:t>RESUMEN</w:t>
      </w:r>
      <w:bookmarkEnd w:id="2"/>
    </w:p>
    <w:p w14:paraId="7200458B" w14:textId="77777777" w:rsidR="00C65BF1" w:rsidRPr="0050668B" w:rsidRDefault="00C65BF1" w:rsidP="00C65BF1">
      <w:pPr>
        <w:pStyle w:val="Text1"/>
        <w:spacing w:after="0"/>
        <w:rPr>
          <w:noProof/>
        </w:rPr>
      </w:pPr>
      <w:r>
        <w:rPr>
          <w:noProof/>
        </w:rPr>
        <w:t>De conformidad con el artículo 7, apartado 3, de la Directiva 1999/2/CE del Parlamento Europeo y del Consejo, de 22 de febrero de 1999, relativa a la aproximación de las legislaciones de los Estados miembros sobre alimentos e ingredientes alimentarios tratados con radiaciones ionizantes</w:t>
      </w:r>
      <w:r>
        <w:rPr>
          <w:rStyle w:val="FootnoteReference"/>
          <w:rFonts w:eastAsiaTheme="majorEastAsia"/>
          <w:noProof/>
        </w:rPr>
        <w:footnoteReference w:id="1"/>
      </w:r>
      <w:r>
        <w:rPr>
          <w:noProof/>
        </w:rPr>
        <w:t xml:space="preserve">, los Estados miembros deben comunicar a la Comisión cada año: </w:t>
      </w:r>
    </w:p>
    <w:p w14:paraId="0F78CF13" w14:textId="77777777" w:rsidR="00C65BF1" w:rsidRDefault="00C65BF1" w:rsidP="00C65BF1">
      <w:pPr>
        <w:pStyle w:val="Text1"/>
        <w:spacing w:after="0"/>
        <w:rPr>
          <w:noProof/>
        </w:rPr>
      </w:pPr>
      <w:r>
        <w:rPr>
          <w:noProof/>
        </w:rPr>
        <w:t>–</w:t>
      </w:r>
      <w:r>
        <w:rPr>
          <w:noProof/>
        </w:rPr>
        <w:tab/>
        <w:t xml:space="preserve">los resultados de los controles efectuados en las instalaciones de irradiación ionizante, en particular, respecto a las categorías y cantidades de productos alimenticios tratados y a las dosis administradas; y </w:t>
      </w:r>
    </w:p>
    <w:p w14:paraId="28ACBCD5" w14:textId="77777777" w:rsidR="00C65BF1" w:rsidRDefault="00C65BF1" w:rsidP="00C65BF1">
      <w:pPr>
        <w:pStyle w:val="Text1"/>
        <w:spacing w:after="0"/>
        <w:rPr>
          <w:noProof/>
        </w:rPr>
      </w:pPr>
      <w:r>
        <w:rPr>
          <w:noProof/>
        </w:rPr>
        <w:t>–</w:t>
      </w:r>
      <w:r>
        <w:rPr>
          <w:noProof/>
        </w:rPr>
        <w:tab/>
        <w:t xml:space="preserve">los resultados de los controles efectuados en la fase de comercialización del producto. </w:t>
      </w:r>
    </w:p>
    <w:p w14:paraId="6FE11999" w14:textId="6A283F99" w:rsidR="00C65BF1" w:rsidRDefault="00C65BF1" w:rsidP="00C65BF1">
      <w:pPr>
        <w:pStyle w:val="Text1"/>
        <w:spacing w:after="0"/>
        <w:rPr>
          <w:noProof/>
        </w:rPr>
      </w:pPr>
      <w:r>
        <w:rPr>
          <w:noProof/>
        </w:rPr>
        <w:t xml:space="preserve">Conforme al artículo 7, apartado 4, de dicha Directiva, la Comisión debe publicar en el </w:t>
      </w:r>
      <w:r>
        <w:rPr>
          <w:i/>
          <w:iCs/>
          <w:noProof/>
        </w:rPr>
        <w:t>Diario Oficial de la Unión Europea</w:t>
      </w:r>
      <w:r>
        <w:rPr>
          <w:noProof/>
        </w:rPr>
        <w:t xml:space="preserve"> un informe basado en las informaciones facilitadas cada año por las autoridades nacionales de control. </w:t>
      </w:r>
    </w:p>
    <w:p w14:paraId="299FF958" w14:textId="50541478" w:rsidR="00C65BF1" w:rsidRDefault="00C65BF1" w:rsidP="00C65BF1">
      <w:pPr>
        <w:pStyle w:val="Text1"/>
        <w:spacing w:after="0"/>
        <w:rPr>
          <w:noProof/>
        </w:rPr>
      </w:pPr>
      <w:r>
        <w:rPr>
          <w:noProof/>
        </w:rPr>
        <w:t>El presente informe se refiere al período comprendido entre el 1 de enero de 2020 y el 31 de diciembre de 2021, y recopila la información comunicada a la Comisión por los Estados miembros de la UE y por Irlanda del Norte. Los países de la AELC no presentaron ningún dato en 2020 y 2021.</w:t>
      </w:r>
    </w:p>
    <w:p w14:paraId="792D7B0F" w14:textId="01807D26" w:rsidR="00C65BF1" w:rsidRDefault="00C65BF1" w:rsidP="00C65BF1">
      <w:pPr>
        <w:pStyle w:val="Text1"/>
        <w:spacing w:after="0"/>
        <w:rPr>
          <w:noProof/>
        </w:rPr>
      </w:pPr>
      <w:r>
        <w:rPr>
          <w:noProof/>
        </w:rPr>
        <w:t xml:space="preserve">Período: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Del 1 de enero de 2020 al 31 de diciembre de 2021</w:t>
      </w:r>
    </w:p>
    <w:p w14:paraId="60D6E356" w14:textId="1B4EB6A2" w:rsidR="00C65BF1" w:rsidRPr="00EA550D" w:rsidRDefault="00C65BF1" w:rsidP="00C65BF1">
      <w:pPr>
        <w:pStyle w:val="Text1"/>
        <w:spacing w:after="0"/>
        <w:rPr>
          <w:noProof/>
        </w:rPr>
      </w:pPr>
      <w:r>
        <w:rPr>
          <w:noProof/>
        </w:rPr>
        <w:t>Países afectados: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Los 27 Estados miembros de la UE e Irlanda del Norte</w:t>
      </w:r>
    </w:p>
    <w:p w14:paraId="52D7C381" w14:textId="77777777" w:rsidR="00C65BF1" w:rsidRPr="00F711ED" w:rsidRDefault="00C65BF1" w:rsidP="00C65BF1">
      <w:pPr>
        <w:pStyle w:val="Text1"/>
        <w:spacing w:after="0"/>
        <w:rPr>
          <w:b/>
          <w:noProof/>
        </w:rPr>
      </w:pPr>
      <w:r>
        <w:rPr>
          <w:b/>
          <w:noProof/>
        </w:rPr>
        <w:t>Instalaciones de irradiación:</w:t>
      </w:r>
    </w:p>
    <w:p w14:paraId="3A740E3F" w14:textId="75E754BF" w:rsidR="00C65BF1" w:rsidRDefault="00C65BF1" w:rsidP="00C65BF1">
      <w:pPr>
        <w:pStyle w:val="Text1"/>
        <w:spacing w:after="0"/>
        <w:rPr>
          <w:noProof/>
        </w:rPr>
      </w:pPr>
      <w:r>
        <w:rPr>
          <w:noProof/>
        </w:rPr>
        <w:t>–</w:t>
      </w:r>
      <w:r>
        <w:rPr>
          <w:noProof/>
        </w:rPr>
        <w:tab/>
        <w:t>Número de países equipados:</w:t>
      </w:r>
      <w:r>
        <w:rPr>
          <w:noProof/>
        </w:rPr>
        <w:tab/>
      </w:r>
      <w:r w:rsidR="00F02BA2">
        <w:rPr>
          <w:noProof/>
        </w:rPr>
        <w:tab/>
      </w:r>
      <w:r w:rsidR="00F02BA2">
        <w:rPr>
          <w:noProof/>
        </w:rPr>
        <w:tab/>
      </w:r>
      <w:r>
        <w:rPr>
          <w:noProof/>
        </w:rPr>
        <w:t xml:space="preserve">13 Estados miembros y Noruega </w:t>
      </w:r>
    </w:p>
    <w:p w14:paraId="11534D53" w14:textId="46AB0864" w:rsidR="00C65BF1" w:rsidRPr="000D18BE" w:rsidRDefault="00C65BF1" w:rsidP="00C65BF1">
      <w:pPr>
        <w:pStyle w:val="Text1"/>
        <w:spacing w:after="0"/>
        <w:rPr>
          <w:noProof/>
        </w:rPr>
      </w:pPr>
      <w:r>
        <w:rPr>
          <w:noProof/>
        </w:rPr>
        <w:t>–</w:t>
      </w:r>
      <w:r>
        <w:rPr>
          <w:noProof/>
        </w:rPr>
        <w:tab/>
        <w:t>Número de instalaciones autorizadas:</w:t>
      </w:r>
      <w:r>
        <w:rPr>
          <w:noProof/>
        </w:rPr>
        <w:tab/>
      </w:r>
      <w:r w:rsidR="00F02BA2">
        <w:rPr>
          <w:noProof/>
        </w:rPr>
        <w:tab/>
      </w:r>
      <w:r>
        <w:rPr>
          <w:noProof/>
        </w:rPr>
        <w:t xml:space="preserve">22 </w:t>
      </w:r>
    </w:p>
    <w:p w14:paraId="43CA12BD" w14:textId="77777777" w:rsidR="00C65BF1" w:rsidRPr="000D18BE" w:rsidRDefault="00C65BF1" w:rsidP="00C65BF1">
      <w:pPr>
        <w:pStyle w:val="Text1"/>
        <w:spacing w:after="0"/>
        <w:rPr>
          <w:noProof/>
        </w:rPr>
      </w:pPr>
      <w:r>
        <w:rPr>
          <w:noProof/>
        </w:rPr>
        <w:t>–</w:t>
      </w:r>
      <w:r>
        <w:rPr>
          <w:noProof/>
        </w:rPr>
        <w:tab/>
        <w:t>Número de instalaciones cerradas:</w:t>
      </w:r>
      <w:r>
        <w:rPr>
          <w:noProof/>
        </w:rPr>
        <w:tab/>
      </w:r>
      <w:r>
        <w:rPr>
          <w:noProof/>
        </w:rPr>
        <w:tab/>
        <w:t>0</w:t>
      </w:r>
    </w:p>
    <w:p w14:paraId="3A3DAF3B" w14:textId="2A6DB879" w:rsidR="00C65BF1" w:rsidRDefault="00C65BF1" w:rsidP="00C65BF1">
      <w:pPr>
        <w:pStyle w:val="Text1"/>
        <w:spacing w:after="0"/>
        <w:rPr>
          <w:noProof/>
        </w:rPr>
      </w:pPr>
      <w:r>
        <w:rPr>
          <w:noProof/>
        </w:rPr>
        <w:t>–</w:t>
      </w:r>
      <w:r>
        <w:rPr>
          <w:noProof/>
        </w:rPr>
        <w:tab/>
        <w:t>Número de países que irradian:</w:t>
      </w:r>
      <w:r>
        <w:rPr>
          <w:noProof/>
        </w:rPr>
        <w:tab/>
      </w:r>
      <w:r w:rsidR="00F02BA2">
        <w:rPr>
          <w:noProof/>
        </w:rPr>
        <w:tab/>
      </w:r>
      <w:r>
        <w:rPr>
          <w:noProof/>
        </w:rPr>
        <w:t>10 Estados miembros</w:t>
      </w:r>
    </w:p>
    <w:p w14:paraId="6B784AB7" w14:textId="77777777" w:rsidR="00C65BF1" w:rsidRPr="00F711ED" w:rsidRDefault="00C65BF1" w:rsidP="00C65BF1">
      <w:pPr>
        <w:pStyle w:val="Text1"/>
        <w:spacing w:after="0"/>
        <w:rPr>
          <w:b/>
          <w:noProof/>
        </w:rPr>
      </w:pPr>
      <w:r>
        <w:rPr>
          <w:b/>
          <w:noProof/>
        </w:rPr>
        <w:t>Datos de tratamiento:</w:t>
      </w:r>
    </w:p>
    <w:p w14:paraId="00D737FC" w14:textId="0FC7779D" w:rsidR="00C65BF1" w:rsidRDefault="00C65BF1" w:rsidP="00C65BF1">
      <w:pPr>
        <w:pStyle w:val="Text1"/>
        <w:spacing w:after="0"/>
        <w:rPr>
          <w:noProof/>
        </w:rPr>
      </w:pPr>
      <w:r>
        <w:rPr>
          <w:noProof/>
        </w:rPr>
        <w:t>–</w:t>
      </w:r>
      <w:r>
        <w:rPr>
          <w:noProof/>
        </w:rPr>
        <w:tab/>
        <w:t>Cantidad de productos tratados:</w:t>
      </w:r>
      <w:r>
        <w:rPr>
          <w:noProof/>
        </w:rPr>
        <w:tab/>
      </w:r>
      <w:r>
        <w:rPr>
          <w:noProof/>
        </w:rPr>
        <w:tab/>
        <w:t>5 029,1 toneladas (– 35,8 % en comparación con el período 2018-2019)</w:t>
      </w:r>
    </w:p>
    <w:p w14:paraId="5B8B686E" w14:textId="47DE59F2" w:rsidR="00C65BF1" w:rsidRDefault="00C65BF1" w:rsidP="00C65BF1">
      <w:pPr>
        <w:pStyle w:val="Text1"/>
        <w:spacing w:after="0"/>
        <w:rPr>
          <w:noProof/>
        </w:rPr>
      </w:pPr>
      <w:r>
        <w:rPr>
          <w:noProof/>
        </w:rPr>
        <w:t>–</w:t>
      </w:r>
      <w:r>
        <w:rPr>
          <w:noProof/>
        </w:rPr>
        <w:tab/>
        <w:t>Principales productos tratados:</w:t>
      </w:r>
      <w:r>
        <w:rPr>
          <w:noProof/>
        </w:rPr>
        <w:tab/>
      </w:r>
      <w:r>
        <w:rPr>
          <w:noProof/>
        </w:rPr>
        <w:tab/>
        <w:t>«ancas de rana» (76,4 %), «carne de aves de corral» (11,9 %) y «hierbas aromáticas, especias y condimentos vegetales secos» (11,6 %)</w:t>
      </w:r>
    </w:p>
    <w:p w14:paraId="0E323269" w14:textId="42128AFD" w:rsidR="00C65BF1" w:rsidRDefault="00C65BF1" w:rsidP="00C65BF1">
      <w:pPr>
        <w:pStyle w:val="Text1"/>
        <w:spacing w:after="0"/>
        <w:rPr>
          <w:noProof/>
        </w:rPr>
      </w:pPr>
      <w:r>
        <w:rPr>
          <w:noProof/>
        </w:rPr>
        <w:t>–</w:t>
      </w:r>
      <w:r>
        <w:rPr>
          <w:noProof/>
        </w:rPr>
        <w:tab/>
        <w:t xml:space="preserve">Principal lugar de irradiación:  </w:t>
      </w:r>
      <w:r>
        <w:rPr>
          <w:noProof/>
        </w:rPr>
        <w:tab/>
      </w:r>
      <w:r>
        <w:rPr>
          <w:noProof/>
        </w:rPr>
        <w:tab/>
        <w:t>Bélgica (83 %)</w:t>
      </w:r>
    </w:p>
    <w:p w14:paraId="36C49B0B" w14:textId="77777777" w:rsidR="00C65BF1" w:rsidRPr="00F711ED" w:rsidRDefault="00C65BF1" w:rsidP="00C65BF1">
      <w:pPr>
        <w:pStyle w:val="Text1"/>
        <w:spacing w:after="0"/>
        <w:rPr>
          <w:b/>
          <w:noProof/>
        </w:rPr>
      </w:pPr>
      <w:r>
        <w:rPr>
          <w:b/>
          <w:noProof/>
        </w:rPr>
        <w:t>Controles en la fase de comercialización:</w:t>
      </w:r>
    </w:p>
    <w:p w14:paraId="2F7CD7FA" w14:textId="5EB24EB2" w:rsidR="00C65BF1" w:rsidRDefault="00C65BF1" w:rsidP="00C65BF1">
      <w:pPr>
        <w:pStyle w:val="Text1"/>
        <w:spacing w:after="0"/>
        <w:rPr>
          <w:noProof/>
        </w:rPr>
      </w:pPr>
      <w:r>
        <w:rPr>
          <w:noProof/>
        </w:rPr>
        <w:t>–</w:t>
      </w:r>
      <w:r>
        <w:rPr>
          <w:noProof/>
        </w:rPr>
        <w:tab/>
        <w:t>Número de muestras analizadas:</w:t>
      </w:r>
      <w:r>
        <w:rPr>
          <w:noProof/>
        </w:rPr>
        <w:tab/>
      </w:r>
      <w:r>
        <w:rPr>
          <w:noProof/>
        </w:rPr>
        <w:tab/>
        <w:t>7 667</w:t>
      </w:r>
    </w:p>
    <w:p w14:paraId="637669A2" w14:textId="4E4AD31F" w:rsidR="00C65BF1" w:rsidRDefault="00C65BF1" w:rsidP="00C65BF1">
      <w:pPr>
        <w:pStyle w:val="Text1"/>
        <w:spacing w:after="0"/>
        <w:rPr>
          <w:noProof/>
        </w:rPr>
      </w:pPr>
      <w:r>
        <w:rPr>
          <w:noProof/>
        </w:rPr>
        <w:t>–</w:t>
      </w:r>
      <w:r>
        <w:rPr>
          <w:noProof/>
        </w:rPr>
        <w:tab/>
        <w:t>Número de muestras no conformes:</w:t>
      </w:r>
      <w:r>
        <w:rPr>
          <w:noProof/>
        </w:rPr>
        <w:tab/>
      </w:r>
      <w:r w:rsidR="00F02BA2">
        <w:rPr>
          <w:noProof/>
        </w:rPr>
        <w:tab/>
      </w:r>
      <w:r>
        <w:rPr>
          <w:noProof/>
        </w:rPr>
        <w:t>66 (0,9 %)</w:t>
      </w:r>
    </w:p>
    <w:p w14:paraId="50BF678F" w14:textId="06C8F476" w:rsidR="00C65BF1" w:rsidRPr="00B83E36" w:rsidRDefault="00C65BF1" w:rsidP="00C65BF1">
      <w:pPr>
        <w:pStyle w:val="Text1"/>
        <w:spacing w:after="0"/>
        <w:rPr>
          <w:noProof/>
        </w:rPr>
      </w:pPr>
      <w:r>
        <w:rPr>
          <w:noProof/>
        </w:rPr>
        <w:t>–</w:t>
      </w:r>
      <w:r>
        <w:rPr>
          <w:noProof/>
        </w:rPr>
        <w:tab/>
        <w:t>Principales productos analizados:</w:t>
      </w:r>
      <w:r>
        <w:rPr>
          <w:noProof/>
        </w:rPr>
        <w:tab/>
      </w:r>
      <w:r>
        <w:rPr>
          <w:noProof/>
        </w:rPr>
        <w:tab/>
        <w:t xml:space="preserve">«hierbas y especias» (43,84 %) y «cereales, semillas, hortalizas, frutas y otros frutos y sus productos» (25,98 %) </w:t>
      </w:r>
    </w:p>
    <w:p w14:paraId="59F4AE84" w14:textId="77777777" w:rsidR="00C65BF1" w:rsidRDefault="00C65BF1" w:rsidP="00C65BF1">
      <w:pPr>
        <w:pStyle w:val="Heading1"/>
        <w:tabs>
          <w:tab w:val="num" w:pos="623"/>
          <w:tab w:val="left" w:pos="2107"/>
        </w:tabs>
        <w:ind w:left="480" w:hanging="480"/>
      </w:pPr>
      <w:bookmarkStart w:id="3" w:name="_Toc146121244"/>
      <w:r>
        <w:t>CONTEXTO</w:t>
      </w:r>
      <w:bookmarkEnd w:id="3"/>
    </w:p>
    <w:p w14:paraId="1AD7E86E" w14:textId="1B4BC593" w:rsidR="00C65BF1" w:rsidRPr="0050668B" w:rsidRDefault="00C65BF1" w:rsidP="00C65BF1">
      <w:pPr>
        <w:pStyle w:val="Text1"/>
        <w:spacing w:after="0"/>
        <w:rPr>
          <w:noProof/>
        </w:rPr>
      </w:pPr>
      <w:r>
        <w:rPr>
          <w:noProof/>
        </w:rPr>
        <w:t xml:space="preserve">La irradiación de los alimentos es el tratamiento de los productos alimenticios con un determinado tipo de energía radiante denominada radiación ionizante. La energía radiante tiene diferentes longitudes de onda y grados de potencia, y desaparece cuando se retira la fuente de energía. La irradiación se utiliza con fines sanitarios y fitosanitarios para matar bacterias patógenas (entre otras, </w:t>
      </w:r>
      <w:r>
        <w:rPr>
          <w:i/>
          <w:iCs/>
          <w:noProof/>
        </w:rPr>
        <w:t>Salmonella</w:t>
      </w:r>
      <w:r>
        <w:rPr>
          <w:noProof/>
        </w:rPr>
        <w:t xml:space="preserve">, </w:t>
      </w:r>
      <w:r>
        <w:rPr>
          <w:i/>
          <w:iCs/>
          <w:noProof/>
        </w:rPr>
        <w:t>Campylobacter</w:t>
      </w:r>
      <w:r>
        <w:rPr>
          <w:noProof/>
        </w:rPr>
        <w:t xml:space="preserve"> y </w:t>
      </w:r>
      <w:r>
        <w:rPr>
          <w:i/>
          <w:iCs/>
          <w:noProof/>
        </w:rPr>
        <w:t>E. coli</w:t>
      </w:r>
      <w:r>
        <w:rPr>
          <w:noProof/>
        </w:rPr>
        <w:t>) que pueden causar intoxicación alimentaria, así como para eliminar organismos nocivos para los vegetales o productos vegetales, como los insectos y otras plagas. Se utiliza asimismo para retrasar la maduración de las frutas, evitar que las hortalizas (como las cebollas y las patatas) broten o germinen y, en última instancia, para prolongar el tiempo de conservación de los productos alimenticios. La irradiación de los alimentos no puede sustituir a su manipulación adecuada, y los alimentos irradiados requieren una refrigeración apropiada y, en su caso, ser sometidos a cocción antes de su consumo.</w:t>
      </w:r>
    </w:p>
    <w:p w14:paraId="67FC7BB5" w14:textId="77777777" w:rsidR="00C65BF1" w:rsidRDefault="00C65BF1" w:rsidP="00C65BF1">
      <w:pPr>
        <w:pStyle w:val="Text1"/>
        <w:spacing w:after="0"/>
        <w:rPr>
          <w:noProof/>
        </w:rPr>
      </w:pPr>
      <w:r>
        <w:rPr>
          <w:noProof/>
        </w:rPr>
        <w:t>El marco regulador de la UE relativo a la irradiación de los alimentos («Directivas sobre irradiación de los alimentos») consta de lo siguiente:</w:t>
      </w:r>
    </w:p>
    <w:p w14:paraId="5C22ADFD" w14:textId="73B847B2" w:rsidR="00C65BF1" w:rsidRDefault="00C65BF1" w:rsidP="00C65BF1">
      <w:pPr>
        <w:pStyle w:val="Text1"/>
        <w:spacing w:after="0"/>
        <w:rPr>
          <w:noProof/>
        </w:rPr>
      </w:pPr>
      <w:r>
        <w:rPr>
          <w:noProof/>
        </w:rPr>
        <w:t>–</w:t>
      </w:r>
      <w:r>
        <w:rPr>
          <w:noProof/>
        </w:rPr>
        <w:tab/>
        <w:t xml:space="preserve">La Directiva 1999/2/CE (Directiva Marco) del Parlamento Europeo y del Consejo, de 22 de febrero de 1999, relativa a la aproximación de las legislaciones de los Estados miembros sobre alimentos e ingredientes alimentarios tratados con radiaciones ionizantes. En ella se establecen disposiciones para la elaboración, comercialización e importación de alimentos e ingredientes alimentarios tratados con radiaciones ionizantes. </w:t>
      </w:r>
    </w:p>
    <w:p w14:paraId="39799794" w14:textId="251CD13C" w:rsidR="00C65BF1" w:rsidRDefault="00C65BF1" w:rsidP="00C65BF1">
      <w:pPr>
        <w:pStyle w:val="Text1"/>
        <w:spacing w:after="0"/>
        <w:rPr>
          <w:noProof/>
        </w:rPr>
      </w:pPr>
      <w:r>
        <w:rPr>
          <w:noProof/>
        </w:rPr>
        <w:t>–</w:t>
      </w:r>
      <w:r>
        <w:rPr>
          <w:noProof/>
        </w:rPr>
        <w:tab/>
        <w:t>La Directiva 1999/3/CE (Directiva de Ejecución) del Parlamento Europeo y del Consejo, de 22 de febrero de 1999, relativa al establecimiento de una lista comunitaria de alimentos e ingredientes alimentarios tratados con radiaciones ionizantes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. En la actualidad, esta lista incluye únicamente una categoría de alimentos: hierbas aromáticas, especias y condimentos vegetales secos. La Comisión publica la lista de autorizaciones nacionales de los demás alimentos e ingredientes alimentarios que pueden tratarse con radiaciones ionizantes en el </w:t>
      </w:r>
      <w:r>
        <w:rPr>
          <w:i/>
          <w:iCs/>
          <w:noProof/>
        </w:rPr>
        <w:t>Diario Oficial de la Unión Europea</w:t>
      </w:r>
      <w:r>
        <w:rPr>
          <w:noProof/>
        </w:rPr>
        <w:t xml:space="preserve">. </w:t>
      </w:r>
    </w:p>
    <w:p w14:paraId="08B8EC59" w14:textId="78397239" w:rsidR="00C65BF1" w:rsidRDefault="00C65BF1" w:rsidP="00C65BF1">
      <w:pPr>
        <w:pStyle w:val="Text1"/>
        <w:spacing w:after="0"/>
        <w:rPr>
          <w:noProof/>
        </w:rPr>
      </w:pPr>
      <w:r>
        <w:rPr>
          <w:noProof/>
        </w:rPr>
        <w:t xml:space="preserve">Los alimentos e ingredientes alimentarios solo pueden tratarse con radiaciones ionizantes en instalaciones de irradiación autorizadas. En el caso de las instalaciones situadas en territorio de la UE, corresponde a las autoridades competentes de los Estados miembros conceder la autorización. Con arreglo al artículo 7, apartado 3, de la Directiva 1999/2/CE, los Estados miembros deben notificar a la Comisión la lista de sus instalaciones de irradiación autorizadas. </w:t>
      </w:r>
    </w:p>
    <w:p w14:paraId="46B1AD5C" w14:textId="77777777" w:rsidR="00C65BF1" w:rsidRDefault="00C65BF1" w:rsidP="00C65BF1">
      <w:pPr>
        <w:pStyle w:val="Text1"/>
        <w:spacing w:after="0"/>
        <w:rPr>
          <w:noProof/>
        </w:rPr>
      </w:pPr>
      <w:r>
        <w:rPr>
          <w:noProof/>
        </w:rPr>
        <w:t>Conforme a lo dispuesto en el artículo 6 de la Directiva 1999/2/CE, en el etiquetado de todo alimento o ingrediente alimentario de un alimento compuesto que haya sido irradiado debe figurar la mención «irradiado» o «tratado con radiación ionizante».</w:t>
      </w:r>
    </w:p>
    <w:p w14:paraId="29547AFD" w14:textId="5D62832E" w:rsidR="00C65BF1" w:rsidRDefault="00C65BF1" w:rsidP="00C65BF1">
      <w:pPr>
        <w:pStyle w:val="Text1"/>
        <w:spacing w:after="0"/>
        <w:rPr>
          <w:noProof/>
        </w:rPr>
      </w:pPr>
      <w:r>
        <w:rPr>
          <w:noProof/>
        </w:rPr>
        <w:t>El Comité Europeo de Normalización (CEN) tipificó una serie de métodos analíticos para supervisar la correcta aplicación de este requisito de etiquetado y detectar alimentos que puedan haber sido tratados ilegalmente con radiación ionizante.</w:t>
      </w:r>
    </w:p>
    <w:p w14:paraId="28FF0A36" w14:textId="77777777" w:rsidR="00C65BF1" w:rsidRDefault="00C65BF1" w:rsidP="00C65BF1">
      <w:pPr>
        <w:pStyle w:val="Heading1"/>
        <w:tabs>
          <w:tab w:val="num" w:pos="623"/>
        </w:tabs>
        <w:ind w:left="480" w:hanging="480"/>
      </w:pPr>
      <w:bookmarkStart w:id="4" w:name="_Toc146121245"/>
      <w:r>
        <w:t>INSTALACIONES DE IRRADIACIÓN AUTORIZADAS</w:t>
      </w:r>
      <w:bookmarkEnd w:id="4"/>
    </w:p>
    <w:p w14:paraId="5B378C56" w14:textId="7EE0224D" w:rsidR="00C65BF1" w:rsidRPr="00ED2EC4" w:rsidRDefault="00C65BF1" w:rsidP="00C65BF1">
      <w:pPr>
        <w:pStyle w:val="Text1"/>
        <w:spacing w:after="0"/>
        <w:rPr>
          <w:noProof/>
        </w:rPr>
      </w:pPr>
      <w:r>
        <w:rPr>
          <w:noProof/>
        </w:rPr>
        <w:t>Al final del período abarcado por el informe (del 1 de enero de 2020 al 31 de diciembre de 2021), había 22 instalaciones de irradiación autorizadas en la UE, situadas en 13 Estados miembros: Francia (5), Alemania (4), Bulgaria (1), Países Bajos (2), España (2), Bélgica (1), Chequia (1), Croacia (1), Estonia (1), Italia (1), Hungría (1), Polonia (1) y Rumanía (1).</w:t>
      </w:r>
    </w:p>
    <w:p w14:paraId="7D0FAD75" w14:textId="30EC13C8" w:rsidR="00C65BF1" w:rsidRDefault="00C65BF1" w:rsidP="00C65BF1">
      <w:pPr>
        <w:pStyle w:val="Text1"/>
        <w:spacing w:after="0"/>
        <w:rPr>
          <w:noProof/>
        </w:rPr>
      </w:pPr>
      <w:r>
        <w:rPr>
          <w:noProof/>
        </w:rPr>
        <w:t>De estos 13 Estados miembros equipados con instalaciones de irradiación, 3 no irradiaron ningún producto alimenticio durante el período 2020-2021: Bulgaria, Italia y Rumanía.</w:t>
      </w:r>
    </w:p>
    <w:p w14:paraId="5D7E691F" w14:textId="7868782E" w:rsidR="00C65BF1" w:rsidRPr="00147C3D" w:rsidRDefault="00C65BF1" w:rsidP="00C65BF1">
      <w:pPr>
        <w:pStyle w:val="Heading1"/>
        <w:tabs>
          <w:tab w:val="num" w:pos="623"/>
        </w:tabs>
        <w:ind w:left="480" w:hanging="480"/>
      </w:pPr>
      <w:bookmarkStart w:id="5" w:name="_Toc146121246"/>
      <w:r>
        <w:t>RESULTADOS DE LOS CONTROLES EFECTUADOS EN INSTALACIONES DE IRRADIACIÓN EN EL PERÍODO 2020-2021</w:t>
      </w:r>
      <w:bookmarkEnd w:id="5"/>
    </w:p>
    <w:p w14:paraId="5593C1C5" w14:textId="405E9D55" w:rsidR="00C65BF1" w:rsidRDefault="00C65BF1" w:rsidP="00C65BF1">
      <w:pPr>
        <w:pStyle w:val="Text1"/>
        <w:spacing w:after="0"/>
        <w:rPr>
          <w:noProof/>
        </w:rPr>
      </w:pPr>
      <w:r>
        <w:rPr>
          <w:noProof/>
        </w:rPr>
        <w:t xml:space="preserve">En los años 2020 y 2021, un total de 5 029,1 toneladas de productos alimenticios fueron tratadas con radiaciones ionizantes en los Estados miembros de la UE. El tratamiento tuvo lugar principalmente en Bélgica, que trató el 83 % de los alimentos irradiados de la UE. </w:t>
      </w:r>
    </w:p>
    <w:p w14:paraId="33FC9276" w14:textId="27922BF2" w:rsidR="00D2094D" w:rsidRDefault="00C65BF1" w:rsidP="00C65BF1">
      <w:pPr>
        <w:pStyle w:val="Text1"/>
        <w:spacing w:after="0"/>
        <w:rPr>
          <w:noProof/>
        </w:rPr>
      </w:pPr>
      <w:r>
        <w:rPr>
          <w:noProof/>
        </w:rPr>
        <w:t>Los 3 productos más irradiados en la UE fueron las ancas de rana (76,42 %), la carne de aves de corral (11,92 %) y las hierbas aromáticas, especias y condimentos vegetales secos (11,6 %).</w:t>
      </w:r>
    </w:p>
    <w:p w14:paraId="207D97E8" w14:textId="1DD5F3F4" w:rsidR="00C65BF1" w:rsidRDefault="00C65BF1" w:rsidP="00C65BF1">
      <w:pPr>
        <w:pStyle w:val="Text1"/>
        <w:spacing w:after="0"/>
        <w:rPr>
          <w:noProof/>
        </w:rPr>
      </w:pPr>
      <w:r>
        <w:rPr>
          <w:noProof/>
        </w:rPr>
        <w:t xml:space="preserve">La ilustración 1 muestra la distribución de productos irradiados en las instalaciones autorizadas de los Estados miembros de la UE en 2020 y 2021. </w:t>
      </w:r>
    </w:p>
    <w:p w14:paraId="0D3963FE" w14:textId="4BB4A8A1" w:rsidR="00C65BF1" w:rsidRDefault="00C65BF1" w:rsidP="00C65BF1">
      <w:pPr>
        <w:pStyle w:val="Caption"/>
      </w:pPr>
      <w:r>
        <w:t>Ilustración 1: Distribución por categorías de productos alimenticios irradiados en la UE en el período 2020-2021</w:t>
      </w:r>
    </w:p>
    <w:p w14:paraId="6DBDD067" w14:textId="4267DC8D" w:rsidR="00C65BF1" w:rsidRPr="00FF3029" w:rsidRDefault="00F02BA2" w:rsidP="00C65BF1">
      <w:r>
        <w:rPr>
          <w:lang w:val="en-GB" w:eastAsia="en-GB"/>
        </w:rPr>
        <w:drawing>
          <wp:inline distT="0" distB="0" distL="0" distR="0" wp14:anchorId="71D92D28" wp14:editId="2584ED5C">
            <wp:extent cx="5761355" cy="4855845"/>
            <wp:effectExtent l="0" t="0" r="10795" b="1905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5F0E40C" w14:textId="77777777" w:rsidR="00C65BF1" w:rsidRPr="00A4508B" w:rsidRDefault="00C65BF1" w:rsidP="00C65BF1">
      <w:pPr>
        <w:pStyle w:val="Text1"/>
        <w:spacing w:after="0"/>
        <w:rPr>
          <w:noProof/>
        </w:rPr>
      </w:pPr>
      <w:r>
        <w:rPr>
          <w:noProof/>
        </w:rPr>
        <w:t xml:space="preserve">Como muestra la ilustración 2, la cantidad de productos alimenticios (en toneladas) tratados con radiación ionizante en la UE disminuye desde 2010. </w:t>
      </w:r>
    </w:p>
    <w:p w14:paraId="2569781A" w14:textId="77777777" w:rsidR="00C65BF1" w:rsidRDefault="00C65BF1" w:rsidP="00C65BF1">
      <w:pPr>
        <w:pStyle w:val="Caption"/>
      </w:pPr>
      <w:r>
        <w:t>Ilustración 2: Cantidades de productos alimenticios tratados con radiación ionizante en instalaciones de irradiación autorizadas en la Unión Europea desde 2010</w:t>
      </w:r>
    </w:p>
    <w:p w14:paraId="5A314BD2" w14:textId="27BEB07C" w:rsidR="00C65BF1" w:rsidRDefault="000C772C" w:rsidP="00C65BF1">
      <w:r>
        <w:rPr>
          <w:lang w:val="en-GB" w:eastAsia="en-GB"/>
        </w:rPr>
        <w:drawing>
          <wp:inline distT="0" distB="0" distL="0" distR="0" wp14:anchorId="40C10F8B" wp14:editId="61C937A3">
            <wp:extent cx="5761355" cy="3759200"/>
            <wp:effectExtent l="0" t="0" r="10795" b="1270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C8B45B5-ED4D-5BBC-EC80-390D5CE603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03690FB" w14:textId="77777777" w:rsidR="00C65BF1" w:rsidRDefault="00C65BF1" w:rsidP="00C65BF1">
      <w:pPr>
        <w:pStyle w:val="Heading1"/>
      </w:pPr>
      <w:bookmarkStart w:id="6" w:name="_Toc146121247"/>
      <w:r>
        <w:t>RESULTADOS DE LOS CONTROLES EN LA FASE DE COMERCIALIZACIÓN DE LOS PRODUCTOS</w:t>
      </w:r>
      <w:bookmarkEnd w:id="6"/>
    </w:p>
    <w:p w14:paraId="3864B0EB" w14:textId="17D68F37" w:rsidR="00C65BF1" w:rsidRDefault="00C65BF1" w:rsidP="00C65BF1">
      <w:pPr>
        <w:pStyle w:val="Text1"/>
        <w:spacing w:after="0"/>
        <w:rPr>
          <w:noProof/>
        </w:rPr>
      </w:pPr>
      <w:r>
        <w:rPr>
          <w:noProof/>
        </w:rPr>
        <w:t>En el período 2020-2021, 24 Estados miembros de la UE analizaron 7 667 muestras, es decir, globalmente una media de un 21,8 % menos que en el período 2018-2019. Los datos correspondientes a cada Estado miembro de la UE están disponibles en el anexo II y se resumen en la ilustración 3.</w:t>
      </w:r>
    </w:p>
    <w:p w14:paraId="09E40902" w14:textId="119D4D0E" w:rsidR="00C65BF1" w:rsidRDefault="00C65BF1" w:rsidP="00C65BF1">
      <w:pPr>
        <w:pStyle w:val="Caption"/>
      </w:pPr>
      <w:r>
        <w:t>Ilustración 3: Muestras analizadas en la fase de comercialización de los productos en cada Estado miembro en el período 2020-2021</w:t>
      </w:r>
    </w:p>
    <w:p w14:paraId="0C3A38D8" w14:textId="5D1B43B0" w:rsidR="00C65BF1" w:rsidRDefault="00EF213F" w:rsidP="00C65BF1">
      <w:r>
        <w:rPr>
          <w:lang w:val="en-GB" w:eastAsia="en-GB"/>
        </w:rPr>
        <w:drawing>
          <wp:inline distT="0" distB="0" distL="0" distR="0" wp14:anchorId="7A009738" wp14:editId="43E76C05">
            <wp:extent cx="6322646" cy="3783330"/>
            <wp:effectExtent l="0" t="0" r="2540" b="762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7C514745-CDC0-9832-F25B-386850BC4A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0A362E7" w14:textId="641FBE9F" w:rsidR="00C65BF1" w:rsidRDefault="00C65BF1" w:rsidP="00C65BF1">
      <w:pPr>
        <w:pStyle w:val="Text1"/>
        <w:spacing w:after="0"/>
        <w:rPr>
          <w:noProof/>
        </w:rPr>
      </w:pPr>
      <w:r>
        <w:rPr>
          <w:noProof/>
        </w:rPr>
        <w:t>Hubo 3 Estados miembros que no realizaron ningún control analítico en la fase de comercialización de los productos en el período 2020-2021, debido a restricciones presupuestarias (Dinamarca) o insuficiente capacidad de los laboratorios (Chipre y Estonia).</w:t>
      </w:r>
    </w:p>
    <w:p w14:paraId="071606BF" w14:textId="16C086DF" w:rsidR="00C65BF1" w:rsidRPr="00E44148" w:rsidRDefault="00C65BF1" w:rsidP="00C65BF1">
      <w:pPr>
        <w:pStyle w:val="Text1"/>
        <w:spacing w:after="0"/>
        <w:rPr>
          <w:noProof/>
        </w:rPr>
      </w:pPr>
      <w:r>
        <w:rPr>
          <w:noProof/>
        </w:rPr>
        <w:t xml:space="preserve">Del total de 7 667 muestras analizadas, 66 no eran conformes (0,9 %) y 80 (1 %) dieron resultados no concluyentes. La disconformidad observada consistió principalmente en etiquetado incorrecto e irradiación no autorizada. El porcentaje de disconformidad (0,9 %) fue ligeramente inferior al del período abarcado por el informe anterior, 2018-2019 (1 %). </w:t>
      </w:r>
    </w:p>
    <w:p w14:paraId="730D8428" w14:textId="25714F0D" w:rsidR="00C65BF1" w:rsidRDefault="00C65BF1" w:rsidP="00C65BF1">
      <w:pPr>
        <w:pStyle w:val="Text1"/>
        <w:spacing w:after="0"/>
        <w:rPr>
          <w:noProof/>
        </w:rPr>
      </w:pPr>
      <w:r>
        <w:rPr>
          <w:noProof/>
        </w:rPr>
        <w:t>Como muestra la ilustración 4, en la fase de comercialización los principales productos alimenticios analizados fueron «hierbas y especias» (43,84 %), seguidos de «cereales, semillas, hortalizas, frutas y otros frutos y sus productos» (25,98 %).</w:t>
      </w:r>
    </w:p>
    <w:p w14:paraId="749C6D61" w14:textId="3E45195F" w:rsidR="007C6010" w:rsidRDefault="007C6010">
      <w:pPr>
        <w:rPr>
          <w:rFonts w:ascii="Times New Roman" w:eastAsia="Times New Roman" w:hAnsi="Times New Roman" w:cs="Times New Roman"/>
          <w:sz w:val="24"/>
          <w:szCs w:val="20"/>
        </w:rPr>
      </w:pPr>
      <w:r>
        <w:br w:type="page"/>
      </w:r>
    </w:p>
    <w:p w14:paraId="6893EA44" w14:textId="07E52DA1" w:rsidR="00C65BF1" w:rsidRDefault="00C65BF1" w:rsidP="00C65BF1">
      <w:pPr>
        <w:pStyle w:val="Caption"/>
      </w:pPr>
      <w:r>
        <w:t>Ilustración 4: Categorías de productos alimenticios analizadas en la fase de comercialización de los productos en la Unión Europea en el período 2020-2021</w:t>
      </w:r>
    </w:p>
    <w:p w14:paraId="6462A2AA" w14:textId="2DE66BBC" w:rsidR="00BF6D2C" w:rsidRDefault="000C772C" w:rsidP="00C65BF1">
      <w:r>
        <w:rPr>
          <w:lang w:val="en-GB" w:eastAsia="en-GB"/>
        </w:rPr>
        <w:drawing>
          <wp:inline distT="0" distB="0" distL="0" distR="0" wp14:anchorId="0B730C1B" wp14:editId="1DFA4E8E">
            <wp:extent cx="5761355" cy="3366770"/>
            <wp:effectExtent l="0" t="0" r="10795" b="508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D3145F99-D2BC-D7F9-90BC-EC0A55910B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sectPr w:rsidR="00BF6D2C" w:rsidSect="00906FF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134" w:right="1417" w:bottom="1134" w:left="141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08608" w14:textId="77777777" w:rsidR="00BF5812" w:rsidRDefault="00BF5812" w:rsidP="00C65BF1">
      <w:pPr>
        <w:spacing w:after="0" w:line="240" w:lineRule="auto"/>
      </w:pPr>
      <w:r>
        <w:separator/>
      </w:r>
    </w:p>
  </w:endnote>
  <w:endnote w:type="continuationSeparator" w:id="0">
    <w:p w14:paraId="5FB488BF" w14:textId="77777777" w:rsidR="00BF5812" w:rsidRDefault="00BF5812" w:rsidP="00C6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62B12" w14:textId="5770A168" w:rsidR="00F02BA2" w:rsidRPr="00475571" w:rsidRDefault="00F02BA2" w:rsidP="004755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734F0" w14:textId="0F7ED3ED" w:rsidR="00F02BA2" w:rsidRPr="00475571" w:rsidRDefault="00475571" w:rsidP="00475571">
    <w:pPr>
      <w:pStyle w:val="FooterCoverPage"/>
      <w:rPr>
        <w:rFonts w:ascii="Arial" w:hAnsi="Arial" w:cs="Arial"/>
        <w:b/>
        <w:sz w:val="48"/>
      </w:rPr>
    </w:pPr>
    <w:r w:rsidRPr="00475571">
      <w:rPr>
        <w:rFonts w:ascii="Arial" w:hAnsi="Arial" w:cs="Arial"/>
        <w:b/>
        <w:sz w:val="48"/>
      </w:rPr>
      <w:t>ES</w:t>
    </w:r>
    <w:r w:rsidRPr="00475571">
      <w:rPr>
        <w:rFonts w:ascii="Arial" w:hAnsi="Arial" w:cs="Arial"/>
        <w:b/>
        <w:sz w:val="48"/>
      </w:rPr>
      <w:tab/>
    </w:r>
    <w:r w:rsidRPr="00475571">
      <w:rPr>
        <w:rFonts w:ascii="Arial" w:hAnsi="Arial" w:cs="Arial"/>
        <w:b/>
        <w:sz w:val="48"/>
      </w:rPr>
      <w:tab/>
    </w:r>
    <w:r w:rsidRPr="00475571">
      <w:tab/>
    </w:r>
    <w:r w:rsidRPr="00475571">
      <w:rPr>
        <w:rFonts w:ascii="Arial" w:hAnsi="Arial" w:cs="Arial"/>
        <w:b/>
        <w:sz w:val="48"/>
      </w:rPr>
      <w:t>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21715" w14:textId="77777777" w:rsidR="00475571" w:rsidRPr="00475571" w:rsidRDefault="00475571" w:rsidP="00475571">
    <w:pPr>
      <w:pStyle w:val="FooterCover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79ACF" w14:textId="77777777" w:rsidR="008F6798" w:rsidRDefault="0047557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9437521"/>
      <w:docPartObj>
        <w:docPartGallery w:val="Page Numbers (Bottom of Page)"/>
        <w:docPartUnique/>
      </w:docPartObj>
    </w:sdtPr>
    <w:sdtEndPr/>
    <w:sdtContent>
      <w:p w14:paraId="4B5B7540" w14:textId="4FCAE3C3" w:rsidR="008F6798" w:rsidRDefault="00906F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5571">
          <w:t>1</w:t>
        </w:r>
        <w:r>
          <w:fldChar w:fldCharType="end"/>
        </w:r>
      </w:p>
    </w:sdtContent>
  </w:sdt>
  <w:p w14:paraId="0EAE0413" w14:textId="77777777" w:rsidR="008F6798" w:rsidRDefault="0047557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81D09" w14:textId="77777777" w:rsidR="008F6798" w:rsidRDefault="004755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E6479" w14:textId="77777777" w:rsidR="00BF5812" w:rsidRDefault="00BF5812" w:rsidP="00C65BF1">
      <w:pPr>
        <w:spacing w:after="0" w:line="240" w:lineRule="auto"/>
      </w:pPr>
      <w:r>
        <w:separator/>
      </w:r>
    </w:p>
  </w:footnote>
  <w:footnote w:type="continuationSeparator" w:id="0">
    <w:p w14:paraId="3E206CB6" w14:textId="77777777" w:rsidR="00BF5812" w:rsidRDefault="00BF5812" w:rsidP="00C65BF1">
      <w:pPr>
        <w:spacing w:after="0" w:line="240" w:lineRule="auto"/>
      </w:pPr>
      <w:r>
        <w:continuationSeparator/>
      </w:r>
    </w:p>
  </w:footnote>
  <w:footnote w:id="1">
    <w:p w14:paraId="551C3FE9" w14:textId="77777777" w:rsidR="00C65BF1" w:rsidRPr="0064473B" w:rsidRDefault="00C65BF1" w:rsidP="00C65BF1">
      <w:pPr>
        <w:pStyle w:val="FootnoteText"/>
      </w:pPr>
      <w:r>
        <w:rPr>
          <w:rStyle w:val="FootnoteReference"/>
        </w:rPr>
        <w:footnoteRef/>
      </w:r>
      <w:r>
        <w:t xml:space="preserve"> Directiva 1999/2/CE del Parlamento Europeo y del Consejo, de 22 de febrero de 1999, relativa a la aproximación de las legislaciones de los Estados miembros sobre alimentos e ingredientes alimentarios tratados con radiaciones ionizantes (DO L 66 de 13.3.1999, p. 16).</w:t>
      </w:r>
    </w:p>
  </w:footnote>
  <w:footnote w:id="2">
    <w:p w14:paraId="37CCBC50" w14:textId="18DCEECD" w:rsidR="009A0DB3" w:rsidRDefault="009A0DB3" w:rsidP="009A0DB3">
      <w:pPr>
        <w:pStyle w:val="FootnoteText"/>
      </w:pPr>
      <w:r>
        <w:rPr>
          <w:rStyle w:val="FootnoteReference"/>
        </w:rPr>
        <w:footnoteRef/>
      </w:r>
      <w:r>
        <w:t xml:space="preserve">      DO L 66 de 13.3.1999, p. 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90171" w14:textId="77777777" w:rsidR="00475571" w:rsidRPr="00475571" w:rsidRDefault="00475571" w:rsidP="004755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859BB" w14:textId="77777777" w:rsidR="00475571" w:rsidRPr="00475571" w:rsidRDefault="00475571" w:rsidP="00475571">
    <w:pPr>
      <w:pStyle w:val="HeaderCoverPag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DF3B6" w14:textId="77777777" w:rsidR="00475571" w:rsidRPr="00475571" w:rsidRDefault="00475571" w:rsidP="00475571">
    <w:pPr>
      <w:pStyle w:val="HeaderCoverPag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B12A2" w14:textId="77777777" w:rsidR="008F6798" w:rsidRDefault="0047557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BB16D" w14:textId="77777777" w:rsidR="008F6798" w:rsidRDefault="0047557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EE1B1" w14:textId="77777777" w:rsidR="008F6798" w:rsidRDefault="004755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207A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22A0F122-DAED-4D5E-92BB-C590AEA0866F"/>
    <w:docVar w:name="LW_COVERPAGE_TYPE" w:val="1"/>
    <w:docVar w:name="LW_CROSSREFERENCE" w:val="&lt;UNUSED&gt;"/>
    <w:docVar w:name="LW_DocType" w:val="NORMAL"/>
    <w:docVar w:name="LW_EMISSION" w:val="27.10.2023"/>
    <w:docVar w:name="LW_EMISSION_ISODATE" w:val="2023-10-27"/>
    <w:docVar w:name="LW_EMISSION_LOCATION" w:val="BRX"/>
    <w:docVar w:name="LW_EMISSION_PREFIX" w:val="Bruselas, "/>
    <w:docVar w:name="LW_EMISSION_SUFFIX" w:val=" "/>
    <w:docVar w:name="LW_ID_DOCTYPE_NONLW" w:val="CP-006"/>
    <w:docVar w:name="LW_LANGUE" w:val="ES"/>
    <w:docVar w:name="LW_LEVEL_OF_SENSITIVITY" w:val="Standard treatment"/>
    <w:docVar w:name="LW_NOM.INST" w:val="COMISIÓN EUROPEA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23) 676"/>
    <w:docVar w:name="LW_REF.INTERNE" w:val="&lt;UNUSED&gt;"/>
    <w:docVar w:name="LW_SENSITIVITY" w:val="&lt;?xml version=&quot;1.0&quot; encoding=&quot;utf-8&quot;?&gt;_x000d__x000a_&lt;SensitivityLevel xmlns:xsd=&quot;http://www.w3.org/2001/XMLSchema&quot; xmlns:xsi=&quot;http://www.w3.org/2001/XMLSchema-instance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relativo a los alimentos e ingredientes alimentarios tratados con radiaciones ionizantes en los años 2020-2021_x000d__x000d__x000d__x000d__x000d__x000d__x000b_"/>
    <w:docVar w:name="LW_TYPE.DOC.CP" w:val="INFORME DE LA COMISIÓN AL PARLAMENTO EUROPEO Y AL CONSEJO"/>
    <w:docVar w:name="LwApiVersions" w:val="LW4CoDe 1.23.2.0; LW 8.0, Build 20211117"/>
  </w:docVars>
  <w:rsids>
    <w:rsidRoot w:val="00C65BF1"/>
    <w:rsid w:val="00024932"/>
    <w:rsid w:val="00042F30"/>
    <w:rsid w:val="00095C0A"/>
    <w:rsid w:val="000C01F7"/>
    <w:rsid w:val="000C772C"/>
    <w:rsid w:val="000F6F8A"/>
    <w:rsid w:val="00123A88"/>
    <w:rsid w:val="001953A7"/>
    <w:rsid w:val="0019599E"/>
    <w:rsid w:val="001C3500"/>
    <w:rsid w:val="001D7326"/>
    <w:rsid w:val="001E6117"/>
    <w:rsid w:val="00213AF2"/>
    <w:rsid w:val="003404E4"/>
    <w:rsid w:val="00352E8A"/>
    <w:rsid w:val="00354871"/>
    <w:rsid w:val="0038380F"/>
    <w:rsid w:val="00393B9B"/>
    <w:rsid w:val="003E0745"/>
    <w:rsid w:val="003F59F5"/>
    <w:rsid w:val="00412E36"/>
    <w:rsid w:val="004679C2"/>
    <w:rsid w:val="00475571"/>
    <w:rsid w:val="0050668B"/>
    <w:rsid w:val="005668A9"/>
    <w:rsid w:val="00631285"/>
    <w:rsid w:val="0063666C"/>
    <w:rsid w:val="006612EA"/>
    <w:rsid w:val="006D6F70"/>
    <w:rsid w:val="00726373"/>
    <w:rsid w:val="007439EA"/>
    <w:rsid w:val="0078181A"/>
    <w:rsid w:val="007C6010"/>
    <w:rsid w:val="007F2F0E"/>
    <w:rsid w:val="0082375D"/>
    <w:rsid w:val="008501D0"/>
    <w:rsid w:val="00851BB6"/>
    <w:rsid w:val="008A7603"/>
    <w:rsid w:val="008A7D84"/>
    <w:rsid w:val="008C0F7E"/>
    <w:rsid w:val="008E1F66"/>
    <w:rsid w:val="00906FFF"/>
    <w:rsid w:val="00926A9A"/>
    <w:rsid w:val="00940178"/>
    <w:rsid w:val="009655EB"/>
    <w:rsid w:val="009A0DB3"/>
    <w:rsid w:val="009A1468"/>
    <w:rsid w:val="009D343A"/>
    <w:rsid w:val="00AC09CB"/>
    <w:rsid w:val="00AF5B39"/>
    <w:rsid w:val="00B459C3"/>
    <w:rsid w:val="00B9685E"/>
    <w:rsid w:val="00BE1857"/>
    <w:rsid w:val="00BF2112"/>
    <w:rsid w:val="00BF5812"/>
    <w:rsid w:val="00BF6D2C"/>
    <w:rsid w:val="00C6532E"/>
    <w:rsid w:val="00C65BF1"/>
    <w:rsid w:val="00C91503"/>
    <w:rsid w:val="00C92F6B"/>
    <w:rsid w:val="00CC4EBE"/>
    <w:rsid w:val="00CC5F14"/>
    <w:rsid w:val="00CE70ED"/>
    <w:rsid w:val="00D2094D"/>
    <w:rsid w:val="00D6459B"/>
    <w:rsid w:val="00E02986"/>
    <w:rsid w:val="00E44148"/>
    <w:rsid w:val="00E77588"/>
    <w:rsid w:val="00EF213F"/>
    <w:rsid w:val="00F02BA2"/>
    <w:rsid w:val="00F07010"/>
    <w:rsid w:val="00F33760"/>
    <w:rsid w:val="00FB2B5C"/>
    <w:rsid w:val="00FC6627"/>
    <w:rsid w:val="00FD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0187964"/>
  <w15:chartTrackingRefBased/>
  <w15:docId w15:val="{18A5DE96-A6AF-456B-8868-29AD2DC9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C65BF1"/>
    <w:pPr>
      <w:keepNext/>
      <w:keepLines/>
      <w:numPr>
        <w:numId w:val="1"/>
      </w:numPr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5BF1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5BF1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5BF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5BF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5BF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5BF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5BF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5BF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sid w:val="00C65BF1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C65BF1"/>
    <w:pPr>
      <w:spacing w:after="0" w:line="240" w:lineRule="auto"/>
      <w:jc w:val="both"/>
    </w:pPr>
    <w:rPr>
      <w:rFonts w:ascii="Times New Roman" w:hAnsi="Times New Roman" w:cs="Times New Roman"/>
      <w:noProof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C65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BF1"/>
    <w:rPr>
      <w:noProof/>
      <w:lang w:val="es-ES"/>
    </w:rPr>
  </w:style>
  <w:style w:type="paragraph" w:styleId="Footer">
    <w:name w:val="footer"/>
    <w:basedOn w:val="Normal"/>
    <w:link w:val="FooterChar"/>
    <w:uiPriority w:val="99"/>
    <w:unhideWhenUsed/>
    <w:rsid w:val="00C65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BF1"/>
    <w:rPr>
      <w:noProof/>
      <w:lang w:val="es-ES"/>
    </w:rPr>
  </w:style>
  <w:style w:type="paragraph" w:customStyle="1" w:styleId="FooterCoverPage">
    <w:name w:val="Footer Cover Page"/>
    <w:basedOn w:val="Normal"/>
    <w:link w:val="FooterCoverPageChar"/>
    <w:rsid w:val="00C65BF1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C65BF1"/>
    <w:rPr>
      <w:rFonts w:ascii="Times New Roman" w:hAnsi="Times New Roman" w:cs="Times New Roman"/>
      <w:noProof/>
      <w:sz w:val="24"/>
    </w:rPr>
  </w:style>
  <w:style w:type="paragraph" w:customStyle="1" w:styleId="FooterSensitivity">
    <w:name w:val="Footer Sensitivity"/>
    <w:basedOn w:val="Normal"/>
    <w:link w:val="FooterSensitivityChar"/>
    <w:rsid w:val="00C65BF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sid w:val="00C65BF1"/>
    <w:rPr>
      <w:rFonts w:ascii="Times New Roman" w:hAnsi="Times New Roman" w:cs="Times New Roman"/>
      <w:b/>
      <w:noProof/>
      <w:sz w:val="32"/>
    </w:rPr>
  </w:style>
  <w:style w:type="paragraph" w:customStyle="1" w:styleId="HeaderCoverPage">
    <w:name w:val="Header Cover Page"/>
    <w:basedOn w:val="Normal"/>
    <w:link w:val="HeaderCoverPageChar"/>
    <w:rsid w:val="00C65BF1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C65BF1"/>
    <w:rPr>
      <w:rFonts w:ascii="Times New Roman" w:hAnsi="Times New Roman" w:cs="Times New Roman"/>
      <w:noProof/>
      <w:sz w:val="24"/>
    </w:rPr>
  </w:style>
  <w:style w:type="paragraph" w:customStyle="1" w:styleId="HeaderSensitivity">
    <w:name w:val="Header Sensitivity"/>
    <w:basedOn w:val="Normal"/>
    <w:link w:val="HeaderSensitivityChar"/>
    <w:rsid w:val="00C65BF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sid w:val="00C65BF1"/>
    <w:rPr>
      <w:rFonts w:ascii="Times New Roman" w:hAnsi="Times New Roman" w:cs="Times New Roman"/>
      <w:b/>
      <w:noProof/>
      <w:sz w:val="32"/>
    </w:rPr>
  </w:style>
  <w:style w:type="paragraph" w:customStyle="1" w:styleId="HeaderSensitivityRight">
    <w:name w:val="Header Sensitivity Right"/>
    <w:basedOn w:val="Normal"/>
    <w:link w:val="HeaderSensitivityRightChar"/>
    <w:rsid w:val="00C65BF1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sid w:val="00C65BF1"/>
    <w:rPr>
      <w:rFonts w:ascii="Times New Roman" w:hAnsi="Times New Roman" w:cs="Times New Roman"/>
      <w:noProof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65BF1"/>
    <w:rPr>
      <w:rFonts w:ascii="Arial" w:eastAsiaTheme="majorEastAsia" w:hAnsi="Arial" w:cstheme="majorBidi"/>
      <w:b/>
      <w:noProof/>
      <w:color w:val="000000" w:themeColor="text1"/>
      <w:sz w:val="28"/>
      <w:szCs w:val="32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5BF1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5BF1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val="es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5BF1"/>
    <w:rPr>
      <w:rFonts w:asciiTheme="majorHAnsi" w:eastAsiaTheme="majorEastAsia" w:hAnsiTheme="majorHAnsi" w:cstheme="majorBidi"/>
      <w:i/>
      <w:iCs/>
      <w:noProof/>
      <w:color w:val="2E74B5" w:themeColor="accent1" w:themeShade="BF"/>
      <w:lang w:val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5BF1"/>
    <w:rPr>
      <w:rFonts w:asciiTheme="majorHAnsi" w:eastAsiaTheme="majorEastAsia" w:hAnsiTheme="majorHAnsi" w:cstheme="majorBidi"/>
      <w:noProof/>
      <w:color w:val="2E74B5" w:themeColor="accent1" w:themeShade="BF"/>
      <w:lang w:val="es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5BF1"/>
    <w:rPr>
      <w:rFonts w:asciiTheme="majorHAnsi" w:eastAsiaTheme="majorEastAsia" w:hAnsiTheme="majorHAnsi" w:cstheme="majorBidi"/>
      <w:noProof/>
      <w:color w:val="1F4D78" w:themeColor="accent1" w:themeShade="7F"/>
      <w:lang w:val="es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5BF1"/>
    <w:rPr>
      <w:rFonts w:asciiTheme="majorHAnsi" w:eastAsiaTheme="majorEastAsia" w:hAnsiTheme="majorHAnsi" w:cstheme="majorBidi"/>
      <w:i/>
      <w:iCs/>
      <w:noProof/>
      <w:color w:val="1F4D78" w:themeColor="accent1" w:themeShade="7F"/>
      <w:lang w:val="es-E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BF1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es-E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BF1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es-ES"/>
    </w:rPr>
  </w:style>
  <w:style w:type="paragraph" w:customStyle="1" w:styleId="Text1">
    <w:name w:val="Text 1"/>
    <w:basedOn w:val="Normal"/>
    <w:qFormat/>
    <w:rsid w:val="00C65BF1"/>
    <w:pPr>
      <w:spacing w:before="120" w:after="240" w:line="240" w:lineRule="auto"/>
      <w:ind w:left="482"/>
      <w:jc w:val="both"/>
    </w:pPr>
    <w:rPr>
      <w:rFonts w:ascii="Times New Roman" w:eastAsia="Times New Roman" w:hAnsi="Times New Roman" w:cs="Times New Roman"/>
      <w:noProof w:val="0"/>
      <w:sz w:val="24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5B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5BF1"/>
    <w:rPr>
      <w:noProof/>
      <w:sz w:val="20"/>
      <w:szCs w:val="20"/>
      <w:lang w:val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C65BF1"/>
    <w:rPr>
      <w:vertAlign w:val="superscript"/>
    </w:rPr>
  </w:style>
  <w:style w:type="paragraph" w:customStyle="1" w:styleId="Annexetitre">
    <w:name w:val="Annexe titre"/>
    <w:basedOn w:val="Normal"/>
    <w:next w:val="Normal"/>
    <w:link w:val="AnnexetitreChar"/>
    <w:rsid w:val="00C65BF1"/>
    <w:pPr>
      <w:spacing w:before="120" w:after="120" w:line="240" w:lineRule="auto"/>
      <w:jc w:val="center"/>
    </w:pPr>
    <w:rPr>
      <w:rFonts w:ascii="Times New Roman" w:hAnsi="Times New Roman" w:cs="Times New Roman"/>
      <w:b/>
      <w:noProof w:val="0"/>
      <w:sz w:val="24"/>
      <w:u w:val="single"/>
    </w:rPr>
  </w:style>
  <w:style w:type="table" w:styleId="TableGrid">
    <w:name w:val="Table Grid"/>
    <w:basedOn w:val="TableNormal"/>
    <w:uiPriority w:val="59"/>
    <w:rsid w:val="00C65B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etitreChar">
    <w:name w:val="Annexe titre Char"/>
    <w:basedOn w:val="DefaultParagraphFont"/>
    <w:link w:val="Annexetitre"/>
    <w:rsid w:val="00C65BF1"/>
    <w:rPr>
      <w:rFonts w:ascii="Times New Roman" w:hAnsi="Times New Roman" w:cs="Times New Roman"/>
      <w:b/>
      <w:sz w:val="24"/>
      <w:u w:val="single"/>
      <w:lang w:val="es-ES"/>
    </w:rPr>
  </w:style>
  <w:style w:type="paragraph" w:styleId="Caption">
    <w:name w:val="caption"/>
    <w:basedOn w:val="Normal"/>
    <w:next w:val="Normal"/>
    <w:uiPriority w:val="35"/>
    <w:unhideWhenUsed/>
    <w:qFormat/>
    <w:rsid w:val="00C65BF1"/>
    <w:pPr>
      <w:keepNext/>
      <w:spacing w:before="240" w:after="12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C65BF1"/>
    <w:pPr>
      <w:numPr>
        <w:numId w:val="0"/>
      </w:numPr>
      <w:outlineLvl w:val="9"/>
    </w:pPr>
    <w:rPr>
      <w:rFonts w:asciiTheme="majorHAnsi" w:hAnsiTheme="majorHAnsi"/>
      <w:b w:val="0"/>
      <w:noProof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C65BF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65B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760"/>
    <w:rPr>
      <w:rFonts w:ascii="Segoe UI" w:hAnsi="Segoe UI" w:cs="Segoe UI"/>
      <w:noProof/>
      <w:sz w:val="18"/>
      <w:szCs w:val="18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FD2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5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5A8"/>
    <w:rPr>
      <w:noProof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5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5A8"/>
    <w:rPr>
      <w:b/>
      <w:bCs/>
      <w:noProof/>
      <w:sz w:val="20"/>
      <w:szCs w:val="20"/>
      <w:lang w:val="es-ES"/>
    </w:rPr>
  </w:style>
  <w:style w:type="paragraph" w:styleId="Revision">
    <w:name w:val="Revision"/>
    <w:hidden/>
    <w:uiPriority w:val="99"/>
    <w:semiHidden/>
    <w:rsid w:val="0082375D"/>
    <w:pPr>
      <w:spacing w:after="0" w:line="240" w:lineRule="auto"/>
    </w:pPr>
    <w:rPr>
      <w:noProof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09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09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chart" Target="charts/chart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dossiers.dgt.cec.eu.int\dossiers\SANTE\SANTE-2023-02177\SANTE-2023-02177-00-00-ES-SRC-00.20230920145505369186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dossiers.dgt.cec.eu.int\dossiers\SANTE\SANTE-2023-02177\SANTE-2023-02177-00-00-ES-SRC-00.202309201455053691867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net1.cec.eu.int\SANTE\G\5\17%20-%20Decontamination\3_Physical\Irradiation\Annual%20reports%20on%20Irradiation\Report%202020-2021\draft%20report\Figures%202020%202021%20for%20report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dossiers.dgt.cec.eu.int\dossiers\SANTE\SANTE-2023-02177\SANTE-2023-02177-00-00-ES-SRC-00.202309201455053691867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2952592099208902"/>
          <c:y val="0.1128148999859306"/>
          <c:w val="0.52098213045257757"/>
          <c:h val="0.85888327638290496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27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CAC-4AEE-91EF-CE2EFC0C1B1E}"/>
              </c:ext>
            </c:extLst>
          </c:dPt>
          <c:dPt>
            <c:idx val="1"/>
            <c:bubble3D val="0"/>
            <c:explosion val="26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CAC-4AEE-91EF-CE2EFC0C1B1E}"/>
              </c:ext>
            </c:extLst>
          </c:dPt>
          <c:dPt>
            <c:idx val="2"/>
            <c:bubble3D val="0"/>
            <c:explosion val="17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CAC-4AEE-91EF-CE2EFC0C1B1E}"/>
              </c:ext>
            </c:extLst>
          </c:dPt>
          <c:dPt>
            <c:idx val="3"/>
            <c:bubble3D val="0"/>
            <c:explosion val="18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CAC-4AEE-91EF-CE2EFC0C1B1E}"/>
              </c:ext>
            </c:extLst>
          </c:dPt>
          <c:dLbls>
            <c:dLbl>
              <c:idx val="0"/>
              <c:layout>
                <c:manualLayout>
                  <c:x val="5.9466943009285005E-2"/>
                  <c:y val="-9.5670407188010925E-2"/>
                </c:manualLayout>
              </c:layout>
              <c:tx>
                <c:rich>
                  <a:bodyPr/>
                  <a:lstStyle/>
                  <a:p>
                    <a:fld id="{93EF1556-CEEB-4E57-9F5C-32E79C4AA980}" type="CATEGORYNAME">
                      <a:rPr lang="en-US">
                        <a:solidFill>
                          <a:sysClr val="windowText" lastClr="000000"/>
                        </a:solidFill>
                      </a:rPr>
                      <a:pPr/>
                      <a:t>[CATEGORY NAME]</a:t>
                    </a:fld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
76,42 %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CAC-4AEE-91EF-CE2EFC0C1B1E}"/>
                </c:ext>
              </c:extLst>
            </c:dLbl>
            <c:dLbl>
              <c:idx val="1"/>
              <c:layout>
                <c:manualLayout>
                  <c:x val="-4.7466840785232674E-2"/>
                  <c:y val="1.9932952003919983E-2"/>
                </c:manualLayout>
              </c:layout>
              <c:tx>
                <c:rich>
                  <a:bodyPr/>
                  <a:lstStyle/>
                  <a:p>
                    <a:fld id="{4B5F28D8-FEB2-4780-A756-5FCF84ACEE89}" type="CATEGORYNAME">
                      <a:rPr lang="en-US">
                        <a:solidFill>
                          <a:sysClr val="windowText" lastClr="000000"/>
                        </a:solidFill>
                      </a:rPr>
                      <a:pPr/>
                      <a:t>[CATEGORY NAME]</a:t>
                    </a:fld>
                    <a:r>
                      <a:rPr lang="en-US" baseline="0"/>
                      <a:t>
0,06 %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CAC-4AEE-91EF-CE2EFC0C1B1E}"/>
                </c:ext>
              </c:extLst>
            </c:dLbl>
            <c:dLbl>
              <c:idx val="2"/>
              <c:layout>
                <c:manualLayout>
                  <c:x val="-2.0725811492631203E-2"/>
                  <c:y val="-4.9473658676214456E-2"/>
                </c:manualLayout>
              </c:layout>
              <c:tx>
                <c:rich>
                  <a:bodyPr/>
                  <a:lstStyle/>
                  <a:p>
                    <a:fld id="{BCE32844-EDD8-4E79-9DAC-3341561F024F}" type="CATEGORYNAME">
                      <a:rPr lang="en-US">
                        <a:solidFill>
                          <a:sysClr val="windowText" lastClr="000000"/>
                        </a:solidFill>
                      </a:rPr>
                      <a:pPr/>
                      <a:t>[CATEGORY NAME]</a:t>
                    </a:fld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
11,6 %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CAC-4AEE-91EF-CE2EFC0C1B1E}"/>
                </c:ext>
              </c:extLst>
            </c:dLbl>
            <c:dLbl>
              <c:idx val="3"/>
              <c:layout>
                <c:manualLayout>
                  <c:x val="6.5088287391411356E-2"/>
                  <c:y val="-4.1788269996749484E-2"/>
                </c:manualLayout>
              </c:layout>
              <c:tx>
                <c:rich>
                  <a:bodyPr/>
                  <a:lstStyle/>
                  <a:p>
                    <a:fld id="{76E20DE3-2A2C-4CBB-94FC-775743AFD82A}" type="CATEGORYNAME">
                      <a:rPr lang="en-US">
                        <a:solidFill>
                          <a:sysClr val="windowText" lastClr="000000"/>
                        </a:solidFill>
                      </a:rPr>
                      <a:pPr/>
                      <a:t>[CATEGORY NAME]</a:t>
                    </a:fld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
11,92 %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6CAC-4AEE-91EF-CE2EFC0C1B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'Irradiated foodstuffs'!$A$6:$A$9</c:f>
              <c:strCache>
                <c:ptCount val="4"/>
                <c:pt idx="0">
                  <c:v>Ancas de rana congeladas</c:v>
                </c:pt>
                <c:pt idx="1">
                  <c:v>Sangre, plasma y coagulados deshidratados</c:v>
                </c:pt>
                <c:pt idx="2">
                  <c:v>Hierbas aromáticas, especias y condimentos vegetales secos</c:v>
                </c:pt>
                <c:pt idx="3">
                  <c:v>Carne de aves de corral</c:v>
                </c:pt>
              </c:strCache>
            </c:strRef>
          </c:cat>
          <c:val>
            <c:numRef>
              <c:f>'Irradiated foodstuffs'!$B$6:$B$9</c:f>
              <c:numCache>
                <c:formatCode>General</c:formatCode>
                <c:ptCount val="4"/>
                <c:pt idx="0">
                  <c:v>76.42</c:v>
                </c:pt>
                <c:pt idx="1">
                  <c:v>0.06</c:v>
                </c:pt>
                <c:pt idx="2">
                  <c:v>11.6</c:v>
                </c:pt>
                <c:pt idx="3">
                  <c:v>11.92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CAC-4AEE-91EF-CE2EFC0C1B1E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'evolution 2010-2021'!$B$1</c:f>
              <c:strCache>
                <c:ptCount val="1"/>
                <c:pt idx="0">
                  <c:v>Cantidades / año (toneladas)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-3.2527247086235174E-2"/>
                  <c:y val="-4.81507993319016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FA0-4471-B178-F83E8C591F81}"/>
                </c:ext>
              </c:extLst>
            </c:dLbl>
            <c:dLbl>
              <c:idx val="2"/>
              <c:layout>
                <c:manualLayout>
                  <c:x val="-3.0499363851432485E-2"/>
                  <c:y val="-3.5718786899889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FA0-4471-B178-F83E8C591F81}"/>
                </c:ext>
              </c:extLst>
            </c:dLbl>
            <c:dLbl>
              <c:idx val="3"/>
              <c:layout>
                <c:manualLayout>
                  <c:x val="-2.64435973818271E-2"/>
                  <c:y val="-4.50427962238985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FA0-4471-B178-F83E8C591F81}"/>
                </c:ext>
              </c:extLst>
            </c:dLbl>
            <c:dLbl>
              <c:idx val="4"/>
              <c:layout>
                <c:manualLayout>
                  <c:x val="-3.8610896790643251E-2"/>
                  <c:y val="-6.05828117639141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FA0-4471-B178-F83E8C591F81}"/>
                </c:ext>
              </c:extLst>
            </c:dLbl>
            <c:dLbl>
              <c:idx val="5"/>
              <c:layout>
                <c:manualLayout>
                  <c:x val="-2.64435973818271E-2"/>
                  <c:y val="-3.8826790007892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FA0-4471-B178-F83E8C591F81}"/>
                </c:ext>
              </c:extLst>
            </c:dLbl>
            <c:dLbl>
              <c:idx val="8"/>
              <c:layout>
                <c:manualLayout>
                  <c:x val="-3.8610896790643251E-2"/>
                  <c:y val="-5.74748086559110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FA0-4471-B178-F83E8C591F81}"/>
                </c:ext>
              </c:extLst>
            </c:dLbl>
            <c:dLbl>
              <c:idx val="9"/>
              <c:layout>
                <c:manualLayout>
                  <c:x val="-3.6583013555840559E-2"/>
                  <c:y val="-3.88267900078923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FA0-4471-B178-F83E8C591F81}"/>
                </c:ext>
              </c:extLst>
            </c:dLbl>
            <c:dLbl>
              <c:idx val="10"/>
              <c:layout>
                <c:manualLayout>
                  <c:x val="-2.4415714147024408E-2"/>
                  <c:y val="-4.81507993319016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FA0-4471-B178-F83E8C591F81}"/>
                </c:ext>
              </c:extLst>
            </c:dLbl>
            <c:dLbl>
              <c:idx val="11"/>
              <c:layout>
                <c:manualLayout>
                  <c:x val="-1.9471191922701563E-2"/>
                  <c:y val="-7.61228273039296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FA0-4471-B178-F83E8C591F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'evolution 2010-2021'!$A$2:$A$13</c:f>
              <c:numCache>
                <c:formatCode>General</c:formatCode>
                <c:ptCount val="12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</c:numCache>
            </c:numRef>
          </c:cat>
          <c:val>
            <c:numRef>
              <c:f>'evolution 2010-2021'!$B$2:$B$13</c:f>
              <c:numCache>
                <c:formatCode>#,##0.0</c:formatCode>
                <c:ptCount val="12"/>
                <c:pt idx="0">
                  <c:v>9263.4</c:v>
                </c:pt>
                <c:pt idx="1">
                  <c:v>8067.5</c:v>
                </c:pt>
                <c:pt idx="2">
                  <c:v>7972.1</c:v>
                </c:pt>
                <c:pt idx="3">
                  <c:v>6876.2</c:v>
                </c:pt>
                <c:pt idx="4">
                  <c:v>5550.9</c:v>
                </c:pt>
                <c:pt idx="5">
                  <c:v>5685.9</c:v>
                </c:pt>
                <c:pt idx="6">
                  <c:v>4973.7</c:v>
                </c:pt>
                <c:pt idx="7">
                  <c:v>5237.2</c:v>
                </c:pt>
                <c:pt idx="8">
                  <c:v>3860.6</c:v>
                </c:pt>
                <c:pt idx="9">
                  <c:v>3971.2</c:v>
                </c:pt>
                <c:pt idx="10">
                  <c:v>3364.4</c:v>
                </c:pt>
                <c:pt idx="11">
                  <c:v>1664.7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EFA0-4471-B178-F83E8C591F81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232185216"/>
        <c:axId val="1231812688"/>
      </c:lineChart>
      <c:catAx>
        <c:axId val="1232185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31812688"/>
        <c:crosses val="autoZero"/>
        <c:auto val="1"/>
        <c:lblAlgn val="ctr"/>
        <c:lblOffset val="100"/>
        <c:noMultiLvlLbl val="0"/>
      </c:catAx>
      <c:valAx>
        <c:axId val="1231812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32185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527830183661991E-2"/>
          <c:y val="1.4501699123889895E-2"/>
          <c:w val="0.92647216981633795"/>
          <c:h val="0.909707562754073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'samples market stage per MS'!$G$1</c:f>
              <c:strCache>
                <c:ptCount val="1"/>
                <c:pt idx="0">
                  <c:v>total samples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'samples market stage per MS'!$F$2:$F$28</c:f>
              <c:strCache>
                <c:ptCount val="27"/>
                <c:pt idx="0">
                  <c:v>DE</c:v>
                </c:pt>
                <c:pt idx="1">
                  <c:v>IT</c:v>
                </c:pt>
                <c:pt idx="2">
                  <c:v>RO</c:v>
                </c:pt>
                <c:pt idx="3">
                  <c:v>PL</c:v>
                </c:pt>
                <c:pt idx="4">
                  <c:v>ES</c:v>
                </c:pt>
                <c:pt idx="5">
                  <c:v>BE</c:v>
                </c:pt>
                <c:pt idx="6">
                  <c:v>HR</c:v>
                </c:pt>
                <c:pt idx="7">
                  <c:v>FI</c:v>
                </c:pt>
                <c:pt idx="8">
                  <c:v>HU</c:v>
                </c:pt>
                <c:pt idx="9">
                  <c:v>IE</c:v>
                </c:pt>
                <c:pt idx="10">
                  <c:v>AT</c:v>
                </c:pt>
                <c:pt idx="11">
                  <c:v>FR</c:v>
                </c:pt>
                <c:pt idx="12">
                  <c:v>LU</c:v>
                </c:pt>
                <c:pt idx="13">
                  <c:v>CZ</c:v>
                </c:pt>
                <c:pt idx="14">
                  <c:v>MT</c:v>
                </c:pt>
                <c:pt idx="15">
                  <c:v>SK</c:v>
                </c:pt>
                <c:pt idx="16">
                  <c:v>SI</c:v>
                </c:pt>
                <c:pt idx="17">
                  <c:v>NL</c:v>
                </c:pt>
                <c:pt idx="18">
                  <c:v>PT</c:v>
                </c:pt>
                <c:pt idx="19">
                  <c:v>GR</c:v>
                </c:pt>
                <c:pt idx="20">
                  <c:v>LV</c:v>
                </c:pt>
                <c:pt idx="21">
                  <c:v>SE</c:v>
                </c:pt>
                <c:pt idx="22">
                  <c:v>LT</c:v>
                </c:pt>
                <c:pt idx="23">
                  <c:v>BG</c:v>
                </c:pt>
                <c:pt idx="24">
                  <c:v>DK</c:v>
                </c:pt>
                <c:pt idx="25">
                  <c:v>EE</c:v>
                </c:pt>
                <c:pt idx="26">
                  <c:v>CY</c:v>
                </c:pt>
              </c:strCache>
            </c:strRef>
          </c:cat>
          <c:val>
            <c:numRef>
              <c:f>'samples market stage per MS'!$G$2:$G$28</c:f>
              <c:numCache>
                <c:formatCode>General</c:formatCode>
                <c:ptCount val="27"/>
                <c:pt idx="0">
                  <c:v>4165</c:v>
                </c:pt>
                <c:pt idx="1">
                  <c:v>792</c:v>
                </c:pt>
                <c:pt idx="2">
                  <c:v>570</c:v>
                </c:pt>
                <c:pt idx="3">
                  <c:v>476</c:v>
                </c:pt>
                <c:pt idx="4">
                  <c:v>311</c:v>
                </c:pt>
                <c:pt idx="5">
                  <c:v>231</c:v>
                </c:pt>
                <c:pt idx="6">
                  <c:v>177</c:v>
                </c:pt>
                <c:pt idx="7">
                  <c:v>141</c:v>
                </c:pt>
                <c:pt idx="8">
                  <c:v>129</c:v>
                </c:pt>
                <c:pt idx="9">
                  <c:v>101</c:v>
                </c:pt>
                <c:pt idx="10">
                  <c:v>94</c:v>
                </c:pt>
                <c:pt idx="11">
                  <c:v>73</c:v>
                </c:pt>
                <c:pt idx="12">
                  <c:v>70</c:v>
                </c:pt>
                <c:pt idx="13">
                  <c:v>67</c:v>
                </c:pt>
                <c:pt idx="14">
                  <c:v>59</c:v>
                </c:pt>
                <c:pt idx="15">
                  <c:v>50</c:v>
                </c:pt>
                <c:pt idx="16">
                  <c:v>42</c:v>
                </c:pt>
                <c:pt idx="17">
                  <c:v>37</c:v>
                </c:pt>
                <c:pt idx="18">
                  <c:v>26</c:v>
                </c:pt>
                <c:pt idx="19">
                  <c:v>20</c:v>
                </c:pt>
                <c:pt idx="20">
                  <c:v>18</c:v>
                </c:pt>
                <c:pt idx="21">
                  <c:v>10</c:v>
                </c:pt>
                <c:pt idx="22">
                  <c:v>5</c:v>
                </c:pt>
                <c:pt idx="23">
                  <c:v>3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B7-4D57-A632-DAF1C4A2D67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1466992496"/>
        <c:axId val="1466992912"/>
      </c:barChart>
      <c:catAx>
        <c:axId val="1466992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66992912"/>
        <c:crosses val="autoZero"/>
        <c:auto val="1"/>
        <c:lblAlgn val="ctr"/>
        <c:lblOffset val="100"/>
        <c:noMultiLvlLbl val="0"/>
      </c:catAx>
      <c:valAx>
        <c:axId val="14669929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66992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A5DF-4055-AE8B-50F1AE0E075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A5DF-4055-AE8B-50F1AE0E0758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A5DF-4055-AE8B-50F1AE0E0758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A5DF-4055-AE8B-50F1AE0E0758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A5DF-4055-AE8B-50F1AE0E0758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A5DF-4055-AE8B-50F1AE0E0758}"/>
              </c:ext>
            </c:extLst>
          </c:dPt>
          <c:dLbls>
            <c:dLbl>
              <c:idx val="0"/>
              <c:layout>
                <c:manualLayout>
                  <c:x val="8.3333333333334356E-3"/>
                  <c:y val="-8.3333333333333329E-2"/>
                </c:manualLayout>
              </c:layout>
              <c:tx>
                <c:rich>
                  <a:bodyPr/>
                  <a:lstStyle/>
                  <a:p>
                    <a:fld id="{34C0EDFD-3D96-4334-A067-0D1FF82ADE26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25,98 %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5DF-4055-AE8B-50F1AE0E0758}"/>
                </c:ext>
              </c:extLst>
            </c:dLbl>
            <c:dLbl>
              <c:idx val="1"/>
              <c:layout>
                <c:manualLayout>
                  <c:x val="2.7777777777775741E-3"/>
                  <c:y val="-3.7037037037037035E-2"/>
                </c:manualLayout>
              </c:layout>
              <c:tx>
                <c:rich>
                  <a:bodyPr/>
                  <a:lstStyle/>
                  <a:p>
                    <a:fld id="{1405FA19-B350-4C81-AC82-4F5D91075DFD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10,68 %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5DF-4055-AE8B-50F1AE0E0758}"/>
                </c:ext>
              </c:extLst>
            </c:dLbl>
            <c:dLbl>
              <c:idx val="2"/>
              <c:layout>
                <c:manualLayout>
                  <c:x val="-5.3210535492651867E-2"/>
                  <c:y val="-1.0582010582010581E-2"/>
                </c:manualLayout>
              </c:layout>
              <c:tx>
                <c:rich>
                  <a:bodyPr/>
                  <a:lstStyle/>
                  <a:p>
                    <a:fld id="{50531912-4E62-4DB4-A148-9425867D2CB2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43,84 %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A5DF-4055-AE8B-50F1AE0E0758}"/>
                </c:ext>
              </c:extLst>
            </c:dLbl>
            <c:dLbl>
              <c:idx val="3"/>
              <c:layout>
                <c:manualLayout>
                  <c:x val="-5.2189350866919192E-2"/>
                  <c:y val="1.7195906067297113E-2"/>
                </c:manualLayout>
              </c:layout>
              <c:tx>
                <c:rich>
                  <a:bodyPr/>
                  <a:lstStyle/>
                  <a:p>
                    <a:fld id="{6008D2CF-C1D2-4B6E-8EF4-FE9320F0669F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5,46 %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A5DF-4055-AE8B-50F1AE0E0758}"/>
                </c:ext>
              </c:extLst>
            </c:dLbl>
            <c:dLbl>
              <c:idx val="4"/>
              <c:layout>
                <c:manualLayout>
                  <c:x val="2.2953207280335727E-2"/>
                  <c:y val="-5.0925856490160966E-2"/>
                </c:manualLayout>
              </c:layout>
              <c:tx>
                <c:rich>
                  <a:bodyPr/>
                  <a:lstStyle/>
                  <a:p>
                    <a:fld id="{D6EF4B63-80A4-40CC-BFA0-58710B3DECC2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1,51 %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A5DF-4055-AE8B-50F1AE0E0758}"/>
                </c:ext>
              </c:extLst>
            </c:dLbl>
            <c:dLbl>
              <c:idx val="5"/>
              <c:layout>
                <c:manualLayout>
                  <c:x val="4.2977740205603444E-2"/>
                  <c:y val="-2.4691358024691357E-2"/>
                </c:manualLayout>
              </c:layout>
              <c:tx>
                <c:rich>
                  <a:bodyPr/>
                  <a:lstStyle/>
                  <a:p>
                    <a:fld id="{2985810C-DF5B-44CF-8BDC-FD7113B41929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12,53 %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A5DF-4055-AE8B-50F1AE0E075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'samples market stage per MS'!$AB$2:$AB$7</c:f>
              <c:strCache>
                <c:ptCount val="6"/>
                <c:pt idx="0">
                  <c:v>Cereales, semillas, hortalizas, frutas y otros frutos y sus productos</c:v>
                </c:pt>
                <c:pt idx="1">
                  <c:v>Pescado, crustáceos, moluscos y sus productos</c:v>
                </c:pt>
                <c:pt idx="2">
                  <c:v>Hierbas y especias</c:v>
                </c:pt>
                <c:pt idx="3">
                  <c:v>Carne y productos cárnicos</c:v>
                </c:pt>
                <c:pt idx="4">
                  <c:v>Leche y productos lácteos</c:v>
                </c:pt>
                <c:pt idx="5">
                  <c:v>Otros</c:v>
                </c:pt>
              </c:strCache>
            </c:strRef>
          </c:cat>
          <c:val>
            <c:numRef>
              <c:f>'samples market stage per MS'!$AC$2:$AC$7</c:f>
              <c:numCache>
                <c:formatCode>General</c:formatCode>
                <c:ptCount val="6"/>
                <c:pt idx="0">
                  <c:v>25.98</c:v>
                </c:pt>
                <c:pt idx="1">
                  <c:v>10.68</c:v>
                </c:pt>
                <c:pt idx="2">
                  <c:v>43.84</c:v>
                </c:pt>
                <c:pt idx="3">
                  <c:v>5.46</c:v>
                </c:pt>
                <c:pt idx="4">
                  <c:v>1.51</c:v>
                </c:pt>
                <c:pt idx="5">
                  <c:v>12.53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A5DF-4055-AE8B-50F1AE0E0758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945EB-A737-4528-A130-3AAEF605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1399</Words>
  <Characters>7751</Characters>
  <Application>Microsoft Office Word</Application>
  <DocSecurity>0</DocSecurity>
  <Lines>149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EC CoDe</cp:lastModifiedBy>
  <cp:revision>30</cp:revision>
  <dcterms:created xsi:type="dcterms:W3CDTF">2023-09-04T10:18:00Z</dcterms:created>
  <dcterms:modified xsi:type="dcterms:W3CDTF">2023-10-26T13:30:00Z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  <property fmtid="{D5CDD505-2E9C-101B-9397-08002B2CF9AE}" pid="6" name="CPTemplateID">
    <vt:lpwstr>CP-006</vt:lpwstr>
  </property>
  <property fmtid="{D5CDD505-2E9C-101B-9397-08002B2CF9AE}" pid="7" name="Last edited using">
    <vt:lpwstr>LW 9.0, Build 20230317</vt:lpwstr>
  </property>
  <property fmtid="{D5CDD505-2E9C-101B-9397-08002B2CF9AE}" pid="8" name="Created using">
    <vt:lpwstr>LW 7.0.1, Build 20190916</vt:lpwstr>
  </property>
  <property fmtid="{D5CDD505-2E9C-101B-9397-08002B2CF9AE}" pid="9" name="MSIP_Label_6bd9ddd1-4d20-43f6-abfa-fc3c07406f94_Enabled">
    <vt:lpwstr>true</vt:lpwstr>
  </property>
  <property fmtid="{D5CDD505-2E9C-101B-9397-08002B2CF9AE}" pid="10" name="MSIP_Label_6bd9ddd1-4d20-43f6-abfa-fc3c07406f94_SetDate">
    <vt:lpwstr>2022-12-01T16:40:36Z</vt:lpwstr>
  </property>
  <property fmtid="{D5CDD505-2E9C-101B-9397-08002B2CF9AE}" pid="11" name="MSIP_Label_6bd9ddd1-4d20-43f6-abfa-fc3c07406f94_Method">
    <vt:lpwstr>Standard</vt:lpwstr>
  </property>
  <property fmtid="{D5CDD505-2E9C-101B-9397-08002B2CF9AE}" pid="12" name="MSIP_Label_6bd9ddd1-4d20-43f6-abfa-fc3c07406f94_Name">
    <vt:lpwstr>Commission Use</vt:lpwstr>
  </property>
  <property fmtid="{D5CDD505-2E9C-101B-9397-08002B2CF9AE}" pid="13" name="MSIP_Label_6bd9ddd1-4d20-43f6-abfa-fc3c07406f94_SiteId">
    <vt:lpwstr>b24c8b06-522c-46fe-9080-70926f8dddb1</vt:lpwstr>
  </property>
  <property fmtid="{D5CDD505-2E9C-101B-9397-08002B2CF9AE}" pid="14" name="MSIP_Label_6bd9ddd1-4d20-43f6-abfa-fc3c07406f94_ActionId">
    <vt:lpwstr>405d6216-831c-4ea4-aa93-98aef02a92e1</vt:lpwstr>
  </property>
  <property fmtid="{D5CDD505-2E9C-101B-9397-08002B2CF9AE}" pid="15" name="MSIP_Label_6bd9ddd1-4d20-43f6-abfa-fc3c07406f94_ContentBits">
    <vt:lpwstr>0</vt:lpwstr>
  </property>
</Properties>
</file>