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3565C" w14:textId="0584EFB3" w:rsidR="00902721" w:rsidRPr="00B459D5" w:rsidRDefault="007E2B5A" w:rsidP="007E2B5A">
      <w:pPr>
        <w:pStyle w:val="Pagedecouverture"/>
        <w:rPr>
          <w:noProof/>
        </w:rPr>
      </w:pPr>
      <w:bookmarkStart w:id="0" w:name="LW_BM_COVERPAGE"/>
      <w:r>
        <w:rPr>
          <w:noProof/>
        </w:rPr>
        <w:pict w14:anchorId="48FD0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65223D49-D77B-426A-AFC0-C986E6B5D039" style="width:455.25pt;height:310.5pt">
            <v:imagedata r:id="rId11" o:title=""/>
          </v:shape>
        </w:pict>
      </w:r>
    </w:p>
    <w:bookmarkEnd w:id="0"/>
    <w:p w14:paraId="0963565D" w14:textId="77777777" w:rsidR="00902721" w:rsidRPr="00B459D5" w:rsidRDefault="00902721" w:rsidP="003E5AD4">
      <w:pPr>
        <w:spacing w:line="240" w:lineRule="auto"/>
        <w:rPr>
          <w:rFonts w:ascii="Times New Roman" w:hAnsi="Times New Roman" w:cs="Times New Roman"/>
          <w:noProof/>
          <w:sz w:val="24"/>
        </w:rPr>
        <w:sectPr w:rsidR="00902721" w:rsidRPr="00B459D5" w:rsidSect="007E2B5A">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35C084C0" w14:textId="123AEF46" w:rsidR="00112DF4" w:rsidRPr="00B459D5" w:rsidRDefault="00055DA4" w:rsidP="003E5AD4">
      <w:pPr>
        <w:spacing w:before="120" w:after="120" w:line="240" w:lineRule="auto"/>
        <w:jc w:val="both"/>
        <w:rPr>
          <w:rFonts w:ascii="Times New Roman" w:eastAsia="Times New Roman" w:hAnsi="Times New Roman" w:cs="Times New Roman"/>
          <w:noProof/>
          <w:sz w:val="24"/>
          <w:szCs w:val="24"/>
        </w:rPr>
      </w:pPr>
      <w:bookmarkStart w:id="1" w:name="_GoBack"/>
      <w:bookmarkEnd w:id="1"/>
      <w:r>
        <w:rPr>
          <w:rFonts w:ascii="Times New Roman" w:hAnsi="Times New Roman"/>
          <w:b/>
          <w:noProof/>
          <w:sz w:val="24"/>
        </w:rPr>
        <w:lastRenderedPageBreak/>
        <w:t>U svijetu koji se brzo razvija i u kojemu se događaju složene gospodarske, socijalne i tehnološke promjene te promjene u okolišu i višestruke tranzicije, visokokvalitetne javne uprave</w:t>
      </w:r>
      <w:r>
        <w:rPr>
          <w:rStyle w:val="FootnoteReference"/>
          <w:rFonts w:ascii="Times New Roman" w:eastAsia="Calibri" w:hAnsi="Times New Roman" w:cs="Times New Roman"/>
          <w:b/>
          <w:bCs/>
          <w:noProof/>
          <w:sz w:val="24"/>
          <w:szCs w:val="24"/>
        </w:rPr>
        <w:footnoteReference w:id="2"/>
      </w:r>
      <w:r>
        <w:rPr>
          <w:rFonts w:ascii="Times New Roman" w:hAnsi="Times New Roman"/>
          <w:b/>
          <w:noProof/>
          <w:sz w:val="24"/>
        </w:rPr>
        <w:t xml:space="preserve"> neophodne su za dobro upravljanje i učinkovitost djelovanja EU-a i država članica.</w:t>
      </w:r>
      <w:r>
        <w:rPr>
          <w:rFonts w:ascii="Times New Roman" w:hAnsi="Times New Roman"/>
          <w:noProof/>
          <w:sz w:val="24"/>
        </w:rPr>
        <w:t xml:space="preserve"> Javni sektor mora biti poduzetan, odgovarati na nove izazove i pritom jačati povjerenje javnosti. Uz suočavanje s posljedicama velikih vanjskih šokova kao što su pandemija bolesti COVID-19 i ruska agresija na Ukrajinu, važno je da EU nastavi rješavati pitanja klime i okoliša, graditi otporna i održiva gospodarstva i pravedna društva, poticati dugoročnu konkurentnost gospodarstva EU-a</w:t>
      </w:r>
      <w:r>
        <w:rPr>
          <w:rStyle w:val="FootnoteReference"/>
          <w:rFonts w:ascii="Times New Roman" w:eastAsia="Calibri" w:hAnsi="Times New Roman" w:cs="Times New Roman"/>
          <w:noProof/>
          <w:sz w:val="24"/>
          <w:szCs w:val="24"/>
        </w:rPr>
        <w:footnoteReference w:id="3"/>
      </w:r>
      <w:r>
        <w:rPr>
          <w:rFonts w:ascii="Times New Roman" w:hAnsi="Times New Roman"/>
          <w:noProof/>
          <w:sz w:val="24"/>
        </w:rPr>
        <w:t>, oblikovati digitalnu transformaciju usluga i radnog okruženja, promicati demokraciju i biti predvodnik u svijetu.</w:t>
      </w:r>
    </w:p>
    <w:p w14:paraId="0963565E" w14:textId="1966FE80" w:rsidR="00902721" w:rsidRPr="00B459D5" w:rsidRDefault="004F57FE" w:rsidP="003E5AD4">
      <w:pPr>
        <w:spacing w:before="120" w:after="120" w:line="240" w:lineRule="auto"/>
        <w:jc w:val="both"/>
        <w:rPr>
          <w:rFonts w:ascii="Times New Roman" w:eastAsia="Calibri" w:hAnsi="Times New Roman" w:cs="Times New Roman"/>
          <w:noProof/>
          <w:sz w:val="24"/>
          <w:szCs w:val="24"/>
        </w:rPr>
      </w:pPr>
      <w:r>
        <w:rPr>
          <w:rFonts w:ascii="Times New Roman" w:hAnsi="Times New Roman"/>
          <w:b/>
          <w:noProof/>
          <w:sz w:val="24"/>
        </w:rPr>
        <w:t>Provedba tog političkog programa ovisi o visokokvalitetnim, sposobnim, inovativnim i otpornim javnim upravama na svim razinama u državama članicama.</w:t>
      </w:r>
      <w:r>
        <w:rPr>
          <w:rFonts w:ascii="Times New Roman" w:hAnsi="Times New Roman"/>
          <w:noProof/>
          <w:sz w:val="24"/>
        </w:rPr>
        <w:t xml:space="preserve"> Javne uprave pretvaraju politike i zakonodavstvo EU-a u dobro osmišljene i lokalizirane nacionalne aktivnosti koje su utemeljene na dokazima, prilagođene digitalnim tehnologijama i otporne na promjene u budućnosti. Osmišljavaju i provode politike ključne za postizanje klimatske neutralnosti i provedbu Programa održivosti do 2030. Imaju ključnu ulogu u pripremi EU-a za digitalno doba tako što uspostavljaju kvalitetne, sigurne i interoperabilne digitalne javne usluge za potpuno funkcionalno jedinstveno tržište, rade na stjecanju digitalnih vještina u cijelom društvu, potiču prihvaćanje novih tehnologija te povećavaju odgovornost i javni nadzor nad njihovom upotrebom. Javna uprava, privatni sektor, socijalni partneri i obrazovne ustanove oblikuju konkurentnost radne snage i poduzeća poticanjem razvoja vještina budućnosti</w:t>
      </w:r>
      <w:r>
        <w:rPr>
          <w:rStyle w:val="FootnoteReference"/>
          <w:rFonts w:ascii="Times New Roman" w:eastAsia="Calibri" w:hAnsi="Times New Roman" w:cs="Times New Roman"/>
          <w:noProof/>
          <w:sz w:val="24"/>
          <w:szCs w:val="24"/>
        </w:rPr>
        <w:footnoteReference w:id="4"/>
      </w:r>
      <w:r>
        <w:rPr>
          <w:rFonts w:ascii="Times New Roman" w:hAnsi="Times New Roman"/>
          <w:noProof/>
          <w:sz w:val="24"/>
        </w:rPr>
        <w:t>.</w:t>
      </w:r>
    </w:p>
    <w:p w14:paraId="09635660" w14:textId="64E652FB" w:rsidR="00902721" w:rsidRPr="00B459D5" w:rsidRDefault="00055DA4" w:rsidP="003E5AD4">
      <w:pPr>
        <w:spacing w:before="120" w:after="120" w:line="240" w:lineRule="auto"/>
        <w:jc w:val="both"/>
        <w:rPr>
          <w:rFonts w:ascii="Times New Roman" w:eastAsia="Calibri" w:hAnsi="Times New Roman" w:cs="Times New Roman"/>
          <w:noProof/>
          <w:sz w:val="24"/>
          <w:szCs w:val="24"/>
        </w:rPr>
      </w:pPr>
      <w:r>
        <w:rPr>
          <w:rFonts w:ascii="Times New Roman" w:hAnsi="Times New Roman"/>
          <w:b/>
          <w:noProof/>
          <w:sz w:val="24"/>
        </w:rPr>
        <w:t xml:space="preserve">Javne uprave na središnjoj, regionalnoj i lokalnoj razini brinu se za dobro i održivo upravljanje proračunom EU-a i nacionalnim proračunima. </w:t>
      </w:r>
      <w:r>
        <w:rPr>
          <w:rFonts w:ascii="Times New Roman" w:hAnsi="Times New Roman"/>
          <w:noProof/>
          <w:sz w:val="24"/>
        </w:rPr>
        <w:t>Prikupljaju javna sredstva i prihode te izravno izvršavaju otprilike trećinu proračuna EU-a, uključujući kohezijske fondove, instrument Next Generation EU i njegov središnji element, Mehanizam za oporavak i otpornost (RRF).</w:t>
      </w:r>
      <w:r>
        <w:rPr>
          <w:rStyle w:val="cf11"/>
          <w:rFonts w:ascii="Times New Roman" w:hAnsi="Times New Roman"/>
          <w:noProof/>
          <w:sz w:val="24"/>
          <w:u w:val="none"/>
        </w:rPr>
        <w:t xml:space="preserve"> </w:t>
      </w:r>
      <w:r>
        <w:rPr>
          <w:rFonts w:ascii="Times New Roman" w:hAnsi="Times New Roman"/>
          <w:noProof/>
          <w:sz w:val="24"/>
        </w:rPr>
        <w:t>Javne uprave nadležne su za osmišljavanje i provedbu reformi i ulaganja u okviru nacionalnih planova za oporavak i otpornost, kao i strategija regionalnog razvoja kojima se jamči učinkovita upotreba kohezijskih fondova. Javne uprave upravljaju javnim sektorom, čiji doprinos BDP-u EU-a iznosi 51,5 %</w:t>
      </w:r>
      <w:r>
        <w:rPr>
          <w:rStyle w:val="FootnoteReference"/>
          <w:rFonts w:ascii="Times New Roman" w:eastAsia="Calibri" w:hAnsi="Times New Roman" w:cs="Times New Roman"/>
          <w:noProof/>
          <w:sz w:val="24"/>
          <w:szCs w:val="24"/>
        </w:rPr>
        <w:footnoteReference w:id="5"/>
      </w:r>
      <w:r>
        <w:rPr>
          <w:rFonts w:ascii="Times New Roman" w:hAnsi="Times New Roman"/>
          <w:noProof/>
          <w:sz w:val="24"/>
        </w:rPr>
        <w:t xml:space="preserve"> te koji zapošljava oko 21 % radne snage u EU-u</w:t>
      </w:r>
      <w:r>
        <w:rPr>
          <w:rStyle w:val="FootnoteReference"/>
          <w:rFonts w:ascii="Times New Roman" w:eastAsia="Calibri" w:hAnsi="Times New Roman" w:cs="Times New Roman"/>
          <w:noProof/>
          <w:sz w:val="24"/>
          <w:szCs w:val="24"/>
        </w:rPr>
        <w:footnoteReference w:id="6"/>
      </w:r>
      <w:r>
        <w:rPr>
          <w:rFonts w:ascii="Times New Roman" w:hAnsi="Times New Roman"/>
          <w:noProof/>
          <w:sz w:val="24"/>
        </w:rPr>
        <w:t>, stvara 19,8 % ukupne bruto dodane vrijednosti EU-a</w:t>
      </w:r>
      <w:r>
        <w:rPr>
          <w:rStyle w:val="FootnoteReference"/>
          <w:rFonts w:ascii="Times New Roman" w:eastAsia="Calibri" w:hAnsi="Times New Roman" w:cs="Times New Roman"/>
          <w:noProof/>
          <w:sz w:val="24"/>
          <w:szCs w:val="24"/>
        </w:rPr>
        <w:footnoteReference w:id="7"/>
      </w:r>
      <w:r>
        <w:rPr>
          <w:rFonts w:ascii="Times New Roman" w:hAnsi="Times New Roman"/>
          <w:noProof/>
          <w:sz w:val="24"/>
        </w:rPr>
        <w:t xml:space="preserve"> i tržište u godišnjoj vrijednosti od oko 670 milijardi EUR na temelju ugovora o javnim radovima i nabavi robe</w:t>
      </w:r>
      <w:r>
        <w:rPr>
          <w:rStyle w:val="FootnoteReference"/>
          <w:rFonts w:ascii="Times New Roman" w:hAnsi="Times New Roman" w:cs="Times New Roman"/>
          <w:noProof/>
          <w:sz w:val="24"/>
          <w:szCs w:val="24"/>
        </w:rPr>
        <w:footnoteReference w:id="8"/>
      </w:r>
      <w:r>
        <w:rPr>
          <w:rFonts w:ascii="Times New Roman" w:hAnsi="Times New Roman"/>
          <w:noProof/>
          <w:sz w:val="24"/>
        </w:rPr>
        <w:t xml:space="preserve">. </w:t>
      </w:r>
    </w:p>
    <w:p w14:paraId="205F986F" w14:textId="09C4BF51" w:rsidR="00936851" w:rsidRPr="00B459D5" w:rsidRDefault="00936851" w:rsidP="00936851">
      <w:pPr>
        <w:spacing w:before="120" w:after="120" w:line="240" w:lineRule="auto"/>
        <w:jc w:val="both"/>
        <w:rPr>
          <w:rFonts w:ascii="Times New Roman" w:eastAsia="Calibri" w:hAnsi="Times New Roman" w:cs="Times New Roman"/>
          <w:noProof/>
        </w:rPr>
      </w:pPr>
      <w:r>
        <w:rPr>
          <w:rFonts w:ascii="Times New Roman" w:hAnsi="Times New Roman"/>
          <w:b/>
          <w:noProof/>
          <w:sz w:val="24"/>
        </w:rPr>
        <w:t>Javne uprave imaju ključnu ulogu u promicanju rasta regija</w:t>
      </w:r>
      <w:r>
        <w:rPr>
          <w:rStyle w:val="FootnoteReference"/>
          <w:rFonts w:ascii="Times New Roman" w:eastAsia="Calibri" w:hAnsi="Times New Roman" w:cs="Times New Roman"/>
          <w:noProof/>
          <w:sz w:val="24"/>
          <w:szCs w:val="24"/>
        </w:rPr>
        <w:footnoteReference w:id="9"/>
      </w:r>
      <w:r>
        <w:rPr>
          <w:rFonts w:ascii="Times New Roman" w:hAnsi="Times New Roman"/>
          <w:b/>
          <w:noProof/>
          <w:sz w:val="24"/>
        </w:rPr>
        <w:t>.</w:t>
      </w:r>
      <w:r>
        <w:rPr>
          <w:rFonts w:ascii="Times New Roman" w:hAnsi="Times New Roman"/>
          <w:noProof/>
          <w:sz w:val="24"/>
        </w:rPr>
        <w:t xml:space="preserve"> Kvalitetne javne institucije na regionalnoj i lokalnoj razini preduvjet su za lokalizirane politike, regionalnu konkurentnost i privlačnost za ulaganja</w:t>
      </w:r>
      <w:r>
        <w:rPr>
          <w:rStyle w:val="FootnoteReference"/>
          <w:rFonts w:ascii="Times New Roman" w:eastAsia="Calibri" w:hAnsi="Times New Roman" w:cs="Times New Roman"/>
          <w:noProof/>
          <w:sz w:val="24"/>
          <w:szCs w:val="24"/>
        </w:rPr>
        <w:footnoteReference w:id="10"/>
      </w:r>
      <w:r>
        <w:rPr>
          <w:rFonts w:ascii="Times New Roman" w:hAnsi="Times New Roman"/>
          <w:noProof/>
          <w:sz w:val="24"/>
        </w:rPr>
        <w:t xml:space="preserve">. To je važno kako bi se izbjegle razvojne zamke, posebno u slabije razvijenim i tranzicijskim regijama. </w:t>
      </w:r>
    </w:p>
    <w:p w14:paraId="09635661" w14:textId="53F705C6" w:rsidR="00902721" w:rsidRPr="00B459D5" w:rsidRDefault="00055DA4" w:rsidP="003E5AD4">
      <w:pPr>
        <w:spacing w:before="120" w:after="120" w:line="240" w:lineRule="auto"/>
        <w:jc w:val="both"/>
        <w:rPr>
          <w:rFonts w:ascii="Times New Roman" w:eastAsia="Calibri" w:hAnsi="Times New Roman" w:cs="Times New Roman"/>
          <w:noProof/>
          <w:sz w:val="24"/>
          <w:szCs w:val="24"/>
        </w:rPr>
      </w:pPr>
      <w:r>
        <w:rPr>
          <w:rFonts w:ascii="Times New Roman" w:hAnsi="Times New Roman"/>
          <w:b/>
          <w:noProof/>
          <w:sz w:val="24"/>
        </w:rPr>
        <w:t>Javne uprave imaju veliku ulogu u demokratskom upravljanju i očuvanju vladavine prava.</w:t>
      </w:r>
      <w:r>
        <w:rPr>
          <w:rFonts w:ascii="Times New Roman" w:hAnsi="Times New Roman"/>
          <w:noProof/>
        </w:rPr>
        <w:t xml:space="preserve"> </w:t>
      </w:r>
      <w:r>
        <w:rPr>
          <w:rFonts w:ascii="Times New Roman" w:hAnsi="Times New Roman"/>
          <w:noProof/>
          <w:sz w:val="24"/>
        </w:rPr>
        <w:t>Javne uprave moraju zadržati i poboljšati povjerenje javnosti te čuvati demokraciju</w:t>
      </w:r>
      <w:r>
        <w:rPr>
          <w:rStyle w:val="FootnoteReference"/>
          <w:rFonts w:ascii="Times New Roman" w:eastAsia="Calibri" w:hAnsi="Times New Roman" w:cs="Times New Roman"/>
          <w:noProof/>
          <w:sz w:val="24"/>
          <w:szCs w:val="24"/>
        </w:rPr>
        <w:footnoteReference w:id="11"/>
      </w:r>
      <w:r>
        <w:rPr>
          <w:rFonts w:ascii="Times New Roman" w:hAnsi="Times New Roman"/>
          <w:noProof/>
          <w:sz w:val="24"/>
        </w:rPr>
        <w:t xml:space="preserve"> visokim standardima integriteta, transparentnosti, odgovornosti te sprečavanjem i borbom protiv korupcije</w:t>
      </w:r>
      <w:r>
        <w:rPr>
          <w:rStyle w:val="FootnoteReference"/>
          <w:rFonts w:ascii="Times New Roman" w:eastAsia="Calibri" w:hAnsi="Times New Roman" w:cs="Times New Roman"/>
          <w:noProof/>
          <w:sz w:val="24"/>
          <w:szCs w:val="24"/>
        </w:rPr>
        <w:footnoteReference w:id="12"/>
      </w:r>
      <w:r>
        <w:rPr>
          <w:rFonts w:ascii="Times New Roman" w:hAnsi="Times New Roman"/>
          <w:noProof/>
          <w:sz w:val="24"/>
        </w:rPr>
        <w:t>. Osiguravaju participativno oblikovanje politika, kvalitetu, uključivost i blizinu usluga</w:t>
      </w:r>
      <w:r>
        <w:rPr>
          <w:rStyle w:val="FootnoteReference"/>
          <w:rFonts w:ascii="Times New Roman" w:eastAsia="Calibri" w:hAnsi="Times New Roman" w:cs="Times New Roman"/>
          <w:noProof/>
          <w:sz w:val="24"/>
          <w:szCs w:val="24"/>
        </w:rPr>
        <w:footnoteReference w:id="13"/>
      </w:r>
      <w:r>
        <w:rPr>
          <w:rFonts w:ascii="Times New Roman" w:hAnsi="Times New Roman"/>
          <w:noProof/>
          <w:sz w:val="24"/>
        </w:rPr>
        <w:t xml:space="preserve"> te odgovarajuće regulatorne okvire upotrebom najboljih dostupnih znanstvenih spoznaja i dokaza, uključujući etičnu upotrebu umjetne inteligencije i drugih digitalnih tehnologija, te očuvanjem održivosti javnih financija. Funkcionalne javne uprave služe potrebama ljudi, pri čemu posebnu pozornost posvećuju najranjivijim skupinama, i potrebama poduzeća uklanjanjem preostalih prepreka, smanjenjem administrativnog opterećenja i produbljivanjem funkcioniranja jedinstvenog tržišta i primjene njegovih četiriju temeljnih sloboda.</w:t>
      </w:r>
    </w:p>
    <w:p w14:paraId="09635663" w14:textId="5871A480" w:rsidR="00902721" w:rsidRPr="00B459D5" w:rsidRDefault="00055DA4" w:rsidP="003E5AD4">
      <w:pPr>
        <w:spacing w:before="120" w:after="120" w:line="240" w:lineRule="auto"/>
        <w:jc w:val="both"/>
        <w:rPr>
          <w:rFonts w:ascii="Times New Roman" w:eastAsia="Calibri" w:hAnsi="Times New Roman" w:cs="Times New Roman"/>
          <w:noProof/>
          <w:sz w:val="24"/>
          <w:szCs w:val="24"/>
        </w:rPr>
      </w:pPr>
      <w:r>
        <w:rPr>
          <w:rFonts w:ascii="Times New Roman" w:hAnsi="Times New Roman"/>
          <w:b/>
          <w:noProof/>
          <w:sz w:val="24"/>
        </w:rPr>
        <w:t>Standardi kvalitete javnih uprava država članica ujedno su i primjer zemljama proširenja</w:t>
      </w:r>
      <w:r>
        <w:rPr>
          <w:rFonts w:ascii="Times New Roman" w:hAnsi="Times New Roman"/>
          <w:noProof/>
          <w:sz w:val="24"/>
        </w:rPr>
        <w:t xml:space="preserve">, koje usklađuju svoje zakone i prakse s onima u EU-u te se suočavaju sa sličnim izazovima, kao što su usporedna tranzicija i demografske promjene. Kvalitetna javna uprava već je temeljni zahtjev za pristupanje, kao i vladavina prava. </w:t>
      </w:r>
    </w:p>
    <w:p w14:paraId="09635664" w14:textId="7E163748" w:rsidR="00902721" w:rsidRPr="00B459D5" w:rsidRDefault="00055DA4" w:rsidP="003E5AD4">
      <w:pPr>
        <w:spacing w:before="120" w:after="120" w:line="240" w:lineRule="auto"/>
        <w:jc w:val="both"/>
        <w:rPr>
          <w:rFonts w:ascii="Times New Roman" w:eastAsia="Calibri" w:hAnsi="Times New Roman" w:cs="Times New Roman"/>
          <w:noProof/>
          <w:sz w:val="24"/>
          <w:szCs w:val="24"/>
        </w:rPr>
      </w:pPr>
      <w:r>
        <w:rPr>
          <w:rFonts w:ascii="Times New Roman" w:hAnsi="Times New Roman"/>
          <w:b/>
          <w:noProof/>
          <w:sz w:val="24"/>
        </w:rPr>
        <w:t>Trebalo bi poboljšati učinkovitost uprave u cijelom EU-u</w:t>
      </w:r>
      <w:r>
        <w:rPr>
          <w:rStyle w:val="FootnoteReference"/>
          <w:rFonts w:ascii="Times New Roman" w:eastAsia="Calibri" w:hAnsi="Times New Roman" w:cs="Times New Roman"/>
          <w:noProof/>
          <w:sz w:val="24"/>
          <w:szCs w:val="24"/>
        </w:rPr>
        <w:footnoteReference w:id="14"/>
      </w:r>
      <w:r>
        <w:rPr>
          <w:rFonts w:ascii="Times New Roman" w:hAnsi="Times New Roman"/>
          <w:b/>
          <w:noProof/>
          <w:sz w:val="24"/>
        </w:rPr>
        <w:t>.</w:t>
      </w:r>
      <w:r>
        <w:rPr>
          <w:rFonts w:ascii="Times New Roman" w:hAnsi="Times New Roman"/>
          <w:noProof/>
          <w:sz w:val="24"/>
        </w:rPr>
        <w:t xml:space="preserve"> Javne uprave općenito su uspješno održavale ključne funkcije tijekom krize uzrokovane bolešću COVID-19</w:t>
      </w:r>
      <w:r>
        <w:rPr>
          <w:rStyle w:val="FootnoteReference"/>
          <w:rFonts w:ascii="Times New Roman" w:eastAsia="Calibri" w:hAnsi="Times New Roman" w:cs="Times New Roman"/>
          <w:noProof/>
          <w:sz w:val="24"/>
          <w:szCs w:val="24"/>
        </w:rPr>
        <w:footnoteReference w:id="15"/>
      </w:r>
      <w:r>
        <w:rPr>
          <w:rFonts w:ascii="Times New Roman" w:hAnsi="Times New Roman"/>
          <w:noProof/>
          <w:sz w:val="24"/>
        </w:rPr>
        <w:t>, ali je kriza naglasila nedostatke u digitalnoj pripravnosti, nedosljednosti u strateškom planiranju i manjak kapaciteta za upravljanje krizama. Među državama članicama i dalje postoje velike razlike u pogledu kvalitete usluga i donošenja politika</w:t>
      </w:r>
      <w:r>
        <w:rPr>
          <w:rStyle w:val="FootnoteReference"/>
          <w:rFonts w:ascii="Times New Roman" w:eastAsia="Calibri" w:hAnsi="Times New Roman" w:cs="Times New Roman"/>
          <w:noProof/>
          <w:sz w:val="24"/>
          <w:szCs w:val="24"/>
        </w:rPr>
        <w:footnoteReference w:id="16"/>
      </w:r>
      <w:r>
        <w:rPr>
          <w:rFonts w:ascii="Times New Roman" w:hAnsi="Times New Roman"/>
          <w:noProof/>
          <w:sz w:val="24"/>
        </w:rPr>
        <w:t xml:space="preserve">. U okviru europskog semestra, naročito u posebnom prilogu o javnoj upravi u izvješćima za pojedine zemlje, Komisija sve više prati kvalitetu javne uprave. </w:t>
      </w:r>
    </w:p>
    <w:p w14:paraId="09635665" w14:textId="2E8B9F7B" w:rsidR="00902721" w:rsidRPr="00B459D5" w:rsidRDefault="00291065" w:rsidP="003E5AD4">
      <w:pPr>
        <w:spacing w:before="120" w:after="120" w:line="240" w:lineRule="auto"/>
        <w:jc w:val="both"/>
        <w:rPr>
          <w:rFonts w:ascii="Times New Roman" w:eastAsia="Calibri" w:hAnsi="Times New Roman" w:cs="Times New Roman"/>
          <w:noProof/>
          <w:sz w:val="24"/>
          <w:szCs w:val="24"/>
        </w:rPr>
      </w:pPr>
      <w:r>
        <w:rPr>
          <w:rFonts w:ascii="Times New Roman" w:hAnsi="Times New Roman"/>
          <w:b/>
          <w:noProof/>
          <w:sz w:val="24"/>
        </w:rPr>
        <w:t>Boljom provedbom politike EU-a i boljim administrativnim rezultatima svake bi se godine mogle uštedjeti milijarde eura poreznih obveznika i poduzeća u EU-u.</w:t>
      </w:r>
      <w:r>
        <w:rPr>
          <w:rFonts w:ascii="Times New Roman" w:hAnsi="Times New Roman"/>
          <w:noProof/>
          <w:sz w:val="24"/>
        </w:rPr>
        <w:t xml:space="preserve"> Poboljšanjem svojih administrativnih rezultata države članice mogle bi uštedjeti 64,2 milijarde EUR godišnje. Poduzeća bi mogla uštedjeti 2,2 milijarde EUR godišnje na razini EU-a ako bi administrativni postupci i troškovi osnivanja poduzeća bili usklađeni s onima u državama članicama s najboljim rezultatima</w:t>
      </w:r>
      <w:r>
        <w:rPr>
          <w:rStyle w:val="FootnoteReference"/>
          <w:rFonts w:ascii="Times New Roman" w:eastAsia="Calibri" w:hAnsi="Times New Roman" w:cs="Times New Roman"/>
          <w:noProof/>
          <w:sz w:val="24"/>
          <w:szCs w:val="24"/>
        </w:rPr>
        <w:footnoteReference w:id="17"/>
      </w:r>
      <w:r>
        <w:rPr>
          <w:rFonts w:ascii="Times New Roman" w:hAnsi="Times New Roman"/>
          <w:noProof/>
          <w:sz w:val="24"/>
        </w:rPr>
        <w:t>. Nedavno istraživanje Eurobarometra</w:t>
      </w:r>
      <w:r>
        <w:rPr>
          <w:rStyle w:val="FootnoteReference"/>
          <w:rFonts w:ascii="Times New Roman" w:eastAsia="Calibri" w:hAnsi="Times New Roman" w:cs="Times New Roman"/>
          <w:noProof/>
          <w:sz w:val="24"/>
          <w:szCs w:val="24"/>
        </w:rPr>
        <w:footnoteReference w:id="18"/>
      </w:r>
      <w:r>
        <w:rPr>
          <w:rFonts w:ascii="Times New Roman" w:hAnsi="Times New Roman"/>
          <w:noProof/>
          <w:sz w:val="24"/>
        </w:rPr>
        <w:t xml:space="preserve"> pokazalo je da Europljani očekuju da javne uprave postanu manje birokratske (48 %), brže u pružanju usluga (47 %), transparentnije i bliže građanima. Također smatraju da je Komisija pokretač bolje reakcije na krize i važan posrednik u suradnji i razmjeni znanja kako bi javne uprave postale učinkovitije i djelotvornije.</w:t>
      </w:r>
    </w:p>
    <w:p w14:paraId="37A393FF" w14:textId="24081C89" w:rsidR="008A62F2" w:rsidRPr="00B459D5" w:rsidRDefault="00055DA4" w:rsidP="004D403F">
      <w:pPr>
        <w:spacing w:line="240" w:lineRule="auto"/>
        <w:jc w:val="both"/>
        <w:rPr>
          <w:noProof/>
        </w:rPr>
      </w:pPr>
      <w:r>
        <w:rPr>
          <w:rFonts w:ascii="Times New Roman" w:hAnsi="Times New Roman"/>
          <w:b/>
          <w:noProof/>
          <w:sz w:val="24"/>
        </w:rPr>
        <w:t>Javne uprave moraju predviđati promjene, a ne samo odgovarati na njih</w:t>
      </w:r>
      <w:r>
        <w:rPr>
          <w:rStyle w:val="FootnoteReference"/>
          <w:rFonts w:ascii="Times New Roman" w:eastAsia="Calibri" w:hAnsi="Times New Roman" w:cs="Times New Roman"/>
          <w:noProof/>
          <w:sz w:val="24"/>
          <w:szCs w:val="24"/>
        </w:rPr>
        <w:footnoteReference w:id="19"/>
      </w:r>
      <w:r>
        <w:rPr>
          <w:rFonts w:ascii="Times New Roman" w:hAnsi="Times New Roman"/>
          <w:b/>
          <w:noProof/>
          <w:sz w:val="24"/>
        </w:rPr>
        <w:t>.</w:t>
      </w:r>
      <w:r>
        <w:rPr>
          <w:rFonts w:ascii="Times New Roman" w:hAnsi="Times New Roman"/>
          <w:noProof/>
          <w:sz w:val="24"/>
        </w:rPr>
        <w:t xml:space="preserve"> U tu svrhu moraju ojačati svoju sposobnost planiranja na svim razinama vlasti, prilagođavati svoje radne metode brzim tehnološkim promjenama te stalno preispitivati i uvoditi inovacije u oblikovanju politika</w:t>
      </w:r>
      <w:r>
        <w:rPr>
          <w:rStyle w:val="FootnoteReference"/>
          <w:rFonts w:ascii="Times New Roman" w:eastAsia="Calibri" w:hAnsi="Times New Roman" w:cs="Times New Roman"/>
          <w:noProof/>
          <w:sz w:val="24"/>
          <w:szCs w:val="24"/>
        </w:rPr>
        <w:footnoteReference w:id="20"/>
      </w:r>
      <w:r>
        <w:rPr>
          <w:rFonts w:ascii="Times New Roman" w:hAnsi="Times New Roman"/>
          <w:noProof/>
          <w:sz w:val="24"/>
        </w:rPr>
        <w:t xml:space="preserve"> i pružanju usluga usmjerenih na građane. Usto bi, osim tekućeg strateškog planiranja u okviru višegodišnjeg proračuna ili programiranja strukturnih i kohezijskih fondova EU-a, javne uprave trebale promicati aktivnosti i sposobnosti usmjerene na budućnost, kao što su strateško predviđanje u suradnji s akademskom zajednicom, istraživačima i posebnim skupinama za strateško promišljanje.</w:t>
      </w:r>
    </w:p>
    <w:p w14:paraId="09635667" w14:textId="43F0D216" w:rsidR="00902721" w:rsidRPr="00B459D5" w:rsidRDefault="00055DA4" w:rsidP="003E5AD4">
      <w:pPr>
        <w:spacing w:before="120" w:after="120" w:line="240" w:lineRule="auto"/>
        <w:jc w:val="both"/>
        <w:rPr>
          <w:rFonts w:ascii="Times New Roman" w:eastAsia="Calibri" w:hAnsi="Times New Roman" w:cs="Times New Roman"/>
          <w:noProof/>
          <w:sz w:val="24"/>
          <w:szCs w:val="24"/>
        </w:rPr>
      </w:pPr>
      <w:r>
        <w:rPr>
          <w:rFonts w:ascii="Times New Roman" w:hAnsi="Times New Roman"/>
          <w:b/>
          <w:noProof/>
          <w:sz w:val="24"/>
        </w:rPr>
        <w:t>Javne uprave imaju sve više poteškoća s okupljanjem stručne i stabilne radne snage</w:t>
      </w:r>
      <w:r>
        <w:rPr>
          <w:rStyle w:val="FootnoteReference"/>
          <w:rFonts w:ascii="Times New Roman" w:eastAsia="Calibri" w:hAnsi="Times New Roman" w:cs="Times New Roman"/>
          <w:noProof/>
          <w:sz w:val="24"/>
          <w:szCs w:val="24"/>
        </w:rPr>
        <w:footnoteReference w:id="21"/>
      </w:r>
      <w:r>
        <w:rPr>
          <w:rFonts w:ascii="Times New Roman" w:hAnsi="Times New Roman"/>
          <w:b/>
          <w:noProof/>
          <w:sz w:val="24"/>
        </w:rPr>
        <w:t xml:space="preserve">. </w:t>
      </w:r>
      <w:r>
        <w:rPr>
          <w:rFonts w:ascii="Times New Roman" w:hAnsi="Times New Roman"/>
          <w:noProof/>
          <w:sz w:val="24"/>
        </w:rPr>
        <w:t>Svaki sedmi građanin EU-a smatra javnu upravu privlačnim poslodavcem</w:t>
      </w:r>
      <w:r>
        <w:rPr>
          <w:rStyle w:val="FootnoteReference"/>
          <w:rFonts w:ascii="Times New Roman" w:eastAsia="Calibri" w:hAnsi="Times New Roman" w:cs="Times New Roman"/>
          <w:noProof/>
          <w:sz w:val="24"/>
          <w:szCs w:val="24"/>
        </w:rPr>
        <w:footnoteReference w:id="22"/>
      </w:r>
      <w:r>
        <w:rPr>
          <w:rFonts w:ascii="Times New Roman" w:hAnsi="Times New Roman"/>
          <w:noProof/>
          <w:sz w:val="24"/>
        </w:rPr>
        <w:t>. Regionalne i lokalne uprave slabije razvijenih i naseljenih područja suočavaju se s još većim preprekama u privlačenju stručnog kadra. Demografski podaci pokazuju da će u sljedećih 10 godina starenje uzrokovati velik val umirovljenja u državnoj službi u nekoliko država članica. Zbog posebnih zahtjeva i dugog vremena zapošljavanja javne uprave teško mogu osigurati kontinuitet, stabilnost, prilagodljivost i dobre rezultate. Stopa obrazovanja odraslih u nekim je državama članicama niska, zbog čega je baza vještina koju uprave mogu iskoristiti ograničena</w:t>
      </w:r>
      <w:r>
        <w:rPr>
          <w:rStyle w:val="FootnoteReference"/>
          <w:rFonts w:ascii="Times New Roman" w:eastAsia="Calibri" w:hAnsi="Times New Roman" w:cs="Times New Roman"/>
          <w:noProof/>
          <w:sz w:val="24"/>
          <w:szCs w:val="24"/>
        </w:rPr>
        <w:footnoteReference w:id="23"/>
      </w:r>
      <w:r>
        <w:rPr>
          <w:rFonts w:ascii="Times New Roman" w:hAnsi="Times New Roman"/>
          <w:noProof/>
          <w:sz w:val="24"/>
        </w:rPr>
        <w:t>. Osim toga, eksternalizacija stručnog znanja može smanjiti sposobnost javnih uprava da uče i steknu iskustvo za obavljanje složenijih zadaća.</w:t>
      </w:r>
    </w:p>
    <w:p w14:paraId="68467B77" w14:textId="77777777" w:rsidR="00D72CEC" w:rsidRDefault="00055DA4" w:rsidP="003E5AD4">
      <w:pPr>
        <w:spacing w:before="120" w:after="120" w:line="240" w:lineRule="auto"/>
        <w:jc w:val="both"/>
        <w:rPr>
          <w:rFonts w:ascii="Times New Roman" w:eastAsia="Calibri" w:hAnsi="Times New Roman" w:cs="Times New Roman"/>
          <w:noProof/>
          <w:sz w:val="24"/>
          <w:szCs w:val="24"/>
        </w:rPr>
      </w:pPr>
      <w:r>
        <w:rPr>
          <w:rFonts w:ascii="Times New Roman" w:hAnsi="Times New Roman"/>
          <w:b/>
          <w:noProof/>
          <w:sz w:val="24"/>
        </w:rPr>
        <w:t>Uzimajući u obzir navedene izazove, Komisija je uvela niz alata za potporu administrativnoj transformaciji država članica</w:t>
      </w:r>
      <w:r>
        <w:rPr>
          <w:rStyle w:val="FootnoteReference"/>
          <w:rFonts w:ascii="Times New Roman" w:eastAsia="Calibri" w:hAnsi="Times New Roman" w:cs="Times New Roman"/>
          <w:noProof/>
          <w:sz w:val="24"/>
          <w:szCs w:val="24"/>
        </w:rPr>
        <w:footnoteReference w:id="24"/>
      </w:r>
      <w:r>
        <w:rPr>
          <w:rFonts w:ascii="Times New Roman" w:hAnsi="Times New Roman"/>
          <w:b/>
          <w:noProof/>
          <w:sz w:val="24"/>
        </w:rPr>
        <w:t>.</w:t>
      </w:r>
      <w:r>
        <w:rPr>
          <w:rFonts w:ascii="Times New Roman" w:hAnsi="Times New Roman"/>
          <w:noProof/>
          <w:sz w:val="24"/>
        </w:rPr>
        <w:t xml:space="preserve"> RRF podržava niz reformi i ulaganja za poboljšanje kvalitete i pristupačnosti javnih usluga na svim razinama</w:t>
      </w:r>
      <w:r>
        <w:rPr>
          <w:rStyle w:val="FootnoteReference"/>
          <w:rFonts w:ascii="Times New Roman" w:hAnsi="Times New Roman" w:cs="Times New Roman"/>
          <w:noProof/>
          <w:sz w:val="24"/>
          <w:szCs w:val="24"/>
        </w:rPr>
        <w:footnoteReference w:id="25"/>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Instrument za tehničku potporu</w:t>
      </w:r>
      <w:r>
        <w:rPr>
          <w:rFonts w:ascii="Times New Roman" w:eastAsia="Times New Roman" w:hAnsi="Times New Roman" w:cs="Times New Roman"/>
          <w:noProof/>
          <w:color w:val="000000"/>
          <w:sz w:val="24"/>
          <w:szCs w:val="24"/>
          <w:u w:color="000000"/>
          <w:bdr w:val="nil"/>
          <w:vertAlign w:val="superscript"/>
        </w:rPr>
        <w:footnoteReference w:id="26"/>
      </w:r>
      <w:r>
        <w:rPr>
          <w:rFonts w:ascii="Times New Roman" w:hAnsi="Times New Roman"/>
          <w:noProof/>
          <w:sz w:val="24"/>
        </w:rPr>
        <w:t xml:space="preserve"> pruža stručno znanje za osmišljavanje i provedbu širokog raspona reformi. Osim toga, Komisija pomaže državama članicama analizom po zemljama i tematskim analizama, izgradnjom kapaciteta, smjernicama i omogućivanjem razmjene među kolegama</w:t>
      </w:r>
      <w:r>
        <w:rPr>
          <w:rStyle w:val="FootnoteReference"/>
          <w:rFonts w:ascii="Times New Roman" w:hAnsi="Times New Roman" w:cs="Times New Roman"/>
          <w:noProof/>
          <w:sz w:val="24"/>
          <w:szCs w:val="24"/>
        </w:rPr>
        <w:footnoteReference w:id="27"/>
      </w:r>
      <w:r>
        <w:rPr>
          <w:rFonts w:ascii="Times New Roman" w:hAnsi="Times New Roman"/>
          <w:noProof/>
          <w:sz w:val="24"/>
        </w:rPr>
        <w:t>. Komisijin Instrument za tehničku pomoć i razmjenu informacija</w:t>
      </w:r>
      <w:r>
        <w:rPr>
          <w:rStyle w:val="FootnoteReference"/>
          <w:rFonts w:ascii="Times New Roman" w:eastAsia="Calibri" w:hAnsi="Times New Roman" w:cs="Times New Roman"/>
          <w:noProof/>
          <w:sz w:val="24"/>
          <w:szCs w:val="24"/>
        </w:rPr>
        <w:footnoteReference w:id="28"/>
      </w:r>
      <w:r>
        <w:rPr>
          <w:rFonts w:ascii="Times New Roman" w:hAnsi="Times New Roman"/>
          <w:noProof/>
          <w:sz w:val="24"/>
        </w:rPr>
        <w:t xml:space="preserve"> proširio je svoju potporu javnim upravama država članica u primjeni i provedbi zakonodavstva EU-a te razmjeni primjera dobre prakse EU-a. </w:t>
      </w:r>
    </w:p>
    <w:p w14:paraId="7403AD26" w14:textId="46239F91" w:rsidR="00910435" w:rsidRPr="00B459D5" w:rsidRDefault="00134027" w:rsidP="003E5AD4">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Komisija </w:t>
      </w:r>
      <w:r>
        <w:rPr>
          <w:rFonts w:ascii="Times New Roman" w:hAnsi="Times New Roman"/>
          <w:b/>
          <w:noProof/>
          <w:sz w:val="24"/>
        </w:rPr>
        <w:t>stalno surađuje s drugim javnim upravama</w:t>
      </w:r>
      <w:r>
        <w:rPr>
          <w:rFonts w:ascii="Times New Roman" w:hAnsi="Times New Roman"/>
          <w:noProof/>
          <w:sz w:val="24"/>
        </w:rPr>
        <w:t>, posebno preko dvije komplementarne mreže, stručne skupine za javnu upravu</w:t>
      </w:r>
      <w:r>
        <w:rPr>
          <w:rFonts w:ascii="Times New Roman" w:eastAsia="Calibri" w:hAnsi="Times New Roman" w:cs="Times New Roman"/>
          <w:noProof/>
          <w:sz w:val="24"/>
          <w:szCs w:val="24"/>
          <w:vertAlign w:val="superscript"/>
          <w:lang w:val="en-IE"/>
        </w:rPr>
        <w:footnoteReference w:id="29"/>
      </w:r>
      <w:r>
        <w:rPr>
          <w:rFonts w:ascii="Times New Roman" w:hAnsi="Times New Roman"/>
          <w:noProof/>
          <w:sz w:val="24"/>
        </w:rPr>
        <w:t xml:space="preserve"> i Europske mreže javnih uprava (EUPAN)</w:t>
      </w:r>
      <w:r>
        <w:rPr>
          <w:rStyle w:val="FootnoteReference"/>
          <w:rFonts w:ascii="Times New Roman" w:eastAsia="Calibri" w:hAnsi="Times New Roman" w:cs="Times New Roman"/>
          <w:noProof/>
          <w:sz w:val="24"/>
          <w:szCs w:val="24"/>
        </w:rPr>
        <w:footnoteReference w:id="30"/>
      </w:r>
      <w:r>
        <w:rPr>
          <w:rFonts w:ascii="Times New Roman" w:hAnsi="Times New Roman"/>
          <w:noProof/>
          <w:sz w:val="24"/>
        </w:rPr>
        <w:t xml:space="preserve">, čiji je cilj </w:t>
      </w:r>
      <w:r>
        <w:rPr>
          <w:rFonts w:ascii="Times New Roman" w:hAnsi="Times New Roman"/>
          <w:b/>
          <w:noProof/>
          <w:sz w:val="24"/>
        </w:rPr>
        <w:t>razmjena znanja i prakse</w:t>
      </w:r>
      <w:r>
        <w:rPr>
          <w:rFonts w:ascii="Times New Roman" w:hAnsi="Times New Roman"/>
          <w:noProof/>
          <w:sz w:val="24"/>
        </w:rPr>
        <w:t>. Ta je suradnja učvršćena redovitim sastancima stručne skupine i češćim neformalnim ministarskim sastancima, na kojima su doneseni zaključci o zajedničkim poteškoćama s kojima se suočavaju javne uprave, od kojih valja spomenuti Zaključke neformalnog ministarskog sastanka u Lisabonu</w:t>
      </w:r>
      <w:r>
        <w:rPr>
          <w:rFonts w:ascii="Times New Roman" w:eastAsia="Calibri" w:hAnsi="Times New Roman" w:cs="Times New Roman"/>
          <w:noProof/>
          <w:sz w:val="24"/>
          <w:szCs w:val="24"/>
          <w:vertAlign w:val="superscript"/>
        </w:rPr>
        <w:footnoteReference w:id="31"/>
      </w:r>
      <w:r>
        <w:rPr>
          <w:rFonts w:ascii="Times New Roman" w:hAnsi="Times New Roman"/>
          <w:noProof/>
          <w:sz w:val="24"/>
        </w:rPr>
        <w:t xml:space="preserve"> i Deklaraciju iz Strasbourga</w:t>
      </w:r>
      <w:r>
        <w:rPr>
          <w:rFonts w:ascii="Times New Roman" w:eastAsia="Calibri" w:hAnsi="Times New Roman" w:cs="Times New Roman"/>
          <w:noProof/>
          <w:sz w:val="24"/>
          <w:szCs w:val="24"/>
          <w:vertAlign w:val="superscript"/>
        </w:rPr>
        <w:footnoteReference w:id="32"/>
      </w:r>
      <w:r>
        <w:rPr>
          <w:rFonts w:ascii="Times New Roman" w:hAnsi="Times New Roman"/>
          <w:noProof/>
          <w:sz w:val="24"/>
        </w:rPr>
        <w:t>. Na sastancima se razgovaralo o nekoliko ključnih područja kao što su povećanje ukupne privlačnosti javnih uprava i njihovo brendiranje kao modernih poslodavaca, digitalna i zelena transformacija, razvoj kapaciteta javne uprave na svim razinama ili poticanje sinergija između projekata koji se provode u okviru Instrumenta za tehničku potporu, RRF-a i drugih programa koje financira EU ili država članica.</w:t>
      </w:r>
      <w:r>
        <w:rPr>
          <w:rFonts w:ascii="Times New Roman" w:hAnsi="Times New Roman"/>
          <w:b/>
          <w:noProof/>
          <w:sz w:val="24"/>
        </w:rPr>
        <w:t xml:space="preserve"> </w:t>
      </w:r>
    </w:p>
    <w:tbl>
      <w:tblPr>
        <w:tblStyle w:val="TableGrid"/>
        <w:tblpPr w:leftFromText="180" w:rightFromText="180" w:vertAnchor="text" w:horzAnchor="margin" w:tblpY="82"/>
        <w:tblW w:w="0" w:type="auto"/>
        <w:tblLook w:val="04A0" w:firstRow="1" w:lastRow="0" w:firstColumn="1" w:lastColumn="0" w:noHBand="0" w:noVBand="1"/>
      </w:tblPr>
      <w:tblGrid>
        <w:gridCol w:w="9350"/>
      </w:tblGrid>
      <w:tr w:rsidR="00A563DC" w:rsidRPr="00B459D5" w14:paraId="0D6EA0FB" w14:textId="77777777" w:rsidTr="00E171A3">
        <w:tc>
          <w:tcPr>
            <w:tcW w:w="9350" w:type="dxa"/>
          </w:tcPr>
          <w:p w14:paraId="1A8D2546" w14:textId="06678B47" w:rsidR="00A563DC" w:rsidRPr="00B459D5" w:rsidRDefault="0071067E" w:rsidP="00E171A3">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rPr>
                <w:b/>
                <w:bCs/>
                <w:noProof/>
                <w:sz w:val="22"/>
                <w:szCs w:val="22"/>
              </w:rPr>
            </w:pPr>
            <w:r>
              <w:rPr>
                <w:b/>
                <w:noProof/>
                <w:sz w:val="22"/>
              </w:rPr>
              <w:t xml:space="preserve">Potpora iz RRF-a za reforme i ulaganja u javne uprave </w:t>
            </w:r>
          </w:p>
          <w:p w14:paraId="33DBAC52" w14:textId="700A030F" w:rsidR="006449EB" w:rsidRPr="00B459D5" w:rsidRDefault="00E66D2B" w:rsidP="00E171A3">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rPr>
                <w:noProof/>
                <w:sz w:val="22"/>
                <w:szCs w:val="22"/>
              </w:rPr>
            </w:pPr>
            <w:r>
              <w:rPr>
                <w:noProof/>
                <w:sz w:val="22"/>
              </w:rPr>
              <w:t>Modernizacija javnih uprava među najvažnijim je točkama nekoliko planova za oporavak i otpornost s procijenjenim proračunom od 1,8 milijardi EUR. Glavne reforme i ulaganja odnose se, među ostalim, na digitalizaciju javne uprave, kibernetičku sigurnost (Bugarska, Češka, Španjolska, Francuska, Grčka, Italija, Litva, Poljska, Rumunjska, Slovenija, Slovačka), pravosudne sustave i kvalitetu zakonodavnog postupka (Bugarska, Grčka, Španjolska, Cipar, Češka, Hrvatska, Latvija, Italija, Malta, Slovačka, Rumunjska, Slovenija), borbu protiv korupcije i zaštitu zviždača (Estonija, Grčka, Cipar, Hrvatska, Španjolska, Finska, Luksemburg, Latvija, Rumunjska, Slovačka).</w:t>
            </w:r>
          </w:p>
        </w:tc>
      </w:tr>
    </w:tbl>
    <w:p w14:paraId="09635668" w14:textId="3CB59E1E" w:rsidR="00902721" w:rsidRPr="00B459D5" w:rsidRDefault="00055DA4" w:rsidP="004661E9">
      <w:pPr>
        <w:spacing w:before="240" w:after="120" w:line="240" w:lineRule="auto"/>
        <w:jc w:val="both"/>
        <w:rPr>
          <w:rFonts w:ascii="Times New Roman" w:eastAsia="Calibri" w:hAnsi="Times New Roman" w:cs="Times New Roman"/>
          <w:b/>
          <w:bCs/>
          <w:noProof/>
          <w:sz w:val="24"/>
          <w:szCs w:val="24"/>
        </w:rPr>
      </w:pPr>
      <w:r>
        <w:rPr>
          <w:rFonts w:ascii="Times New Roman" w:hAnsi="Times New Roman"/>
          <w:b/>
          <w:noProof/>
          <w:sz w:val="24"/>
        </w:rPr>
        <w:t>Iskustvo iz programâ EU-a, uključujući Instrument za tehničku potporu, kao i prethodno navedeni zaključci neformalnog ministarskog sastanka u okviru EUPAN-a, ukazuju na interes država članica za širom i dubljom suradnjom međusobno i s Komisijom. Komisija stoga u ovoj Komunikaciji predlaže niz mjera (dalje u tekstu „ComPAct”) za pomoć upravama država članica u pripremi reformi na temelju trenutačnih potreba i predviđanju budućih trendova, na osnovi zajedničkog skupa načela javne uprave.</w:t>
      </w:r>
    </w:p>
    <w:p w14:paraId="09635669" w14:textId="03A0DB9C" w:rsidR="00902721" w:rsidRPr="00B459D5" w:rsidRDefault="00055DA4" w:rsidP="003E5AD4">
      <w:pPr>
        <w:pStyle w:val="Heading1"/>
        <w:rPr>
          <w:noProof/>
        </w:rPr>
      </w:pPr>
      <w:r>
        <w:rPr>
          <w:noProof/>
        </w:rPr>
        <w:t>Jačanje europskog administrativnog prostora</w:t>
      </w:r>
    </w:p>
    <w:p w14:paraId="2EEBFEC7" w14:textId="12FD0CDC" w:rsidR="00E86792" w:rsidRPr="00B459D5" w:rsidRDefault="006F305A" w:rsidP="00441CF8">
      <w:pPr>
        <w:widowControl w:val="0"/>
        <w:spacing w:before="120" w:after="120" w:line="240" w:lineRule="auto"/>
        <w:jc w:val="both"/>
        <w:rPr>
          <w:rFonts w:ascii="Times New Roman" w:hAnsi="Times New Roman" w:cs="Times New Roman"/>
          <w:noProof/>
          <w:sz w:val="24"/>
          <w:szCs w:val="24"/>
        </w:rPr>
      </w:pPr>
      <w:r>
        <w:rPr>
          <w:rFonts w:ascii="Times New Roman" w:hAnsi="Times New Roman"/>
          <w:noProof/>
          <w:sz w:val="24"/>
        </w:rPr>
        <w:t>Unatoč velikoj raznolikosti institucijskih ustroja i pravnih tradicija, javne uprave država članica dijele mnoge vrijednosti i zadaće te imaju zajedničko poimanje dobre uprave</w:t>
      </w:r>
      <w:r>
        <w:rPr>
          <w:rStyle w:val="FootnoteReference"/>
          <w:rFonts w:ascii="Times New Roman" w:hAnsi="Times New Roman" w:cs="Times New Roman"/>
          <w:noProof/>
          <w:sz w:val="24"/>
          <w:szCs w:val="24"/>
        </w:rPr>
        <w:footnoteReference w:id="33"/>
      </w:r>
      <w:r>
        <w:rPr>
          <w:rFonts w:ascii="Times New Roman" w:hAnsi="Times New Roman"/>
          <w:noProof/>
          <w:sz w:val="24"/>
        </w:rPr>
        <w:t xml:space="preserve"> i čine </w:t>
      </w:r>
      <w:r>
        <w:rPr>
          <w:rFonts w:ascii="Times New Roman" w:hAnsi="Times New Roman"/>
          <w:b/>
          <w:noProof/>
          <w:sz w:val="24"/>
        </w:rPr>
        <w:t>europski administrativni prostor</w:t>
      </w:r>
      <w:r>
        <w:rPr>
          <w:rStyle w:val="FootnoteReference"/>
          <w:rFonts w:ascii="Times New Roman" w:eastAsia="Calibri" w:hAnsi="Times New Roman" w:cs="Times New Roman"/>
          <w:noProof/>
          <w:sz w:val="24"/>
          <w:szCs w:val="24"/>
        </w:rPr>
        <w:footnoteReference w:id="34"/>
      </w:r>
      <w:r>
        <w:rPr>
          <w:rFonts w:ascii="Times New Roman" w:hAnsi="Times New Roman"/>
          <w:noProof/>
          <w:sz w:val="24"/>
        </w:rPr>
        <w:t xml:space="preserve">. </w:t>
      </w:r>
    </w:p>
    <w:p w14:paraId="0963566A" w14:textId="26BB6B4A" w:rsidR="00902721" w:rsidRPr="00B459D5" w:rsidRDefault="0055012C" w:rsidP="003E5AD4">
      <w:pPr>
        <w:spacing w:before="120" w:after="120" w:line="240" w:lineRule="auto"/>
        <w:jc w:val="both"/>
        <w:rPr>
          <w:rFonts w:ascii="Times New Roman" w:hAnsi="Times New Roman" w:cs="Times New Roman"/>
          <w:b/>
          <w:bCs/>
          <w:noProof/>
          <w:sz w:val="24"/>
          <w:szCs w:val="24"/>
        </w:rPr>
      </w:pPr>
      <w:r>
        <w:rPr>
          <w:rFonts w:ascii="Times New Roman" w:hAnsi="Times New Roman"/>
          <w:noProof/>
          <w:sz w:val="24"/>
        </w:rPr>
        <w:t xml:space="preserve">Kvaliteta javne uprave temelji se na </w:t>
      </w:r>
      <w:r>
        <w:rPr>
          <w:rFonts w:ascii="Times New Roman" w:hAnsi="Times New Roman"/>
          <w:b/>
          <w:noProof/>
          <w:sz w:val="24"/>
        </w:rPr>
        <w:t>zajedničkom skupu sveobuhvatnih načela</w:t>
      </w:r>
      <w:r>
        <w:rPr>
          <w:rStyle w:val="FootnoteReference"/>
          <w:rFonts w:ascii="Times New Roman" w:hAnsi="Times New Roman" w:cs="Times New Roman"/>
          <w:b/>
          <w:bCs/>
          <w:noProof/>
          <w:sz w:val="24"/>
          <w:szCs w:val="24"/>
        </w:rPr>
        <w:footnoteReference w:id="35"/>
      </w:r>
      <w:r>
        <w:rPr>
          <w:rFonts w:ascii="Times New Roman" w:hAnsi="Times New Roman"/>
          <w:noProof/>
          <w:sz w:val="24"/>
        </w:rPr>
        <w:t>:</w:t>
      </w:r>
      <w:r>
        <w:rPr>
          <w:rFonts w:ascii="Times New Roman" w:hAnsi="Times New Roman"/>
          <w:b/>
          <w:noProof/>
          <w:sz w:val="24"/>
        </w:rPr>
        <w:t xml:space="preserve"> </w:t>
      </w:r>
    </w:p>
    <w:p w14:paraId="0963566B" w14:textId="663F709B" w:rsidR="00902721" w:rsidRPr="00B459D5" w:rsidRDefault="00055DA4" w:rsidP="00310E23">
      <w:pPr>
        <w:numPr>
          <w:ilvl w:val="0"/>
          <w:numId w:val="2"/>
        </w:numPr>
        <w:spacing w:before="120" w:after="120" w:line="240" w:lineRule="auto"/>
        <w:ind w:left="714" w:hanging="357"/>
        <w:jc w:val="both"/>
        <w:rPr>
          <w:rFonts w:ascii="Times New Roman" w:hAnsi="Times New Roman" w:cs="Times New Roman"/>
          <w:noProof/>
          <w:sz w:val="24"/>
          <w:szCs w:val="24"/>
        </w:rPr>
      </w:pPr>
      <w:r>
        <w:rPr>
          <w:rFonts w:ascii="Times New Roman" w:hAnsi="Times New Roman"/>
          <w:noProof/>
          <w:sz w:val="24"/>
        </w:rPr>
        <w:t>strateška vizija i vodstvo kojima se stvara sposobnost, otpornost i trajno povjerenje javnosti,</w:t>
      </w:r>
    </w:p>
    <w:p w14:paraId="0963566C" w14:textId="139EBFEA" w:rsidR="00902721" w:rsidRPr="00B459D5" w:rsidRDefault="00055DA4" w:rsidP="00310E23">
      <w:pPr>
        <w:numPr>
          <w:ilvl w:val="0"/>
          <w:numId w:val="2"/>
        </w:numPr>
        <w:spacing w:before="120" w:after="120" w:line="240" w:lineRule="auto"/>
        <w:ind w:left="714" w:hanging="357"/>
        <w:jc w:val="both"/>
        <w:rPr>
          <w:rFonts w:ascii="Times New Roman" w:hAnsi="Times New Roman" w:cs="Times New Roman"/>
          <w:noProof/>
          <w:sz w:val="24"/>
          <w:szCs w:val="24"/>
        </w:rPr>
      </w:pPr>
      <w:r>
        <w:rPr>
          <w:rFonts w:ascii="Times New Roman" w:hAnsi="Times New Roman"/>
          <w:noProof/>
          <w:sz w:val="24"/>
        </w:rPr>
        <w:t>usklađeno, anticipativno, participativno, digitalno spremno i uključivo oblikovanje politika utemeljeno na dokazima,</w:t>
      </w:r>
    </w:p>
    <w:p w14:paraId="0963566D" w14:textId="77777777" w:rsidR="00902721" w:rsidRPr="00B459D5" w:rsidRDefault="00055DA4" w:rsidP="00310E23">
      <w:pPr>
        <w:numPr>
          <w:ilvl w:val="0"/>
          <w:numId w:val="2"/>
        </w:numPr>
        <w:spacing w:before="120" w:after="120" w:line="240" w:lineRule="auto"/>
        <w:ind w:left="714" w:hanging="357"/>
        <w:jc w:val="both"/>
        <w:rPr>
          <w:rFonts w:ascii="Times New Roman" w:hAnsi="Times New Roman" w:cs="Times New Roman"/>
          <w:noProof/>
          <w:sz w:val="24"/>
          <w:szCs w:val="24"/>
        </w:rPr>
      </w:pPr>
      <w:r>
        <w:rPr>
          <w:rFonts w:ascii="Times New Roman" w:hAnsi="Times New Roman"/>
          <w:noProof/>
          <w:sz w:val="24"/>
        </w:rPr>
        <w:t>nepristrana, profesionalna, suradnička i učinkovita javna služba koja se temelji na zaslugama i djeluje u dobrim radnim uvjetima,</w:t>
      </w:r>
    </w:p>
    <w:p w14:paraId="0963566E" w14:textId="330D09CB" w:rsidR="00902721" w:rsidRPr="00B459D5" w:rsidRDefault="00055DA4" w:rsidP="00310E23">
      <w:pPr>
        <w:numPr>
          <w:ilvl w:val="0"/>
          <w:numId w:val="2"/>
        </w:numPr>
        <w:spacing w:before="120" w:after="120" w:line="240" w:lineRule="auto"/>
        <w:ind w:left="714" w:hanging="357"/>
        <w:jc w:val="both"/>
        <w:rPr>
          <w:rFonts w:ascii="Times New Roman" w:hAnsi="Times New Roman" w:cs="Times New Roman"/>
          <w:noProof/>
          <w:sz w:val="24"/>
          <w:szCs w:val="24"/>
        </w:rPr>
      </w:pPr>
      <w:r>
        <w:rPr>
          <w:rFonts w:ascii="Times New Roman" w:hAnsi="Times New Roman"/>
          <w:noProof/>
          <w:sz w:val="24"/>
        </w:rPr>
        <w:t>visokokvalitetne, inovativne, antropocentrične i pristupačne javne usluge, </w:t>
      </w:r>
    </w:p>
    <w:p w14:paraId="0963566F" w14:textId="4C353E56" w:rsidR="00902721" w:rsidRPr="00B459D5" w:rsidRDefault="00055DA4" w:rsidP="00310E23">
      <w:pPr>
        <w:numPr>
          <w:ilvl w:val="0"/>
          <w:numId w:val="2"/>
        </w:numPr>
        <w:spacing w:before="120" w:after="120" w:line="240" w:lineRule="auto"/>
        <w:ind w:left="714" w:hanging="357"/>
        <w:jc w:val="both"/>
        <w:rPr>
          <w:rFonts w:ascii="Times New Roman" w:hAnsi="Times New Roman" w:cs="Times New Roman"/>
          <w:noProof/>
          <w:sz w:val="24"/>
          <w:szCs w:val="24"/>
        </w:rPr>
      </w:pPr>
      <w:r>
        <w:rPr>
          <w:rFonts w:ascii="Times New Roman" w:hAnsi="Times New Roman"/>
          <w:noProof/>
          <w:sz w:val="24"/>
        </w:rPr>
        <w:t>supsidijarnost, koordinacija, odgovornost, otvorenost javne uprave, integritet i nadzor nad administrativnim postupcima,</w:t>
      </w:r>
    </w:p>
    <w:p w14:paraId="09635670" w14:textId="6C7F9E2D" w:rsidR="00902721" w:rsidRPr="00B459D5" w:rsidRDefault="00055DA4" w:rsidP="00310E23">
      <w:pPr>
        <w:numPr>
          <w:ilvl w:val="0"/>
          <w:numId w:val="2"/>
        </w:numPr>
        <w:spacing w:before="120" w:after="120" w:line="240" w:lineRule="auto"/>
        <w:ind w:left="714" w:hanging="357"/>
        <w:jc w:val="both"/>
        <w:rPr>
          <w:rFonts w:ascii="Times New Roman" w:hAnsi="Times New Roman" w:cs="Times New Roman"/>
          <w:b/>
          <w:bCs/>
          <w:noProof/>
          <w:sz w:val="24"/>
          <w:szCs w:val="24"/>
        </w:rPr>
      </w:pPr>
      <w:r>
        <w:rPr>
          <w:rFonts w:ascii="Times New Roman" w:hAnsi="Times New Roman"/>
          <w:noProof/>
          <w:sz w:val="24"/>
        </w:rPr>
        <w:t>zdrave i održive javne financije poduprte integriranim i sveobuhvatnim javnim računovodstvenim sustavima koji se temelje na nastanku poslovnih događaja.</w:t>
      </w:r>
    </w:p>
    <w:p w14:paraId="5968B6E5" w14:textId="0E22B613" w:rsidR="00151632" w:rsidRPr="00B459D5" w:rsidRDefault="00055DA4" w:rsidP="003E5AD4">
      <w:pPr>
        <w:spacing w:before="120" w:after="120" w:line="240" w:lineRule="auto"/>
        <w:jc w:val="both"/>
        <w:rPr>
          <w:rFonts w:ascii="Times New Roman" w:eastAsia="Calibri" w:hAnsi="Times New Roman" w:cs="Times New Roman"/>
          <w:noProof/>
          <w:sz w:val="24"/>
          <w:szCs w:val="24"/>
        </w:rPr>
      </w:pPr>
      <w:r>
        <w:rPr>
          <w:rFonts w:ascii="Times New Roman" w:hAnsi="Times New Roman"/>
          <w:b/>
          <w:noProof/>
          <w:sz w:val="24"/>
        </w:rPr>
        <w:t xml:space="preserve">ComPAct je Komisijino nastojanje da poboljša europski administrativni prostor promicanjem tih načela i jačanjem potpore administrativnoj modernizaciji država članica. </w:t>
      </w:r>
      <w:r>
        <w:rPr>
          <w:rFonts w:ascii="Times New Roman" w:hAnsi="Times New Roman"/>
          <w:noProof/>
          <w:sz w:val="24"/>
        </w:rPr>
        <w:t>ComPAct uzima u obzir i ne utječe na nadležnost i posebne značajke država članica. Mjere će se financirati u okviru postojećih mehanizama financiranja EU-a i preko postojećih mreža suradnje. ComPAct će na najbolji mogući način iskoristiti iskustvo stečeno u okviru programa EU-a, uključujući Instrument za tehničku potporu, kao i postojeće razmjene u kontekstu Komisijine stručne skupine za javnu upravu i upravljanje i EUPAN-a te će ponuditi nove i bolje mogućnosti da uprave na svim razinama u državama članicama surađuju i uče jedne od drugih. U ComPActu se razrađuje i iskustvo Komisije iz primjene strategija za ljudske resurse, digitalizaciju i ozelenjivanje</w:t>
      </w:r>
      <w:r>
        <w:rPr>
          <w:rStyle w:val="FootnoteReference"/>
          <w:rFonts w:ascii="Times New Roman" w:eastAsia="Calibri" w:hAnsi="Times New Roman" w:cs="Times New Roman"/>
          <w:noProof/>
          <w:sz w:val="24"/>
          <w:szCs w:val="24"/>
        </w:rPr>
        <w:footnoteReference w:id="36"/>
      </w:r>
      <w:r>
        <w:rPr>
          <w:rFonts w:ascii="Times New Roman" w:hAnsi="Times New Roman"/>
          <w:noProof/>
          <w:sz w:val="24"/>
        </w:rPr>
        <w:t>.</w:t>
      </w:r>
    </w:p>
    <w:p w14:paraId="23BA1BC8" w14:textId="1E7FC8C8" w:rsidR="00006BAB" w:rsidRPr="00B459D5" w:rsidRDefault="00151632" w:rsidP="003E5AD4">
      <w:pPr>
        <w:spacing w:before="120" w:after="120" w:line="240" w:lineRule="auto"/>
        <w:jc w:val="both"/>
        <w:rPr>
          <w:rFonts w:ascii="Times New Roman" w:eastAsia="Calibri" w:hAnsi="Times New Roman" w:cs="Times New Roman"/>
          <w:noProof/>
          <w:sz w:val="24"/>
          <w:szCs w:val="24"/>
        </w:rPr>
      </w:pPr>
      <w:r>
        <w:rPr>
          <w:rFonts w:ascii="Times New Roman" w:hAnsi="Times New Roman"/>
          <w:b/>
          <w:noProof/>
          <w:sz w:val="24"/>
        </w:rPr>
        <w:t>ComPAct je odgovor na pozive država članica</w:t>
      </w:r>
      <w:r>
        <w:rPr>
          <w:rStyle w:val="FootnoteReference"/>
          <w:rFonts w:ascii="Times New Roman" w:eastAsia="Calibri" w:hAnsi="Times New Roman" w:cs="Times New Roman"/>
          <w:b/>
          <w:bCs/>
          <w:noProof/>
          <w:sz w:val="24"/>
          <w:szCs w:val="24"/>
        </w:rPr>
        <w:footnoteReference w:id="37"/>
      </w:r>
      <w:r>
        <w:rPr>
          <w:rFonts w:ascii="Times New Roman" w:hAnsi="Times New Roman"/>
          <w:b/>
          <w:noProof/>
          <w:sz w:val="24"/>
        </w:rPr>
        <w:t>, Europskog parlamenta</w:t>
      </w:r>
      <w:r>
        <w:rPr>
          <w:rStyle w:val="FootnoteReference"/>
          <w:rFonts w:ascii="Times New Roman" w:eastAsia="Calibri" w:hAnsi="Times New Roman" w:cs="Times New Roman"/>
          <w:b/>
          <w:bCs/>
          <w:noProof/>
          <w:sz w:val="24"/>
          <w:szCs w:val="24"/>
        </w:rPr>
        <w:footnoteReference w:id="38"/>
      </w:r>
      <w:r>
        <w:rPr>
          <w:rFonts w:ascii="Times New Roman" w:hAnsi="Times New Roman"/>
          <w:b/>
          <w:noProof/>
          <w:sz w:val="24"/>
        </w:rPr>
        <w:t xml:space="preserve"> i Odbora regija</w:t>
      </w:r>
      <w:r>
        <w:rPr>
          <w:rStyle w:val="FootnoteReference"/>
          <w:rFonts w:ascii="Times New Roman" w:eastAsia="Calibri" w:hAnsi="Times New Roman" w:cs="Times New Roman"/>
          <w:b/>
          <w:bCs/>
          <w:noProof/>
          <w:sz w:val="24"/>
          <w:szCs w:val="24"/>
        </w:rPr>
        <w:footnoteReference w:id="39"/>
      </w:r>
      <w:r>
        <w:rPr>
          <w:rFonts w:ascii="Times New Roman" w:hAnsi="Times New Roman"/>
          <w:noProof/>
          <w:sz w:val="24"/>
        </w:rPr>
        <w:t xml:space="preserve"> Komisiji da potakne suradnju i dijalog o politikama te doprinese poboljšanju kapaciteta i kvalitete javnih uprava na središnjoj, regionalnoj i lokalnoj razini u Europi.</w:t>
      </w:r>
    </w:p>
    <w:p w14:paraId="4D82DC53" w14:textId="22797E0E" w:rsidR="00673316" w:rsidRPr="00B459D5" w:rsidRDefault="0089370D" w:rsidP="003E5AD4">
      <w:pPr>
        <w:spacing w:before="120" w:after="120" w:line="240" w:lineRule="auto"/>
        <w:jc w:val="both"/>
        <w:rPr>
          <w:rFonts w:ascii="Times New Roman" w:hAnsi="Times New Roman" w:cs="Times New Roman"/>
          <w:noProof/>
        </w:rPr>
      </w:pPr>
      <w:r>
        <w:rPr>
          <w:rFonts w:ascii="Times New Roman" w:hAnsi="Times New Roman"/>
          <w:b/>
          <w:noProof/>
          <w:sz w:val="24"/>
        </w:rPr>
        <w:t>ComPAct će pomoći i zemljama proširenja na njihovu putu prema izgradnji boljih javnih uprava</w:t>
      </w:r>
      <w:r>
        <w:rPr>
          <w:rFonts w:ascii="Times New Roman" w:hAnsi="Times New Roman"/>
          <w:noProof/>
          <w:sz w:val="24"/>
        </w:rPr>
        <w:t xml:space="preserve"> tako što će im se omogućiti da više sudjeluju u razmjeni i učenju od drugih uprava. To se može postići i olakšavanjem pristupa Instrumentu za tehničku potporu za zemlje proširenja.</w:t>
      </w:r>
      <w:r>
        <w:rPr>
          <w:rFonts w:ascii="Times New Roman" w:hAnsi="Times New Roman"/>
          <w:noProof/>
        </w:rPr>
        <w:t xml:space="preserve"> </w:t>
      </w:r>
    </w:p>
    <w:tbl>
      <w:tblPr>
        <w:tblStyle w:val="TableGrid"/>
        <w:tblpPr w:leftFromText="180" w:rightFromText="180" w:vertAnchor="text" w:horzAnchor="margin" w:tblpY="82"/>
        <w:tblW w:w="0" w:type="auto"/>
        <w:tblLook w:val="04A0" w:firstRow="1" w:lastRow="0" w:firstColumn="1" w:lastColumn="0" w:noHBand="0" w:noVBand="1"/>
      </w:tblPr>
      <w:tblGrid>
        <w:gridCol w:w="9350"/>
      </w:tblGrid>
      <w:tr w:rsidR="00600047" w:rsidRPr="00B459D5" w14:paraId="3B0D2ABC" w14:textId="77777777" w:rsidTr="00600047">
        <w:tc>
          <w:tcPr>
            <w:tcW w:w="9350" w:type="dxa"/>
          </w:tcPr>
          <w:p w14:paraId="3512D755" w14:textId="77777777" w:rsidR="00600047" w:rsidRPr="00B459D5" w:rsidRDefault="00600047" w:rsidP="00600047">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rPr>
                <w:b/>
                <w:bCs/>
                <w:noProof/>
                <w:sz w:val="22"/>
                <w:szCs w:val="22"/>
              </w:rPr>
            </w:pPr>
            <w:r>
              <w:rPr>
                <w:b/>
                <w:noProof/>
                <w:sz w:val="22"/>
              </w:rPr>
              <w:t>Ubrzana integracija: sudjelovanje zemalja proširenja kao promatrača u projektima Instrumenta za tehničku potporu</w:t>
            </w:r>
          </w:p>
          <w:p w14:paraId="2EDBA31C" w14:textId="50D1459E" w:rsidR="00600047" w:rsidRPr="00B459D5" w:rsidRDefault="00600047" w:rsidP="00600047">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120" w:after="120"/>
              <w:rPr>
                <w:noProof/>
                <w:sz w:val="22"/>
                <w:szCs w:val="22"/>
              </w:rPr>
            </w:pPr>
            <w:r>
              <w:rPr>
                <w:noProof/>
                <w:sz w:val="22"/>
              </w:rPr>
              <w:t xml:space="preserve">Razvoj profesionalne i funkcionalne javne uprave jedan je od temeljnih uvjeta za pristupanje EU-u. U kontekstu inicijative za „ubrzanu integraciju” kandidati za proširenje sada mogu sudjelovati u projektima nekoliko država članica kojima se rješavaju zajednički problemi. Na primjer, Albanija sudjeluje kao promatrač u projektu s Portugalom, Španjolskom i Nizozemskom o </w:t>
            </w:r>
            <w:r>
              <w:rPr>
                <w:b/>
                <w:i/>
                <w:noProof/>
                <w:sz w:val="22"/>
              </w:rPr>
              <w:t>građanskom sudjelovanju i tehnologijama u nastajanju</w:t>
            </w:r>
            <w:r>
              <w:rPr>
                <w:noProof/>
                <w:sz w:val="22"/>
              </w:rPr>
              <w:t>.</w:t>
            </w:r>
            <w:r>
              <w:rPr>
                <w:b/>
                <w:i/>
                <w:noProof/>
                <w:sz w:val="22"/>
              </w:rPr>
              <w:t xml:space="preserve"> </w:t>
            </w:r>
            <w:r>
              <w:rPr>
                <w:noProof/>
                <w:sz w:val="22"/>
              </w:rPr>
              <w:t xml:space="preserve">Bosna i Hercegovina te Moldova promatrači su u projektu s Estonijom o </w:t>
            </w:r>
            <w:r>
              <w:rPr>
                <w:b/>
                <w:i/>
                <w:noProof/>
                <w:sz w:val="22"/>
              </w:rPr>
              <w:t>strateškoj i održivoj politici javne nabave</w:t>
            </w:r>
            <w:r>
              <w:rPr>
                <w:noProof/>
                <w:sz w:val="22"/>
              </w:rPr>
              <w:t>.</w:t>
            </w:r>
          </w:p>
        </w:tc>
      </w:tr>
    </w:tbl>
    <w:p w14:paraId="09635672" w14:textId="34B707DD" w:rsidR="00902721" w:rsidRPr="00B459D5" w:rsidRDefault="00055DA4" w:rsidP="00DD3F10">
      <w:pPr>
        <w:spacing w:before="240" w:after="120" w:line="240" w:lineRule="auto"/>
        <w:jc w:val="both"/>
        <w:rPr>
          <w:rFonts w:ascii="Times New Roman" w:hAnsi="Times New Roman" w:cs="Times New Roman"/>
          <w:noProof/>
          <w:sz w:val="24"/>
          <w:szCs w:val="24"/>
        </w:rPr>
      </w:pPr>
      <w:r>
        <w:rPr>
          <w:rFonts w:ascii="Times New Roman" w:hAnsi="Times New Roman"/>
          <w:b/>
          <w:noProof/>
          <w:sz w:val="24"/>
        </w:rPr>
        <w:t>ComPAct obuhvaća tri stupa</w:t>
      </w:r>
      <w:r>
        <w:rPr>
          <w:rFonts w:ascii="Times New Roman" w:hAnsi="Times New Roman"/>
          <w:noProof/>
          <w:sz w:val="24"/>
        </w:rPr>
        <w:t>:</w:t>
      </w:r>
    </w:p>
    <w:p w14:paraId="228C3343" w14:textId="14FAD156" w:rsidR="0072628C" w:rsidRPr="00B459D5" w:rsidRDefault="00800647" w:rsidP="00310E23">
      <w:pPr>
        <w:numPr>
          <w:ilvl w:val="0"/>
          <w:numId w:val="2"/>
        </w:numPr>
        <w:spacing w:before="120" w:after="120" w:line="240" w:lineRule="auto"/>
        <w:ind w:left="714" w:hanging="357"/>
        <w:jc w:val="both"/>
        <w:rPr>
          <w:rFonts w:ascii="Times New Roman" w:eastAsia="Calibri" w:hAnsi="Times New Roman" w:cs="Times New Roman"/>
          <w:noProof/>
          <w:sz w:val="24"/>
          <w:szCs w:val="24"/>
        </w:rPr>
      </w:pPr>
      <w:r>
        <w:rPr>
          <w:rFonts w:ascii="Times New Roman" w:hAnsi="Times New Roman"/>
          <w:b/>
          <w:noProof/>
          <w:sz w:val="24"/>
        </w:rPr>
        <w:t>Prvi stup: Program vještina za javnu upravu</w:t>
      </w:r>
      <w:r>
        <w:rPr>
          <w:rFonts w:ascii="Times New Roman" w:hAnsi="Times New Roman"/>
          <w:noProof/>
          <w:sz w:val="24"/>
        </w:rPr>
        <w:t xml:space="preserve"> </w:t>
      </w:r>
    </w:p>
    <w:p w14:paraId="09635674" w14:textId="1468D1A2" w:rsidR="00902721" w:rsidRPr="00B459D5" w:rsidRDefault="00055DA4" w:rsidP="003E5AD4">
      <w:pPr>
        <w:spacing w:before="120" w:after="120" w:line="240" w:lineRule="auto"/>
        <w:ind w:left="714"/>
        <w:jc w:val="both"/>
        <w:rPr>
          <w:rFonts w:ascii="Times New Roman" w:eastAsia="Calibri" w:hAnsi="Times New Roman" w:cs="Times New Roman"/>
          <w:noProof/>
          <w:sz w:val="24"/>
          <w:szCs w:val="24"/>
        </w:rPr>
      </w:pPr>
      <w:r>
        <w:rPr>
          <w:rFonts w:ascii="Times New Roman" w:hAnsi="Times New Roman"/>
          <w:noProof/>
          <w:sz w:val="24"/>
        </w:rPr>
        <w:t>Poticanje administrativne suradnje među javnim upravama na svim razinama kako bi se razvila radna snaga spremna za sadašnje i buduće izazove</w:t>
      </w:r>
    </w:p>
    <w:p w14:paraId="01D8D05C" w14:textId="14B80281" w:rsidR="0072628C" w:rsidRPr="00B459D5" w:rsidRDefault="00800647" w:rsidP="00310E23">
      <w:pPr>
        <w:numPr>
          <w:ilvl w:val="0"/>
          <w:numId w:val="2"/>
        </w:numPr>
        <w:spacing w:before="120" w:after="120" w:line="240" w:lineRule="auto"/>
        <w:ind w:left="714" w:hanging="357"/>
        <w:jc w:val="both"/>
        <w:rPr>
          <w:rFonts w:ascii="Times New Roman" w:hAnsi="Times New Roman" w:cs="Times New Roman"/>
          <w:noProof/>
          <w:sz w:val="24"/>
          <w:szCs w:val="24"/>
        </w:rPr>
      </w:pPr>
      <w:r>
        <w:rPr>
          <w:rFonts w:ascii="Times New Roman" w:hAnsi="Times New Roman"/>
          <w:b/>
          <w:noProof/>
          <w:sz w:val="24"/>
        </w:rPr>
        <w:t>Drugi stup: Kapacitet za digitalno desetljeće Europe</w:t>
      </w:r>
    </w:p>
    <w:p w14:paraId="09635675" w14:textId="77974902" w:rsidR="00902721" w:rsidRPr="00B459D5" w:rsidRDefault="00055DA4" w:rsidP="003E5AD4">
      <w:pPr>
        <w:spacing w:before="120" w:after="120" w:line="240" w:lineRule="auto"/>
        <w:ind w:left="714"/>
        <w:jc w:val="both"/>
        <w:rPr>
          <w:rFonts w:ascii="Times New Roman" w:hAnsi="Times New Roman" w:cs="Times New Roman"/>
          <w:noProof/>
          <w:sz w:val="24"/>
          <w:szCs w:val="24"/>
        </w:rPr>
      </w:pPr>
      <w:r>
        <w:rPr>
          <w:rFonts w:ascii="Times New Roman" w:hAnsi="Times New Roman"/>
          <w:noProof/>
          <w:sz w:val="24"/>
        </w:rPr>
        <w:t xml:space="preserve">Jačanje kapaciteta javnih uprava za digitalnu transformaciju </w:t>
      </w:r>
    </w:p>
    <w:p w14:paraId="16DF26C9" w14:textId="5A582C0E" w:rsidR="0072628C" w:rsidRPr="00B459D5" w:rsidRDefault="00800647" w:rsidP="00310E23">
      <w:pPr>
        <w:numPr>
          <w:ilvl w:val="0"/>
          <w:numId w:val="2"/>
        </w:numPr>
        <w:spacing w:before="120" w:after="120" w:line="240" w:lineRule="auto"/>
        <w:ind w:left="714" w:hanging="357"/>
        <w:jc w:val="both"/>
        <w:rPr>
          <w:rFonts w:ascii="Times New Roman" w:hAnsi="Times New Roman" w:cs="Times New Roman"/>
          <w:noProof/>
          <w:sz w:val="24"/>
          <w:szCs w:val="24"/>
        </w:rPr>
      </w:pPr>
      <w:r>
        <w:rPr>
          <w:rFonts w:ascii="Times New Roman" w:hAnsi="Times New Roman"/>
          <w:b/>
          <w:noProof/>
          <w:sz w:val="24"/>
        </w:rPr>
        <w:t>Treći stup: Kapacitet za predvođenje zelene tranzicije</w:t>
      </w:r>
    </w:p>
    <w:p w14:paraId="6B308DDA" w14:textId="143EFDE2" w:rsidR="00253103" w:rsidRPr="00B459D5" w:rsidRDefault="00055DA4" w:rsidP="00A61C0D">
      <w:pPr>
        <w:spacing w:before="120" w:after="120" w:line="240" w:lineRule="auto"/>
        <w:ind w:left="714"/>
        <w:jc w:val="both"/>
        <w:rPr>
          <w:rFonts w:ascii="Times New Roman" w:hAnsi="Times New Roman" w:cs="Times New Roman"/>
          <w:noProof/>
          <w:sz w:val="24"/>
          <w:szCs w:val="24"/>
        </w:rPr>
      </w:pPr>
      <w:r>
        <w:rPr>
          <w:rFonts w:ascii="Times New Roman" w:hAnsi="Times New Roman"/>
          <w:noProof/>
          <w:sz w:val="24"/>
        </w:rPr>
        <w:t>Jačanje kapaciteta javnih uprava za predvođenje zelene tranzicije i izgradnju otpornosti</w:t>
      </w:r>
    </w:p>
    <w:p w14:paraId="7BE1B4CE" w14:textId="77777777" w:rsidR="00B77D74" w:rsidRDefault="00B77D74" w:rsidP="003E5AD4">
      <w:pPr>
        <w:pStyle w:val="Heading1"/>
        <w:rPr>
          <w:noProof/>
        </w:rPr>
      </w:pPr>
    </w:p>
    <w:p w14:paraId="36173078" w14:textId="4FC2B68A" w:rsidR="00162284" w:rsidRPr="00B459D5" w:rsidRDefault="00612037" w:rsidP="003E5AD4">
      <w:pPr>
        <w:pStyle w:val="Heading1"/>
        <w:rPr>
          <w:noProof/>
        </w:rPr>
      </w:pPr>
      <w:r>
        <w:rPr>
          <w:noProof/>
        </w:rPr>
        <w:t>Prvi stup: Program vještina za javnu upravu</w:t>
      </w:r>
    </w:p>
    <w:p w14:paraId="6EAB99CE" w14:textId="7759C71B" w:rsidR="00271C34" w:rsidRPr="00B459D5" w:rsidRDefault="00271C34" w:rsidP="003E5AD4">
      <w:pPr>
        <w:pStyle w:val="Corps"/>
        <w:spacing w:before="120" w:after="120"/>
        <w:rPr>
          <w:noProof/>
        </w:rPr>
      </w:pPr>
      <w:r>
        <w:rPr>
          <w:b/>
          <w:noProof/>
        </w:rPr>
        <w:t>Tržišta rada prolaze kroz strukturne transformacije, posebno zbog demografskih promjena</w:t>
      </w:r>
      <w:r>
        <w:rPr>
          <w:rStyle w:val="FootnoteReference"/>
          <w:b/>
          <w:bCs/>
          <w:noProof/>
          <w:lang w:val="en-GB"/>
        </w:rPr>
        <w:footnoteReference w:id="40"/>
      </w:r>
      <w:r>
        <w:rPr>
          <w:b/>
          <w:noProof/>
        </w:rPr>
        <w:t xml:space="preserve"> i usporedne tranzicije.</w:t>
      </w:r>
      <w:r>
        <w:rPr>
          <w:noProof/>
        </w:rPr>
        <w:t xml:space="preserve"> U tom kontekstu </w:t>
      </w:r>
      <w:r>
        <w:rPr>
          <w:b/>
          <w:noProof/>
        </w:rPr>
        <w:t>javne uprave imaju veliku konkurenciju u privlačenju stručnog kadra, posebno u područjima u kojima su potrebni novi skup vještina, znanja i kompetencija.</w:t>
      </w:r>
      <w:r>
        <w:rPr>
          <w:noProof/>
        </w:rPr>
        <w:t xml:space="preserve"> Digitalna transformacija podrazumijeva i znatno veće sudjelovanje državnih službenika u aktivnostima obrazovanja odraslih</w:t>
      </w:r>
      <w:r>
        <w:rPr>
          <w:rStyle w:val="FootnoteReference"/>
          <w:noProof/>
          <w:lang w:val="en-GB"/>
        </w:rPr>
        <w:footnoteReference w:id="41"/>
      </w:r>
      <w:r>
        <w:rPr>
          <w:noProof/>
        </w:rPr>
        <w:t xml:space="preserve">, kao i preispitivanje radnih procesa kako bi se iskoristio potencijal automatizacije, podataka i interoperabilnosti. Trebali bi se razmotriti novi načini suradnje s privatnim sektorom, posebno sa </w:t>
      </w:r>
      <w:r>
        <w:rPr>
          <w:i/>
          <w:iCs/>
          <w:noProof/>
        </w:rPr>
        <w:t>start-up</w:t>
      </w:r>
      <w:r>
        <w:rPr>
          <w:noProof/>
        </w:rPr>
        <w:t xml:space="preserve"> poduzećima i MSP-ovima</w:t>
      </w:r>
      <w:r>
        <w:rPr>
          <w:rStyle w:val="FootnoteReference"/>
          <w:noProof/>
          <w:lang w:val="en-GB"/>
        </w:rPr>
        <w:footnoteReference w:id="42"/>
      </w:r>
      <w:r>
        <w:rPr>
          <w:noProof/>
        </w:rPr>
        <w:t>. Predvođenje zelene tranzicije zahtijeva multidisciplinarni pristup oblikovanju politika, snažne kapacitete za koordinaciju i planiranje na svim razinama javne uprave te izražene komunikacijske vještine. Zbog tih promjenjivih potreba i zahtjeva povezanih s radnom snagom te zbog evolucije radnog mjesta za stvaranje privlačnog radnog okruženja potrebne su ciljane mjere. Dijalog sa socijalnim partnerima na središnjoj i regionalnoj razini doprinosi stvaranju poticajnog okruženja za suočavanje s tim izazovima.</w:t>
      </w:r>
    </w:p>
    <w:p w14:paraId="3CCFE460" w14:textId="2400EF00" w:rsidR="00543B5A" w:rsidRPr="00B459D5" w:rsidRDefault="00233370" w:rsidP="00A125BC">
      <w:pPr>
        <w:pStyle w:val="Corps"/>
        <w:spacing w:before="120" w:after="120"/>
        <w:rPr>
          <w:noProof/>
        </w:rPr>
      </w:pPr>
      <w:r>
        <w:rPr>
          <w:b/>
          <w:noProof/>
        </w:rPr>
        <w:t>Program vještina za javnu upravu državama članicama</w:t>
      </w:r>
      <w:r>
        <w:rPr>
          <w:noProof/>
        </w:rPr>
        <w:t xml:space="preserve"> će pružiti širok raspon alata za usavršavanje i prekvalifikaciju radne snage </w:t>
      </w:r>
      <w:r>
        <w:rPr>
          <w:b/>
          <w:noProof/>
        </w:rPr>
        <w:t>kako bi izgradile otporne, privlačne, transparentne i visokoučinkovite javne uprave.</w:t>
      </w:r>
      <w:r>
        <w:rPr>
          <w:noProof/>
        </w:rPr>
        <w:t xml:space="preserve"> Dopunit će mjere koje se provode u okviru planova za oporavak i otpornost, u kojima je digitalizacija javnih usluga često popraćena digitalnim usavršavanjem, među ostalim kako bi se poboljšale vještine u području analitike podataka, umjetne inteligencije i kibernetičke sigurnosti. Neki planovi za oporavak i otpornost uključuju reforme usmjerene na uspostavu centara stručnosti za državne službenike i poboljšanje upravljanja ljudskim resursima u javnim upravama.</w:t>
      </w:r>
    </w:p>
    <w:p w14:paraId="16F5009F" w14:textId="6587E187" w:rsidR="00440532" w:rsidRDefault="00A77452" w:rsidP="00A125BC">
      <w:pPr>
        <w:pStyle w:val="Corps"/>
        <w:spacing w:before="120" w:after="120"/>
        <w:rPr>
          <w:noProof/>
        </w:rPr>
      </w:pPr>
      <w:r>
        <w:rPr>
          <w:b/>
          <w:noProof/>
        </w:rPr>
        <w:t>Mjere u okviru ovog stupa bit će u skladu s Programom vještina EU-a i mjerama u okviru Europske godine vještina te će služiti za njihovu provedbu.</w:t>
      </w:r>
      <w:r>
        <w:rPr>
          <w:noProof/>
        </w:rPr>
        <w:t xml:space="preserve"> One mogu doprinijeti postizanju glavnog cilja EU-a za 2030. da svake godine najmanje 60 % svih odraslih sudjeluje u osposobljavanju i ostvarenju nacionalnih ciljeva</w:t>
      </w:r>
      <w:r>
        <w:rPr>
          <w:rStyle w:val="FootnoteReference"/>
          <w:noProof/>
          <w:lang w:val="en-GB"/>
        </w:rPr>
        <w:footnoteReference w:id="43"/>
      </w:r>
      <w:r>
        <w:rPr>
          <w:noProof/>
        </w:rPr>
        <w:t xml:space="preserve">. Mjere u okviru ovog stupa provodit će se prvenstveno putem Instrumenta za tehničku potporu. Komisija će poticati i suradnju s upravama u okviru stručne skupine za javnu upravu i upravljanje i mreže EUPAN, Mreže direktora instituta i škola za javnu upravu (DISPA) i Europske škole za javnu upravu. Uključit će se i druge relevantne mreže i tijela iz EU-a i svijeta. </w:t>
      </w:r>
    </w:p>
    <w:p w14:paraId="1D03E76B" w14:textId="77777777" w:rsidR="0080358A" w:rsidRDefault="0080358A" w:rsidP="00A125BC">
      <w:pPr>
        <w:pStyle w:val="Corps"/>
        <w:spacing w:before="120" w:after="120"/>
        <w:rPr>
          <w:noProof/>
          <w:lang w:val="en-GB"/>
        </w:rPr>
      </w:pPr>
    </w:p>
    <w:p w14:paraId="3334FE9D" w14:textId="77777777" w:rsidR="0080358A" w:rsidRDefault="0080358A" w:rsidP="00A125BC">
      <w:pPr>
        <w:pStyle w:val="Corps"/>
        <w:spacing w:before="120" w:after="120"/>
        <w:rPr>
          <w:noProof/>
          <w:lang w:val="en-GB"/>
        </w:rPr>
      </w:pPr>
    </w:p>
    <w:p w14:paraId="6B304F13" w14:textId="77777777" w:rsidR="0080358A" w:rsidRPr="00B459D5" w:rsidRDefault="0080358A" w:rsidP="00A125BC">
      <w:pPr>
        <w:pStyle w:val="Corps"/>
        <w:spacing w:before="120" w:after="120"/>
        <w:rPr>
          <w:noProof/>
          <w:lang w:val="en-GB"/>
        </w:rPr>
      </w:pPr>
    </w:p>
    <w:p w14:paraId="09635680" w14:textId="63A61430" w:rsidR="00902721" w:rsidRPr="00B459D5" w:rsidRDefault="00055DA4" w:rsidP="003523D8">
      <w:pPr>
        <w:pStyle w:val="Heading2"/>
        <w:numPr>
          <w:ilvl w:val="0"/>
          <w:numId w:val="15"/>
        </w:numPr>
        <w:rPr>
          <w:noProof/>
        </w:rPr>
      </w:pPr>
      <w:r>
        <w:rPr>
          <w:noProof/>
        </w:rPr>
        <w:t>Suradnja i razmjena u javnoj upravi (PACE)</w:t>
      </w:r>
    </w:p>
    <w:p w14:paraId="0B382651" w14:textId="7773C3D1" w:rsidR="00C90871" w:rsidRPr="00B459D5" w:rsidRDefault="005837A6" w:rsidP="00F8142C">
      <w:pPr>
        <w:pStyle w:val="ListParagraph"/>
        <w:pBdr>
          <w:top w:val="nil"/>
          <w:left w:val="nil"/>
          <w:bottom w:val="nil"/>
          <w:right w:val="nil"/>
          <w:between w:val="nil"/>
          <w:bar w:val="nil"/>
        </w:pBdr>
        <w:spacing w:before="120" w:after="120" w:line="240" w:lineRule="auto"/>
        <w:ind w:left="0"/>
        <w:jc w:val="both"/>
        <w:rPr>
          <w:rFonts w:ascii="Times New Roman" w:eastAsia="Times New Roman" w:hAnsi="Times New Roman" w:cs="Times New Roman"/>
          <w:noProof/>
          <w:color w:val="000000" w:themeColor="text1"/>
          <w:sz w:val="24"/>
          <w:szCs w:val="24"/>
          <w:u w:color="000000"/>
          <w:bdr w:val="nil"/>
          <w14:textOutline w14:w="0" w14:cap="flat" w14:cmpd="sng" w14:algn="ctr">
            <w14:noFill/>
            <w14:prstDash w14:val="solid"/>
            <w14:bevel/>
          </w14:textOutline>
        </w:rPr>
      </w:pPr>
      <w:r>
        <w:rPr>
          <w:rFonts w:ascii="Times New Roman" w:hAnsi="Times New Roman"/>
          <w:noProof/>
          <w:sz w:val="24"/>
          <w:u w:color="000000"/>
          <w:bdr w:val="nil"/>
        </w:rPr>
        <w:t>Države članice pozvale su na „pojačanu mobilnost javnih zaposlenika u Europi”</w:t>
      </w:r>
      <w:r>
        <w:rPr>
          <w:rFonts w:ascii="Times New Roman" w:hAnsi="Times New Roman" w:cs="Times New Roman"/>
          <w:noProof/>
          <w:color w:val="000000" w:themeColor="text1"/>
          <w:sz w:val="24"/>
          <w:szCs w:val="24"/>
          <w:u w:color="000000"/>
          <w:bdr w:val="nil"/>
          <w:vertAlign w:val="superscript"/>
        </w:rPr>
        <w:footnoteReference w:id="44"/>
      </w:r>
      <w:r>
        <w:rPr>
          <w:rFonts w:ascii="Times New Roman" w:hAnsi="Times New Roman"/>
          <w:noProof/>
          <w:sz w:val="24"/>
          <w:u w:color="000000"/>
          <w:bdr w:val="nil"/>
        </w:rPr>
        <w:t>, što bi potaklo suradnju među upravama i stvaranje zajednica prakse.</w:t>
      </w:r>
      <w:r>
        <w:rPr>
          <w:rFonts w:ascii="Times New Roman" w:hAnsi="Times New Roman"/>
          <w:noProof/>
          <w:color w:val="000000"/>
          <w:sz w:val="24"/>
          <w:u w:color="000000"/>
          <w:bdr w:val="nil"/>
          <w14:textOutline w14:w="0" w14:cap="flat" w14:cmpd="sng" w14:algn="ctr">
            <w14:noFill/>
            <w14:prstDash w14:val="solid"/>
            <w14:bevel/>
          </w14:textOutline>
        </w:rPr>
        <w:t xml:space="preserve"> </w:t>
      </w:r>
      <w:r>
        <w:rPr>
          <w:rFonts w:ascii="Times New Roman" w:hAnsi="Times New Roman"/>
          <w:noProof/>
          <w:color w:val="000000" w:themeColor="text1"/>
          <w:sz w:val="24"/>
          <w:u w:color="000000"/>
          <w:bdr w:val="nil"/>
          <w14:textOutline w14:w="0" w14:cap="flat" w14:cmpd="sng" w14:algn="ctr">
            <w14:noFill/>
            <w14:prstDash w14:val="solid"/>
            <w14:bevel/>
          </w14:textOutline>
        </w:rPr>
        <w:t>Nekoliko instrumenata EU-a već podupire sektorsku razmjenu iskustava i uzajamno učenje</w:t>
      </w:r>
      <w:r>
        <w:rPr>
          <w:rStyle w:val="FootnoteReference"/>
          <w:rFonts w:ascii="Times New Roman" w:eastAsia="Times New Roman" w:hAnsi="Times New Roman" w:cs="Times New Roman"/>
          <w:noProof/>
          <w:color w:val="000000" w:themeColor="text1"/>
          <w:sz w:val="24"/>
          <w:szCs w:val="24"/>
          <w:u w:color="000000"/>
          <w:bdr w:val="nil"/>
        </w:rPr>
        <w:footnoteReference w:id="45"/>
      </w:r>
      <w:r>
        <w:rPr>
          <w:rFonts w:ascii="Times New Roman" w:hAnsi="Times New Roman"/>
          <w:noProof/>
          <w:color w:val="000000" w:themeColor="text1"/>
          <w:sz w:val="24"/>
          <w:u w:color="000000"/>
          <w:bdr w:val="nil"/>
          <w14:textOutline w14:w="0" w14:cap="flat" w14:cmpd="sng" w14:algn="ctr">
            <w14:noFill/>
            <w14:prstDash w14:val="solid"/>
            <w14:bevel/>
          </w14:textOutline>
        </w:rPr>
        <w:t>.</w:t>
      </w:r>
    </w:p>
    <w:p w14:paraId="0D0AFB23" w14:textId="78E7B0C9" w:rsidR="00A87B55" w:rsidRPr="00B459D5" w:rsidRDefault="00A87B55" w:rsidP="00A87B55">
      <w:pPr>
        <w:spacing w:before="120" w:after="120" w:line="240" w:lineRule="auto"/>
        <w:jc w:val="both"/>
        <w:rPr>
          <w:rFonts w:ascii="Times New Roman" w:eastAsia="Times New Roman" w:hAnsi="Times New Roman" w:cs="Times New Roman"/>
          <w:noProof/>
          <w:color w:val="000000"/>
          <w:sz w:val="24"/>
          <w:szCs w:val="24"/>
          <w:u w:color="000000"/>
          <w:bdr w:val="nil"/>
          <w14:textOutline w14:w="0" w14:cap="flat" w14:cmpd="sng" w14:algn="ctr">
            <w14:noFill/>
            <w14:prstDash w14:val="solid"/>
            <w14:bevel/>
          </w14:textOutline>
        </w:rPr>
      </w:pPr>
      <w:r>
        <w:rPr>
          <w:rFonts w:ascii="Times New Roman" w:hAnsi="Times New Roman"/>
          <w:noProof/>
          <w:color w:val="000000"/>
          <w:sz w:val="24"/>
          <w:u w:color="000000"/>
          <w:bdr w:val="nil"/>
          <w14:textOutline w14:w="0" w14:cap="flat" w14:cmpd="sng" w14:algn="ctr">
            <w14:noFill/>
            <w14:prstDash w14:val="solid"/>
            <w14:bevel/>
          </w14:textOutline>
        </w:rPr>
        <w:t xml:space="preserve">Kako bi se dodatno promicala razmjena iskustava među javnim upravama država članica i razmjena znanja i primjera najbolje prakse, Komisija je spremna povećati i učvrstiti svoju potporu PACE-u. </w:t>
      </w:r>
      <w:r>
        <w:rPr>
          <w:rFonts w:ascii="Times New Roman" w:hAnsi="Times New Roman"/>
          <w:noProof/>
          <w:sz w:val="24"/>
        </w:rPr>
        <w:t>Potonje se temelji na pozitivnom iskustvu, tj. pilot-programu razmjene za srednje rukovoditelje koji su 2021. uspostavile države članice i Komisija kao rezultat neformalnog ministarskog sastanka EUPAN-a tijekom portugalskog predsjedanja</w:t>
      </w:r>
      <w:r>
        <w:rPr>
          <w:rFonts w:ascii="Times New Roman" w:hAnsi="Times New Roman" w:cs="Times New Roman"/>
          <w:noProof/>
          <w:sz w:val="24"/>
          <w:szCs w:val="24"/>
          <w:vertAlign w:val="superscript"/>
        </w:rPr>
        <w:footnoteReference w:id="46"/>
      </w:r>
      <w:r>
        <w:rPr>
          <w:rFonts w:ascii="Times New Roman" w:hAnsi="Times New Roman"/>
          <w:noProof/>
          <w:sz w:val="24"/>
        </w:rPr>
        <w:t>.</w:t>
      </w:r>
      <w:r>
        <w:rPr>
          <w:rFonts w:ascii="Times New Roman" w:hAnsi="Times New Roman"/>
          <w:noProof/>
          <w:color w:val="000000"/>
          <w:sz w:val="24"/>
          <w:u w:color="000000"/>
          <w:bdr w:val="nil"/>
          <w14:textOutline w14:w="0" w14:cap="flat" w14:cmpd="sng" w14:algn="ctr">
            <w14:noFill/>
            <w14:prstDash w14:val="solid"/>
            <w14:bevel/>
          </w14:textOutline>
        </w:rPr>
        <w:t xml:space="preserve"> Tim će se razmjenama, na temelju potražnje, podupirati posebne organizacijske potrebe javnih uprava, kao što su provedba reformi, razvoj političkih inicijativa ili uvođenje novog pristupa upravljanju. Pridonijet će stvaranju europske zajednice državnih službenika. </w:t>
      </w:r>
    </w:p>
    <w:p w14:paraId="05077BE3" w14:textId="678747D4" w:rsidR="00CF1214" w:rsidRPr="00B459D5" w:rsidRDefault="00FA4B1F" w:rsidP="00B373D1">
      <w:pPr>
        <w:pStyle w:val="Corps"/>
        <w:pBdr>
          <w:top w:val="single" w:sz="4" w:space="1" w:color="auto"/>
          <w:left w:val="single" w:sz="4" w:space="0" w:color="auto"/>
          <w:bottom w:val="single" w:sz="4" w:space="1" w:color="auto"/>
          <w:right w:val="single" w:sz="4" w:space="1" w:color="auto"/>
        </w:pBdr>
        <w:spacing w:before="120" w:after="120"/>
        <w:rPr>
          <w:b/>
          <w:bCs/>
          <w:noProof/>
          <w:sz w:val="22"/>
          <w:szCs w:val="22"/>
        </w:rPr>
      </w:pPr>
      <w:r>
        <w:rPr>
          <w:b/>
          <w:noProof/>
          <w:sz w:val="22"/>
        </w:rPr>
        <w:t>Razmjene među javnim upravama država članica</w:t>
      </w:r>
    </w:p>
    <w:p w14:paraId="0B285EA1" w14:textId="52ADCD71" w:rsidR="00CF1214" w:rsidRPr="00B459D5" w:rsidRDefault="006A6E5B" w:rsidP="00B373D1">
      <w:pPr>
        <w:pStyle w:val="Corps"/>
        <w:pBdr>
          <w:top w:val="single" w:sz="4" w:space="1" w:color="auto"/>
          <w:left w:val="single" w:sz="4" w:space="0" w:color="auto"/>
          <w:bottom w:val="single" w:sz="4" w:space="1" w:color="auto"/>
          <w:right w:val="single" w:sz="4" w:space="1" w:color="auto"/>
        </w:pBdr>
        <w:spacing w:before="120" w:after="120"/>
        <w:rPr>
          <w:noProof/>
          <w:sz w:val="22"/>
          <w:szCs w:val="22"/>
        </w:rPr>
      </w:pPr>
      <w:r>
        <w:rPr>
          <w:noProof/>
          <w:sz w:val="22"/>
        </w:rPr>
        <w:t>U okviru vodeće inicijative Instrumenta za tehničku potporu PACE 2023.</w:t>
      </w:r>
      <w:r>
        <w:rPr>
          <w:noProof/>
          <w:sz w:val="22"/>
          <w:szCs w:val="22"/>
          <w:vertAlign w:val="superscript"/>
          <w:lang w:val="en-GB"/>
        </w:rPr>
        <w:footnoteReference w:id="47"/>
      </w:r>
      <w:r>
        <w:rPr>
          <w:noProof/>
          <w:sz w:val="22"/>
        </w:rPr>
        <w:t xml:space="preserve"> više od 300 državnih službenika sudjeluje u više od 70 planiranih razmjena uz pomoć TAIEX-a. Osamnaest država članica sudjeluje u razmjeni iskustava o novim načinima rada, provedbi zelenih politika, jačanju digitalizacije u javnoj upravi, strategijama i modelima za privlačenje stručnog kadra i razvoj karijere, modernizaciji funkcije ljudskih resursa, promicanju vodstva, organizacijskog učenja, etike i borbe protiv korupcije. Komisija pospješuje razmjenu znanja i pridonosi joj, a može sudjelovati kao jedna od javnih uprava</w:t>
      </w:r>
      <w:r>
        <w:rPr>
          <w:rStyle w:val="FootnoteReference"/>
          <w:noProof/>
          <w:sz w:val="22"/>
          <w:szCs w:val="22"/>
          <w:lang w:val="en-GB"/>
        </w:rPr>
        <w:footnoteReference w:id="48"/>
      </w:r>
      <w:r>
        <w:rPr>
          <w:noProof/>
          <w:sz w:val="22"/>
        </w:rPr>
        <w:t>. Razmjene se temelje na prethodnim bilateralnim projektima i omogućuju državama članicama da povećaju suradnju i uzajamno učenje.</w:t>
      </w:r>
    </w:p>
    <w:p w14:paraId="09635684" w14:textId="77777777" w:rsidR="00902721" w:rsidRPr="00B459D5" w:rsidRDefault="00055DA4" w:rsidP="003E5AD4">
      <w:pPr>
        <w:spacing w:before="120" w:after="120" w:line="240" w:lineRule="auto"/>
        <w:rPr>
          <w:rFonts w:ascii="Times New Roman" w:hAnsi="Times New Roman" w:cs="Times New Roman"/>
          <w:b/>
          <w:bCs/>
          <w:i/>
          <w:iCs/>
          <w:noProof/>
          <w:sz w:val="24"/>
          <w:szCs w:val="24"/>
        </w:rPr>
      </w:pPr>
      <w:bookmarkStart w:id="2" w:name="_Hlk139834145"/>
      <w:r>
        <w:rPr>
          <w:rFonts w:ascii="Times New Roman" w:hAnsi="Times New Roman"/>
          <w:b/>
          <w:i/>
          <w:noProof/>
          <w:sz w:val="24"/>
        </w:rPr>
        <w:t>Komisija će:</w:t>
      </w:r>
    </w:p>
    <w:bookmarkEnd w:id="2"/>
    <w:p w14:paraId="09635685" w14:textId="1253CD67" w:rsidR="00902721" w:rsidRPr="00B459D5" w:rsidRDefault="00460010" w:rsidP="002E7C7B">
      <w:pPr>
        <w:pStyle w:val="ListParagraph"/>
        <w:numPr>
          <w:ilvl w:val="0"/>
          <w:numId w:val="14"/>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pretvoriti </w:t>
      </w:r>
      <w:r>
        <w:rPr>
          <w:rFonts w:ascii="Times New Roman" w:hAnsi="Times New Roman"/>
          <w:b/>
          <w:noProof/>
          <w:sz w:val="24"/>
        </w:rPr>
        <w:t>PACE u godišnji program razmjene</w:t>
      </w:r>
      <w:r>
        <w:rPr>
          <w:rFonts w:ascii="Times New Roman" w:hAnsi="Times New Roman"/>
          <w:noProof/>
          <w:sz w:val="24"/>
        </w:rPr>
        <w:t xml:space="preserve"> u okviru Instrumenta za tehničku potporu kako bi se olakšala mobilnost europskih državnih službenika među državama članicama, uz potporu i sudjelovanje Komisije.</w:t>
      </w:r>
      <w:r>
        <w:rPr>
          <w:rFonts w:ascii="Times New Roman" w:hAnsi="Times New Roman"/>
          <w:noProof/>
          <w:color w:val="000000"/>
          <w:sz w:val="24"/>
          <w:u w:color="000000"/>
          <w:bdr w:val="nil"/>
          <w14:textOutline w14:w="0" w14:cap="flat" w14:cmpd="sng" w14:algn="ctr">
            <w14:noFill/>
            <w14:prstDash w14:val="solid"/>
            <w14:bevel/>
          </w14:textOutline>
        </w:rPr>
        <w:t xml:space="preserve"> PACE će pružiti zajednički operativni okvir i odgovarajuća financijska sredstva za ciljane razmjene tijekom kojih će državni službenici na određeno razdoblje raditi u nekoj drugoj upravi. [od prvog tromjesečja 2024.]</w:t>
      </w:r>
    </w:p>
    <w:p w14:paraId="27481FF2" w14:textId="56CD14CE" w:rsidR="00324FA6" w:rsidRPr="00B459D5" w:rsidRDefault="00324FA6" w:rsidP="003E5AD4">
      <w:pPr>
        <w:pBdr>
          <w:top w:val="nil"/>
          <w:left w:val="nil"/>
          <w:bottom w:val="nil"/>
          <w:right w:val="nil"/>
          <w:between w:val="nil"/>
          <w:bar w:val="nil"/>
        </w:pBd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Države članice potiču se da aktivno sudjeluju u PACE-u i drugim alatima EU-a za razmjenu određivanjem prioriteta i koordinacijom potreba, primanjem službenika na razmjenu i pružanjem povratnih informacija o načinima poboljšanja. Sudjelovanje u razmjenama mogu povećati promicanjem učenja stranih jezika među državnim službenicima.</w:t>
      </w:r>
    </w:p>
    <w:p w14:paraId="0963568A" w14:textId="502D3A93" w:rsidR="00902721" w:rsidRPr="00B459D5" w:rsidRDefault="005F02DB" w:rsidP="003E5AD4">
      <w:pPr>
        <w:pStyle w:val="Heading2"/>
        <w:numPr>
          <w:ilvl w:val="0"/>
          <w:numId w:val="0"/>
        </w:numPr>
        <w:ind w:left="785"/>
        <w:rPr>
          <w:noProof/>
        </w:rPr>
      </w:pPr>
      <w:r>
        <w:rPr>
          <w:noProof/>
        </w:rPr>
        <w:t>2. Suradnja radi osposobljavanja i izgradnje kapaciteta</w:t>
      </w:r>
    </w:p>
    <w:p w14:paraId="35CFC4EA" w14:textId="7429D984" w:rsidR="00126E3D" w:rsidRPr="00B459D5" w:rsidRDefault="00250A0C" w:rsidP="00126E3D">
      <w:pPr>
        <w:pStyle w:val="ListParagraph"/>
        <w:pBdr>
          <w:top w:val="nil"/>
          <w:left w:val="nil"/>
          <w:bottom w:val="nil"/>
          <w:right w:val="nil"/>
          <w:between w:val="nil"/>
          <w:bar w:val="nil"/>
        </w:pBdr>
        <w:spacing w:before="120" w:after="120" w:line="240" w:lineRule="auto"/>
        <w:ind w:left="0"/>
        <w:jc w:val="both"/>
        <w:rPr>
          <w:rFonts w:ascii="Times New Roman" w:eastAsia="Times New Roman" w:hAnsi="Times New Roman" w:cs="Times New Roman"/>
          <w:noProof/>
          <w:color w:val="000000" w:themeColor="text1"/>
          <w:sz w:val="24"/>
          <w:szCs w:val="24"/>
          <w:u w:color="000000"/>
          <w:bdr w:val="nil"/>
          <w14:textOutline w14:w="0" w14:cap="flat" w14:cmpd="sng" w14:algn="ctr">
            <w14:noFill/>
            <w14:prstDash w14:val="solid"/>
            <w14:bevel/>
          </w14:textOutline>
        </w:rPr>
      </w:pPr>
      <w:r>
        <w:rPr>
          <w:rFonts w:ascii="Times New Roman" w:hAnsi="Times New Roman"/>
          <w:noProof/>
          <w:color w:val="000000" w:themeColor="text1"/>
          <w:sz w:val="24"/>
          <w:u w:color="000000"/>
          <w:bdr w:val="nil"/>
          <w14:textOutline w14:w="0" w14:cap="flat" w14:cmpd="sng" w14:algn="ctr">
            <w14:noFill/>
            <w14:prstDash w14:val="solid"/>
            <w14:bevel/>
          </w14:textOutline>
        </w:rPr>
        <w:t>Prekvalifikacija i usavršavanje golemi su zadaci u javnim upravama s obzirom na procijenjenih 9 milijuna zaposlenika u središnjim, regionalnim i lokalnim upravama u državama članicama te oko 41 milijun zaposlenika u javnom sektoru na razini EU-a</w:t>
      </w:r>
      <w:r>
        <w:rPr>
          <w:rFonts w:ascii="Times New Roman" w:eastAsia="Times New Roman" w:hAnsi="Times New Roman" w:cs="Times New Roman"/>
          <w:noProof/>
          <w:color w:val="000000" w:themeColor="text1"/>
          <w:sz w:val="24"/>
          <w:szCs w:val="24"/>
          <w:u w:color="000000"/>
          <w:bdr w:val="nil"/>
          <w:vertAlign w:val="superscript"/>
        </w:rPr>
        <w:footnoteReference w:id="49"/>
      </w:r>
      <w:r>
        <w:rPr>
          <w:rFonts w:ascii="Times New Roman" w:hAnsi="Times New Roman"/>
          <w:noProof/>
          <w:color w:val="000000" w:themeColor="text1"/>
          <w:sz w:val="24"/>
          <w:u w:color="000000"/>
          <w:bdr w:val="nil"/>
          <w14:textOutline w14:w="0" w14:cap="flat" w14:cmpd="sng" w14:algn="ctr">
            <w14:noFill/>
            <w14:prstDash w14:val="solid"/>
            <w14:bevel/>
          </w14:textOutline>
        </w:rPr>
        <w:t xml:space="preserve">. Nacionalni instituti, škole javne uprave ili posebne ustanove za osposobljavanje u većini država članica imaju ključnu ulogu u razvoju kompetencija i kapaciteta državnih službenika za bolje upravljanje javnim politikama. Osposobljavanje i izgradnja kapaciteta često trpe zbog visoke konkurencije za financiranje, velikog radnog opterećenja i ograničene dostupnosti mogućnosti osposobljavanja. Osim toga, zbog velike raznolikosti novih tema teško je obuhvatiti sve aspekte na nacionalnoj razini. Pojačana suradnja između nacionalnih tijela i Komisije mogla bi pomoći u uklanjanju nekih od tih prepreka, kao i aktivna razmjena primjera dobre prakse s međunarodnim partnerima. </w:t>
      </w:r>
    </w:p>
    <w:p w14:paraId="077F791C" w14:textId="2A3E5F03" w:rsidR="00702863" w:rsidRPr="00B459D5" w:rsidRDefault="00702863" w:rsidP="007E3A13">
      <w:pPr>
        <w:pStyle w:val="Corps"/>
        <w:pBdr>
          <w:top w:val="single" w:sz="4" w:space="1" w:color="auto"/>
          <w:left w:val="single" w:sz="4" w:space="1" w:color="auto"/>
          <w:bottom w:val="single" w:sz="4" w:space="1" w:color="auto"/>
          <w:right w:val="single" w:sz="4" w:space="1" w:color="auto"/>
        </w:pBdr>
        <w:spacing w:before="120" w:after="120"/>
        <w:rPr>
          <w:b/>
          <w:bCs/>
          <w:noProof/>
          <w:sz w:val="22"/>
          <w:szCs w:val="22"/>
        </w:rPr>
      </w:pPr>
      <w:r>
        <w:rPr>
          <w:b/>
          <w:noProof/>
          <w:sz w:val="22"/>
        </w:rPr>
        <w:t>Program EU-a za osposobljavanje u području carina – zajednička izgradnja znanja o upravljanju carinom</w:t>
      </w:r>
    </w:p>
    <w:p w14:paraId="4055E404" w14:textId="5068EF9E" w:rsidR="00702863" w:rsidRPr="00B459D5" w:rsidRDefault="00702863" w:rsidP="003E5AD4">
      <w:pPr>
        <w:pStyle w:val="Corps"/>
        <w:pBdr>
          <w:top w:val="single" w:sz="4" w:space="1" w:color="auto"/>
          <w:left w:val="single" w:sz="4" w:space="1" w:color="auto"/>
          <w:bottom w:val="single" w:sz="4" w:space="1" w:color="auto"/>
          <w:right w:val="single" w:sz="4" w:space="1" w:color="auto"/>
        </w:pBdr>
        <w:spacing w:before="120" w:after="120"/>
        <w:rPr>
          <w:noProof/>
        </w:rPr>
      </w:pPr>
      <w:r>
        <w:rPr>
          <w:noProof/>
          <w:sz w:val="22"/>
        </w:rPr>
        <w:t>U okviru programa osposobljavanja u području carine Komisija i države članice sklopile su sporazum o partnerstvu u kojem su definirale centre za osposobljavanje o određenim carinskim temama. Predmetne države članice svake godine pružaju osposobljavanje drugim državama članicama, redovito izvješćuju o temi i rade s predavačima i službama za osposobljavanje iz drugih država članica. Od 2014. osposobljeno je oko 1000 carinskih službenika i organizirano je oko 130 zajedničkih obrazovnih aktivnosti.</w:t>
      </w:r>
    </w:p>
    <w:p w14:paraId="222FF4F7" w14:textId="41BC14D6" w:rsidR="00E573B9" w:rsidRPr="00B459D5" w:rsidRDefault="00CC36E6" w:rsidP="003E5AD4">
      <w:pPr>
        <w:pStyle w:val="Corps"/>
        <w:spacing w:before="120" w:after="120"/>
        <w:rPr>
          <w:noProof/>
        </w:rPr>
      </w:pPr>
      <w:r>
        <w:rPr>
          <w:noProof/>
        </w:rPr>
        <w:t xml:space="preserve">Uvođenjem e-učenja svi državni službenici u državama članicama imali bi pristup osposobljavanju o temama javne uprave, a olakšalo bi se i samostalno učenje. Broj korisnika tečajeva i materijala za osposobljavanje mogao bi se znatno povećati prevođenjem na jezike EU-a jer bi im i manje uprave imale pristup. </w:t>
      </w:r>
    </w:p>
    <w:p w14:paraId="2EA60163" w14:textId="67656731" w:rsidR="00CC36E6" w:rsidRPr="00B459D5" w:rsidRDefault="00A7137A" w:rsidP="003E5AD4">
      <w:pPr>
        <w:pStyle w:val="Corps"/>
        <w:spacing w:before="120" w:after="120"/>
        <w:rPr>
          <w:noProof/>
        </w:rPr>
      </w:pPr>
      <w:r>
        <w:rPr>
          <w:noProof/>
        </w:rPr>
        <w:t>Komisija je već razvila neke opcije e-osposobljavanja, primjerice o interoperabilnosti, digitalnoj transformaciji, poduzetništvu, financijskim kompetencijama i kompetencijama u području održivosti, mrežama za učenje</w:t>
      </w:r>
      <w:r>
        <w:rPr>
          <w:rStyle w:val="FootnoteReference"/>
          <w:noProof/>
          <w:lang w:val="en-GB"/>
        </w:rPr>
        <w:footnoteReference w:id="50"/>
      </w:r>
      <w:r>
        <w:rPr>
          <w:noProof/>
        </w:rPr>
        <w:t xml:space="preserve"> i zajednicama prakse</w:t>
      </w:r>
      <w:r>
        <w:rPr>
          <w:rStyle w:val="FootnoteReference"/>
          <w:noProof/>
          <w:lang w:val="en-GB"/>
        </w:rPr>
        <w:footnoteReference w:id="51"/>
      </w:r>
      <w:r>
        <w:rPr>
          <w:noProof/>
        </w:rPr>
        <w:t>.</w:t>
      </w:r>
    </w:p>
    <w:p w14:paraId="1D659793" w14:textId="0033BAD1" w:rsidR="00632CCE" w:rsidRPr="00B459D5" w:rsidRDefault="00055DA4" w:rsidP="00632CCE">
      <w:pPr>
        <w:spacing w:before="120" w:after="120" w:line="240" w:lineRule="auto"/>
        <w:rPr>
          <w:rFonts w:ascii="Times New Roman" w:hAnsi="Times New Roman" w:cs="Times New Roman"/>
          <w:b/>
          <w:bCs/>
          <w:i/>
          <w:iCs/>
          <w:noProof/>
          <w:sz w:val="24"/>
          <w:szCs w:val="24"/>
        </w:rPr>
      </w:pPr>
      <w:r>
        <w:rPr>
          <w:rFonts w:ascii="Times New Roman" w:hAnsi="Times New Roman"/>
          <w:b/>
          <w:i/>
          <w:noProof/>
          <w:sz w:val="24"/>
        </w:rPr>
        <w:t>Komisija će:</w:t>
      </w:r>
    </w:p>
    <w:p w14:paraId="634AF02C" w14:textId="093653C3" w:rsidR="001B5014" w:rsidRPr="00B459D5" w:rsidRDefault="00EB3C07" w:rsidP="00F45671">
      <w:pPr>
        <w:pStyle w:val="Corps"/>
        <w:numPr>
          <w:ilvl w:val="0"/>
          <w:numId w:val="4"/>
        </w:numPr>
        <w:spacing w:before="120" w:after="120"/>
        <w:rPr>
          <w:noProof/>
        </w:rPr>
      </w:pPr>
      <w:r>
        <w:rPr>
          <w:noProof/>
        </w:rPr>
        <w:t xml:space="preserve">uspostaviti </w:t>
      </w:r>
      <w:r>
        <w:rPr>
          <w:b/>
          <w:noProof/>
        </w:rPr>
        <w:t>mrežu centara izvrsnosti</w:t>
      </w:r>
      <w:r>
        <w:rPr>
          <w:noProof/>
        </w:rPr>
        <w:t xml:space="preserve"> za pružanje tematskog osposobljavanja za državne službenike u EU-u. Mreža će sastaviti zajednički katalog osposobljavanja i omogućiti osposobljavanje državnih službenika putem centara izvrsnosti u državama članicama o određenim temama, kao što su carina, vladavina prava, sprečavanje korupcije i integritet, zelena tranzicija, inovativna javna nabava, upotreba znanstvenih dokaza u oblikovanju politika ili umjetna inteligencija. Taj će model pridonijeti stvaranju šireg kataloga visokokvalitetnog osposobljavanja za javne uprave u EU-u i financijskoj održivosti osposobljavanja uz istodobno povećanje učinkovitosti ulaganja. U tom će kontekstu Komisija dodatno podupirati nacionalne organizacije za osposobljavanje u razvoju </w:t>
      </w:r>
      <w:r>
        <w:rPr>
          <w:b/>
          <w:noProof/>
        </w:rPr>
        <w:t>kapaciteta za procjenu potreba za osposobljavanjem i jačanje politika osposobljavanja</w:t>
      </w:r>
      <w:r>
        <w:rPr>
          <w:noProof/>
        </w:rPr>
        <w:t xml:space="preserve"> za državne službenike, [od prvog tromjesečja 2024.]</w:t>
      </w:r>
    </w:p>
    <w:p w14:paraId="2BE04356" w14:textId="38720567" w:rsidR="00F45671" w:rsidRPr="00B459D5" w:rsidRDefault="0005023D" w:rsidP="00F45671">
      <w:pPr>
        <w:pStyle w:val="Corps"/>
        <w:numPr>
          <w:ilvl w:val="0"/>
          <w:numId w:val="4"/>
        </w:numPr>
        <w:spacing w:before="120" w:after="120"/>
        <w:rPr>
          <w:noProof/>
        </w:rPr>
      </w:pPr>
      <w:r>
        <w:rPr>
          <w:noProof/>
        </w:rPr>
        <w:t xml:space="preserve">uspostaviti </w:t>
      </w:r>
      <w:r>
        <w:rPr>
          <w:b/>
          <w:noProof/>
        </w:rPr>
        <w:t>program EU-a za vodstvo u javnoj upravi</w:t>
      </w:r>
      <w:r>
        <w:rPr>
          <w:noProof/>
        </w:rPr>
        <w:t xml:space="preserve"> </w:t>
      </w:r>
      <w:r>
        <w:rPr>
          <w:b/>
          <w:noProof/>
        </w:rPr>
        <w:t>usmjeren na više rukovoditelje</w:t>
      </w:r>
      <w:r>
        <w:rPr>
          <w:noProof/>
        </w:rPr>
        <w:t xml:space="preserve"> u javnim upravama država članica. Pristup na razini EU-a koji uključuje osmišljavanje zajedničkih kurikuluma, vježbe uzajamnog učenja i razmjenu dobrih praksi omogućit će rukovoditeljima da budu bolje pripremljeni za složenost vodstva u javnoj upravi, posebno s obzirom na to da imaju ključnu ulogu u pokretanju i provedbi reformi u javnoj upravi, iskorištavanju vještina i poticanju inovacija, [od prvog tromjesečja 2024.]</w:t>
      </w:r>
    </w:p>
    <w:p w14:paraId="2BCCD7FE" w14:textId="58A95A11" w:rsidR="0035189B" w:rsidRPr="00B459D5" w:rsidRDefault="00A751CD" w:rsidP="00F45671">
      <w:pPr>
        <w:pStyle w:val="Corps"/>
        <w:numPr>
          <w:ilvl w:val="0"/>
          <w:numId w:val="4"/>
        </w:numPr>
        <w:spacing w:before="120" w:after="120"/>
        <w:rPr>
          <w:noProof/>
        </w:rPr>
      </w:pPr>
      <w:r>
        <w:rPr>
          <w:noProof/>
        </w:rPr>
        <w:t xml:space="preserve">urediti </w:t>
      </w:r>
      <w:r>
        <w:rPr>
          <w:b/>
          <w:noProof/>
        </w:rPr>
        <w:t>odjeljak za javnu upravu na platformi EU Academy</w:t>
      </w:r>
      <w:r>
        <w:rPr>
          <w:rStyle w:val="FootnoteReference"/>
          <w:noProof/>
          <w:lang w:val="en-GB"/>
        </w:rPr>
        <w:footnoteReference w:id="52"/>
      </w:r>
      <w:r>
        <w:rPr>
          <w:noProof/>
        </w:rPr>
        <w:t xml:space="preserve"> s ciljanim tečajevima i programima osposobljavanja, od horizontalnih, kao što su oblikovanje politika, zajedničko stvaranje i metode raspravljanja kako bi se građani uključili u planiranje, vladavina prava, sprečavanje korupcije i integritet, upravljanje projektima, do specijaliziranijih programa, kao što su upravljanje zelenom tranzicijom, interoperabilnost ili suzbijanje kibernetičkih prijetnji. Tečajevi e-učenja mogli bi se dopuniti postojećim smjernicama i edukativnim materijalima koje je Komisija pripremila o temama povezanima s EU-om te bi mogli uključivati poveznice na nacionalne i međunarodne izvore. [od drugog tromjesečja 2024.]</w:t>
      </w:r>
    </w:p>
    <w:p w14:paraId="609B65A5" w14:textId="502D7368" w:rsidR="00B7354B" w:rsidRPr="00B459D5" w:rsidRDefault="00B7354B" w:rsidP="003E5AD4">
      <w:pPr>
        <w:pStyle w:val="Corps"/>
        <w:spacing w:before="120" w:after="120"/>
        <w:rPr>
          <w:noProof/>
        </w:rPr>
      </w:pPr>
      <w:r>
        <w:rPr>
          <w:noProof/>
        </w:rPr>
        <w:t>Države članice mogle bi iskoristiti resurse za usavršavanje i izgradnju kapaciteta u okviru kohezijske politike kako bi se potaklo osposobljavanje.</w:t>
      </w:r>
    </w:p>
    <w:p w14:paraId="09635696" w14:textId="71B5959C" w:rsidR="00902721" w:rsidRPr="00B459D5" w:rsidRDefault="00C71728" w:rsidP="003E5AD4">
      <w:pPr>
        <w:pStyle w:val="Heading2"/>
        <w:numPr>
          <w:ilvl w:val="0"/>
          <w:numId w:val="0"/>
        </w:numPr>
        <w:ind w:left="785"/>
        <w:rPr>
          <w:noProof/>
        </w:rPr>
      </w:pPr>
      <w:r>
        <w:rPr>
          <w:noProof/>
        </w:rPr>
        <w:t>3. Suradnja radi izgradnje administrativnih kapaciteta na regionalnoj i lokalnoj razini</w:t>
      </w:r>
    </w:p>
    <w:p w14:paraId="09635697" w14:textId="311432E1" w:rsidR="00902721" w:rsidRPr="00B459D5" w:rsidRDefault="003F3E59" w:rsidP="003E5AD4">
      <w:pPr>
        <w:spacing w:before="120" w:after="12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rPr>
        <w:t>Regionalne i lokalne javne uprave najbliže su građanima i imaju važnu ulogu u pružanju lokalnih usluga. Provode 70 % cjelokupnog zakonodavstva EU-a, 90 % politika prilagodbe klimatskim promjenama i 65 % ciljeva održivog razvoja</w:t>
      </w:r>
      <w:r>
        <w:rPr>
          <w:rFonts w:ascii="Times New Roman" w:eastAsia="Times New Roman" w:hAnsi="Times New Roman" w:cs="Times New Roman"/>
          <w:noProof/>
          <w:sz w:val="24"/>
          <w:szCs w:val="24"/>
          <w:vertAlign w:val="superscript"/>
          <w:lang w:eastAsia="en-IE"/>
        </w:rPr>
        <w:footnoteReference w:id="53"/>
      </w:r>
      <w:r>
        <w:rPr>
          <w:rFonts w:ascii="Times New Roman" w:hAnsi="Times New Roman"/>
          <w:noProof/>
          <w:sz w:val="24"/>
        </w:rPr>
        <w:t>. Vode program javnih inovacija, planiraju i provode ulaganja s pomoću fondova EU-a putem lokaliziranih rješenja te su predvodnici u ublažavanju učinaka klimatskih promjena, civilnoj zaštiti i socijalnoj koheziji. Usto su najbliže lokalnim potrebama i problemima u pogledu zaštite okoliša, stanovanja, mobilnosti, kulture i obrazovanja</w:t>
      </w:r>
      <w:r>
        <w:rPr>
          <w:rStyle w:val="FootnoteReference"/>
          <w:rFonts w:ascii="Times New Roman" w:eastAsia="Times New Roman" w:hAnsi="Times New Roman" w:cs="Times New Roman"/>
          <w:noProof/>
          <w:sz w:val="24"/>
          <w:szCs w:val="24"/>
          <w:lang w:eastAsia="en-IE"/>
        </w:rPr>
        <w:footnoteReference w:id="54"/>
      </w:r>
      <w:r>
        <w:rPr>
          <w:rFonts w:ascii="Times New Roman" w:hAnsi="Times New Roman"/>
          <w:noProof/>
          <w:sz w:val="24"/>
        </w:rPr>
        <w:t xml:space="preserve">. </w:t>
      </w:r>
    </w:p>
    <w:p w14:paraId="09635698" w14:textId="0DDD11EA" w:rsidR="00902721" w:rsidRPr="00B459D5" w:rsidRDefault="003F3E59" w:rsidP="003E5AD4">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Regionalne i lokalne javne uprave uglavnom se suočavaju s istim problemima kao i središnje javne uprave, ali imaju i svoje posebnosti. Većina lokalnih uprava relativno je mala, često nema dovoljno resursa i stručnjaka</w:t>
      </w:r>
      <w:r>
        <w:rPr>
          <w:rStyle w:val="FootnoteReference"/>
          <w:rFonts w:ascii="Times New Roman" w:eastAsia="Times New Roman" w:hAnsi="Times New Roman" w:cs="Times New Roman"/>
          <w:noProof/>
          <w:sz w:val="24"/>
          <w:szCs w:val="24"/>
          <w:lang w:eastAsia="en-IE"/>
        </w:rPr>
        <w:footnoteReference w:id="55"/>
      </w:r>
      <w:r>
        <w:rPr>
          <w:rFonts w:ascii="Times New Roman" w:hAnsi="Times New Roman"/>
          <w:noProof/>
          <w:sz w:val="24"/>
        </w:rPr>
        <w:t>. Niz odgovornosti zahtijeva izravan kontakt s ljudima. Profesionalna mobilnost i pristup osposobljavanju i znanju uglavnom su ograničeni, karijere su obično dulje, a baza vještina ovisi o ukupnoj razini lokalnog razvoja i gospodarske aktivnosti. S obzirom na ta ograničenja, kao i različite socioekonomske i geografske kontekste, regionalnim i lokalnim upravama potrebna je posebna potpora za oblikovanje politika prilagođenih lokalnim posebnostima i za razvoj strategija na odgovarajućoj teritorijalnoj razini kojima se rješavaju složena pitanja kao što su interakcija između urbanih i ruralnih područja, izdavanje dozvola, zelena nabava, inovacije i drugi pokretači uravnoteženog lokalnog razvoja. Ograničeni kapaciteti i sposobnosti javnih uprava država članica na regionalnoj i lokalnoj razini mogu ometati i učinkovitu upotrebu dostupnih sredstava, uključujući sredstva u okviru kohezijske politike.</w:t>
      </w:r>
    </w:p>
    <w:p w14:paraId="18406422" w14:textId="77777777" w:rsidR="00435603" w:rsidRDefault="00435603" w:rsidP="003E5AD4">
      <w:pPr>
        <w:spacing w:before="120" w:after="120" w:line="240" w:lineRule="auto"/>
        <w:rPr>
          <w:rFonts w:ascii="Times New Roman" w:hAnsi="Times New Roman" w:cs="Times New Roman"/>
          <w:b/>
          <w:bCs/>
          <w:i/>
          <w:iCs/>
          <w:noProof/>
          <w:sz w:val="24"/>
          <w:szCs w:val="24"/>
        </w:rPr>
      </w:pPr>
    </w:p>
    <w:p w14:paraId="0963569B" w14:textId="1086A3A3" w:rsidR="00902721" w:rsidRPr="00B459D5" w:rsidRDefault="00055DA4" w:rsidP="003E5AD4">
      <w:pPr>
        <w:spacing w:before="120" w:after="120" w:line="240" w:lineRule="auto"/>
        <w:rPr>
          <w:rFonts w:ascii="Times New Roman" w:hAnsi="Times New Roman" w:cs="Times New Roman"/>
          <w:b/>
          <w:bCs/>
          <w:i/>
          <w:iCs/>
          <w:noProof/>
          <w:sz w:val="24"/>
          <w:szCs w:val="24"/>
        </w:rPr>
      </w:pPr>
      <w:r>
        <w:rPr>
          <w:rFonts w:ascii="Times New Roman" w:hAnsi="Times New Roman"/>
          <w:b/>
          <w:i/>
          <w:noProof/>
          <w:sz w:val="24"/>
        </w:rPr>
        <w:t>Komisija će:</w:t>
      </w:r>
    </w:p>
    <w:p w14:paraId="3A9729DC" w14:textId="5C6C5C6B" w:rsidR="009F6808" w:rsidRPr="00B459D5" w:rsidRDefault="009F6808" w:rsidP="009F6808">
      <w:pPr>
        <w:numPr>
          <w:ilvl w:val="0"/>
          <w:numId w:val="4"/>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nastaviti </w:t>
      </w:r>
      <w:r>
        <w:rPr>
          <w:rFonts w:ascii="Times New Roman" w:hAnsi="Times New Roman"/>
          <w:b/>
          <w:noProof/>
          <w:sz w:val="24"/>
        </w:rPr>
        <w:t>širiti pristup regionalnih i lokalnih tijela Instrumentu za tehničku potporu</w:t>
      </w:r>
      <w:r>
        <w:rPr>
          <w:rFonts w:ascii="Times New Roman" w:hAnsi="Times New Roman"/>
          <w:noProof/>
          <w:sz w:val="24"/>
        </w:rPr>
        <w:t xml:space="preserve"> na temelju potražnje, među ostalim putem inicijativa kao što je vodeća inicijativa Instrumenta za tehničku potporu za prevladavanje prepreka regionalnom razvoju</w:t>
      </w:r>
      <w:r>
        <w:rPr>
          <w:rStyle w:val="FootnoteReference"/>
          <w:rFonts w:ascii="Times New Roman" w:eastAsia="Times New Roman" w:hAnsi="Times New Roman" w:cs="Times New Roman"/>
          <w:noProof/>
          <w:sz w:val="24"/>
          <w:szCs w:val="24"/>
          <w:lang w:eastAsia="en-IE"/>
        </w:rPr>
        <w:footnoteReference w:id="56"/>
      </w:r>
      <w:r>
        <w:rPr>
          <w:rFonts w:ascii="Times New Roman" w:hAnsi="Times New Roman"/>
          <w:noProof/>
          <w:sz w:val="24"/>
        </w:rPr>
        <w:t>, [od četvrtog tromjesečja 2023.]</w:t>
      </w:r>
    </w:p>
    <w:p w14:paraId="363B0CCC" w14:textId="6EC9E60E" w:rsidR="002C5D72" w:rsidRPr="00B459D5" w:rsidRDefault="00055DA4" w:rsidP="00310E23">
      <w:pPr>
        <w:numPr>
          <w:ilvl w:val="0"/>
          <w:numId w:val="4"/>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organizirati godišnji </w:t>
      </w:r>
      <w:r>
        <w:rPr>
          <w:rFonts w:ascii="Times New Roman" w:hAnsi="Times New Roman"/>
          <w:b/>
          <w:noProof/>
          <w:sz w:val="24"/>
        </w:rPr>
        <w:t>Dan lokalne javne uprave</w:t>
      </w:r>
      <w:r>
        <w:rPr>
          <w:rFonts w:ascii="Times New Roman" w:hAnsi="Times New Roman"/>
          <w:noProof/>
          <w:sz w:val="24"/>
        </w:rPr>
        <w:t xml:space="preserve"> u kontekstu Europskog tjedna regija i gradova, kojemu će biti sudomaćin. To će biti prilika da regionalne i lokalne uprave razgovaraju o poteškoćama s kojima se susreću pri upravljanju. Odbor regija i krovne organizacije regionalnih i lokalnih uprava EU-a uključit će se u rasprave i uzajamno učenje. Na tom će se događanju utvrditi konkretni i praktični načini na koje Komisija može poduprijeti regionalne i lokalne uprave u modernizaciji i izgradnji kapaciteta. Osim toga, Komisija će razmotriti daljnje načine za olakšavanje stvaranja konzorcija i partnerstava s lokalnim tijelima u kojima bi se mogle udružiti kompetencije potrebne za vođenje velikih projekata, [od trećeg tromjesečja 2024.]</w:t>
      </w:r>
    </w:p>
    <w:p w14:paraId="2FB6BDF4" w14:textId="5270281A" w:rsidR="00FA68AE" w:rsidRPr="00B459D5" w:rsidRDefault="00FA68AE" w:rsidP="00310E23">
      <w:pPr>
        <w:numPr>
          <w:ilvl w:val="0"/>
          <w:numId w:val="4"/>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dodatno istražiti ograničenja i mogućnosti administrativnih kapaciteta regionalnih i lokalnih uprava te provesti </w:t>
      </w:r>
      <w:r>
        <w:rPr>
          <w:rFonts w:ascii="Times New Roman" w:hAnsi="Times New Roman"/>
          <w:b/>
          <w:noProof/>
          <w:sz w:val="24"/>
        </w:rPr>
        <w:t>ciljane studije i ankete</w:t>
      </w:r>
      <w:r>
        <w:rPr>
          <w:rFonts w:ascii="Times New Roman" w:hAnsi="Times New Roman"/>
          <w:noProof/>
          <w:sz w:val="24"/>
        </w:rPr>
        <w:t xml:space="preserve"> na kojima će se temeljiti sljedeća izvješća o koheziji. [od trećeg tromjesečja 2024.]</w:t>
      </w:r>
    </w:p>
    <w:p w14:paraId="096356AA" w14:textId="6F975796" w:rsidR="00902721" w:rsidRPr="00B459D5" w:rsidRDefault="005F0360" w:rsidP="003E5AD4">
      <w:pPr>
        <w:pStyle w:val="Heading2"/>
        <w:numPr>
          <w:ilvl w:val="0"/>
          <w:numId w:val="0"/>
        </w:numPr>
        <w:ind w:left="785"/>
        <w:rPr>
          <w:noProof/>
        </w:rPr>
      </w:pPr>
      <w:r>
        <w:rPr>
          <w:noProof/>
        </w:rPr>
        <w:t>4. Alati za upravljanje ljudskim resursima u javnoj upravi</w:t>
      </w:r>
    </w:p>
    <w:p w14:paraId="7CA9783F" w14:textId="395D1C51" w:rsidR="00AA387B" w:rsidRPr="00B459D5" w:rsidRDefault="00824EC4" w:rsidP="003E5AD4">
      <w:pPr>
        <w:spacing w:before="120" w:after="120" w:line="240" w:lineRule="auto"/>
        <w:jc w:val="both"/>
        <w:rPr>
          <w:rFonts w:ascii="Times New Roman" w:hAnsi="Times New Roman" w:cs="Times New Roman"/>
          <w:noProof/>
          <w:sz w:val="24"/>
          <w:szCs w:val="24"/>
        </w:rPr>
      </w:pPr>
      <w:r>
        <w:rPr>
          <w:rFonts w:ascii="Times New Roman" w:hAnsi="Times New Roman"/>
          <w:noProof/>
          <w:sz w:val="24"/>
        </w:rPr>
        <w:t>Kako bi osigurale stabilan kapacitet i profesionalnost, javne uprave moraju predvidjeti dugoročni razvoj svoje radne snage i vještina koje će im biti potrebne. Međutim, planiranje radne snage, sustavna analiza podataka o ljudskim resursima i predviđanje profila radnih mjesta i dalje su relativno ograničeni. Referentni katalog okvira kompetencija, tzv. „putovnica s temeljnim kompetencijama”, pomogao bi u rješavanju tih potreba i poboljšanju pristupa zapošljavanju i razvoju karijere.</w:t>
      </w:r>
    </w:p>
    <w:p w14:paraId="0CEE0536" w14:textId="60787501" w:rsidR="00314138" w:rsidRPr="00B459D5" w:rsidRDefault="008A30B0" w:rsidP="003E5AD4">
      <w:pPr>
        <w:spacing w:before="120" w:after="120" w:line="240" w:lineRule="auto"/>
        <w:jc w:val="both"/>
        <w:rPr>
          <w:rFonts w:ascii="Times New Roman" w:hAnsi="Times New Roman" w:cs="Times New Roman"/>
          <w:noProof/>
          <w:sz w:val="24"/>
          <w:szCs w:val="24"/>
        </w:rPr>
      </w:pPr>
      <w:r>
        <w:rPr>
          <w:rFonts w:ascii="Times New Roman" w:hAnsi="Times New Roman"/>
          <w:noProof/>
          <w:sz w:val="24"/>
        </w:rPr>
        <w:t>„Putovnica” će se temeljiti na postojećim okvirima kompetencija na razini EU-a i nacionalnoj razini</w:t>
      </w:r>
      <w:r>
        <w:rPr>
          <w:rStyle w:val="FootnoteReference"/>
          <w:rFonts w:ascii="Times New Roman" w:hAnsi="Times New Roman" w:cs="Times New Roman"/>
          <w:noProof/>
          <w:sz w:val="24"/>
          <w:szCs w:val="24"/>
        </w:rPr>
        <w:footnoteReference w:id="57"/>
      </w:r>
      <w:r>
        <w:rPr>
          <w:rFonts w:ascii="Times New Roman" w:hAnsi="Times New Roman"/>
          <w:noProof/>
          <w:sz w:val="24"/>
        </w:rPr>
        <w:t>, kao što su oblikovanje politika, upravljanje sredstvima, javna nabava, oporezivanje, carina, interoperabilnost javnog sektora i upravljanje projektima. Proširit će se na nova područja</w:t>
      </w:r>
      <w:r>
        <w:rPr>
          <w:rStyle w:val="FootnoteReference"/>
          <w:rFonts w:ascii="Times New Roman" w:hAnsi="Times New Roman" w:cs="Times New Roman"/>
          <w:noProof/>
          <w:sz w:val="24"/>
          <w:szCs w:val="24"/>
        </w:rPr>
        <w:footnoteReference w:id="58"/>
      </w:r>
      <w:r>
        <w:rPr>
          <w:rFonts w:ascii="Times New Roman" w:hAnsi="Times New Roman"/>
          <w:noProof/>
          <w:sz w:val="24"/>
        </w:rPr>
        <w:t xml:space="preserve"> kao što su digitalne, poduzetničke i rukovoditeljske vještine, upravljanje ulaganjima i inovacije.</w:t>
      </w:r>
    </w:p>
    <w:p w14:paraId="63B18FA7" w14:textId="77777777" w:rsidR="009726E7" w:rsidRPr="00B459D5" w:rsidRDefault="009726E7" w:rsidP="003E5AD4">
      <w:pPr>
        <w:pStyle w:val="Corps"/>
        <w:pBdr>
          <w:top w:val="single" w:sz="4" w:space="1" w:color="auto"/>
          <w:left w:val="single" w:sz="4" w:space="1" w:color="auto"/>
          <w:bottom w:val="single" w:sz="4" w:space="1" w:color="auto"/>
          <w:right w:val="single" w:sz="4" w:space="1" w:color="auto"/>
        </w:pBdr>
        <w:spacing w:before="120" w:after="120"/>
        <w:rPr>
          <w:b/>
          <w:bCs/>
          <w:noProof/>
          <w:sz w:val="22"/>
          <w:szCs w:val="22"/>
        </w:rPr>
      </w:pPr>
      <w:r>
        <w:rPr>
          <w:b/>
          <w:noProof/>
          <w:sz w:val="22"/>
        </w:rPr>
        <w:t>Model kompetencija za oblikovanje politika „Inovativno oblikovanje politika”</w:t>
      </w:r>
    </w:p>
    <w:p w14:paraId="2DE0F65A" w14:textId="5FB93EF7" w:rsidR="009726E7" w:rsidRPr="00B459D5" w:rsidRDefault="007E2B5A" w:rsidP="003E5AD4">
      <w:pPr>
        <w:pStyle w:val="Corps"/>
        <w:pBdr>
          <w:top w:val="single" w:sz="4" w:space="1" w:color="auto"/>
          <w:left w:val="single" w:sz="4" w:space="1" w:color="auto"/>
          <w:bottom w:val="single" w:sz="4" w:space="1" w:color="auto"/>
          <w:right w:val="single" w:sz="4" w:space="1" w:color="auto"/>
        </w:pBdr>
        <w:spacing w:before="120" w:after="120"/>
        <w:rPr>
          <w:noProof/>
        </w:rPr>
      </w:pPr>
      <w:hyperlink r:id="rId18" w:history="1">
        <w:r w:rsidR="00554FAB">
          <w:rPr>
            <w:rStyle w:val="Hyperlink"/>
            <w:noProof/>
            <w:color w:val="000000" w:themeColor="text1"/>
            <w:sz w:val="22"/>
            <w:u w:val="none"/>
          </w:rPr>
          <w:t>Taj je okvir kompetencija</w:t>
        </w:r>
      </w:hyperlink>
      <w:r w:rsidR="00554FAB">
        <w:rPr>
          <w:noProof/>
          <w:sz w:val="22"/>
        </w:rPr>
        <w:t xml:space="preserve"> razvila Komisija i obuhvaća međusektorske kompetencije relevantne za oblikovatelje politika tijekom cijelog ciklusa politike. U njemu se utvrđuje perspektiva usmjerena na budućnost za razne uloge u oblikovanju politika. Sadržava 36 kompetencija podijeljenih u sedam skupina: savjetovanje na političkoj razini, inovacije, rad s dokazima, sposobnost predviđanja različitih scenarija, suradnja s građanima i dionicima, kolaborativne aktivnosti i komunikacija. Taj okvir dopunjuje okvir za istraživače („Znanost za politiku”), čije su kompetencije podijeljene u pet skupina: razumijevanje politike, sudjelovanje u oblikovanju politika, komunikacija, suradnja s građanima i dionicima te kolaborativne aktivnosti.</w:t>
      </w:r>
    </w:p>
    <w:p w14:paraId="096356AC" w14:textId="14020483" w:rsidR="00902721" w:rsidRPr="00B459D5" w:rsidRDefault="00954596" w:rsidP="003E5AD4">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Na temelju postojećih okvira kompetencija Komisija je razvila nekoliko alata za procjenu potrebnih vještina za različita područja kompetencija i ispitat će potrebu država članica za sličnim alatima. </w:t>
      </w:r>
    </w:p>
    <w:p w14:paraId="40CBBFC1" w14:textId="0711111F" w:rsidR="006B7741" w:rsidRPr="00B459D5" w:rsidRDefault="007B6071" w:rsidP="003E5AD4">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Osim toga, javnim upravama potrebni su podaci i tematske informacije kako bi lakše definirale svoje potrebe za osposobljavanjem i razvojem kompetencija. Usporedivi podaci o javnoj upravi i dalje su relativno ograničeni. </w:t>
      </w:r>
    </w:p>
    <w:p w14:paraId="096356B5" w14:textId="4A8E0840" w:rsidR="00902721" w:rsidRPr="00B459D5" w:rsidRDefault="00055DA4" w:rsidP="003E5AD4">
      <w:pPr>
        <w:spacing w:before="120" w:after="120" w:line="240" w:lineRule="auto"/>
        <w:rPr>
          <w:rFonts w:ascii="Times New Roman" w:hAnsi="Times New Roman" w:cs="Times New Roman"/>
          <w:b/>
          <w:bCs/>
          <w:i/>
          <w:iCs/>
          <w:noProof/>
          <w:sz w:val="24"/>
          <w:szCs w:val="24"/>
        </w:rPr>
      </w:pPr>
      <w:r>
        <w:rPr>
          <w:rFonts w:ascii="Times New Roman" w:hAnsi="Times New Roman"/>
          <w:b/>
          <w:i/>
          <w:noProof/>
          <w:sz w:val="24"/>
        </w:rPr>
        <w:t>Komisija će:</w:t>
      </w:r>
    </w:p>
    <w:p w14:paraId="3AB314B0" w14:textId="082D8208" w:rsidR="00824EC4" w:rsidRPr="00B459D5" w:rsidRDefault="00055DA4" w:rsidP="00310E23">
      <w:pPr>
        <w:pStyle w:val="Corps"/>
        <w:numPr>
          <w:ilvl w:val="0"/>
          <w:numId w:val="3"/>
        </w:numPr>
        <w:spacing w:before="120" w:after="120"/>
        <w:rPr>
          <w:noProof/>
        </w:rPr>
      </w:pPr>
      <w:r>
        <w:rPr>
          <w:noProof/>
        </w:rPr>
        <w:t>osmisliti „</w:t>
      </w:r>
      <w:r>
        <w:rPr>
          <w:b/>
          <w:noProof/>
        </w:rPr>
        <w:t>putovnicu s temeljnim kompetencijama</w:t>
      </w:r>
      <w:r>
        <w:rPr>
          <w:noProof/>
        </w:rPr>
        <w:t>” koja se primjenjuje na radna mjesta i uloge u javnim upravama, uključujući rukovoditeljske vještine. „Putovnica” će pomoći javnim upravama u osmišljavanju modernih i naprednih politika za razvoj ljudskih resursa, pripremu za buduće potrebe za vještinama i omogućivanje mobilnosti državnih službenika unutar EU-a, [od prvog tromjesečja 2024.]</w:t>
      </w:r>
    </w:p>
    <w:p w14:paraId="027310AE" w14:textId="57A1DF08" w:rsidR="009C49DA" w:rsidRPr="00B459D5" w:rsidRDefault="00055DA4" w:rsidP="00310E23">
      <w:pPr>
        <w:pStyle w:val="Corps"/>
        <w:numPr>
          <w:ilvl w:val="0"/>
          <w:numId w:val="3"/>
        </w:numPr>
        <w:spacing w:before="120" w:after="120"/>
        <w:rPr>
          <w:noProof/>
        </w:rPr>
      </w:pPr>
      <w:r>
        <w:rPr>
          <w:noProof/>
        </w:rPr>
        <w:t xml:space="preserve">podupirati države članice u </w:t>
      </w:r>
      <w:r>
        <w:rPr>
          <w:b/>
          <w:noProof/>
        </w:rPr>
        <w:t>modernizaciji politika u području ljudskih resursa</w:t>
      </w:r>
      <w:r>
        <w:rPr>
          <w:noProof/>
        </w:rPr>
        <w:t xml:space="preserve"> davanjem smjernica i vođenjem prijenosa okvira kompetencija i alata za ljudske resurse (na primjer, radi utvrđivanja nedostatka vještina među njihovom radnom snagom) u njihov organizacijski kontekst, [od prvog tromjesečja 2024.]</w:t>
      </w:r>
    </w:p>
    <w:p w14:paraId="4A2133F6" w14:textId="36090116" w:rsidR="005A7921" w:rsidRPr="00B459D5" w:rsidRDefault="00055DA4" w:rsidP="005A7921">
      <w:pPr>
        <w:pStyle w:val="Corps"/>
        <w:numPr>
          <w:ilvl w:val="0"/>
          <w:numId w:val="3"/>
        </w:numPr>
        <w:spacing w:before="120" w:after="120"/>
        <w:rPr>
          <w:noProof/>
        </w:rPr>
      </w:pPr>
      <w:r>
        <w:rPr>
          <w:noProof/>
        </w:rPr>
        <w:t xml:space="preserve">ažurirati i proširiti </w:t>
      </w:r>
      <w:r>
        <w:rPr>
          <w:b/>
          <w:noProof/>
        </w:rPr>
        <w:t>paket instrumenata za kvalitetu javne uprave</w:t>
      </w:r>
      <w:r>
        <w:rPr>
          <w:rStyle w:val="FootnoteReference"/>
          <w:noProof/>
          <w:lang w:val="en-GB"/>
        </w:rPr>
        <w:footnoteReference w:id="59"/>
      </w:r>
      <w:r>
        <w:rPr>
          <w:noProof/>
        </w:rPr>
        <w:t xml:space="preserve"> radi usmjeravanja modernizacije javnih uprava, [od prvog tromjesečja 2024.]</w:t>
      </w:r>
    </w:p>
    <w:p w14:paraId="35B2EB95" w14:textId="51219342" w:rsidR="005A7921" w:rsidRPr="00B459D5" w:rsidRDefault="005A7921" w:rsidP="005A7921">
      <w:pPr>
        <w:pStyle w:val="Corps"/>
        <w:numPr>
          <w:ilvl w:val="0"/>
          <w:numId w:val="3"/>
        </w:numPr>
        <w:spacing w:before="120" w:after="120"/>
        <w:rPr>
          <w:noProof/>
        </w:rPr>
      </w:pPr>
      <w:r>
        <w:rPr>
          <w:noProof/>
        </w:rPr>
        <w:t xml:space="preserve">razviti </w:t>
      </w:r>
      <w:r>
        <w:rPr>
          <w:b/>
          <w:noProof/>
        </w:rPr>
        <w:t>metodologije za relevantne pokazatelje u javnoj upravi</w:t>
      </w:r>
      <w:r>
        <w:rPr>
          <w:noProof/>
        </w:rPr>
        <w:t xml:space="preserve">, pomagati u poboljšanju postojećih alata za proizvodnju podataka, </w:t>
      </w:r>
      <w:r>
        <w:rPr>
          <w:b/>
          <w:noProof/>
        </w:rPr>
        <w:t>provoditi studije na razini EU-a</w:t>
      </w:r>
      <w:r>
        <w:rPr>
          <w:noProof/>
        </w:rPr>
        <w:t xml:space="preserve"> o relevantnim temama, kao što su privlačnost javne uprave, učinci demografskih promjena i budućnost radnih mjesta u javnoj upravi. Na </w:t>
      </w:r>
      <w:r>
        <w:rPr>
          <w:b/>
          <w:noProof/>
        </w:rPr>
        <w:t>portalu javne uprave</w:t>
      </w:r>
      <w:r>
        <w:rPr>
          <w:noProof/>
        </w:rPr>
        <w:t xml:space="preserve"> pružat će širok raspon podataka i informacija kojima će se obuhvatiti status i rezultati javnih uprava u EU-u. [od prvog tromjesečja 2024.]</w:t>
      </w:r>
    </w:p>
    <w:p w14:paraId="096356D0" w14:textId="328E6740" w:rsidR="00902721" w:rsidRPr="00B459D5" w:rsidRDefault="00106702" w:rsidP="003E5AD4">
      <w:pPr>
        <w:pStyle w:val="Heading1"/>
        <w:rPr>
          <w:noProof/>
        </w:rPr>
      </w:pPr>
      <w:r>
        <w:rPr>
          <w:noProof/>
        </w:rPr>
        <w:t>Drugi stup: Kapacitet za digitalno desetljeće Europe</w:t>
      </w:r>
    </w:p>
    <w:p w14:paraId="096356D1" w14:textId="7AB1442E" w:rsidR="00902721" w:rsidRPr="00B459D5" w:rsidRDefault="00055DA4" w:rsidP="003E5AD4">
      <w:pPr>
        <w:spacing w:before="120" w:after="120" w:line="240" w:lineRule="auto"/>
        <w:jc w:val="both"/>
        <w:rPr>
          <w:rFonts w:ascii="Times New Roman" w:hAnsi="Times New Roman" w:cs="Times New Roman"/>
          <w:noProof/>
          <w:sz w:val="24"/>
          <w:szCs w:val="24"/>
        </w:rPr>
      </w:pPr>
      <w:r>
        <w:rPr>
          <w:rFonts w:ascii="Times New Roman" w:hAnsi="Times New Roman"/>
          <w:b/>
          <w:noProof/>
          <w:sz w:val="24"/>
        </w:rPr>
        <w:t>U programu politike za digitalno desetljeće utvrđene su ciljne vrijednosti prema kojima bi do 2030. 100 % ključnih javnih usluga bilo dostupno na internetu građanima i poduzećima</w:t>
      </w:r>
      <w:r>
        <w:rPr>
          <w:rFonts w:ascii="Times New Roman" w:hAnsi="Times New Roman"/>
          <w:noProof/>
          <w:sz w:val="24"/>
        </w:rPr>
        <w:t>, čime bi se svim ljudima omogućio pristup vlastitoj medicinskoj dokumentaciji na internetu i sigurnim sredstvima elektroničke identifikacije (eID) u cijelom EU-u, uzimajući u obzir potrebe građana koji nemaju potpuni pristup digitalnim uslugama ili imaju ograničene mogućnosti.</w:t>
      </w:r>
      <w:r>
        <w:rPr>
          <w:rFonts w:ascii="Times New Roman" w:hAnsi="Times New Roman"/>
          <w:noProof/>
          <w:color w:val="000000" w:themeColor="text1"/>
          <w:sz w:val="24"/>
        </w:rPr>
        <w:t xml:space="preserve"> </w:t>
      </w:r>
      <w:r>
        <w:rPr>
          <w:rFonts w:ascii="Times New Roman" w:hAnsi="Times New Roman"/>
          <w:noProof/>
          <w:sz w:val="24"/>
        </w:rPr>
        <w:t>Digitalizacija administrativnih postupaka, tehničke pripreme za uvođenje lisnica EU-a za digitalni identitet do 2026., povećanje automatske razmjene dokaza i informacija</w:t>
      </w:r>
      <w:r>
        <w:rPr>
          <w:rFonts w:ascii="Times New Roman" w:hAnsi="Times New Roman" w:cs="Times New Roman"/>
          <w:noProof/>
          <w:sz w:val="24"/>
          <w:szCs w:val="24"/>
          <w:vertAlign w:val="superscript"/>
        </w:rPr>
        <w:footnoteReference w:id="60"/>
      </w:r>
      <w:r>
        <w:rPr>
          <w:rFonts w:ascii="Times New Roman" w:hAnsi="Times New Roman"/>
          <w:noProof/>
          <w:sz w:val="24"/>
        </w:rPr>
        <w:t xml:space="preserve"> radi pružanja digitalnih javnih usluga usmjerenih na korisnike i unaprjeđenje digitalnih vještina osoblja važan su preduvjet da bi javne uprave postigle te ciljne vrijednosti.</w:t>
      </w:r>
      <w:r>
        <w:rPr>
          <w:rFonts w:ascii="Times New Roman" w:hAnsi="Times New Roman"/>
          <w:noProof/>
          <w:color w:val="000000" w:themeColor="text1"/>
          <w:sz w:val="24"/>
        </w:rPr>
        <w:t xml:space="preserve"> Povećanjem korištenja digitalnih javnih usluga za 80 % do 2030. javne uprave mogu ostvariti povećanje učinkovitosti u iznosu od 439 milijuna EUR do 1,3 milijarde EUR godišnje</w:t>
      </w:r>
      <w:r>
        <w:rPr>
          <w:rStyle w:val="FootnoteReference"/>
          <w:rFonts w:ascii="Times New Roman" w:hAnsi="Times New Roman" w:cs="Times New Roman"/>
          <w:noProof/>
          <w:color w:val="000000" w:themeColor="text1"/>
          <w:sz w:val="24"/>
          <w:szCs w:val="24"/>
        </w:rPr>
        <w:footnoteReference w:id="61"/>
      </w:r>
      <w:r>
        <w:rPr>
          <w:rFonts w:ascii="Times New Roman" w:hAnsi="Times New Roman"/>
          <w:noProof/>
          <w:color w:val="000000" w:themeColor="text1"/>
          <w:sz w:val="24"/>
        </w:rPr>
        <w:t>. Poboljšanje prekogranične interoperabilnosti digitalnih javnih usluga moglo bi dovesti do povećanja učinkovitosti do 6,3 milijuna EUR za građane i od 5,7 do 19,2 milijarde EUR za poduzeća</w:t>
      </w:r>
      <w:r>
        <w:rPr>
          <w:rStyle w:val="FootnoteReference"/>
          <w:rFonts w:ascii="Times New Roman" w:hAnsi="Times New Roman" w:cs="Times New Roman"/>
          <w:noProof/>
          <w:color w:val="000000" w:themeColor="text1"/>
          <w:sz w:val="24"/>
          <w:szCs w:val="24"/>
        </w:rPr>
        <w:footnoteReference w:id="62"/>
      </w:r>
      <w:r>
        <w:rPr>
          <w:rFonts w:ascii="Times New Roman" w:hAnsi="Times New Roman"/>
          <w:noProof/>
          <w:color w:val="000000" w:themeColor="text1"/>
          <w:sz w:val="24"/>
        </w:rPr>
        <w:t xml:space="preserve">. </w:t>
      </w:r>
      <w:r>
        <w:rPr>
          <w:rFonts w:ascii="Times New Roman" w:hAnsi="Times New Roman"/>
          <w:noProof/>
          <w:sz w:val="24"/>
        </w:rPr>
        <w:t xml:space="preserve">Ciljevi digitalnog desetljeća usmjeravaju javne uprave kroz vlastitu digitalnu transformaciju i podupiru njihovu prilagodbu tehnološkim promjenama. </w:t>
      </w:r>
    </w:p>
    <w:p w14:paraId="096356D2" w14:textId="11CEE9B9" w:rsidR="00902721" w:rsidRPr="00B459D5" w:rsidRDefault="00055DA4" w:rsidP="003E5AD4">
      <w:pPr>
        <w:spacing w:before="120" w:after="120" w:line="240" w:lineRule="auto"/>
        <w:jc w:val="both"/>
        <w:rPr>
          <w:rFonts w:ascii="Times New Roman" w:hAnsi="Times New Roman" w:cs="Times New Roman"/>
          <w:noProof/>
          <w:sz w:val="24"/>
          <w:szCs w:val="24"/>
        </w:rPr>
      </w:pPr>
      <w:r>
        <w:rPr>
          <w:rStyle w:val="normaltextrun"/>
          <w:rFonts w:ascii="Times New Roman" w:hAnsi="Times New Roman"/>
          <w:b/>
          <w:noProof/>
          <w:color w:val="000000"/>
          <w:sz w:val="24"/>
          <w:shd w:val="clear" w:color="auto" w:fill="FFFFFF"/>
        </w:rPr>
        <w:t>Brz razvoj digitalnih tehnologija i njihova upotreba zahtijevaju aktivnu prilagodbu pravnog okvira</w:t>
      </w:r>
      <w:r>
        <w:rPr>
          <w:rStyle w:val="FootnoteReference"/>
          <w:rFonts w:ascii="Times New Roman" w:hAnsi="Times New Roman" w:cs="Times New Roman"/>
          <w:b/>
          <w:bCs/>
          <w:noProof/>
          <w:sz w:val="24"/>
          <w:szCs w:val="24"/>
        </w:rPr>
        <w:footnoteReference w:id="63"/>
      </w:r>
      <w:r>
        <w:rPr>
          <w:rStyle w:val="normaltextrun"/>
          <w:rFonts w:ascii="Times New Roman" w:hAnsi="Times New Roman"/>
          <w:b/>
          <w:noProof/>
          <w:color w:val="000000"/>
          <w:sz w:val="24"/>
          <w:shd w:val="clear" w:color="auto" w:fill="FFFFFF"/>
        </w:rPr>
        <w:t xml:space="preserve">: </w:t>
      </w:r>
      <w:r>
        <w:rPr>
          <w:rFonts w:ascii="Times New Roman" w:hAnsi="Times New Roman"/>
          <w:noProof/>
          <w:sz w:val="24"/>
        </w:rPr>
        <w:t>od upotrebe digitalnih alata preko dostupnosti i razmjene podataka do interoperabilnosti i etične upotrebe umjetne inteligencije i drugih digitalnih tehnologija.</w:t>
      </w:r>
      <w:r>
        <w:rPr>
          <w:rStyle w:val="normaltextrun"/>
          <w:rFonts w:ascii="Times New Roman" w:hAnsi="Times New Roman"/>
          <w:noProof/>
          <w:color w:val="000000" w:themeColor="text1"/>
          <w:sz w:val="28"/>
        </w:rPr>
        <w:t xml:space="preserve"> </w:t>
      </w:r>
      <w:r>
        <w:rPr>
          <w:rFonts w:ascii="Times New Roman" w:hAnsi="Times New Roman"/>
          <w:noProof/>
          <w:sz w:val="24"/>
        </w:rPr>
        <w:t>Osim digitalnog usavršavanja i prekvalifikacije, javne uprave moraju prihvatiti interoperabilnost, iskoristiti povećanu dostupnost velike količine podataka, digitalizirati administrativne postupke i postati spremne za upotrebu umjetne inteligencije. Trebale bi ojačati i suradnju u području digitalnog upravljanja u EU-u radi razmjene i zajedničkog razvoja rješenja, izbjegavanja fragmentacije, objedinjavanja resursa za obradu podataka i poboljšanja razmjene podataka. Time bi se smanjio digitalni jaz jer bi javne usluge postale uključivije i pristupačnije svima.</w:t>
      </w:r>
    </w:p>
    <w:p w14:paraId="3B45D0AA" w14:textId="428C8B04" w:rsidR="008A3669" w:rsidRPr="00B459D5" w:rsidRDefault="00D36CB7" w:rsidP="003E5AD4">
      <w:pPr>
        <w:spacing w:before="120" w:after="120" w:line="240" w:lineRule="auto"/>
        <w:jc w:val="both"/>
        <w:rPr>
          <w:rFonts w:ascii="Times New Roman" w:hAnsi="Times New Roman" w:cs="Times New Roman"/>
          <w:noProof/>
          <w:sz w:val="24"/>
          <w:szCs w:val="24"/>
        </w:rPr>
      </w:pPr>
      <w:r>
        <w:rPr>
          <w:rFonts w:ascii="Times New Roman" w:hAnsi="Times New Roman"/>
          <w:noProof/>
          <w:sz w:val="24"/>
        </w:rPr>
        <w:t>Mjere u okviru ovog stupa provodit će se prvenstveno putem Instrumenta za tehničku potporu i drugih EU-ovih mehanizama financiranja, kao što su program Digitalna Europa, Program jedinstvenog tržišta i Instrument za povezivanje Europe 2.</w:t>
      </w:r>
    </w:p>
    <w:p w14:paraId="096356D7" w14:textId="5B436E16" w:rsidR="00902721" w:rsidRPr="00B459D5" w:rsidRDefault="005F0360" w:rsidP="003E5AD4">
      <w:pPr>
        <w:pStyle w:val="Heading2"/>
        <w:numPr>
          <w:ilvl w:val="0"/>
          <w:numId w:val="0"/>
        </w:numPr>
        <w:ind w:left="785" w:hanging="360"/>
        <w:rPr>
          <w:noProof/>
        </w:rPr>
      </w:pPr>
      <w:r>
        <w:rPr>
          <w:noProof/>
        </w:rPr>
        <w:t>5. Digitalna javna uprava otporna na promjene u budućnosti</w:t>
      </w:r>
    </w:p>
    <w:p w14:paraId="789321B0" w14:textId="0609DDE8" w:rsidR="00EF222C" w:rsidRPr="00B459D5" w:rsidRDefault="00EF222C" w:rsidP="00EF222C">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Javne uprave moraju početi koristiti digitalne tehnologije i pritom promijeniti način na koji rade. Očekuje se da pružaju učinkovite i jednostavne usluge građanima, poduzećima i vlastitom osoblju. To često podrazumijeva temeljitu (digitalnu) transformaciju kako bi se preoblikovali postojeći procesi ili promijenile politike, pojednostavnio svakodnevni život i poboljšalo poslovno okruženje smanjenjem birokracije. </w:t>
      </w:r>
    </w:p>
    <w:p w14:paraId="4EF04170" w14:textId="1D178CA2" w:rsidR="00805B28" w:rsidRPr="00B459D5" w:rsidRDefault="00EF222C" w:rsidP="00805B28">
      <w:pPr>
        <w:spacing w:before="120" w:after="120" w:line="240" w:lineRule="auto"/>
        <w:jc w:val="both"/>
        <w:rPr>
          <w:rFonts w:ascii="Times New Roman" w:hAnsi="Times New Roman" w:cs="Times New Roman"/>
          <w:noProof/>
          <w:sz w:val="24"/>
          <w:szCs w:val="24"/>
        </w:rPr>
      </w:pPr>
      <w:r>
        <w:rPr>
          <w:rFonts w:ascii="Times New Roman" w:hAnsi="Times New Roman"/>
          <w:noProof/>
          <w:sz w:val="24"/>
        </w:rPr>
        <w:t>Provedbom digitalnog zakonodavstva EU-a javne uprave mogu učinkovitije surađivati, uskladiti svoje aktivnosti s ciljevima na razini EU-a te uspostaviti otporniju i održiviju digitalnu i podatkovnu infrastrukturu i usluge. Zakonodavstvo EU-a pruža okvir za učinkovitu i sigurnu razmjenu podataka i interoperabilnost među javnim upravama. Strukturirani mehanizam suradnje među uredima za digitalnu transformaciju država članica, obično načelnika sektora informacijskih tehnologija, ključan je za interoperabilnost javnog sektora EU-a. To olakšava poduzimanje zajedničkih inovacijskih projekata, omogućuje ponovnu uporabu testiranih tehnologija te smanjuje troškove i rizike ulaganja, čime se omogućuje brže i sigurnije uvođenje povezanih digitalnih javnih usluga</w:t>
      </w:r>
      <w:r>
        <w:rPr>
          <w:rStyle w:val="FootnoteReference"/>
          <w:rFonts w:ascii="Times New Roman" w:hAnsi="Times New Roman" w:cs="Times New Roman"/>
          <w:noProof/>
          <w:sz w:val="24"/>
          <w:szCs w:val="24"/>
        </w:rPr>
        <w:footnoteReference w:id="64"/>
      </w:r>
      <w:r>
        <w:rPr>
          <w:rFonts w:ascii="Times New Roman" w:hAnsi="Times New Roman"/>
          <w:noProof/>
          <w:sz w:val="24"/>
        </w:rPr>
        <w:t>.</w:t>
      </w:r>
      <w:r w:rsidRPr="00172998">
        <w:rPr>
          <w:rFonts w:ascii="Times New Roman" w:hAnsi="Times New Roman"/>
          <w:noProof/>
          <w:sz w:val="24"/>
        </w:rPr>
        <w:t xml:space="preserve"> </w:t>
      </w:r>
      <w:r>
        <w:rPr>
          <w:rFonts w:ascii="Times New Roman" w:hAnsi="Times New Roman"/>
          <w:noProof/>
          <w:sz w:val="24"/>
        </w:rPr>
        <w:t>Nadalje, Direktivom NIS2</w:t>
      </w:r>
      <w:r>
        <w:rPr>
          <w:rFonts w:ascii="Times New Roman" w:hAnsi="Times New Roman" w:cs="Times New Roman"/>
          <w:noProof/>
          <w:sz w:val="24"/>
          <w:szCs w:val="24"/>
          <w:vertAlign w:val="superscript"/>
        </w:rPr>
        <w:footnoteReference w:id="65"/>
      </w:r>
      <w:r>
        <w:rPr>
          <w:rFonts w:ascii="Times New Roman" w:hAnsi="Times New Roman"/>
          <w:noProof/>
          <w:sz w:val="24"/>
        </w:rPr>
        <w:t xml:space="preserve"> od javnih se uprava zahtijeva da poduzmu odgovarajuće i razmjerne mjere za postizanje kibernetičke sigurnosti i osiguraju sigurno pružanje usluga. U okviru programa Digitalna Europa 2023. dodijeljeno je 30 milijuna EUR za provedbu zakonodavstva EU-a o kibernetičkoj sigurnosti i nacionalnih strategija za kibernetičku sigurnost.</w:t>
      </w:r>
    </w:p>
    <w:p w14:paraId="373AA597" w14:textId="580B89F5" w:rsidR="00EF222C" w:rsidRPr="00B459D5" w:rsidRDefault="00EF222C" w:rsidP="00EF222C">
      <w:pPr>
        <w:spacing w:before="120" w:after="120" w:line="240" w:lineRule="auto"/>
        <w:jc w:val="both"/>
        <w:rPr>
          <w:rFonts w:ascii="Times New Roman" w:hAnsi="Times New Roman" w:cs="Times New Roman"/>
          <w:noProof/>
          <w:sz w:val="24"/>
          <w:szCs w:val="24"/>
        </w:rPr>
      </w:pPr>
      <w:r>
        <w:rPr>
          <w:rFonts w:ascii="Times New Roman" w:hAnsi="Times New Roman"/>
          <w:noProof/>
          <w:sz w:val="24"/>
        </w:rPr>
        <w:t>Komisija prati učinak digitalne transformacije na javno upravljanje u EU-u prikupljanjem i analizom podataka iz postojećih ili novih mehanizama praćenja</w:t>
      </w:r>
      <w:r>
        <w:rPr>
          <w:rFonts w:ascii="Times New Roman" w:hAnsi="Times New Roman" w:cs="Times New Roman"/>
          <w:noProof/>
          <w:sz w:val="24"/>
          <w:szCs w:val="24"/>
          <w:vertAlign w:val="superscript"/>
        </w:rPr>
        <w:footnoteReference w:id="66"/>
      </w:r>
      <w:r>
        <w:rPr>
          <w:rFonts w:ascii="Times New Roman" w:hAnsi="Times New Roman"/>
          <w:noProof/>
          <w:sz w:val="24"/>
        </w:rPr>
        <w:t xml:space="preserve"> te razmjenom nalaza i preporuka. Istražuje i učinak, rizike i mogućnosti umjetne inteligencije i novih tehnologija za javne uprave</w:t>
      </w:r>
      <w:r>
        <w:rPr>
          <w:rFonts w:ascii="Times New Roman" w:hAnsi="Times New Roman" w:cs="Times New Roman"/>
          <w:noProof/>
          <w:sz w:val="24"/>
          <w:szCs w:val="24"/>
          <w:vertAlign w:val="superscript"/>
        </w:rPr>
        <w:footnoteReference w:id="67"/>
      </w:r>
      <w:r>
        <w:rPr>
          <w:rFonts w:ascii="Times New Roman" w:hAnsi="Times New Roman"/>
          <w:noProof/>
          <w:sz w:val="24"/>
        </w:rPr>
        <w:t xml:space="preserve">. </w:t>
      </w:r>
    </w:p>
    <w:p w14:paraId="04065787" w14:textId="25FDBE8D" w:rsidR="00341534" w:rsidRPr="00B459D5" w:rsidRDefault="00EF222C" w:rsidP="00EF222C">
      <w:pPr>
        <w:spacing w:before="120" w:after="120" w:line="240" w:lineRule="auto"/>
        <w:jc w:val="both"/>
        <w:rPr>
          <w:rFonts w:ascii="Times New Roman" w:hAnsi="Times New Roman" w:cs="Times New Roman"/>
          <w:noProof/>
        </w:rPr>
      </w:pPr>
      <w:r>
        <w:rPr>
          <w:rFonts w:ascii="Times New Roman" w:hAnsi="Times New Roman"/>
          <w:noProof/>
          <w:sz w:val="24"/>
        </w:rPr>
        <w:t>Instrument za tehničku potporu već je podržao 180 reformi u okviru digitalne transformacije država članica u razvoju strategija za uvođenje novih digitalnih tehnologija, jačanju digitalnog upravljanja, stvaranju prototipova ili testiranju novih rješenja.</w:t>
      </w:r>
      <w:r>
        <w:rPr>
          <w:rFonts w:ascii="Times New Roman" w:hAnsi="Times New Roman"/>
          <w:noProof/>
          <w:color w:val="000000" w:themeColor="text1"/>
          <w:sz w:val="24"/>
        </w:rPr>
        <w:t xml:space="preserve"> </w:t>
      </w:r>
      <w:r>
        <w:rPr>
          <w:rFonts w:ascii="Times New Roman" w:hAnsi="Times New Roman"/>
          <w:noProof/>
          <w:sz w:val="24"/>
        </w:rPr>
        <w:t>Usto se planovima za oporavak i otpornost podupire digitalna transformacija javnih uprava, pri čemu je 37 % digitalnih rashoda, odnosno 53 milijarde EUR, namijenjeno za digitalne javne usluge i e-upravu. Reforme su usmjerene na uvođenje ili poboljšanje rješenja e-uprave, kao što je uvođenje elektroničke identifikacije, osiguravanje interoperabilnosti digitalnih javnih platformi te poboljšanje prikupljanja i upravljanja podacima. Cilj je ulaganja integrirati napredne tehnologije u vladine procese te ojačati kibernetičku sigurnost. Planirana ulaganja u kohezijsku politiku za razdoblje 2021.–2027. kojima se podupire digitalna tranzicija iznose više od 39 milijardi EUR. To uključuje 11,2 milijarde EUR za digitalne usluge i digitalizaciju poduzeća i javnih uprava.</w:t>
      </w:r>
      <w:r>
        <w:rPr>
          <w:rFonts w:ascii="Times New Roman" w:hAnsi="Times New Roman"/>
          <w:noProof/>
        </w:rPr>
        <w:t xml:space="preserve"> </w:t>
      </w:r>
    </w:p>
    <w:p w14:paraId="17FB5D86" w14:textId="54A61D62" w:rsidR="00FF5A54" w:rsidRPr="00B459D5" w:rsidRDefault="003E0AFC" w:rsidP="00EF222C">
      <w:pPr>
        <w:spacing w:before="120" w:after="120" w:line="240" w:lineRule="auto"/>
        <w:jc w:val="both"/>
        <w:rPr>
          <w:rFonts w:ascii="Times New Roman" w:hAnsi="Times New Roman" w:cs="Times New Roman"/>
          <w:noProof/>
          <w:sz w:val="24"/>
          <w:szCs w:val="24"/>
        </w:rPr>
      </w:pPr>
      <w:r>
        <w:rPr>
          <w:rFonts w:ascii="Times New Roman" w:hAnsi="Times New Roman"/>
          <w:noProof/>
          <w:sz w:val="24"/>
        </w:rPr>
        <w:t>Komisija podupire i javno-privatnu suradnju „GovTech” koja potiče inovacije u javnom sektoru i pomaže da javne usluge postanu pristupačnije, uključivije i učinkovitije.</w:t>
      </w:r>
      <w:r>
        <w:rPr>
          <w:rFonts w:ascii="Times New Roman" w:hAnsi="Times New Roman"/>
          <w:noProof/>
        </w:rPr>
        <w:t xml:space="preserve"> </w:t>
      </w:r>
      <w:r>
        <w:rPr>
          <w:rFonts w:ascii="Times New Roman" w:hAnsi="Times New Roman"/>
          <w:noProof/>
          <w:sz w:val="24"/>
        </w:rPr>
        <w:t>Centar znanja i virtualni prostor u kojem se prikazuju iskustva promiču prihvaćanje novih tehnologija, kao što su virtualni svjetovi i Web 4.0, u javnom sektoru (Public Sector Tech Watch)</w:t>
      </w:r>
      <w:r>
        <w:rPr>
          <w:rStyle w:val="FootnoteReference"/>
          <w:rFonts w:ascii="Times New Roman" w:hAnsi="Times New Roman" w:cs="Times New Roman"/>
          <w:noProof/>
          <w:sz w:val="24"/>
          <w:szCs w:val="24"/>
        </w:rPr>
        <w:footnoteReference w:id="68"/>
      </w:r>
      <w:r>
        <w:rPr>
          <w:rFonts w:ascii="Times New Roman" w:hAnsi="Times New Roman"/>
          <w:noProof/>
          <w:sz w:val="24"/>
        </w:rPr>
        <w:t>.</w:t>
      </w:r>
      <w:r>
        <w:rPr>
          <w:noProof/>
        </w:rPr>
        <w:t xml:space="preserve"> </w:t>
      </w:r>
      <w:r>
        <w:rPr>
          <w:rFonts w:ascii="Times New Roman" w:hAnsi="Times New Roman"/>
          <w:noProof/>
          <w:sz w:val="24"/>
        </w:rPr>
        <w:t>Komisija sufinancira centre za testiranje i eksperimentiranje s umjetnom inteligencijom za pametne gradove i zajednice u okviru petogodišnjeg projekta u vrijednosti od 40 milijuna EUR s težištem na klimi, okolišu, mobilnosti i drugim lokalnim infrastrukturama.</w:t>
      </w:r>
      <w:r>
        <w:rPr>
          <w:noProof/>
        </w:rPr>
        <w:t xml:space="preserve"> </w:t>
      </w:r>
    </w:p>
    <w:p w14:paraId="5FEF59EF" w14:textId="49281AEF" w:rsidR="00EF222C" w:rsidRPr="00B459D5" w:rsidRDefault="00EF222C" w:rsidP="00EF222C">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Mogu se uspostaviti bolje sinergije između pružanja tehničke potpore i tekućih mjera za provedbu digitalnog desetljeća. U tu će svrhu Komisija nastaviti razmjenjivati primjere dobre prakse i aktivno promicati testiranje i operativnu primjenu u okviru Instrumenta za tehničku potporu kad je riječ o modelima i prototipovima razvijenima u okviru raznih drugih programa EU-a (posebno programa Obzor 2020. i Obzor Europa, programa Digitalna Europa, Pravosuđe). </w:t>
      </w:r>
    </w:p>
    <w:p w14:paraId="27F07D8C" w14:textId="272F420C" w:rsidR="00EF222C" w:rsidRPr="00B459D5" w:rsidRDefault="00EF222C" w:rsidP="00AC4407">
      <w:pPr>
        <w:spacing w:before="120" w:after="120" w:line="240" w:lineRule="auto"/>
        <w:rPr>
          <w:rFonts w:ascii="Times New Roman" w:hAnsi="Times New Roman" w:cs="Times New Roman"/>
          <w:b/>
          <w:bCs/>
          <w:i/>
          <w:iCs/>
          <w:noProof/>
          <w:sz w:val="24"/>
          <w:szCs w:val="24"/>
        </w:rPr>
      </w:pPr>
      <w:r>
        <w:rPr>
          <w:rFonts w:ascii="Times New Roman" w:hAnsi="Times New Roman"/>
          <w:b/>
          <w:i/>
          <w:noProof/>
          <w:sz w:val="24"/>
        </w:rPr>
        <w:t>Komisija će:</w:t>
      </w:r>
    </w:p>
    <w:p w14:paraId="0E5DB6A6" w14:textId="4A8D4BC0" w:rsidR="00C727CD" w:rsidRPr="00B459D5" w:rsidRDefault="00B7045E" w:rsidP="00FB326B">
      <w:pPr>
        <w:pStyle w:val="ListParagraph"/>
        <w:numPr>
          <w:ilvl w:val="0"/>
          <w:numId w:val="3"/>
        </w:numPr>
        <w:jc w:val="both"/>
        <w:rPr>
          <w:rFonts w:ascii="Times New Roman" w:eastAsia="Times New Roman" w:hAnsi="Times New Roman" w:cs="Times New Roman"/>
          <w:noProof/>
          <w:color w:val="000000"/>
          <w:sz w:val="24"/>
          <w:szCs w:val="24"/>
          <w:u w:color="000000"/>
          <w:bdr w:val="nil"/>
          <w14:textOutline w14:w="0" w14:cap="flat" w14:cmpd="sng" w14:algn="ctr">
            <w14:noFill/>
            <w14:prstDash w14:val="solid"/>
            <w14:bevel/>
          </w14:textOutline>
        </w:rPr>
      </w:pPr>
      <w:r>
        <w:rPr>
          <w:rFonts w:ascii="Times New Roman" w:hAnsi="Times New Roman"/>
          <w:noProof/>
          <w:color w:val="000000"/>
          <w:sz w:val="24"/>
          <w:u w:color="000000"/>
          <w:bdr w:val="nil"/>
          <w14:textOutline w14:w="0" w14:cap="flat" w14:cmpd="sng" w14:algn="ctr">
            <w14:noFill/>
            <w14:prstDash w14:val="solid"/>
            <w14:bevel/>
          </w14:textOutline>
        </w:rPr>
        <w:t xml:space="preserve">pomagati javnim upravama u </w:t>
      </w:r>
      <w:r>
        <w:rPr>
          <w:rFonts w:ascii="Times New Roman" w:hAnsi="Times New Roman"/>
          <w:b/>
          <w:noProof/>
          <w:color w:val="000000"/>
          <w:sz w:val="24"/>
          <w:u w:color="000000"/>
          <w:bdr w:val="nil"/>
          <w14:textOutline w14:w="0" w14:cap="flat" w14:cmpd="sng" w14:algn="ctr">
            <w14:noFill/>
            <w14:prstDash w14:val="solid"/>
            <w14:bevel/>
          </w14:textOutline>
        </w:rPr>
        <w:t>provedbi digitalnog zakonodavstva i zakonodavstva o podacima</w:t>
      </w:r>
      <w:r>
        <w:rPr>
          <w:rFonts w:ascii="Times New Roman" w:hAnsi="Times New Roman"/>
          <w:noProof/>
          <w:color w:val="000000"/>
          <w:sz w:val="24"/>
          <w:u w:color="000000"/>
          <w:bdr w:val="nil"/>
          <w14:textOutline w14:w="0" w14:cap="flat" w14:cmpd="sng" w14:algn="ctr">
            <w14:noFill/>
            <w14:prstDash w14:val="solid"/>
            <w14:bevel/>
          </w14:textOutline>
        </w:rPr>
        <w:t xml:space="preserve"> te </w:t>
      </w:r>
      <w:r>
        <w:rPr>
          <w:rFonts w:ascii="Times New Roman" w:hAnsi="Times New Roman"/>
          <w:b/>
          <w:noProof/>
          <w:color w:val="000000"/>
          <w:sz w:val="24"/>
          <w:u w:color="000000"/>
          <w:bdr w:val="nil"/>
          <w14:textOutline w14:w="0" w14:cap="flat" w14:cmpd="sng" w14:algn="ctr">
            <w14:noFill/>
            <w14:prstDash w14:val="solid"/>
            <w14:bevel/>
          </w14:textOutline>
        </w:rPr>
        <w:t>povećanju spremnosti da tehnologije umjetne inteligencije integriraju u svoj rad na siguran i pouzdan način, nadziranju tehnologija umjetne inteligencije</w:t>
      </w:r>
      <w:r>
        <w:rPr>
          <w:rFonts w:ascii="Times New Roman" w:hAnsi="Times New Roman"/>
          <w:noProof/>
          <w:color w:val="000000"/>
          <w:sz w:val="24"/>
          <w:u w:color="000000"/>
          <w:bdr w:val="nil"/>
          <w14:textOutline w14:w="0" w14:cap="flat" w14:cmpd="sng" w14:algn="ctr">
            <w14:noFill/>
            <w14:prstDash w14:val="solid"/>
            <w14:bevel/>
          </w14:textOutline>
        </w:rPr>
        <w:t>, jačanju kibernetičke sigurnosti te osmišljavanju i provedbi javnih politika, među ostalim kako bi se poduprla konvergencija praksi javne nabave, [od prvog tromjesečja 2024.]</w:t>
      </w:r>
    </w:p>
    <w:p w14:paraId="500D2605" w14:textId="7E955F5B" w:rsidR="00EF222C" w:rsidRPr="00B459D5" w:rsidRDefault="00EF222C" w:rsidP="00EF222C">
      <w:pPr>
        <w:pStyle w:val="Corps"/>
        <w:numPr>
          <w:ilvl w:val="0"/>
          <w:numId w:val="3"/>
        </w:numPr>
        <w:spacing w:before="120" w:after="120"/>
        <w:ind w:left="714" w:hanging="357"/>
        <w:rPr>
          <w:noProof/>
        </w:rPr>
      </w:pPr>
      <w:r>
        <w:rPr>
          <w:noProof/>
        </w:rPr>
        <w:t xml:space="preserve">promicati </w:t>
      </w:r>
      <w:r>
        <w:rPr>
          <w:b/>
          <w:noProof/>
        </w:rPr>
        <w:t>održivu i učinkovitu upotrebu tehnologija u nastajanju u javnim upravama</w:t>
      </w:r>
      <w:r>
        <w:rPr>
          <w:noProof/>
        </w:rPr>
        <w:t>, primjerice razvojem otvorenih standarda ili potporom za prekogranične javne usluge s pomoću decentraliziranih tehnologija kao što su tehnologije decentraliziranog vođenja evidencije transakcija (npr. lanac blokova). [od prvog tromjesečja 2024.]</w:t>
      </w:r>
    </w:p>
    <w:p w14:paraId="205668D2" w14:textId="327B1EDC" w:rsidR="005F6DB4" w:rsidRPr="00B459D5" w:rsidRDefault="00275D78" w:rsidP="003E5AD4">
      <w:pPr>
        <w:spacing w:before="120" w:after="120" w:line="240" w:lineRule="auto"/>
        <w:jc w:val="both"/>
        <w:rPr>
          <w:rFonts w:ascii="Times New Roman" w:hAnsi="Times New Roman" w:cs="Times New Roman"/>
          <w:noProof/>
          <w:sz w:val="24"/>
          <w:szCs w:val="24"/>
        </w:rPr>
      </w:pPr>
      <w:r>
        <w:rPr>
          <w:rFonts w:ascii="Times New Roman" w:hAnsi="Times New Roman"/>
          <w:noProof/>
          <w:sz w:val="24"/>
        </w:rPr>
        <w:t>Države članice potiču se da iskoriste postojeće i nove mogućnosti kako bi povećale svoju digitalnu spremnost, među ostalim tehničkom potporom i sudjelovanjem u zajednicama prakse. Potiču se i da promiču te mogućnosti unutar svojih uprava i podupru sigurnu integraciju umjetne inteligencije i drugih digitalnih tehnologija u svoj rad. Konkretno, platforma za umjetnu inteligenciju na zahtjev podupirat će uvođenje pouzdanih, etičnih i transparentnih tehnologija umjetne inteligencije u industriji i javnom sektoru. Osim toga, države članice mogu aktivno sudjelovati u postojećim i budućim europskim konzorcijima za digitalnu infrastrukturu za nove trendove i programe kao što su virtualni svjetovi, jezične tehnologije i CitiVerseovi.</w:t>
      </w:r>
    </w:p>
    <w:p w14:paraId="096356E7" w14:textId="2D088F96" w:rsidR="00902721" w:rsidRPr="00B459D5" w:rsidRDefault="005F0360" w:rsidP="003E5AD4">
      <w:pPr>
        <w:pStyle w:val="Heading2"/>
        <w:numPr>
          <w:ilvl w:val="0"/>
          <w:numId w:val="0"/>
        </w:numPr>
        <w:ind w:left="785" w:hanging="360"/>
        <w:rPr>
          <w:noProof/>
        </w:rPr>
      </w:pPr>
      <w:r>
        <w:rPr>
          <w:noProof/>
        </w:rPr>
        <w:t>6. Okviri, smjernice i alati za digitalnu transformaciju</w:t>
      </w:r>
    </w:p>
    <w:p w14:paraId="755F8B83" w14:textId="3529F4A4" w:rsidR="00DE44F8" w:rsidRPr="00B459D5" w:rsidRDefault="00C5574C" w:rsidP="003E5AD4">
      <w:pPr>
        <w:pStyle w:val="Corps"/>
        <w:spacing w:before="120" w:after="120"/>
        <w:rPr>
          <w:noProof/>
        </w:rPr>
      </w:pPr>
      <w:r>
        <w:rPr>
          <w:noProof/>
        </w:rPr>
        <w:t>EU nastoji osigurati da usluge budu dostupne svim građanima bez diskriminacije, u skladu s dogovorenim vrijednostima i načelima u digitalnom području</w:t>
      </w:r>
      <w:r>
        <w:rPr>
          <w:rStyle w:val="FootnoteReference"/>
          <w:noProof/>
          <w:lang w:val="en-GB"/>
        </w:rPr>
        <w:footnoteReference w:id="69"/>
      </w:r>
      <w:r>
        <w:rPr>
          <w:noProof/>
        </w:rPr>
        <w:t>, kao što su načelo „samo jednom” i antropocentričnost. U tom je pogledu važno povećati interoperabilnost jer omogućuje pravno, organizacijsko, semantičko i tehničko usklađivanje za prekograničnu razmjenu podataka, kako je preporučeno u europskom okviru za interoperabilnost. Interoperabilnost je ključna i za uklanjanje prepreka jedinstvenom tržištu i pružanje međusobno povezanih digitalnih javnih usluga. U različitim područjima</w:t>
      </w:r>
      <w:r>
        <w:rPr>
          <w:rStyle w:val="FootnoteReference"/>
          <w:noProof/>
          <w:lang w:val="en-GB"/>
        </w:rPr>
        <w:footnoteReference w:id="70"/>
      </w:r>
      <w:r>
        <w:rPr>
          <w:noProof/>
        </w:rPr>
        <w:t>, kao što su carina, javna nabava ili zakonodavstvo</w:t>
      </w:r>
      <w:r>
        <w:rPr>
          <w:rStyle w:val="FootnoteReference"/>
          <w:noProof/>
          <w:lang w:val="en-GB"/>
        </w:rPr>
        <w:footnoteReference w:id="71"/>
      </w:r>
      <w:r>
        <w:rPr>
          <w:noProof/>
        </w:rPr>
        <w:t>, razvijena su posebna interoperabilna rješenja. Osim toga, Komisija je predložila posebne mjere za poboljšanje koordinacije sustava socijalne sigurnosti daljnjom digitalizacijom</w:t>
      </w:r>
      <w:r>
        <w:rPr>
          <w:rStyle w:val="FootnoteReference"/>
          <w:noProof/>
          <w:lang w:val="en-GB"/>
        </w:rPr>
        <w:footnoteReference w:id="72"/>
      </w:r>
      <w:r>
        <w:rPr>
          <w:noProof/>
        </w:rPr>
        <w:t>. Sudjelovanjem u pokretu Living-in.EU Komisija potiče gradove i zajednice da prošire zajednički dogovorena, interoperabilna digitalna rješenja kako bi se građanima i poduzećima pružile ažurirane, inovativne i visokokvalitetne usluge.</w:t>
      </w:r>
    </w:p>
    <w:p w14:paraId="4A5E1FFE" w14:textId="5F9D634B" w:rsidR="00762F43" w:rsidRPr="00B459D5" w:rsidRDefault="002F3D93" w:rsidP="003E5AD4">
      <w:pPr>
        <w:pStyle w:val="Corps"/>
        <w:spacing w:before="120" w:after="120"/>
        <w:rPr>
          <w:noProof/>
        </w:rPr>
      </w:pPr>
      <w:r>
        <w:rPr>
          <w:noProof/>
        </w:rPr>
        <w:t>Rad na uspostavi interoperabilnosti višedimenzionalan je i uključuje međupovezanost relevantnih infrastruktura, kao što su infrastrukture u oblaku, nadolazeći pravni okvir za digitalni identitet, utvrđivanje zajedničkih specifikacija za lisnice EU-a za digitalni identitet i podatkovni prostori za javnu upravu</w:t>
      </w:r>
      <w:r>
        <w:rPr>
          <w:rStyle w:val="FootnoteReference"/>
          <w:noProof/>
          <w:lang w:val="en-GB"/>
        </w:rPr>
        <w:footnoteReference w:id="73"/>
      </w:r>
      <w:r>
        <w:rPr>
          <w:noProof/>
        </w:rPr>
        <w:t xml:space="preserve">. </w:t>
      </w:r>
    </w:p>
    <w:p w14:paraId="63A6A95B" w14:textId="3D9F3DC9" w:rsidR="00A62E73" w:rsidRPr="00B459D5" w:rsidRDefault="0007374E" w:rsidP="003E5AD4">
      <w:pPr>
        <w:pStyle w:val="Corps"/>
        <w:pBdr>
          <w:top w:val="single" w:sz="4" w:space="1" w:color="auto"/>
          <w:left w:val="single" w:sz="4" w:space="1" w:color="auto"/>
          <w:bottom w:val="single" w:sz="4" w:space="1" w:color="auto"/>
          <w:right w:val="single" w:sz="4" w:space="1" w:color="auto"/>
        </w:pBdr>
        <w:spacing w:before="120" w:after="120"/>
        <w:rPr>
          <w:rFonts w:eastAsia="Calibri"/>
          <w:b/>
          <w:bCs/>
          <w:noProof/>
          <w:sz w:val="22"/>
          <w:szCs w:val="22"/>
        </w:rPr>
      </w:pPr>
      <w:r>
        <w:rPr>
          <w:b/>
          <w:noProof/>
          <w:sz w:val="22"/>
        </w:rPr>
        <w:t>Tehnički sustav „samo jednom”</w:t>
      </w:r>
    </w:p>
    <w:p w14:paraId="3BBF829E" w14:textId="56310D8B" w:rsidR="00DE44F8" w:rsidRPr="00B459D5" w:rsidRDefault="007E2B5A" w:rsidP="003E5AD4">
      <w:pPr>
        <w:pStyle w:val="Corps"/>
        <w:pBdr>
          <w:top w:val="single" w:sz="4" w:space="1" w:color="auto"/>
          <w:left w:val="single" w:sz="4" w:space="1" w:color="auto"/>
          <w:bottom w:val="single" w:sz="4" w:space="1" w:color="auto"/>
          <w:right w:val="single" w:sz="4" w:space="1" w:color="auto"/>
        </w:pBdr>
        <w:spacing w:before="120" w:after="120"/>
        <w:rPr>
          <w:noProof/>
          <w:sz w:val="22"/>
          <w:szCs w:val="22"/>
        </w:rPr>
      </w:pPr>
      <w:hyperlink r:id="rId19" w:history="1">
        <w:r w:rsidR="00DE44F8">
          <w:rPr>
            <w:rStyle w:val="Hyperlink"/>
            <w:noProof/>
            <w:color w:val="000000" w:themeColor="text1"/>
            <w:sz w:val="22"/>
            <w:u w:val="none"/>
          </w:rPr>
          <w:t>Uredba o jedinstvenom digitalnom pristupniku</w:t>
        </w:r>
      </w:hyperlink>
      <w:r w:rsidR="00DE44F8">
        <w:rPr>
          <w:rStyle w:val="FootnoteReference"/>
          <w:noProof/>
          <w:lang w:val="en-GB"/>
        </w:rPr>
        <w:footnoteReference w:id="74"/>
      </w:r>
      <w:r w:rsidR="00DE44F8">
        <w:rPr>
          <w:noProof/>
          <w:sz w:val="22"/>
        </w:rPr>
        <w:t xml:space="preserve"> pravni je okvir za stvaranje zajedničkih europskih podatkovnih prostora za javne uprave u kojima mogu pouzdano razmjenjivati informacije. Do prosinca 2023. Komisija i države članice uspostavit će podatkovni prostor između uprava, tzv. tehnički sustav „samo jednom”. Time će se znatno olakšati i ubrzati prekogranični administrativni postupci za razmjenu podataka i dokumenata obuhvaćenih jedinstvenim digitalnim pristupnikom. Građanima će biti lakše studirati, preseliti se, raditi i umiroviti se, a poduzećima i MSP-ovima poslovati u cijelom EU-u. Sustav će povezati javna tijela u EU-u kako bi mogla razmjenjivati službene dokumente i podatke potrebne za te administrativne postupke na zahtjev građana ili poduzeća.</w:t>
      </w:r>
    </w:p>
    <w:p w14:paraId="7E12966D" w14:textId="77777777" w:rsidR="00833461" w:rsidRPr="00B459D5" w:rsidRDefault="00055DA4" w:rsidP="00833461">
      <w:pPr>
        <w:spacing w:before="120" w:after="120" w:line="240" w:lineRule="auto"/>
        <w:rPr>
          <w:rFonts w:ascii="Times New Roman" w:hAnsi="Times New Roman" w:cs="Times New Roman"/>
          <w:b/>
          <w:bCs/>
          <w:i/>
          <w:iCs/>
          <w:noProof/>
          <w:sz w:val="24"/>
          <w:szCs w:val="24"/>
        </w:rPr>
      </w:pPr>
      <w:r>
        <w:rPr>
          <w:rFonts w:ascii="Times New Roman" w:hAnsi="Times New Roman"/>
          <w:b/>
          <w:i/>
          <w:noProof/>
          <w:sz w:val="24"/>
        </w:rPr>
        <w:t>Komisija će:</w:t>
      </w:r>
    </w:p>
    <w:p w14:paraId="096356F7" w14:textId="200F5229" w:rsidR="00902721" w:rsidRPr="00B459D5" w:rsidRDefault="00055DA4" w:rsidP="00833461">
      <w:pPr>
        <w:pStyle w:val="ListParagraph"/>
        <w:numPr>
          <w:ilvl w:val="0"/>
          <w:numId w:val="4"/>
        </w:numPr>
        <w:spacing w:before="120" w:after="120" w:line="240" w:lineRule="auto"/>
        <w:contextualSpacing w:val="0"/>
        <w:jc w:val="both"/>
        <w:rPr>
          <w:rFonts w:ascii="Times New Roman" w:eastAsia="Calibri" w:hAnsi="Times New Roman" w:cs="Times New Roman"/>
          <w:noProof/>
        </w:rPr>
      </w:pPr>
      <w:r>
        <w:rPr>
          <w:rFonts w:ascii="Times New Roman" w:hAnsi="Times New Roman"/>
          <w:noProof/>
          <w:color w:val="000000"/>
          <w:sz w:val="24"/>
          <w:u w:color="000000"/>
          <w:bdr w:val="nil"/>
          <w14:textOutline w14:w="0" w14:cap="flat" w14:cmpd="sng" w14:algn="ctr">
            <w14:noFill/>
            <w14:prstDash w14:val="solid"/>
            <w14:bevel/>
          </w14:textOutline>
        </w:rPr>
        <w:t xml:space="preserve">podupirati pružanje </w:t>
      </w:r>
      <w:r>
        <w:rPr>
          <w:rFonts w:ascii="Times New Roman" w:hAnsi="Times New Roman"/>
          <w:b/>
          <w:noProof/>
          <w:color w:val="000000"/>
          <w:sz w:val="24"/>
          <w:u w:color="000000"/>
          <w:bdr w:val="nil"/>
          <w14:textOutline w14:w="0" w14:cap="flat" w14:cmpd="sng" w14:algn="ctr">
            <w14:noFill/>
            <w14:prstDash w14:val="solid"/>
            <w14:bevel/>
          </w14:textOutline>
        </w:rPr>
        <w:t>potpuno dostupnih internetskih administrativnih usluga</w:t>
      </w:r>
      <w:r>
        <w:rPr>
          <w:rFonts w:ascii="Times New Roman" w:hAnsi="Times New Roman"/>
          <w:noProof/>
          <w:color w:val="000000"/>
          <w:sz w:val="24"/>
          <w:u w:color="000000"/>
          <w:bdr w:val="nil"/>
          <w14:textOutline w14:w="0" w14:cap="flat" w14:cmpd="sng" w14:algn="ctr">
            <w14:noFill/>
            <w14:prstDash w14:val="solid"/>
            <w14:bevel/>
          </w14:textOutline>
        </w:rPr>
        <w:t xml:space="preserve"> putem jedinstvenog digitalnog pristupnika, inicijative za e-upravu za digitalizaciju javne uprave i automatizirane razmjene dokaza u tehničkom sustavu „samo jednom” te provjeru vjerodostojnosti dokaza putem Informacijskog sustava unutarnjeg tržišta</w:t>
      </w:r>
      <w:r>
        <w:rPr>
          <w:rFonts w:ascii="Times New Roman" w:eastAsia="Calibri" w:hAnsi="Times New Roman" w:cs="Times New Roman"/>
          <w:noProof/>
          <w:color w:val="000000"/>
          <w:sz w:val="24"/>
          <w:szCs w:val="24"/>
          <w:u w:color="000000"/>
          <w:bdr w:val="nil"/>
          <w:vertAlign w:val="superscript"/>
        </w:rPr>
        <w:footnoteReference w:id="75"/>
      </w:r>
      <w:r>
        <w:rPr>
          <w:rFonts w:ascii="Times New Roman" w:hAnsi="Times New Roman"/>
          <w:noProof/>
          <w:color w:val="000000"/>
          <w:sz w:val="24"/>
          <w:u w:color="000000"/>
          <w:bdr w:val="nil"/>
          <w14:textOutline w14:w="0" w14:cap="flat" w14:cmpd="sng" w14:algn="ctr">
            <w14:noFill/>
            <w14:prstDash w14:val="solid"/>
            <w14:bevel/>
          </w14:textOutline>
        </w:rPr>
        <w:t>. I dalje će se brinuti za neometano međudjelovanje zajedničkih europskih podatkovnih prostora i dodatno promicati prekograničnu elektroničku razmjenu informacija među javnim upravama, koju omogućuju Informacijski sustav unutarnjeg tržišta i elektronička razmjena informacija o socijalnoj sigurnosti, [od četvrtog tromjesečja 2023.]</w:t>
      </w:r>
    </w:p>
    <w:p w14:paraId="0B93E02A" w14:textId="77777777" w:rsidR="00BF7FDA" w:rsidRPr="00B459D5" w:rsidRDefault="00BF7FDA" w:rsidP="00BF7FDA">
      <w:pPr>
        <w:pStyle w:val="ListParagraph"/>
        <w:numPr>
          <w:ilvl w:val="0"/>
          <w:numId w:val="4"/>
        </w:numPr>
        <w:spacing w:before="120" w:after="120" w:line="240" w:lineRule="auto"/>
        <w:contextualSpacing w:val="0"/>
        <w:jc w:val="both"/>
        <w:rPr>
          <w:rFonts w:ascii="Times New Roman" w:hAnsi="Times New Roman" w:cs="Times New Roman"/>
          <w:b/>
          <w:bCs/>
          <w:i/>
          <w:iCs/>
          <w:noProof/>
          <w:sz w:val="24"/>
          <w:szCs w:val="24"/>
        </w:rPr>
      </w:pPr>
      <w:r>
        <w:rPr>
          <w:rFonts w:ascii="Times New Roman" w:hAnsi="Times New Roman"/>
          <w:noProof/>
          <w:sz w:val="24"/>
        </w:rPr>
        <w:t xml:space="preserve">razviti alate za </w:t>
      </w:r>
      <w:r>
        <w:rPr>
          <w:rFonts w:ascii="Times New Roman" w:hAnsi="Times New Roman"/>
          <w:b/>
          <w:noProof/>
          <w:sz w:val="24"/>
        </w:rPr>
        <w:t>veću interoperabilnost</w:t>
      </w:r>
      <w:r>
        <w:rPr>
          <w:rFonts w:ascii="Times New Roman" w:hAnsi="Times New Roman"/>
          <w:noProof/>
          <w:sz w:val="24"/>
        </w:rPr>
        <w:t xml:space="preserve"> i </w:t>
      </w:r>
      <w:r>
        <w:rPr>
          <w:rFonts w:ascii="Times New Roman" w:hAnsi="Times New Roman"/>
          <w:b/>
          <w:noProof/>
          <w:sz w:val="24"/>
        </w:rPr>
        <w:t>pružanje učinkovitih usluga</w:t>
      </w:r>
      <w:r>
        <w:rPr>
          <w:rFonts w:ascii="Times New Roman" w:hAnsi="Times New Roman"/>
          <w:noProof/>
          <w:sz w:val="24"/>
        </w:rPr>
        <w:t>, npr. mogla bi uspostaviti Centar za potporu za interoperabilnu Europu, koji bi javnim upravama pružio potporu u uspostavi procjena interoperabilnosti i promicanju Europskog okvira za interoperabilnost, kao i njegove specijalizacije, kao što je okvir za pametne gradove i zajednice, [od prvog tromjesečja 2024.]</w:t>
      </w:r>
    </w:p>
    <w:p w14:paraId="441DFA47" w14:textId="77777777" w:rsidR="005B2A71" w:rsidRPr="00B459D5" w:rsidRDefault="005B2A71" w:rsidP="005B2A71">
      <w:pPr>
        <w:pStyle w:val="Corps"/>
        <w:numPr>
          <w:ilvl w:val="0"/>
          <w:numId w:val="4"/>
        </w:numPr>
        <w:spacing w:before="120" w:after="120"/>
        <w:rPr>
          <w:noProof/>
        </w:rPr>
      </w:pPr>
      <w:r>
        <w:rPr>
          <w:noProof/>
        </w:rPr>
        <w:t xml:space="preserve">objaviti </w:t>
      </w:r>
      <w:r>
        <w:rPr>
          <w:b/>
          <w:noProof/>
        </w:rPr>
        <w:t>pregled mogućnosti financiranja</w:t>
      </w:r>
      <w:r>
        <w:rPr>
          <w:noProof/>
        </w:rPr>
        <w:t xml:space="preserve"> digitalne transformacije javnih uprava i sinergija među njima, [od četvrtog tromjesečja 2024.]</w:t>
      </w:r>
    </w:p>
    <w:p w14:paraId="01E0A806" w14:textId="73DAFC12" w:rsidR="000133CF" w:rsidRPr="00B459D5" w:rsidRDefault="00055DA4" w:rsidP="00310E23">
      <w:pPr>
        <w:pStyle w:val="ListParagraph"/>
        <w:numPr>
          <w:ilvl w:val="0"/>
          <w:numId w:val="4"/>
        </w:numPr>
        <w:spacing w:before="120"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 xml:space="preserve">podupirati stvaranje </w:t>
      </w:r>
      <w:r>
        <w:rPr>
          <w:rFonts w:ascii="Times New Roman" w:hAnsi="Times New Roman"/>
          <w:b/>
          <w:noProof/>
          <w:sz w:val="24"/>
        </w:rPr>
        <w:t>federacije kapaciteta računalstva u oblaku u svim javnim upravama</w:t>
      </w:r>
      <w:r>
        <w:rPr>
          <w:rFonts w:ascii="Times New Roman" w:hAnsi="Times New Roman"/>
          <w:noProof/>
          <w:sz w:val="24"/>
        </w:rPr>
        <w:t xml:space="preserve"> kako bi se potakla njihova tehnološka osnova i poboljšalo pružanje javnih usluga</w:t>
      </w:r>
      <w:r>
        <w:rPr>
          <w:rStyle w:val="FootnoteReference"/>
          <w:rFonts w:ascii="Times New Roman" w:eastAsia="Times New Roman" w:hAnsi="Times New Roman" w:cs="Times New Roman"/>
          <w:noProof/>
          <w:sz w:val="24"/>
          <w:szCs w:val="24"/>
        </w:rPr>
        <w:footnoteReference w:id="76"/>
      </w:r>
      <w:r>
        <w:rPr>
          <w:rFonts w:ascii="Times New Roman" w:hAnsi="Times New Roman"/>
          <w:noProof/>
          <w:sz w:val="24"/>
        </w:rPr>
        <w:t>. U tu će svrhu Komisija nabaviti platformu za pametne posredničke softvere otvorenog koda, objaviti smjernice o javnoj nabavi usluga računalstva u oblaku te poticati međusobnu povezanost i interoperabilnost usluga u oblaku javne uprave. [od četvrtog tromjesečja 2024.]</w:t>
      </w:r>
    </w:p>
    <w:p w14:paraId="2F4841DC" w14:textId="385BB66A" w:rsidR="000149E5" w:rsidRPr="00B459D5" w:rsidRDefault="000149E5" w:rsidP="003E5AD4">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Države članice potiču se da iskoriste mogućnosti kojima se podupire njihova digitalna transformacija, kao što su Instrument za tehničku potporu i drugi mehanizmi financiranja EU-a te ciljano osposobljavanje i alati. Mogu aktivno sudjelovati u nastojanjima Komisije da olakša elektroničku prekograničnu razmjenu podataka među javnim upravama i poboljša njihovu interoperabilnost. Mogu iskoristiti i potporu Komisije za digitalizaciju pravosudnih sustava putem zakonodavstva, financiranja, razvoja informatičkih alata i promicanja nacionalnih instrumenata za koordinaciju i praćenje.</w:t>
      </w:r>
    </w:p>
    <w:p w14:paraId="096356FD" w14:textId="52934B3B" w:rsidR="00902721" w:rsidRPr="00B459D5" w:rsidRDefault="008B06FD" w:rsidP="003E5AD4">
      <w:pPr>
        <w:pStyle w:val="Heading1"/>
        <w:rPr>
          <w:noProof/>
        </w:rPr>
      </w:pPr>
      <w:bookmarkStart w:id="3" w:name="_Hlk139489462"/>
      <w:r>
        <w:rPr>
          <w:noProof/>
        </w:rPr>
        <w:t>Treći stup: Kapacitet za predvođenje zelene tranzicije</w:t>
      </w:r>
    </w:p>
    <w:bookmarkEnd w:id="3"/>
    <w:p w14:paraId="0F6FD4E1" w14:textId="66F668E9" w:rsidR="00181793" w:rsidRPr="00B459D5" w:rsidRDefault="00B0644C" w:rsidP="00181793">
      <w:pPr>
        <w:spacing w:before="120" w:after="120" w:line="240" w:lineRule="auto"/>
        <w:jc w:val="both"/>
        <w:rPr>
          <w:rFonts w:ascii="Times New Roman" w:eastAsia="Calibri" w:hAnsi="Times New Roman" w:cs="Times New Roman"/>
          <w:noProof/>
          <w:sz w:val="24"/>
          <w:szCs w:val="24"/>
        </w:rPr>
      </w:pPr>
      <w:r>
        <w:rPr>
          <w:rFonts w:ascii="Times New Roman" w:hAnsi="Times New Roman"/>
          <w:b/>
          <w:noProof/>
          <w:sz w:val="24"/>
        </w:rPr>
        <w:t>EU se obvezao da će do 2050. postati klimatski neutralan i potaknuti učinkovitu upotrebu resursa, a istodobno zajamčiti socijalnu pravdu i uključivost.</w:t>
      </w:r>
      <w:r>
        <w:rPr>
          <w:rFonts w:ascii="Times New Roman" w:hAnsi="Times New Roman"/>
          <w:noProof/>
          <w:sz w:val="24"/>
        </w:rPr>
        <w:t xml:space="preserve"> Brza dekarbonizacija proizvodnje električne energije i upotrebe energije ključna su prva prekretnica koju treba dopuniti korjenitijim promjenama u sektorima kao što su građevinarstvo, promet, trgovina, poljoprivreda, gospodarenje otpadom i upravljanje vodama.</w:t>
      </w:r>
      <w:r>
        <w:rPr>
          <w:noProof/>
        </w:rPr>
        <w:t xml:space="preserve"> </w:t>
      </w:r>
      <w:r>
        <w:rPr>
          <w:rFonts w:ascii="Times New Roman" w:hAnsi="Times New Roman"/>
          <w:noProof/>
          <w:sz w:val="24"/>
        </w:rPr>
        <w:t>Gradovi su ključni za postizanje klimatskih ciljeva jer su odgovorni za 70–80 % emisija stakleničkih plinova u EU-u i obuhvaćaju 80 % stanovništva EU-a. Za suzbijanje posljedica klimatskih promjena potrebno je povećati otpornost infrastrukture i kapaciteta za suočavanje s ekstremnim vremenskim uvjetima, čestim prirodnim katastrofama, nestašicom vode i sl. Predviđa se da će oni negativno utjecati na bioraznolikost i imati drastične učinke na okoliš, a posljedično i na proizvodnju hrane i ponore ugljika.</w:t>
      </w:r>
    </w:p>
    <w:p w14:paraId="45871D00" w14:textId="5A9779F2" w:rsidR="002E6F2C" w:rsidRPr="00B459D5" w:rsidRDefault="00055DA4" w:rsidP="003E5AD4">
      <w:pPr>
        <w:spacing w:before="120" w:after="120" w:line="240" w:lineRule="auto"/>
        <w:jc w:val="both"/>
        <w:rPr>
          <w:rFonts w:ascii="Times New Roman" w:eastAsia="Calibri" w:hAnsi="Times New Roman" w:cs="Times New Roman"/>
          <w:noProof/>
          <w:sz w:val="24"/>
          <w:szCs w:val="24"/>
        </w:rPr>
      </w:pPr>
      <w:r>
        <w:rPr>
          <w:rFonts w:ascii="Times New Roman" w:hAnsi="Times New Roman"/>
          <w:b/>
          <w:noProof/>
          <w:sz w:val="24"/>
        </w:rPr>
        <w:t>Javne uprave imaju veliku ulogu u oblikovanju uvjeta u kojima gospodarstva i društva mogu ostvariti ambiciozne klimatske i energetske ciljeve za 2030. te bi trebale biti primjer drugima.</w:t>
      </w:r>
      <w:r>
        <w:rPr>
          <w:rFonts w:ascii="Times New Roman" w:hAnsi="Times New Roman"/>
          <w:noProof/>
          <w:sz w:val="24"/>
        </w:rPr>
        <w:t xml:space="preserve"> Moraju uključiti zelenu tranziciju u sva područja politike i razine upravljanja na temelju integriranog planiranja, pouzdanih evaluacija i procjena učinka te opsežnih savjetovanja kako nitko ne bi bio zapostavljen. Moraju prilagoditi javne financije kako bi poduprle zelenu tranziciju i socijalnu pravednost putem odgovarajućih poreznih politika, zelene javne nabave, održivog financiranja i ulaganja kojima se poštuje načelo nenanošenja bitne štete. Trebale bi promicati sustavnu integraciju mjera za potporu zdravim ekosustavima, zelenoj infrastrukturi i prirodnim rješenjima u javne i privatne odluke. Moraju osigurati odgovarajuće kapacitete za zelene reforme i ulaganja na svim razinama vlasti</w:t>
      </w:r>
      <w:r>
        <w:rPr>
          <w:rStyle w:val="FootnoteReference"/>
          <w:rFonts w:ascii="Times New Roman" w:eastAsia="Calibri" w:hAnsi="Times New Roman" w:cs="Times New Roman"/>
          <w:noProof/>
          <w:sz w:val="24"/>
          <w:szCs w:val="24"/>
        </w:rPr>
        <w:footnoteReference w:id="77"/>
      </w:r>
      <w:r>
        <w:rPr>
          <w:rFonts w:ascii="Times New Roman" w:hAnsi="Times New Roman"/>
          <w:noProof/>
          <w:sz w:val="24"/>
        </w:rPr>
        <w:t xml:space="preserve">. </w:t>
      </w:r>
    </w:p>
    <w:p w14:paraId="1C6F9CD3" w14:textId="62DB9375" w:rsidR="00D26F6B" w:rsidRPr="00B459D5" w:rsidRDefault="00D26F6B" w:rsidP="003E5AD4">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Mjere u okviru ovog stupa provodit će se prvenstveno putem Instrumenta za tehničku potporu.</w:t>
      </w:r>
    </w:p>
    <w:p w14:paraId="09635704" w14:textId="0B7B84AC" w:rsidR="00902721" w:rsidRPr="00B459D5" w:rsidRDefault="005F0360" w:rsidP="003E5AD4">
      <w:pPr>
        <w:pStyle w:val="Heading2"/>
        <w:numPr>
          <w:ilvl w:val="0"/>
          <w:numId w:val="0"/>
        </w:numPr>
        <w:ind w:left="785"/>
        <w:rPr>
          <w:rFonts w:eastAsia="Calibri"/>
          <w:noProof/>
        </w:rPr>
      </w:pPr>
      <w:r>
        <w:rPr>
          <w:noProof/>
        </w:rPr>
        <w:t>7. Oblikovanje zelene tranzicije</w:t>
      </w:r>
    </w:p>
    <w:p w14:paraId="298ACB95" w14:textId="291AA5B3" w:rsidR="00F73147" w:rsidRPr="00B459D5" w:rsidRDefault="00F73147" w:rsidP="00F73147">
      <w:pPr>
        <w:spacing w:before="120" w:after="120" w:line="240" w:lineRule="auto"/>
        <w:jc w:val="both"/>
        <w:rPr>
          <w:rFonts w:ascii="Times New Roman" w:eastAsia="Calibri" w:hAnsi="Times New Roman" w:cs="Times New Roman"/>
          <w:noProof/>
          <w:sz w:val="24"/>
          <w:szCs w:val="24"/>
          <w:vertAlign w:val="superscript"/>
        </w:rPr>
      </w:pPr>
      <w:r>
        <w:rPr>
          <w:rFonts w:ascii="Times New Roman" w:hAnsi="Times New Roman"/>
          <w:noProof/>
          <w:sz w:val="24"/>
        </w:rPr>
        <w:t xml:space="preserve">Komisija dosljedno radi na stvaranju sveobuhvatnog okvira za ublažavanje i prilagodbu klimatskim promjenama, zaštitu okoliša te energetsku učinkovitost u EU-u. Na primjer, Komisija zajedno s Europskom agencijom za okoliš pruža tehničku pomoć državama članicama u </w:t>
      </w:r>
      <w:r>
        <w:rPr>
          <w:rFonts w:ascii="Times New Roman" w:hAnsi="Times New Roman"/>
          <w:i/>
          <w:noProof/>
          <w:sz w:val="24"/>
        </w:rPr>
        <w:t>ex post</w:t>
      </w:r>
      <w:r>
        <w:rPr>
          <w:rFonts w:ascii="Times New Roman" w:hAnsi="Times New Roman"/>
          <w:noProof/>
          <w:sz w:val="24"/>
        </w:rPr>
        <w:t xml:space="preserve"> procjenama politika i mjera te praćenju i izvješćivanju o emisijama. Komisija podupire pripremu nacionalnih energetskih i klimatskih planova i dugoročnih strategija, provedbu pravedne tranzicije, zelenog proračuna i načela nenanošenja bitne štete. Ujedno gradi kapacitete za utvrđivanje i razmjenu primjera dobre prakse politika i mjera te za pokretanje višerazinskih dijaloga o klimi i energiji</w:t>
      </w:r>
      <w:r>
        <w:rPr>
          <w:rStyle w:val="FootnoteReference"/>
          <w:rFonts w:ascii="Times New Roman" w:eastAsia="Calibri" w:hAnsi="Times New Roman" w:cs="Times New Roman"/>
          <w:noProof/>
          <w:sz w:val="24"/>
          <w:szCs w:val="24"/>
        </w:rPr>
        <w:footnoteReference w:id="78"/>
      </w:r>
      <w:r>
        <w:rPr>
          <w:rFonts w:ascii="Times New Roman" w:hAnsi="Times New Roman"/>
          <w:noProof/>
          <w:sz w:val="24"/>
        </w:rPr>
        <w:t xml:space="preserve">. </w:t>
      </w:r>
    </w:p>
    <w:p w14:paraId="6B649E1A" w14:textId="7E538656" w:rsidR="00F73147" w:rsidRPr="00B459D5" w:rsidRDefault="00A44684" w:rsidP="00F73147">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Javne uprave moraju se pobrinuti za učinkovitu provedbu transformativnih promjena u energetskim sustavima. Osim toga, s obzirom na nove prijetnje sigurnosti i otpornosti kritičnih energetskih infrastruktura, potrebni su im odgovarajući kapaciteti za odgovor na krizne situacije. U tu bi svrhu trebale poboljšati suradnju, posebno unaprjeđenjem razmjene znanja i primjera dobre prakse, olakšavanjem analize međusektorskih i prekograničnih međuovisnosti te provođenjem testiranja</w:t>
      </w:r>
      <w:r>
        <w:rPr>
          <w:rStyle w:val="FootnoteReference"/>
          <w:rFonts w:ascii="Times New Roman" w:eastAsia="Calibri" w:hAnsi="Times New Roman" w:cs="Times New Roman"/>
          <w:noProof/>
          <w:sz w:val="24"/>
          <w:szCs w:val="24"/>
        </w:rPr>
        <w:footnoteReference w:id="79"/>
      </w:r>
      <w:r>
        <w:rPr>
          <w:rFonts w:ascii="Times New Roman" w:hAnsi="Times New Roman"/>
          <w:noProof/>
          <w:sz w:val="24"/>
        </w:rPr>
        <w:t>. U širem smislu moraju pojačati reforme za energetsku učinkovitost i obnovljive izvore energije, mobilnost, kružno gospodarstvo, bioraznolikost i prirodna rješenja, gospodarenje otpadom i upravljanje vodama, kvalitetu zraka, procjene klimatskih rizika i izradu scenarija, korištenje zemljišta i šumarstvo.</w:t>
      </w:r>
    </w:p>
    <w:p w14:paraId="09635709" w14:textId="08A55EC6" w:rsidR="00902721" w:rsidRPr="00B459D5" w:rsidRDefault="00055DA4" w:rsidP="003E5AD4">
      <w:pPr>
        <w:spacing w:before="120" w:after="120" w:line="240" w:lineRule="auto"/>
        <w:rPr>
          <w:rFonts w:ascii="Times New Roman" w:hAnsi="Times New Roman" w:cs="Times New Roman"/>
          <w:b/>
          <w:bCs/>
          <w:i/>
          <w:iCs/>
          <w:noProof/>
          <w:sz w:val="24"/>
          <w:szCs w:val="24"/>
        </w:rPr>
      </w:pPr>
      <w:r>
        <w:rPr>
          <w:rFonts w:ascii="Times New Roman" w:hAnsi="Times New Roman"/>
          <w:b/>
          <w:i/>
          <w:noProof/>
          <w:sz w:val="24"/>
        </w:rPr>
        <w:t>Komisija će:</w:t>
      </w:r>
    </w:p>
    <w:p w14:paraId="0963570B" w14:textId="45AB9CE2" w:rsidR="00902721" w:rsidRPr="00B459D5" w:rsidRDefault="0071265A" w:rsidP="000E39D0">
      <w:pPr>
        <w:numPr>
          <w:ilvl w:val="0"/>
          <w:numId w:val="4"/>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podupirati države članice u </w:t>
      </w:r>
      <w:r>
        <w:rPr>
          <w:rFonts w:ascii="Times New Roman" w:hAnsi="Times New Roman"/>
          <w:b/>
          <w:noProof/>
          <w:sz w:val="24"/>
        </w:rPr>
        <w:t>ažuriranju nacionalnih strategija i planova za prilagodbu klimatskim promjenama</w:t>
      </w:r>
      <w:r>
        <w:rPr>
          <w:rFonts w:ascii="Times New Roman" w:hAnsi="Times New Roman"/>
          <w:noProof/>
          <w:sz w:val="24"/>
        </w:rPr>
        <w:t>, u skladu sa smjernicama</w:t>
      </w:r>
      <w:r>
        <w:rPr>
          <w:rStyle w:val="FootnoteReference"/>
          <w:rFonts w:ascii="Times New Roman" w:eastAsia="Times New Roman" w:hAnsi="Times New Roman" w:cs="Times New Roman"/>
          <w:noProof/>
          <w:sz w:val="24"/>
          <w:szCs w:val="24"/>
        </w:rPr>
        <w:footnoteReference w:id="80"/>
      </w:r>
      <w:r>
        <w:rPr>
          <w:rFonts w:ascii="Times New Roman" w:hAnsi="Times New Roman"/>
          <w:noProof/>
          <w:sz w:val="24"/>
        </w:rPr>
        <w:t>, te u ispunjavanju novih obveza, kao što su obveze koje proizlaze iz preinake Direktive o energetskoj učinkovitosti, [od prvog tromjesečja 2024.]</w:t>
      </w:r>
    </w:p>
    <w:p w14:paraId="5E428F11" w14:textId="3A0496E7" w:rsidR="00D67B7B" w:rsidRPr="00B459D5" w:rsidRDefault="00FD765E" w:rsidP="000E39D0">
      <w:pPr>
        <w:numPr>
          <w:ilvl w:val="0"/>
          <w:numId w:val="4"/>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promicati provedbu načela nenanošenja bitne štete, uključujući </w:t>
      </w:r>
      <w:r>
        <w:rPr>
          <w:rFonts w:ascii="Times New Roman" w:hAnsi="Times New Roman"/>
          <w:b/>
          <w:noProof/>
          <w:sz w:val="24"/>
        </w:rPr>
        <w:t>primjenu smjernica za pripremu na klimatske promjene i drugih smjernica relevantnih za okoliš</w:t>
      </w:r>
      <w:r>
        <w:rPr>
          <w:rFonts w:ascii="Times New Roman" w:hAnsi="Times New Roman"/>
          <w:noProof/>
          <w:sz w:val="24"/>
        </w:rPr>
        <w:t>. To će pomoći u izgradnji kapaciteta i alata za izradu zelenog javnog proračuna, ozelenjivanje javnih ulaganja i zelenu javnu nabavu (na primjer, jačanjem primjene pristupa koji odražavaju dugoročne troškove i koristi za društvo i okoliš, uključujući vrijednosti prirodnog kapitala i kriterije energetske učinkovitosti), [od prvog tromjesečja 2024.]</w:t>
      </w:r>
    </w:p>
    <w:p w14:paraId="69D8E31D" w14:textId="3C2EF18A" w:rsidR="008B0D3B" w:rsidRPr="00B459D5" w:rsidRDefault="00055DA4" w:rsidP="000E39D0">
      <w:pPr>
        <w:numPr>
          <w:ilvl w:val="0"/>
          <w:numId w:val="4"/>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promicati </w:t>
      </w:r>
      <w:r>
        <w:rPr>
          <w:rFonts w:ascii="Times New Roman" w:hAnsi="Times New Roman"/>
          <w:b/>
          <w:noProof/>
          <w:sz w:val="24"/>
        </w:rPr>
        <w:t>alate i metode za procjene klimatskih rizika i sprečavanje rizika</w:t>
      </w:r>
      <w:r>
        <w:rPr>
          <w:rFonts w:ascii="Times New Roman" w:hAnsi="Times New Roman"/>
          <w:noProof/>
          <w:sz w:val="24"/>
        </w:rPr>
        <w:t>, kao što su procjene rizika za pojedine sektore ili politike (nacionalna procjena rizika za upravljanje katastrofama u okviru Mehanizma Unije za civilnu zaštitu; procjene makrofinancijskih rizika) i lokalne procjene rizika (kao u paketu instrumenata za prilagodbu klimatskim promjenama Climate-ADAPT), [od prvog tromjesečja 2024.]</w:t>
      </w:r>
    </w:p>
    <w:p w14:paraId="0EDB2231" w14:textId="4CABDF42" w:rsidR="000C247D" w:rsidRPr="00B459D5" w:rsidRDefault="00D051EA" w:rsidP="000E39D0">
      <w:pPr>
        <w:pStyle w:val="ListParagraph"/>
        <w:numPr>
          <w:ilvl w:val="0"/>
          <w:numId w:val="4"/>
        </w:numPr>
        <w:spacing w:after="120"/>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rPr>
        <w:t xml:space="preserve">podupirati države članice u razvoju kapaciteta za </w:t>
      </w:r>
      <w:r>
        <w:rPr>
          <w:rFonts w:ascii="Times New Roman" w:hAnsi="Times New Roman"/>
          <w:b/>
          <w:noProof/>
          <w:sz w:val="24"/>
        </w:rPr>
        <w:t>planiranje, osmišljavanje i provedbu mjera obnove ekosustava i prirodnih rješenja</w:t>
      </w:r>
      <w:r>
        <w:rPr>
          <w:rFonts w:ascii="Times New Roman" w:hAnsi="Times New Roman"/>
          <w:noProof/>
          <w:sz w:val="24"/>
        </w:rPr>
        <w:t xml:space="preserve"> kao troškovno učinkovitih i ekološki pozitivnih mjera za održavanje ključnih usluga ekosustava, [od drugog tromjesečja 2024.]</w:t>
      </w:r>
    </w:p>
    <w:p w14:paraId="4970FD19" w14:textId="3CDD57D5" w:rsidR="008B0D3B" w:rsidRPr="00B459D5" w:rsidRDefault="00E04B17" w:rsidP="000C247D">
      <w:pPr>
        <w:pStyle w:val="ListParagraph"/>
        <w:numPr>
          <w:ilvl w:val="0"/>
          <w:numId w:val="4"/>
        </w:numPr>
        <w:jc w:val="both"/>
        <w:rPr>
          <w:rFonts w:ascii="Times New Roman" w:eastAsia="Times New Roman" w:hAnsi="Times New Roman" w:cs="Times New Roman"/>
          <w:noProof/>
          <w:sz w:val="24"/>
          <w:szCs w:val="24"/>
        </w:rPr>
      </w:pPr>
      <w:r>
        <w:rPr>
          <w:rFonts w:ascii="Times New Roman" w:hAnsi="Times New Roman"/>
          <w:noProof/>
          <w:sz w:val="24"/>
        </w:rPr>
        <w:t xml:space="preserve">koristiti </w:t>
      </w:r>
      <w:r>
        <w:rPr>
          <w:rFonts w:ascii="Times New Roman" w:hAnsi="Times New Roman"/>
          <w:b/>
          <w:noProof/>
          <w:sz w:val="24"/>
        </w:rPr>
        <w:t>Pregled aktivnosti u području okoliša</w:t>
      </w:r>
      <w:r>
        <w:rPr>
          <w:rStyle w:val="FootnoteReference"/>
          <w:rFonts w:ascii="Times New Roman" w:hAnsi="Times New Roman" w:cs="Times New Roman"/>
          <w:b/>
          <w:bCs/>
          <w:noProof/>
          <w:sz w:val="24"/>
          <w:szCs w:val="24"/>
          <w:lang w:eastAsia="en-IE"/>
        </w:rPr>
        <w:footnoteReference w:id="81"/>
      </w:r>
      <w:r>
        <w:rPr>
          <w:rFonts w:ascii="Times New Roman" w:hAnsi="Times New Roman"/>
          <w:noProof/>
          <w:sz w:val="24"/>
        </w:rPr>
        <w:t xml:space="preserve"> kako bi se utvrdili temeljni uzroci neučinkovite </w:t>
      </w:r>
      <w:r>
        <w:rPr>
          <w:rFonts w:ascii="Times New Roman" w:hAnsi="Times New Roman"/>
          <w:b/>
          <w:noProof/>
          <w:sz w:val="24"/>
        </w:rPr>
        <w:t>provedbe zakonodavstva i politika u području okoliša</w:t>
      </w:r>
      <w:r>
        <w:rPr>
          <w:rFonts w:ascii="Times New Roman" w:hAnsi="Times New Roman"/>
          <w:noProof/>
          <w:sz w:val="24"/>
        </w:rPr>
        <w:t xml:space="preserve"> u državama članicama s ciljem osmišljavanja mjera potpore za bolje upravljanje okolišem. [od drugog tromjesečja 2025.]</w:t>
      </w:r>
    </w:p>
    <w:p w14:paraId="0963570E" w14:textId="08066A11" w:rsidR="00902721" w:rsidRPr="00B459D5" w:rsidRDefault="005F0360" w:rsidP="003E5AD4">
      <w:pPr>
        <w:pStyle w:val="Heading2"/>
        <w:numPr>
          <w:ilvl w:val="0"/>
          <w:numId w:val="0"/>
        </w:numPr>
        <w:ind w:left="785"/>
        <w:rPr>
          <w:noProof/>
        </w:rPr>
      </w:pPr>
      <w:r>
        <w:rPr>
          <w:noProof/>
        </w:rPr>
        <w:t xml:space="preserve">8. Promicanje ozelenjivanja javne uprave </w:t>
      </w:r>
    </w:p>
    <w:p w14:paraId="418A6D3C" w14:textId="5F7A4EE2" w:rsidR="00C106CE" w:rsidRPr="00B459D5" w:rsidRDefault="00055DA4" w:rsidP="003E5AD4">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Osim</w:t>
      </w:r>
      <w:r>
        <w:rPr>
          <w:noProof/>
        </w:rPr>
        <w:t xml:space="preserve"> </w:t>
      </w:r>
      <w:bookmarkStart w:id="4" w:name="_Hlk139488319"/>
      <w:r>
        <w:rPr>
          <w:rFonts w:ascii="Times New Roman" w:hAnsi="Times New Roman"/>
          <w:noProof/>
          <w:sz w:val="24"/>
        </w:rPr>
        <w:t>oblikovanja zelene tranzicije</w:t>
      </w:r>
      <w:bookmarkEnd w:id="4"/>
      <w:r>
        <w:rPr>
          <w:rFonts w:ascii="Times New Roman" w:hAnsi="Times New Roman"/>
          <w:noProof/>
          <w:sz w:val="24"/>
        </w:rPr>
        <w:t>, javne uprave na svim razinama trebale bi služiti kao primjer prilagodbom vlastitog organizacijskog upravljanja i informiranjem osoblja o ozelenjivanju</w:t>
      </w:r>
      <w:r>
        <w:rPr>
          <w:rStyle w:val="FootnoteReference"/>
          <w:rFonts w:ascii="Times New Roman" w:eastAsia="Calibri" w:hAnsi="Times New Roman" w:cs="Times New Roman"/>
          <w:noProof/>
          <w:sz w:val="24"/>
          <w:szCs w:val="24"/>
        </w:rPr>
        <w:footnoteReference w:id="82"/>
      </w:r>
      <w:r>
        <w:rPr>
          <w:rFonts w:ascii="Times New Roman" w:hAnsi="Times New Roman"/>
          <w:noProof/>
          <w:sz w:val="24"/>
        </w:rPr>
        <w:t>. Ozelenjivanje javne uprave može uključivati prakse za održivu upotrebu resursa i upravljanje imovinom, uključujući zgrade i radne prostore otporne na klimatske promjene, minimalne standarde životnog vijeka za upotrebu IT-a i druge opreme, recikliranje, zelenu javnu nabavu, smanjenje vlastitih emisija ugljika i upotrebu energije iz obnovljivih izvora. RRF-om i kohezijskom politikom uvelike se podupire energetska obnova zgrada javne uprave, a neke države članice uključile su mjere za ozelenjivanje svojih voznih parkova i promicanje fleksibilnih načina rada za državne službenike u svoje planove za oporavak i otpornost.</w:t>
      </w:r>
    </w:p>
    <w:p w14:paraId="65A7EE3E" w14:textId="6EA7A9BB" w:rsidR="00EC36B8" w:rsidRPr="00B459D5" w:rsidRDefault="00EC36B8" w:rsidP="00EC36B8">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U kontekstu zelenog plana EU-a, načelo „energetska učinkovitost na prvom mjestu”</w:t>
      </w:r>
      <w:r>
        <w:rPr>
          <w:rFonts w:ascii="Times New Roman" w:eastAsia="Calibri" w:hAnsi="Times New Roman" w:cs="Times New Roman"/>
          <w:noProof/>
          <w:sz w:val="24"/>
          <w:szCs w:val="24"/>
          <w:vertAlign w:val="superscript"/>
        </w:rPr>
        <w:footnoteReference w:id="83"/>
      </w:r>
      <w:r>
        <w:rPr>
          <w:rFonts w:ascii="Times New Roman" w:hAnsi="Times New Roman"/>
          <w:noProof/>
          <w:sz w:val="24"/>
        </w:rPr>
        <w:t xml:space="preserve"> zahtijeva, na primjer, da se rješenja za energetsku učinkovitost uzmu u obzir u odlukama o planiranju, politikama i ulaganjima u energetskom sustavu i neenergetskim sektorima. Primjenom Direktive o energetskoj učinkovitosti utvrđuju se ciljevi za godišnje smanjenje potrošnje energije za sve javne uprave, za obnovu javnih zgrada, kao i za zahtjeve u pogledu energetske učinkovitosti i učinkovitosti resursa u javnoj nabavi. </w:t>
      </w:r>
    </w:p>
    <w:p w14:paraId="7179E3D5" w14:textId="655587ED" w:rsidR="00872E70" w:rsidRPr="00B459D5" w:rsidRDefault="00436327" w:rsidP="003E5AD4">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Nadalje, odgovarajućim postupcima može se promicati poštena trgovina i održiva hrana te sudjelovanje u projektima kojima se promiče bioraznolikost i održivost u urbanim i neurbanim kontekstima i poticati ekološki prihvatljivo ponašanje zaposlenika (npr. pri putovanju na posao ili poslovnim putovanjima).</w:t>
      </w:r>
    </w:p>
    <w:p w14:paraId="51CC481C" w14:textId="118D9FD4" w:rsidR="00B00A01" w:rsidRPr="00B459D5" w:rsidRDefault="004E2070" w:rsidP="003E5AD4">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rPr>
      </w:pPr>
      <w:r>
        <w:rPr>
          <w:rFonts w:ascii="Times New Roman" w:hAnsi="Times New Roman"/>
          <w:b/>
          <w:noProof/>
        </w:rPr>
        <w:t>EU-ov sustav upravljanja okolišem i neovisnog ocjenjivanja (EMAS)</w:t>
      </w:r>
    </w:p>
    <w:p w14:paraId="1553125E" w14:textId="72313068" w:rsidR="004E2070" w:rsidRPr="00B459D5" w:rsidRDefault="00FF6C0B" w:rsidP="003E5AD4">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rPr>
      </w:pPr>
      <w:r>
        <w:rPr>
          <w:rFonts w:ascii="Times New Roman" w:hAnsi="Times New Roman"/>
          <w:noProof/>
        </w:rPr>
        <w:t>Komisija je uspostavila taj sustav kako bi pomogla organizacijama da poboljšaju svoju okolišnu učinkovitost uštedom energije i drugih resursa, s težištem na pravnoj usklađenosti i promicanju sudjelovanja osoblja. Njime se osigurava metoda za evaluaciju i smanjenje njihovih učinaka na okoliš te sustav upravljanja s neovisnom provjerom treće strane radi veće vjerodostojnosti. Već se 286 javnih uprava u Europi obvezalo smanjiti svoj ekološki otisak te su registrirane u sustavu.</w:t>
      </w:r>
    </w:p>
    <w:p w14:paraId="09635710" w14:textId="3AD37DF6" w:rsidR="00902721" w:rsidRPr="00B459D5" w:rsidRDefault="00055DA4" w:rsidP="003E5AD4">
      <w:pPr>
        <w:spacing w:before="120" w:after="120" w:line="240" w:lineRule="auto"/>
        <w:rPr>
          <w:rFonts w:ascii="Times New Roman" w:hAnsi="Times New Roman" w:cs="Times New Roman"/>
          <w:b/>
          <w:bCs/>
          <w:i/>
          <w:iCs/>
          <w:noProof/>
          <w:sz w:val="24"/>
          <w:szCs w:val="24"/>
        </w:rPr>
      </w:pPr>
      <w:r>
        <w:rPr>
          <w:rFonts w:ascii="Times New Roman" w:hAnsi="Times New Roman"/>
          <w:b/>
          <w:i/>
          <w:noProof/>
          <w:sz w:val="24"/>
        </w:rPr>
        <w:t>Komisija će:</w:t>
      </w:r>
    </w:p>
    <w:p w14:paraId="5EF6987E" w14:textId="77777777" w:rsidR="00F94E39" w:rsidRPr="00B459D5" w:rsidRDefault="00F94E39" w:rsidP="00F94E39">
      <w:pPr>
        <w:pStyle w:val="ListParagraph"/>
        <w:numPr>
          <w:ilvl w:val="0"/>
          <w:numId w:val="4"/>
        </w:numPr>
        <w:spacing w:before="120"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 xml:space="preserve">izraditi daljnje </w:t>
      </w:r>
      <w:r>
        <w:rPr>
          <w:rFonts w:ascii="Times New Roman" w:hAnsi="Times New Roman"/>
          <w:b/>
          <w:noProof/>
          <w:sz w:val="24"/>
        </w:rPr>
        <w:t>smjernice za upotrebu EU-ova sustava upravljanja okolišem i neovisnog ocjenjivanja</w:t>
      </w:r>
      <w:r>
        <w:rPr>
          <w:rFonts w:ascii="Times New Roman" w:hAnsi="Times New Roman"/>
          <w:noProof/>
          <w:sz w:val="24"/>
        </w:rPr>
        <w:t xml:space="preserve"> kako bi se dodatno smanjio ekološki otisak organizacija i pružila potpora javnim upravama u uvođenju sustava, [od četvrtog tromjesečja 2023.]</w:t>
      </w:r>
    </w:p>
    <w:p w14:paraId="09635711" w14:textId="2B2C791F" w:rsidR="00902721" w:rsidRPr="00B459D5" w:rsidRDefault="00055DA4" w:rsidP="00310E23">
      <w:pPr>
        <w:pStyle w:val="ListParagraph"/>
        <w:numPr>
          <w:ilvl w:val="0"/>
          <w:numId w:val="4"/>
        </w:numPr>
        <w:spacing w:before="120"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rPr>
        <w:t xml:space="preserve">promicati i podupirati uvođenje </w:t>
      </w:r>
      <w:r>
        <w:rPr>
          <w:rFonts w:ascii="Times New Roman" w:hAnsi="Times New Roman"/>
          <w:b/>
          <w:noProof/>
          <w:sz w:val="24"/>
        </w:rPr>
        <w:t>metodologija za procjenu ugljičnog otiska organizacije</w:t>
      </w:r>
      <w:r>
        <w:rPr>
          <w:rFonts w:ascii="Times New Roman" w:hAnsi="Times New Roman"/>
          <w:noProof/>
          <w:sz w:val="24"/>
        </w:rPr>
        <w:t>; olakšati razmjenu primjera dobre prakse u pogledu ekološke tranzicije, [od drugog tromjesečja 2024.]</w:t>
      </w:r>
    </w:p>
    <w:p w14:paraId="2555EB35" w14:textId="70E24893" w:rsidR="0064273B" w:rsidRPr="00B459D5" w:rsidRDefault="00821762" w:rsidP="0064273B">
      <w:pPr>
        <w:numPr>
          <w:ilvl w:val="0"/>
          <w:numId w:val="4"/>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olakšati pristup </w:t>
      </w:r>
      <w:r>
        <w:rPr>
          <w:rFonts w:ascii="Times New Roman" w:hAnsi="Times New Roman"/>
          <w:b/>
          <w:noProof/>
          <w:sz w:val="24"/>
        </w:rPr>
        <w:t>tehničkoj potpori te smjernicama za dekarbonizaciju i poboljšanje opće održivosti zgrada</w:t>
      </w:r>
      <w:r>
        <w:rPr>
          <w:rFonts w:ascii="Times New Roman" w:hAnsi="Times New Roman"/>
          <w:noProof/>
          <w:sz w:val="24"/>
        </w:rPr>
        <w:t>, kao i učinkovito grijanje u javnim upravama, posebno na lokalnoj razini. [od drugog tromjesečja 2024.]</w:t>
      </w:r>
    </w:p>
    <w:p w14:paraId="09635714" w14:textId="76F5ACD3" w:rsidR="00902721" w:rsidRPr="00B459D5" w:rsidRDefault="00055DA4" w:rsidP="003E5AD4">
      <w:pPr>
        <w:pStyle w:val="Heading1"/>
        <w:rPr>
          <w:noProof/>
        </w:rPr>
      </w:pPr>
      <w:r>
        <w:rPr>
          <w:noProof/>
        </w:rPr>
        <w:t>Daljnji koraci</w:t>
      </w:r>
    </w:p>
    <w:p w14:paraId="09635716" w14:textId="34071754" w:rsidR="00902721" w:rsidRPr="00B459D5" w:rsidRDefault="00055DA4" w:rsidP="003E5AD4">
      <w:pPr>
        <w:spacing w:before="120" w:after="120" w:line="240" w:lineRule="auto"/>
        <w:jc w:val="both"/>
        <w:rPr>
          <w:rFonts w:ascii="Times New Roman" w:hAnsi="Times New Roman" w:cs="Times New Roman"/>
          <w:noProof/>
          <w:sz w:val="24"/>
          <w:szCs w:val="24"/>
        </w:rPr>
      </w:pPr>
      <w:r>
        <w:rPr>
          <w:rFonts w:ascii="Times New Roman" w:hAnsi="Times New Roman"/>
          <w:b/>
          <w:noProof/>
          <w:sz w:val="24"/>
        </w:rPr>
        <w:t>ComPAct uključuje mjere koje će se provoditi postupno, prvenstveno putem Instrumenta za tehničku potporu i drugih EU-ovih mehanizama financiranja s ciljem promicanja razmjene znanja među javnim upravama u Europi i olakšavanja primjene načela koja su u središtu europske integracije.</w:t>
      </w:r>
      <w:r>
        <w:rPr>
          <w:rFonts w:ascii="Times New Roman" w:hAnsi="Times New Roman"/>
          <w:noProof/>
          <w:sz w:val="24"/>
        </w:rPr>
        <w:t xml:space="preserve"> Komisija će izvijestiti o provedbi ComPActa u skladu sa zahtjevima za izvješćivanje u okviru Instrumenta za tehničku potporu. Komisija će na temelju stečenih iskustava još bolje usmjeriti alate EU-a za potporu javnim upravama u budućnosti. </w:t>
      </w:r>
    </w:p>
    <w:p w14:paraId="09635717" w14:textId="5DA3CFDE" w:rsidR="00902721" w:rsidRPr="00B459D5" w:rsidRDefault="00055DA4" w:rsidP="003E5AD4">
      <w:pPr>
        <w:spacing w:before="120" w:after="120" w:line="240" w:lineRule="auto"/>
        <w:jc w:val="both"/>
        <w:rPr>
          <w:rFonts w:ascii="Times New Roman" w:hAnsi="Times New Roman" w:cs="Times New Roman"/>
          <w:noProof/>
          <w:sz w:val="24"/>
          <w:szCs w:val="24"/>
        </w:rPr>
      </w:pPr>
      <w:r>
        <w:rPr>
          <w:rFonts w:ascii="Times New Roman" w:hAnsi="Times New Roman"/>
          <w:b/>
          <w:noProof/>
          <w:sz w:val="24"/>
        </w:rPr>
        <w:t>Države članice mogu sudjelovati u ComPActu vlastitim tempom i u skladu sa svojim potrebama i institucionalnim okruženjem.</w:t>
      </w:r>
      <w:r>
        <w:rPr>
          <w:rFonts w:ascii="Times New Roman" w:hAnsi="Times New Roman"/>
          <w:noProof/>
          <w:sz w:val="24"/>
        </w:rPr>
        <w:t xml:space="preserve"> Mogu odabrati odgovarajuće mjere u okviru ComPActa, koje se temelje na potražnji. Predloženi alati, metodologije, uzajamna potpora, iskustvo i razmjena praksi pomoći će javnim upravama u učenju, inovacijama te poboljšanju prakse i rezultata.</w:t>
      </w:r>
    </w:p>
    <w:p w14:paraId="7512BBEA" w14:textId="36556C1B" w:rsidR="00F41F2C" w:rsidRPr="00B459D5" w:rsidRDefault="00F41F2C" w:rsidP="00F41F2C">
      <w:pPr>
        <w:spacing w:before="120" w:after="120" w:line="240" w:lineRule="auto"/>
        <w:jc w:val="both"/>
        <w:rPr>
          <w:rFonts w:ascii="Times New Roman" w:hAnsi="Times New Roman" w:cs="Times New Roman"/>
          <w:noProof/>
          <w:sz w:val="24"/>
          <w:szCs w:val="24"/>
        </w:rPr>
      </w:pPr>
      <w:r>
        <w:rPr>
          <w:rFonts w:ascii="Times New Roman" w:hAnsi="Times New Roman"/>
          <w:b/>
          <w:noProof/>
          <w:sz w:val="24"/>
        </w:rPr>
        <w:t>ComPAct će dopuniti i dodati vrijednost drugim postojećim oblicima suradnje među državama članicama EU-a</w:t>
      </w:r>
      <w:r>
        <w:rPr>
          <w:rFonts w:ascii="Times New Roman" w:hAnsi="Times New Roman"/>
          <w:noProof/>
          <w:sz w:val="24"/>
        </w:rPr>
        <w:t>, kao što su Europska mreža javnih uprava (EUPAN), Mreža direktora instituta i škola za javnu upravu (DISPA), kao i na međunarodnim forumima i među mrežama stručnjaka.</w:t>
      </w:r>
    </w:p>
    <w:p w14:paraId="55BBBAE9" w14:textId="2459C537" w:rsidR="00320A47" w:rsidRPr="00B459D5" w:rsidRDefault="00055DA4" w:rsidP="003E5AD4">
      <w:pPr>
        <w:spacing w:before="120" w:after="120" w:line="240" w:lineRule="auto"/>
        <w:jc w:val="both"/>
        <w:rPr>
          <w:rFonts w:ascii="Times New Roman" w:hAnsi="Times New Roman" w:cs="Times New Roman"/>
          <w:noProof/>
          <w:sz w:val="24"/>
          <w:szCs w:val="24"/>
        </w:rPr>
      </w:pPr>
      <w:r>
        <w:rPr>
          <w:rFonts w:ascii="Times New Roman" w:hAnsi="Times New Roman"/>
          <w:b/>
          <w:noProof/>
          <w:sz w:val="24"/>
        </w:rPr>
        <w:t>ComPAct će moći ostvariti svoj puni potencijal samo uz predan angažman svih dionika u europskom administrativnom prostoru.</w:t>
      </w:r>
      <w:r>
        <w:rPr>
          <w:rFonts w:ascii="Times New Roman" w:hAnsi="Times New Roman"/>
          <w:noProof/>
          <w:sz w:val="24"/>
        </w:rPr>
        <w:t xml:space="preserve"> U svrhu provedbe ComPActa Komisija će surađivati s tijelima u državama članicama koja su nadležna za razvoj javne uprave na različitim razinama, institutima koji pružaju osposobljavanje, drugim subjektima, prema potrebi, kao i dionicima poput socijalnih partnera, akademske zajednice i stručnjaka. Taj kontinuirani angažman bit će ključan i za utvrđivanje relevantnih tema i budućih mjera u kojima potpora EU-a javnim upravama može donijeti dodanu vrijednost. Stručna skupina Komisije za javnu upravu i upravljanje i dalje će biti ključna platforma za dijalog. Komisija će i dalje sudjelovati u političkom dijalogu na ministarskim sastancima organiziranima tijekom predsjedanja EU-om. Aktivno sudjelovanje država članica i njihova pojačana spremnost da podijele iskustva u području reforme javne uprave, da uče od drugih i pomažu im bit će presudni za ostvarivanje ciljeva i ambicija ComPActa. </w:t>
      </w:r>
    </w:p>
    <w:sectPr w:rsidR="00320A47" w:rsidRPr="00B459D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F54B1" w14:textId="77777777" w:rsidR="008273AB" w:rsidRDefault="008273AB">
      <w:pPr>
        <w:spacing w:after="0" w:line="240" w:lineRule="auto"/>
      </w:pPr>
      <w:r>
        <w:separator/>
      </w:r>
    </w:p>
  </w:endnote>
  <w:endnote w:type="continuationSeparator" w:id="0">
    <w:p w14:paraId="21C21C87" w14:textId="77777777" w:rsidR="008273AB" w:rsidRDefault="008273AB">
      <w:pPr>
        <w:spacing w:after="0" w:line="240" w:lineRule="auto"/>
      </w:pPr>
      <w:r>
        <w:continuationSeparator/>
      </w:r>
    </w:p>
  </w:endnote>
  <w:endnote w:type="continuationNotice" w:id="1">
    <w:p w14:paraId="119862CA" w14:textId="77777777" w:rsidR="008273AB" w:rsidRDefault="008273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63B74" w14:textId="4BE0E61E" w:rsidR="00172998" w:rsidRPr="007E2B5A" w:rsidRDefault="00172998" w:rsidP="007E2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014FE" w14:textId="51B7236A" w:rsidR="00172998" w:rsidRPr="007E2B5A" w:rsidRDefault="007E2B5A" w:rsidP="007E2B5A">
    <w:pPr>
      <w:pStyle w:val="FooterCoverPage"/>
      <w:rPr>
        <w:rFonts w:ascii="Arial" w:hAnsi="Arial" w:cs="Arial"/>
        <w:b/>
        <w:sz w:val="48"/>
      </w:rPr>
    </w:pPr>
    <w:r w:rsidRPr="007E2B5A">
      <w:rPr>
        <w:rFonts w:ascii="Arial" w:hAnsi="Arial" w:cs="Arial"/>
        <w:b/>
        <w:sz w:val="48"/>
      </w:rPr>
      <w:t>HR</w:t>
    </w:r>
    <w:r w:rsidRPr="007E2B5A">
      <w:rPr>
        <w:rFonts w:ascii="Arial" w:hAnsi="Arial" w:cs="Arial"/>
        <w:b/>
        <w:sz w:val="48"/>
      </w:rPr>
      <w:tab/>
    </w:r>
    <w:r w:rsidRPr="007E2B5A">
      <w:rPr>
        <w:rFonts w:ascii="Arial" w:hAnsi="Arial" w:cs="Arial"/>
        <w:b/>
        <w:sz w:val="48"/>
      </w:rPr>
      <w:tab/>
    </w:r>
    <w:r w:rsidRPr="007E2B5A">
      <w:tab/>
    </w:r>
    <w:r w:rsidRPr="007E2B5A">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4804A" w14:textId="77777777" w:rsidR="007E2B5A" w:rsidRPr="007E2B5A" w:rsidRDefault="007E2B5A" w:rsidP="007E2B5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35758" w14:textId="77777777" w:rsidR="00902721" w:rsidRDefault="009027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594560"/>
      <w:docPartObj>
        <w:docPartGallery w:val="Page Numbers (Bottom of Page)"/>
        <w:docPartUnique/>
      </w:docPartObj>
    </w:sdtPr>
    <w:sdtEndPr>
      <w:rPr>
        <w:noProof/>
      </w:rPr>
    </w:sdtEndPr>
    <w:sdtContent>
      <w:p w14:paraId="09635759" w14:textId="53C4614A" w:rsidR="00902721" w:rsidRDefault="00055DA4">
        <w:pPr>
          <w:pStyle w:val="Footer"/>
          <w:jc w:val="center"/>
        </w:pPr>
        <w:r>
          <w:fldChar w:fldCharType="begin"/>
        </w:r>
        <w:r>
          <w:instrText xml:space="preserve"> PAGE   \* MERGEFORMAT </w:instrText>
        </w:r>
        <w:r>
          <w:fldChar w:fldCharType="separate"/>
        </w:r>
        <w:r w:rsidR="007E2B5A">
          <w:rPr>
            <w:noProof/>
          </w:rPr>
          <w:t>1</w:t>
        </w:r>
        <w:r>
          <w:fldChar w:fldCharType="end"/>
        </w:r>
      </w:p>
    </w:sdtContent>
  </w:sdt>
  <w:p w14:paraId="0963575A" w14:textId="77777777" w:rsidR="00902721" w:rsidRDefault="0090272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3575C" w14:textId="77777777" w:rsidR="00902721" w:rsidRDefault="00902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C55B3" w14:textId="77777777" w:rsidR="008273AB" w:rsidRDefault="008273AB">
      <w:pPr>
        <w:spacing w:after="0" w:line="240" w:lineRule="auto"/>
      </w:pPr>
      <w:r>
        <w:separator/>
      </w:r>
    </w:p>
  </w:footnote>
  <w:footnote w:type="continuationSeparator" w:id="0">
    <w:p w14:paraId="5ACE8839" w14:textId="77777777" w:rsidR="008273AB" w:rsidRDefault="008273AB">
      <w:pPr>
        <w:spacing w:after="0" w:line="240" w:lineRule="auto"/>
      </w:pPr>
      <w:r>
        <w:continuationSeparator/>
      </w:r>
    </w:p>
  </w:footnote>
  <w:footnote w:type="continuationNotice" w:id="1">
    <w:p w14:paraId="5EC597B8" w14:textId="77777777" w:rsidR="008273AB" w:rsidRDefault="008273AB">
      <w:pPr>
        <w:spacing w:after="0" w:line="240" w:lineRule="auto"/>
      </w:pPr>
    </w:p>
  </w:footnote>
  <w:footnote w:id="2">
    <w:p w14:paraId="0963575E" w14:textId="76863D85" w:rsidR="00902721" w:rsidRPr="004661E9" w:rsidRDefault="00055DA4" w:rsidP="00B13A59">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Europska komisija,</w:t>
      </w:r>
      <w:r>
        <w:t xml:space="preserve"> </w:t>
      </w:r>
      <w:hyperlink r:id="rId1" w:history="1">
        <w:r>
          <w:rPr>
            <w:rStyle w:val="Hyperlink"/>
            <w:rFonts w:ascii="Times New Roman" w:hAnsi="Times New Roman"/>
          </w:rPr>
          <w:t>Izvješće o strateškim predviđanjima 2021.</w:t>
        </w:r>
      </w:hyperlink>
    </w:p>
  </w:footnote>
  <w:footnote w:id="3">
    <w:p w14:paraId="79FD1164" w14:textId="73C33AFE" w:rsidR="003213C2" w:rsidRPr="004661E9" w:rsidRDefault="003213C2" w:rsidP="00B13A5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COM(2023) 168 final, </w:t>
      </w:r>
      <w:hyperlink r:id="rId2" w:history="1">
        <w:r>
          <w:rPr>
            <w:rStyle w:val="Hyperlink"/>
            <w:rFonts w:ascii="Times New Roman" w:hAnsi="Times New Roman"/>
          </w:rPr>
          <w:t>„Dugoročna konkurentnost EU-a:</w:t>
        </w:r>
      </w:hyperlink>
      <w:hyperlink r:id="rId3" w:history="1">
        <w:r>
          <w:rPr>
            <w:rStyle w:val="Hyperlink"/>
            <w:rFonts w:ascii="Times New Roman" w:hAnsi="Times New Roman"/>
          </w:rPr>
          <w:t xml:space="preserve"> perspektiva nakon 2030.</w:t>
        </w:r>
      </w:hyperlink>
    </w:p>
  </w:footnote>
  <w:footnote w:id="4">
    <w:p w14:paraId="0CA56216" w14:textId="1A19BDE0" w:rsidR="00DB104F" w:rsidRPr="004661E9" w:rsidRDefault="00DB104F" w:rsidP="00B13A59">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vertAlign w:val="superscript"/>
        </w:rPr>
        <w:t xml:space="preserve"> </w:t>
      </w:r>
      <w:r>
        <w:rPr>
          <w:rFonts w:ascii="Times New Roman" w:hAnsi="Times New Roman"/>
        </w:rPr>
        <w:t>COM(2020) 274 final,</w:t>
      </w:r>
      <w:r>
        <w:t xml:space="preserve"> </w:t>
      </w:r>
      <w:hyperlink r:id="rId4" w:history="1">
        <w:r>
          <w:rPr>
            <w:rStyle w:val="Hyperlink"/>
            <w:rFonts w:ascii="Times New Roman" w:hAnsi="Times New Roman"/>
          </w:rPr>
          <w:t>Program vještina za Europu za održivu konkurentnost, socijalnu pravednost i otpornost</w:t>
        </w:r>
      </w:hyperlink>
      <w:r>
        <w:rPr>
          <w:rFonts w:ascii="Times New Roman" w:hAnsi="Times New Roman"/>
        </w:rPr>
        <w:t>.</w:t>
      </w:r>
    </w:p>
  </w:footnote>
  <w:footnote w:id="5">
    <w:p w14:paraId="09635763" w14:textId="2015E188" w:rsidR="00902721" w:rsidRPr="004661E9" w:rsidRDefault="00055DA4" w:rsidP="00B13A59">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vertAlign w:val="superscript"/>
        </w:rPr>
        <w:t xml:space="preserve"> </w:t>
      </w:r>
      <w:r>
        <w:rPr>
          <w:rFonts w:ascii="Times New Roman" w:hAnsi="Times New Roman"/>
        </w:rPr>
        <w:t xml:space="preserve">Podaci </w:t>
      </w:r>
      <w:hyperlink r:id="rId5" w:anchor="General_government_expenditure_by_function" w:history="1">
        <w:r>
          <w:rPr>
            <w:rStyle w:val="Hyperlink"/>
            <w:rFonts w:ascii="Times New Roman" w:hAnsi="Times New Roman"/>
          </w:rPr>
          <w:t>Eurostata</w:t>
        </w:r>
      </w:hyperlink>
      <w:r>
        <w:rPr>
          <w:rFonts w:ascii="Times New Roman" w:hAnsi="Times New Roman"/>
        </w:rPr>
        <w:t xml:space="preserve"> (2021.).</w:t>
      </w:r>
    </w:p>
  </w:footnote>
  <w:footnote w:id="6">
    <w:p w14:paraId="09635764" w14:textId="6DB27FEE" w:rsidR="00902721" w:rsidRPr="004661E9" w:rsidRDefault="00055DA4" w:rsidP="00B13A59">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vertAlign w:val="superscript"/>
        </w:rPr>
        <w:t xml:space="preserve"> </w:t>
      </w:r>
      <w:r>
        <w:rPr>
          <w:rFonts w:ascii="Times New Roman" w:hAnsi="Times New Roman"/>
        </w:rPr>
        <w:t>To uključuje podatke iz</w:t>
      </w:r>
      <w:r>
        <w:t xml:space="preserve"> </w:t>
      </w:r>
      <w:hyperlink r:id="rId6" w:history="1">
        <w:r>
          <w:rPr>
            <w:rStyle w:val="Hyperlink"/>
            <w:rFonts w:ascii="Times New Roman" w:hAnsi="Times New Roman"/>
          </w:rPr>
          <w:t>ankete EU-a o radnoj snazi</w:t>
        </w:r>
      </w:hyperlink>
      <w:r>
        <w:rPr>
          <w:rFonts w:ascii="Times New Roman" w:hAnsi="Times New Roman"/>
        </w:rPr>
        <w:t xml:space="preserve"> za javnu upravu, obranu, obveznu socijalnu sigurnost, obrazovanje i zdravstvo (2022.).</w:t>
      </w:r>
    </w:p>
  </w:footnote>
  <w:footnote w:id="7">
    <w:p w14:paraId="09635765" w14:textId="0279DC60" w:rsidR="00902721" w:rsidRPr="004661E9" w:rsidRDefault="00055DA4" w:rsidP="00B13A59">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vertAlign w:val="superscript"/>
        </w:rPr>
        <w:t xml:space="preserve"> </w:t>
      </w:r>
      <w:r>
        <w:rPr>
          <w:rFonts w:ascii="Times New Roman" w:hAnsi="Times New Roman"/>
        </w:rPr>
        <w:t xml:space="preserve">Podaci </w:t>
      </w:r>
      <w:hyperlink r:id="rId7" w:history="1">
        <w:r>
          <w:rPr>
            <w:rStyle w:val="Hyperlink"/>
            <w:rFonts w:ascii="Times New Roman" w:hAnsi="Times New Roman"/>
          </w:rPr>
          <w:t>Eurostata</w:t>
        </w:r>
      </w:hyperlink>
      <w:r>
        <w:rPr>
          <w:rFonts w:ascii="Times New Roman" w:hAnsi="Times New Roman"/>
        </w:rPr>
        <w:t xml:space="preserve"> (2020.). </w:t>
      </w:r>
    </w:p>
  </w:footnote>
  <w:footnote w:id="8">
    <w:p w14:paraId="09635766" w14:textId="7123A72B" w:rsidR="00902721" w:rsidRPr="004661E9" w:rsidRDefault="00055DA4" w:rsidP="00B13A59">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lang w:val="en-US"/>
        </w:rPr>
        <w:footnoteRef/>
      </w:r>
      <w:r>
        <w:rPr>
          <w:rFonts w:ascii="Times New Roman" w:hAnsi="Times New Roman"/>
          <w:sz w:val="20"/>
        </w:rPr>
        <w:t xml:space="preserve"> Brojka se odnosi na javne natječaje iznad određenih vrijednosti ugovora objavljenih u Dodatku Službenom listu Europske unije (serija S): </w:t>
      </w:r>
      <w:r>
        <w:rPr>
          <w:rFonts w:ascii="Times New Roman" w:hAnsi="Times New Roman"/>
          <w:sz w:val="20"/>
          <w:vertAlign w:val="superscript"/>
        </w:rPr>
        <w:t xml:space="preserve"> </w:t>
      </w:r>
      <w:hyperlink r:id="rId8" w:history="1">
        <w:r>
          <w:rPr>
            <w:rStyle w:val="Hyperlink"/>
            <w:rFonts w:ascii="Times New Roman" w:hAnsi="Times New Roman"/>
            <w:sz w:val="20"/>
          </w:rPr>
          <w:t>https://simap.ted.europa.eu/hr_HR/web/simap/european-public-procurement</w:t>
        </w:r>
      </w:hyperlink>
      <w:r>
        <w:rPr>
          <w:rFonts w:ascii="Times New Roman" w:hAnsi="Times New Roman"/>
          <w:sz w:val="20"/>
        </w:rPr>
        <w:t>.</w:t>
      </w:r>
    </w:p>
  </w:footnote>
  <w:footnote w:id="9">
    <w:p w14:paraId="0E67900D" w14:textId="2A5EBED3" w:rsidR="00936851" w:rsidRPr="004661E9" w:rsidRDefault="00936851" w:rsidP="00B13A59">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Europska komisija, </w:t>
      </w:r>
      <w:hyperlink r:id="rId9" w:anchor=":~:text=The%20Report%20assesses%20economic%2C%20social,of%20region%20to%20catch%20up" w:history="1">
        <w:r>
          <w:rPr>
            <w:rStyle w:val="Hyperlink"/>
            <w:rFonts w:ascii="Times New Roman" w:hAnsi="Times New Roman"/>
            <w:bdr w:val="none" w:sz="0" w:space="0" w:color="auto" w:frame="1"/>
          </w:rPr>
          <w:t>Osmo izvješće o gospodarskoj, socijalnoj i teritorijalnoj koheziji</w:t>
        </w:r>
      </w:hyperlink>
      <w:r>
        <w:rPr>
          <w:rStyle w:val="normaltextrun"/>
          <w:rFonts w:ascii="Times New Roman" w:hAnsi="Times New Roman"/>
          <w:color w:val="000000"/>
          <w:bdr w:val="none" w:sz="0" w:space="0" w:color="auto" w:frame="1"/>
        </w:rPr>
        <w:t>, 2017., str. 121.</w:t>
      </w:r>
    </w:p>
  </w:footnote>
  <w:footnote w:id="10">
    <w:p w14:paraId="360DFF44" w14:textId="57C06A6B" w:rsidR="00936851" w:rsidRPr="00111737" w:rsidRDefault="00936851" w:rsidP="00B13A59">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COM(2023) 32 final,</w:t>
      </w:r>
      <w:r>
        <w:t xml:space="preserve"> </w:t>
      </w:r>
      <w:hyperlink r:id="rId10" w:history="1">
        <w:r>
          <w:rPr>
            <w:rStyle w:val="Hyperlink"/>
            <w:rFonts w:ascii="Times New Roman" w:hAnsi="Times New Roman"/>
          </w:rPr>
          <w:t>„Iskorištavanje talenta u europskim regijama”</w:t>
        </w:r>
      </w:hyperlink>
      <w:r>
        <w:rPr>
          <w:rFonts w:ascii="Times New Roman" w:hAnsi="Times New Roman"/>
        </w:rPr>
        <w:t xml:space="preserve">. </w:t>
      </w:r>
    </w:p>
  </w:footnote>
  <w:footnote w:id="11">
    <w:p w14:paraId="09635767" w14:textId="65F437EE" w:rsidR="00902721" w:rsidRPr="004661E9" w:rsidRDefault="00055DA4" w:rsidP="00B13A59">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w:t>
      </w:r>
      <w:hyperlink r:id="rId11" w:history="1">
        <w:r>
          <w:rPr>
            <w:rStyle w:val="Hyperlink"/>
            <w:rFonts w:ascii="Times New Roman" w:hAnsi="Times New Roman"/>
          </w:rPr>
          <w:t>Akcijski plan za europsku demokraciju</w:t>
        </w:r>
      </w:hyperlink>
      <w:r>
        <w:rPr>
          <w:rFonts w:ascii="Times New Roman" w:hAnsi="Times New Roman"/>
        </w:rPr>
        <w:t>.</w:t>
      </w:r>
    </w:p>
  </w:footnote>
  <w:footnote w:id="12">
    <w:p w14:paraId="58621280" w14:textId="77777777" w:rsidR="0020235E" w:rsidRPr="004661E9" w:rsidRDefault="0020235E" w:rsidP="0020235E">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w:t>
      </w:r>
      <w:hyperlink r:id="rId12" w:history="1">
        <w:r>
          <w:rPr>
            <w:rStyle w:val="Hyperlink"/>
            <w:rFonts w:ascii="Times New Roman" w:hAnsi="Times New Roman"/>
          </w:rPr>
          <w:t>Paket mjera za borbu protiv korupcije</w:t>
        </w:r>
      </w:hyperlink>
      <w:r>
        <w:rPr>
          <w:rFonts w:ascii="Times New Roman" w:hAnsi="Times New Roman"/>
        </w:rPr>
        <w:t>.</w:t>
      </w:r>
    </w:p>
  </w:footnote>
  <w:footnote w:id="13">
    <w:p w14:paraId="456A8A6C" w14:textId="3611EDB5" w:rsidR="004272CD" w:rsidRPr="004661E9" w:rsidRDefault="004272CD" w:rsidP="00B30CC3">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w:t>
      </w:r>
      <w:r>
        <w:rPr>
          <w:rStyle w:val="normaltextrun"/>
          <w:rFonts w:ascii="Times New Roman" w:hAnsi="Times New Roman"/>
          <w:color w:val="000000"/>
          <w:bdr w:val="none" w:sz="0" w:space="0" w:color="auto" w:frame="1"/>
        </w:rPr>
        <w:t xml:space="preserve">Na primjer, putem jedinstvenih kontaktnih točaka za izdavanje dozvola za obnovljive izvore energije i projekte s nultom neto stopom emisija. </w:t>
      </w:r>
      <w:r>
        <w:rPr>
          <w:rFonts w:ascii="Times New Roman" w:hAnsi="Times New Roman"/>
        </w:rPr>
        <w:t>COM(2023) 62 final,</w:t>
      </w:r>
      <w:r>
        <w:t xml:space="preserve"> </w:t>
      </w:r>
      <w:hyperlink r:id="rId13" w:history="1">
        <w:r>
          <w:rPr>
            <w:rStyle w:val="Hyperlink"/>
            <w:rFonts w:ascii="Times New Roman" w:hAnsi="Times New Roman"/>
            <w:bdr w:val="none" w:sz="0" w:space="0" w:color="auto" w:frame="1"/>
          </w:rPr>
          <w:t>Industrijski plan u okviru zelenog plana za doba nulte neto stope emisija</w:t>
        </w:r>
      </w:hyperlink>
      <w:r>
        <w:rPr>
          <w:rStyle w:val="normaltextrun"/>
          <w:rFonts w:ascii="Times New Roman" w:hAnsi="Times New Roman"/>
          <w:color w:val="000000"/>
          <w:bdr w:val="none" w:sz="0" w:space="0" w:color="auto" w:frame="1"/>
        </w:rPr>
        <w:t>.</w:t>
      </w:r>
    </w:p>
  </w:footnote>
  <w:footnote w:id="14">
    <w:p w14:paraId="09635773" w14:textId="16586927" w:rsidR="00902721" w:rsidRPr="004661E9" w:rsidRDefault="00055DA4" w:rsidP="00B30CC3">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Svjetska banka, Indeks učinkovitosti državnog sektora.</w:t>
      </w:r>
    </w:p>
  </w:footnote>
  <w:footnote w:id="15">
    <w:p w14:paraId="09635774" w14:textId="6AC41204" w:rsidR="00902721" w:rsidRPr="004661E9" w:rsidRDefault="00055DA4" w:rsidP="00B30CC3">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OECD (2023.),</w:t>
      </w:r>
      <w:r>
        <w:t xml:space="preserve"> </w:t>
      </w:r>
      <w:hyperlink r:id="rId14" w:history="1">
        <w:r>
          <w:rPr>
            <w:rStyle w:val="Hyperlink"/>
            <w:rFonts w:ascii="Times New Roman" w:hAnsi="Times New Roman"/>
          </w:rPr>
          <w:t>Otpornije javne uprave nakon pandemije bolesti COVID-19</w:t>
        </w:r>
      </w:hyperlink>
      <w:r>
        <w:rPr>
          <w:rFonts w:ascii="Times New Roman" w:hAnsi="Times New Roman"/>
        </w:rPr>
        <w:t>. Izvješće iz projekta Instrumenta za tehničku potporu „Jačanje otpornosti javnih uprava nakon krize uzrokovane bolešću COVID-19 zajedničkim okvirom za ocjenu 2020.”.</w:t>
      </w:r>
    </w:p>
  </w:footnote>
  <w:footnote w:id="16">
    <w:p w14:paraId="03B736E6" w14:textId="77777777" w:rsidR="00FD54B2" w:rsidRPr="004661E9" w:rsidRDefault="00FD54B2" w:rsidP="00FD54B2">
      <w:pPr>
        <w:pStyle w:val="FootnoteText"/>
        <w:jc w:val="both"/>
        <w:rPr>
          <w:rFonts w:ascii="Times New Roman" w:hAnsi="Times New Roman" w:cs="Times New Roman"/>
          <w:vertAlign w:val="superscript"/>
        </w:rPr>
      </w:pPr>
      <w:r>
        <w:rPr>
          <w:rStyle w:val="FootnoteReference"/>
          <w:rFonts w:ascii="Times New Roman" w:hAnsi="Times New Roman" w:cs="Times New Roman"/>
          <w:lang w:val="en-GB"/>
        </w:rPr>
        <w:footnoteRef/>
      </w:r>
      <w:r>
        <w:rPr>
          <w:rFonts w:ascii="Times New Roman" w:hAnsi="Times New Roman"/>
        </w:rPr>
        <w:t xml:space="preserve"> Pregled stanja jedinstvenog tržišta EU-a, Indeks gospodarske i društvene digitalizacije EU-a, OECD-ov pregled regulatorne politike.</w:t>
      </w:r>
    </w:p>
  </w:footnote>
  <w:footnote w:id="17">
    <w:p w14:paraId="5943E2BC" w14:textId="77777777" w:rsidR="00863CDF" w:rsidRPr="004661E9" w:rsidRDefault="00863CDF" w:rsidP="00863CD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Europska komisija, Izvješće o trošku slabih rezultata u javnoj upravi. U pripremi.</w:t>
      </w:r>
    </w:p>
  </w:footnote>
  <w:footnote w:id="18">
    <w:p w14:paraId="09635779" w14:textId="44CF67C3" w:rsidR="00902721" w:rsidRPr="004661E9" w:rsidRDefault="00055DA4" w:rsidP="00B30CC3">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Posebno istraživanje Eurobarometra br. 523, </w:t>
      </w:r>
      <w:hyperlink r:id="rId15" w:history="1">
        <w:r>
          <w:rPr>
            <w:rStyle w:val="Hyperlink"/>
            <w:rFonts w:ascii="Times New Roman" w:hAnsi="Times New Roman"/>
          </w:rPr>
          <w:t>Razumijevanje stajališta Europljana o potrebama za reformama</w:t>
        </w:r>
      </w:hyperlink>
      <w:r>
        <w:rPr>
          <w:rFonts w:ascii="Times New Roman" w:hAnsi="Times New Roman"/>
        </w:rPr>
        <w:t xml:space="preserve"> (travanj 2023.).</w:t>
      </w:r>
    </w:p>
  </w:footnote>
  <w:footnote w:id="19">
    <w:p w14:paraId="0CEB9EB8" w14:textId="77777777" w:rsidR="00334BBF" w:rsidRPr="00CA3355" w:rsidRDefault="00334BBF" w:rsidP="00334BB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OECD-ov</w:t>
      </w:r>
      <w:r>
        <w:t xml:space="preserve"> </w:t>
      </w:r>
      <w:hyperlink r:id="rId16" w:history="1">
        <w:r>
          <w:rPr>
            <w:rStyle w:val="Hyperlink"/>
            <w:rFonts w:ascii="Times New Roman" w:hAnsi="Times New Roman"/>
          </w:rPr>
          <w:t>Opservatorij za inovacije u javnom sektoru (OPSI)</w:t>
        </w:r>
      </w:hyperlink>
      <w:r>
        <w:rPr>
          <w:rFonts w:ascii="Times New Roman" w:hAnsi="Times New Roman"/>
        </w:rPr>
        <w:t xml:space="preserve"> pod pokroviteljstvom Obzora Europa pruža smjernice i prilagođene savjete o načinima na koje uprave mogu podupirati inovacije, uključujući anticipatorne pristupe inovacijama.</w:t>
      </w:r>
    </w:p>
  </w:footnote>
  <w:footnote w:id="20">
    <w:p w14:paraId="0963577D" w14:textId="26612F8F" w:rsidR="00902721" w:rsidRPr="004661E9" w:rsidRDefault="00055DA4" w:rsidP="004661E9">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Europska komisija, SWD(2022) 346,</w:t>
      </w:r>
      <w:r>
        <w:t xml:space="preserve"> </w:t>
      </w:r>
      <w:hyperlink r:id="rId17" w:history="1">
        <w:r>
          <w:rPr>
            <w:rStyle w:val="Hyperlink"/>
            <w:rFonts w:ascii="Times New Roman" w:hAnsi="Times New Roman"/>
          </w:rPr>
          <w:t>Potpora i povezivanje oblikovanja politika u državama članicama sa znanstvenim istraživanjima</w:t>
        </w:r>
      </w:hyperlink>
      <w:r>
        <w:rPr>
          <w:rFonts w:ascii="Times New Roman" w:hAnsi="Times New Roman"/>
        </w:rPr>
        <w:t>.</w:t>
      </w:r>
    </w:p>
  </w:footnote>
  <w:footnote w:id="21">
    <w:p w14:paraId="0963577E" w14:textId="7ABD2F5C" w:rsidR="00902721" w:rsidRPr="004661E9" w:rsidRDefault="00055DA4" w:rsidP="004661E9">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OECD (2023.), </w:t>
      </w:r>
      <w:hyperlink r:id="rId18" w:history="1">
        <w:r>
          <w:rPr>
            <w:rStyle w:val="Hyperlink"/>
            <w:rFonts w:ascii="Times New Roman" w:hAnsi="Times New Roman"/>
            <w:i/>
            <w:iCs/>
          </w:rPr>
          <w:t>Strengthening the attractiveness of the public service in France:</w:t>
        </w:r>
      </w:hyperlink>
      <w:hyperlink r:id="rId19" w:history="1">
        <w:r>
          <w:rPr>
            <w:rStyle w:val="Hyperlink"/>
            <w:rFonts w:ascii="Times New Roman" w:hAnsi="Times New Roman"/>
            <w:i/>
            <w:iCs/>
          </w:rPr>
          <w:t xml:space="preserve"> Towards a territorial approach </w:t>
        </w:r>
      </w:hyperlink>
      <w:r>
        <w:rPr>
          <w:rFonts w:ascii="Times New Roman" w:hAnsi="Times New Roman"/>
        </w:rPr>
        <w:t>(Povećavanje privlačnosti javne službe u Francuskoj: teritorijalni pristup).</w:t>
      </w:r>
    </w:p>
  </w:footnote>
  <w:footnote w:id="22">
    <w:p w14:paraId="0963577F" w14:textId="185797A4" w:rsidR="00902721" w:rsidRPr="004661E9" w:rsidRDefault="00055DA4" w:rsidP="004661E9">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Vidjeti bilješku 17. (Eurobarometar).</w:t>
      </w:r>
    </w:p>
  </w:footnote>
  <w:footnote w:id="23">
    <w:p w14:paraId="09635780" w14:textId="1C53AD89" w:rsidR="00902721" w:rsidRPr="004661E9" w:rsidRDefault="00055DA4" w:rsidP="004661E9">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Glavna tema europskog prostora obrazovanja. </w:t>
      </w:r>
      <w:hyperlink r:id="rId20" w:history="1">
        <w:r>
          <w:rPr>
            <w:rStyle w:val="Hyperlink"/>
            <w:rFonts w:ascii="Times New Roman" w:hAnsi="Times New Roman"/>
          </w:rPr>
          <w:t>Rezolucija Vijeća 2021/C 66/01 o strateškom okviru za europsku suradnju u području obrazovanja i osposobljavanja u smjeru europskog prostora obrazovanja i šire (2021.–2030.)</w:t>
        </w:r>
      </w:hyperlink>
      <w:r>
        <w:rPr>
          <w:rFonts w:ascii="Times New Roman" w:hAnsi="Times New Roman"/>
        </w:rPr>
        <w:t>.</w:t>
      </w:r>
    </w:p>
  </w:footnote>
  <w:footnote w:id="24">
    <w:p w14:paraId="09635781" w14:textId="3FBE430C" w:rsidR="00902721" w:rsidRPr="004661E9" w:rsidRDefault="00055DA4" w:rsidP="004661E9">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Europski parlament (2016.),</w:t>
      </w:r>
      <w:r>
        <w:t xml:space="preserve"> </w:t>
      </w:r>
      <w:hyperlink r:id="rId21" w:history="1">
        <w:r>
          <w:rPr>
            <w:rStyle w:val="Hyperlink"/>
            <w:rFonts w:ascii="Times New Roman" w:hAnsi="Times New Roman"/>
            <w:i/>
            <w:iCs/>
          </w:rPr>
          <w:t>Public Sector Reform:</w:t>
        </w:r>
      </w:hyperlink>
      <w:hyperlink r:id="rId22" w:history="1">
        <w:r>
          <w:rPr>
            <w:rStyle w:val="Hyperlink"/>
            <w:rFonts w:ascii="Times New Roman" w:hAnsi="Times New Roman"/>
            <w:i/>
            <w:iCs/>
          </w:rPr>
          <w:t xml:space="preserve"> How the EU budget is used to encourage it</w:t>
        </w:r>
      </w:hyperlink>
      <w:r>
        <w:rPr>
          <w:rFonts w:ascii="Times New Roman" w:hAnsi="Times New Roman"/>
        </w:rPr>
        <w:t xml:space="preserve"> (Reforma javnog sektora: Kako se proračun EU-a koristi za njezino poticanje). </w:t>
      </w:r>
    </w:p>
  </w:footnote>
  <w:footnote w:id="25">
    <w:p w14:paraId="47D334BE" w14:textId="2C244B03" w:rsidR="002C6E62" w:rsidRPr="004661E9" w:rsidRDefault="002C6E62" w:rsidP="004661E9">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w:t>
      </w:r>
      <w:hyperlink r:id="rId23" w:history="1">
        <w:r>
          <w:rPr>
            <w:rStyle w:val="Hyperlink"/>
            <w:rFonts w:ascii="Times New Roman" w:hAnsi="Times New Roman"/>
          </w:rPr>
          <w:t>Tablica pokazatelja za oporavak i otpornost</w:t>
        </w:r>
      </w:hyperlink>
      <w:r>
        <w:rPr>
          <w:rStyle w:val="Hyperlink"/>
          <w:rFonts w:ascii="Times New Roman" w:hAnsi="Times New Roman"/>
        </w:rPr>
        <w:t>.</w:t>
      </w:r>
    </w:p>
  </w:footnote>
  <w:footnote w:id="26">
    <w:p w14:paraId="1F4269AE" w14:textId="47374CD1" w:rsidR="0067307A" w:rsidRPr="004661E9" w:rsidRDefault="0067307A" w:rsidP="004661E9">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w:t>
      </w:r>
      <w:hyperlink r:id="rId24" w:history="1">
        <w:r>
          <w:rPr>
            <w:rStyle w:val="Hyperlink"/>
            <w:rFonts w:ascii="Times New Roman" w:hAnsi="Times New Roman"/>
          </w:rPr>
          <w:t>Uredba (EU) 2021/240 Europskog parlamenta i Vijeća od 10. veljače 2021. o uspostavi Instrumenta za tehničku potporu</w:t>
        </w:r>
      </w:hyperlink>
      <w:r>
        <w:rPr>
          <w:rFonts w:ascii="Times New Roman" w:hAnsi="Times New Roman"/>
        </w:rPr>
        <w:t>.</w:t>
      </w:r>
    </w:p>
  </w:footnote>
  <w:footnote w:id="27">
    <w:p w14:paraId="09635783" w14:textId="3D1C2545" w:rsidR="00902721" w:rsidRPr="004661E9" w:rsidRDefault="00055DA4" w:rsidP="004661E9">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Europska komisija, SWD(2021) 101, </w:t>
      </w:r>
      <w:hyperlink r:id="rId25" w:history="1">
        <w:r>
          <w:rPr>
            <w:rStyle w:val="Hyperlink"/>
            <w:rFonts w:ascii="Times New Roman" w:hAnsi="Times New Roman"/>
          </w:rPr>
          <w:t>Potpora javnim upravama u državama članicama EU-a u provedbi reformi i pripremi za budućnost</w:t>
        </w:r>
      </w:hyperlink>
      <w:r>
        <w:rPr>
          <w:rFonts w:ascii="Times New Roman" w:hAnsi="Times New Roman"/>
        </w:rPr>
        <w:t>.</w:t>
      </w:r>
    </w:p>
  </w:footnote>
  <w:footnote w:id="28">
    <w:p w14:paraId="7521CB5D" w14:textId="77777777" w:rsidR="001D27E5" w:rsidRPr="001D6189" w:rsidRDefault="001D27E5" w:rsidP="001D27E5">
      <w:pPr>
        <w:pStyle w:val="FootnoteText"/>
        <w:jc w:val="both"/>
      </w:pPr>
      <w:r>
        <w:rPr>
          <w:rStyle w:val="FootnoteReference"/>
          <w:rFonts w:ascii="Times New Roman" w:hAnsi="Times New Roman" w:cs="Times New Roman"/>
        </w:rPr>
        <w:footnoteRef/>
      </w:r>
      <w:r>
        <w:rPr>
          <w:rFonts w:ascii="Times New Roman" w:hAnsi="Times New Roman"/>
        </w:rPr>
        <w:t xml:space="preserve"> </w:t>
      </w:r>
      <w:hyperlink r:id="rId26" w:history="1">
        <w:r>
          <w:rPr>
            <w:rStyle w:val="Hyperlink"/>
            <w:rFonts w:ascii="Times New Roman" w:hAnsi="Times New Roman"/>
          </w:rPr>
          <w:t>TAIEX</w:t>
        </w:r>
      </w:hyperlink>
      <w:r>
        <w:rPr>
          <w:rStyle w:val="Hyperlink"/>
          <w:rFonts w:ascii="Times New Roman" w:hAnsi="Times New Roman"/>
        </w:rPr>
        <w:t>.</w:t>
      </w:r>
    </w:p>
  </w:footnote>
  <w:footnote w:id="29">
    <w:p w14:paraId="4FEA5F19" w14:textId="55673B97" w:rsidR="00D72CEC" w:rsidRPr="00545D91" w:rsidRDefault="00D72CEC" w:rsidP="00545D9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Europska komisija, C(2021) 9535 final, </w:t>
      </w:r>
      <w:hyperlink r:id="rId27" w:history="1">
        <w:r>
          <w:rPr>
            <w:rStyle w:val="Hyperlink"/>
            <w:rFonts w:ascii="Times New Roman" w:hAnsi="Times New Roman"/>
          </w:rPr>
          <w:t>Osnivanje skupine stručnjaka za javnu upravu i upravljanje</w:t>
        </w:r>
      </w:hyperlink>
      <w:r>
        <w:rPr>
          <w:rFonts w:ascii="Times New Roman" w:hAnsi="Times New Roman"/>
        </w:rPr>
        <w:t>.</w:t>
      </w:r>
    </w:p>
  </w:footnote>
  <w:footnote w:id="30">
    <w:p w14:paraId="6C754735" w14:textId="77777777" w:rsidR="009F1FF6" w:rsidRPr="00545D91" w:rsidRDefault="009F1FF6" w:rsidP="009F1FF6">
      <w:pPr>
        <w:pStyle w:val="FootnoteText"/>
      </w:pPr>
      <w:r>
        <w:rPr>
          <w:rStyle w:val="FootnoteReference"/>
        </w:rPr>
        <w:footnoteRef/>
      </w:r>
      <w:hyperlink r:id="rId28" w:history="1">
        <w:r>
          <w:rPr>
            <w:rFonts w:ascii="Times New Roman" w:hAnsi="Times New Roman"/>
            <w:color w:val="0563C1"/>
            <w:u w:val="single"/>
          </w:rPr>
          <w:t xml:space="preserve"> EUPAN – Europska mreža javnih uprava</w:t>
        </w:r>
      </w:hyperlink>
      <w:r>
        <w:rPr>
          <w:rFonts w:ascii="Times New Roman" w:hAnsi="Times New Roman"/>
          <w:color w:val="0563C1"/>
          <w:u w:val="single"/>
        </w:rPr>
        <w:t>.</w:t>
      </w:r>
    </w:p>
  </w:footnote>
  <w:footnote w:id="31">
    <w:p w14:paraId="5BEBDF3D" w14:textId="7FC692FB" w:rsidR="008A304F" w:rsidRPr="004661E9" w:rsidRDefault="008A304F" w:rsidP="004661E9">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hyperlink r:id="rId29" w:history="1">
        <w:r>
          <w:rPr>
            <w:rStyle w:val="Hyperlink"/>
            <w:rFonts w:ascii="Times New Roman" w:hAnsi="Times New Roman"/>
          </w:rPr>
          <w:t>Neformalni sastanak ministara javnih uprava u EU-u (2021.)</w:t>
        </w:r>
      </w:hyperlink>
      <w:r>
        <w:t>.</w:t>
      </w:r>
    </w:p>
  </w:footnote>
  <w:footnote w:id="32">
    <w:p w14:paraId="02E01229" w14:textId="120C6CEF" w:rsidR="008A304F" w:rsidRPr="004661E9" w:rsidRDefault="008A304F" w:rsidP="004661E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0" w:history="1">
        <w:r>
          <w:rPr>
            <w:rStyle w:val="Hyperlink"/>
            <w:rFonts w:ascii="Times New Roman" w:hAnsi="Times New Roman"/>
          </w:rPr>
          <w:t>Deklaracija iz Strasbourga o zajedničkim vrijednostima i izazovima europskih javnih uprava (2022.)</w:t>
        </w:r>
      </w:hyperlink>
      <w:r>
        <w:rPr>
          <w:rFonts w:ascii="Times New Roman" w:hAnsi="Times New Roman"/>
        </w:rPr>
        <w:t>.</w:t>
      </w:r>
    </w:p>
  </w:footnote>
  <w:footnote w:id="33">
    <w:p w14:paraId="51E4337D" w14:textId="77777777" w:rsidR="006F305A" w:rsidRPr="00B459D5" w:rsidRDefault="006F305A" w:rsidP="00B459D5">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Studija Švedske agencije za javnu upravu provedena u okviru EUPAN-a (2023.), </w:t>
      </w:r>
      <w:hyperlink r:id="rId31" w:history="1">
        <w:r>
          <w:rPr>
            <w:rStyle w:val="Hyperlink"/>
            <w:rFonts w:ascii="Times New Roman" w:hAnsi="Times New Roman"/>
            <w:i/>
            <w:iCs/>
          </w:rPr>
          <w:t>Good administration in European countries</w:t>
        </w:r>
      </w:hyperlink>
      <w:r>
        <w:rPr>
          <w:rFonts w:ascii="Times New Roman" w:hAnsi="Times New Roman"/>
        </w:rPr>
        <w:t xml:space="preserve"> (Dobra uprava u europskim zemljama).</w:t>
      </w:r>
    </w:p>
  </w:footnote>
  <w:footnote w:id="34">
    <w:p w14:paraId="6B240246" w14:textId="77777777" w:rsidR="006F305A" w:rsidRPr="00B459D5" w:rsidRDefault="006F305A" w:rsidP="00B459D5">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Izraz koji se upotrebljava za opis sve veće konvergencije administrativnih praksi među državama članicama na temelju zajedničkih vrijednosti i načela, prema zajedničkim standardima i pristupima rada.</w:t>
      </w:r>
    </w:p>
  </w:footnote>
  <w:footnote w:id="35">
    <w:p w14:paraId="09635788" w14:textId="1D928E6F" w:rsidR="00902721" w:rsidRPr="00EF05F2" w:rsidRDefault="00055DA4" w:rsidP="00B459D5">
      <w:pPr>
        <w:pStyle w:val="FootnoteText"/>
        <w:jc w:val="both"/>
      </w:pPr>
      <w:r>
        <w:rPr>
          <w:rStyle w:val="FootnoteReference"/>
          <w:rFonts w:ascii="Times New Roman" w:hAnsi="Times New Roman" w:cs="Times New Roman"/>
          <w:lang w:val="en-GB"/>
        </w:rPr>
        <w:footnoteRef/>
      </w:r>
      <w:r>
        <w:rPr>
          <w:rFonts w:ascii="Times New Roman" w:hAnsi="Times New Roman"/>
        </w:rPr>
        <w:t xml:space="preserve"> Na temelju Načela javne uprave,</w:t>
      </w:r>
      <w:r>
        <w:t xml:space="preserve"> </w:t>
      </w:r>
      <w:hyperlink r:id="rId32" w:history="1">
        <w:r>
          <w:rPr>
            <w:rStyle w:val="Hyperlink"/>
            <w:rFonts w:ascii="Times New Roman" w:hAnsi="Times New Roman"/>
          </w:rPr>
          <w:t>SIGMA</w:t>
        </w:r>
      </w:hyperlink>
      <w:r>
        <w:rPr>
          <w:rFonts w:ascii="Times New Roman" w:hAnsi="Times New Roman"/>
        </w:rPr>
        <w:t xml:space="preserve"> (suradnja EU-a i OECD-a). Revizija predviđena 2023.</w:t>
      </w:r>
    </w:p>
  </w:footnote>
  <w:footnote w:id="36">
    <w:p w14:paraId="0F505111" w14:textId="6543010A" w:rsidR="00AD3C82" w:rsidRPr="00AD3C82" w:rsidRDefault="00AD3C82" w:rsidP="00AD3C8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Europska komisija, C(2022) 2229 final, </w:t>
      </w:r>
      <w:hyperlink r:id="rId33" w:history="1">
        <w:r>
          <w:rPr>
            <w:rStyle w:val="Hyperlink"/>
            <w:rFonts w:ascii="Times New Roman" w:hAnsi="Times New Roman"/>
          </w:rPr>
          <w:t>Nova strategija Komisije za ljudske resurse</w:t>
        </w:r>
      </w:hyperlink>
      <w:r>
        <w:rPr>
          <w:rFonts w:ascii="Times New Roman" w:hAnsi="Times New Roman"/>
        </w:rPr>
        <w:t xml:space="preserve">; C(2022) 4388 final, </w:t>
      </w:r>
      <w:hyperlink r:id="rId34" w:history="1">
        <w:r>
          <w:rPr>
            <w:rStyle w:val="Hyperlink"/>
            <w:rFonts w:ascii="Times New Roman" w:hAnsi="Times New Roman"/>
          </w:rPr>
          <w:t>Digitalna strategija Europske komisije</w:t>
        </w:r>
      </w:hyperlink>
      <w:r>
        <w:rPr>
          <w:rFonts w:ascii="Times New Roman" w:hAnsi="Times New Roman"/>
        </w:rPr>
        <w:t xml:space="preserve">; C(2022) 2230 final, </w:t>
      </w:r>
      <w:hyperlink r:id="rId35" w:history="1">
        <w:r>
          <w:rPr>
            <w:rStyle w:val="Hyperlink"/>
            <w:rFonts w:ascii="Times New Roman" w:hAnsi="Times New Roman"/>
          </w:rPr>
          <w:t>Ozelenjivanje Komisije</w:t>
        </w:r>
      </w:hyperlink>
      <w:r>
        <w:rPr>
          <w:rFonts w:ascii="Times New Roman" w:hAnsi="Times New Roman"/>
        </w:rPr>
        <w:t>.</w:t>
      </w:r>
    </w:p>
  </w:footnote>
  <w:footnote w:id="37">
    <w:p w14:paraId="221749ED" w14:textId="40945913" w:rsidR="000166BC" w:rsidRPr="00AD3C82" w:rsidRDefault="000166BC" w:rsidP="00AD3C82">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Vidjeti bilješku 31. (Deklaracija iz Strasbourga). </w:t>
      </w:r>
    </w:p>
  </w:footnote>
  <w:footnote w:id="38">
    <w:p w14:paraId="727BD333" w14:textId="77777777" w:rsidR="000166BC" w:rsidRPr="00AD3C82" w:rsidRDefault="000166BC" w:rsidP="00AD3C82">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Europski parlament (2019.),</w:t>
      </w:r>
      <w:r>
        <w:t xml:space="preserve"> </w:t>
      </w:r>
      <w:hyperlink r:id="rId36" w:history="1">
        <w:r>
          <w:rPr>
            <w:rStyle w:val="Hyperlink"/>
            <w:rFonts w:ascii="Times New Roman" w:hAnsi="Times New Roman"/>
          </w:rPr>
          <w:t>Rezolucija o procjeni načina korištenja proračuna EU-a za reformu javnog sektora</w:t>
        </w:r>
      </w:hyperlink>
      <w:r>
        <w:rPr>
          <w:rFonts w:ascii="Times New Roman" w:hAnsi="Times New Roman"/>
        </w:rPr>
        <w:t>.</w:t>
      </w:r>
    </w:p>
  </w:footnote>
  <w:footnote w:id="39">
    <w:p w14:paraId="13623E05" w14:textId="77777777" w:rsidR="000166BC" w:rsidRPr="00CA3355" w:rsidRDefault="000166BC" w:rsidP="00AD3C82">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Odbor regija (2019.),</w:t>
      </w:r>
      <w:r>
        <w:t xml:space="preserve"> </w:t>
      </w:r>
      <w:hyperlink r:id="rId37" w:history="1">
        <w:r>
          <w:rPr>
            <w:rStyle w:val="Hyperlink"/>
            <w:rFonts w:ascii="Times New Roman" w:hAnsi="Times New Roman"/>
          </w:rPr>
          <w:t>Poboljšanje administrativnog kapaciteta lokalnih i regionalnih vlasti radi jačanja ulaganja i strukturnih reformi u razdoblju 2021.–2027.</w:t>
        </w:r>
      </w:hyperlink>
    </w:p>
  </w:footnote>
  <w:footnote w:id="40">
    <w:p w14:paraId="4A384567" w14:textId="59E0E53B" w:rsidR="00A35873" w:rsidRPr="00B459D5" w:rsidRDefault="00A35873" w:rsidP="00647B92">
      <w:pPr>
        <w:pStyle w:val="pf0"/>
        <w:spacing w:before="0" w:beforeAutospacing="0" w:after="0" w:afterAutospacing="0"/>
        <w:rPr>
          <w:sz w:val="20"/>
          <w:szCs w:val="20"/>
        </w:rPr>
      </w:pPr>
      <w:r>
        <w:rPr>
          <w:rStyle w:val="FootnoteReference"/>
          <w:sz w:val="20"/>
          <w:szCs w:val="20"/>
        </w:rPr>
        <w:footnoteRef/>
      </w:r>
      <w:r>
        <w:rPr>
          <w:sz w:val="20"/>
        </w:rPr>
        <w:t xml:space="preserve"> </w:t>
      </w:r>
      <w:r>
        <w:rPr>
          <w:rStyle w:val="cf01"/>
          <w:rFonts w:ascii="Times New Roman" w:hAnsi="Times New Roman"/>
          <w:sz w:val="20"/>
        </w:rPr>
        <w:t>Europska komisija, COM(2023) 577 final,</w:t>
      </w:r>
      <w:r>
        <w:t xml:space="preserve"> </w:t>
      </w:r>
      <w:hyperlink r:id="rId38" w:history="1">
        <w:r>
          <w:rPr>
            <w:rStyle w:val="Hyperlink"/>
            <w:sz w:val="20"/>
          </w:rPr>
          <w:t>Demografske promjene u Europi:</w:t>
        </w:r>
      </w:hyperlink>
      <w:hyperlink r:id="rId39" w:history="1">
        <w:r>
          <w:rPr>
            <w:rStyle w:val="Hyperlink"/>
            <w:sz w:val="20"/>
          </w:rPr>
          <w:t xml:space="preserve"> paket instrumenata za djelovanje</w:t>
        </w:r>
      </w:hyperlink>
      <w:r>
        <w:rPr>
          <w:sz w:val="20"/>
        </w:rPr>
        <w:t>.</w:t>
      </w:r>
    </w:p>
  </w:footnote>
  <w:footnote w:id="41">
    <w:p w14:paraId="1B683025" w14:textId="77777777" w:rsidR="004A507A" w:rsidRPr="00B459D5" w:rsidRDefault="004A507A" w:rsidP="00555A2B">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Eurostat, </w:t>
      </w:r>
      <w:hyperlink r:id="rId40" w:history="1">
        <w:r>
          <w:rPr>
            <w:rStyle w:val="Hyperlink"/>
            <w:rFonts w:ascii="Times New Roman" w:hAnsi="Times New Roman"/>
          </w:rPr>
          <w:t>Istraživanje o radnoj snazi 2021.</w:t>
        </w:r>
      </w:hyperlink>
    </w:p>
  </w:footnote>
  <w:footnote w:id="42">
    <w:p w14:paraId="5C5C1BD1" w14:textId="4DD00D37" w:rsidR="009F5C54" w:rsidRPr="00B459D5" w:rsidRDefault="009F5C54" w:rsidP="00CA335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Vidjeti, na primjer,</w:t>
      </w:r>
      <w:r>
        <w:t xml:space="preserve"> </w:t>
      </w:r>
      <w:hyperlink r:id="rId41" w:history="1">
        <w:r>
          <w:rPr>
            <w:rStyle w:val="Hyperlink"/>
            <w:rFonts w:ascii="Times New Roman" w:hAnsi="Times New Roman"/>
          </w:rPr>
          <w:t>europsku platformu GovTech</w:t>
        </w:r>
      </w:hyperlink>
      <w:r>
        <w:rPr>
          <w:rFonts w:ascii="Times New Roman" w:hAnsi="Times New Roman"/>
        </w:rPr>
        <w:t>.</w:t>
      </w:r>
    </w:p>
  </w:footnote>
  <w:footnote w:id="43">
    <w:p w14:paraId="359156F9" w14:textId="13F662CB" w:rsidR="00510264" w:rsidRPr="00CA3355" w:rsidRDefault="00510264" w:rsidP="00CA3355">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hyperlink r:id="rId42" w:history="1">
        <w:r>
          <w:rPr>
            <w:rStyle w:val="Hyperlink"/>
            <w:rFonts w:ascii="Times New Roman" w:hAnsi="Times New Roman"/>
          </w:rPr>
          <w:t>Komisija pozdravlja ciljeve država članica koji se odnose na stvaranje Europe s istaknutijom socijalnom komponentom do 2030.</w:t>
        </w:r>
      </w:hyperlink>
    </w:p>
  </w:footnote>
  <w:footnote w:id="44">
    <w:p w14:paraId="39071A93" w14:textId="704988C2" w:rsidR="005837A6" w:rsidRPr="00AD3C82" w:rsidRDefault="005837A6" w:rsidP="00AD3C82">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Vidjeti bilješku 31. (Deklaracija iz Strasbourga).</w:t>
      </w:r>
    </w:p>
  </w:footnote>
  <w:footnote w:id="45">
    <w:p w14:paraId="04A48BBF" w14:textId="7E3ECEB6" w:rsidR="00AE0F59" w:rsidRPr="00AD3C82" w:rsidRDefault="00AE0F59" w:rsidP="00AD3C8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 sektorima kao što su carine i oporezivanje (</w:t>
      </w:r>
      <w:hyperlink r:id="rId43" w:history="1">
        <w:r>
          <w:rPr>
            <w:rStyle w:val="Hyperlink"/>
            <w:rFonts w:ascii="Times New Roman" w:hAnsi="Times New Roman"/>
          </w:rPr>
          <w:t>Program za zajedničko učenje</w:t>
        </w:r>
      </w:hyperlink>
      <w:r>
        <w:rPr>
          <w:rStyle w:val="Hyperlink"/>
          <w:rFonts w:ascii="Times New Roman" w:hAnsi="Times New Roman"/>
          <w:color w:val="auto"/>
        </w:rPr>
        <w:t>)</w:t>
      </w:r>
      <w:r>
        <w:rPr>
          <w:rFonts w:ascii="Times New Roman" w:hAnsi="Times New Roman"/>
        </w:rPr>
        <w:t>, javne službe za zapošljavanje (</w:t>
      </w:r>
      <w:hyperlink r:id="rId44" w:history="1">
        <w:r>
          <w:rPr>
            <w:rStyle w:val="Hyperlink"/>
            <w:rFonts w:ascii="Times New Roman" w:hAnsi="Times New Roman"/>
          </w:rPr>
          <w:t>Europska mreža javnih službi za zapošljavanje</w:t>
        </w:r>
      </w:hyperlink>
      <w:r>
        <w:rPr>
          <w:rStyle w:val="Hyperlink"/>
          <w:rFonts w:ascii="Times New Roman" w:hAnsi="Times New Roman"/>
          <w:color w:val="auto"/>
        </w:rPr>
        <w:t>)</w:t>
      </w:r>
      <w:r>
        <w:rPr>
          <w:rFonts w:ascii="Times New Roman" w:hAnsi="Times New Roman"/>
        </w:rPr>
        <w:t>, upravljanje EFRR-om, Kohezijskim fondom i Fondom za pravednu tranziciju (</w:t>
      </w:r>
      <w:hyperlink r:id="rId45" w:history="1">
        <w:r>
          <w:rPr>
            <w:rStyle w:val="Hyperlink"/>
            <w:rFonts w:ascii="Times New Roman" w:hAnsi="Times New Roman"/>
          </w:rPr>
          <w:t>REGIO Peer2Peer +</w:t>
        </w:r>
      </w:hyperlink>
      <w:r>
        <w:rPr>
          <w:rStyle w:val="Hyperlink"/>
          <w:rFonts w:ascii="Times New Roman" w:hAnsi="Times New Roman"/>
          <w:color w:val="auto"/>
        </w:rPr>
        <w:t>)</w:t>
      </w:r>
      <w:r>
        <w:rPr>
          <w:rFonts w:ascii="Times New Roman" w:hAnsi="Times New Roman"/>
        </w:rPr>
        <w:t>, provedba zakonodavstva o jedinstvenom tržištu (</w:t>
      </w:r>
      <w:hyperlink r:id="rId46" w:history="1">
        <w:r>
          <w:rPr>
            <w:rStyle w:val="Hyperlink"/>
            <w:rFonts w:ascii="Times New Roman" w:hAnsi="Times New Roman"/>
          </w:rPr>
          <w:t>Informacijski sustav unutarnjeg tržišta</w:t>
        </w:r>
      </w:hyperlink>
      <w:r>
        <w:rPr>
          <w:rStyle w:val="Hyperlink"/>
          <w:rFonts w:ascii="Times New Roman" w:hAnsi="Times New Roman"/>
          <w:color w:val="auto"/>
        </w:rPr>
        <w:t>)</w:t>
      </w:r>
      <w:r>
        <w:rPr>
          <w:rFonts w:ascii="Times New Roman" w:hAnsi="Times New Roman"/>
        </w:rPr>
        <w:t>, provedba strategije za podatke i upotreba umjetne inteligencije (</w:t>
      </w:r>
      <w:hyperlink r:id="rId47" w:history="1">
        <w:r>
          <w:rPr>
            <w:rStyle w:val="Hyperlink"/>
            <w:rFonts w:ascii="Times New Roman" w:hAnsi="Times New Roman"/>
          </w:rPr>
          <w:t>Radna skupina europskih centara za digitalne inovacije za umjetnu inteligenciju u javnim upravama</w:t>
        </w:r>
      </w:hyperlink>
      <w:r>
        <w:rPr>
          <w:rStyle w:val="Hyperlink"/>
          <w:rFonts w:ascii="Times New Roman" w:hAnsi="Times New Roman"/>
          <w:color w:val="auto"/>
        </w:rPr>
        <w:t>)</w:t>
      </w:r>
      <w:r>
        <w:rPr>
          <w:rFonts w:ascii="Times New Roman" w:hAnsi="Times New Roman"/>
        </w:rPr>
        <w:t>, istraživanje i inovacije (</w:t>
      </w:r>
      <w:hyperlink r:id="rId48" w:history="1">
        <w:r>
          <w:rPr>
            <w:rStyle w:val="Hyperlink"/>
            <w:rFonts w:ascii="Times New Roman" w:hAnsi="Times New Roman"/>
          </w:rPr>
          <w:t>Uzajamno učenje o pitanjima politike istraživanja i inovacija</w:t>
        </w:r>
      </w:hyperlink>
      <w:r>
        <w:rPr>
          <w:rStyle w:val="Hyperlink"/>
          <w:rFonts w:ascii="Times New Roman" w:hAnsi="Times New Roman"/>
          <w:color w:val="auto"/>
        </w:rPr>
        <w:t>)</w:t>
      </w:r>
      <w:r>
        <w:rPr>
          <w:rFonts w:ascii="Times New Roman" w:hAnsi="Times New Roman"/>
        </w:rPr>
        <w:t>, službene publikacije (</w:t>
      </w:r>
      <w:hyperlink r:id="rId49" w:history="1">
        <w:r>
          <w:rPr>
            <w:rStyle w:val="Hyperlink"/>
            <w:rFonts w:ascii="Times New Roman" w:hAnsi="Times New Roman"/>
          </w:rPr>
          <w:t>Europski forum za službene listove</w:t>
        </w:r>
      </w:hyperlink>
      <w:r>
        <w:rPr>
          <w:rStyle w:val="Hyperlink"/>
          <w:rFonts w:ascii="Times New Roman" w:hAnsi="Times New Roman"/>
          <w:color w:val="auto"/>
        </w:rPr>
        <w:t>)</w:t>
      </w:r>
      <w:r>
        <w:rPr>
          <w:rFonts w:ascii="Times New Roman" w:hAnsi="Times New Roman"/>
        </w:rPr>
        <w:t>.</w:t>
      </w:r>
    </w:p>
  </w:footnote>
  <w:footnote w:id="46">
    <w:p w14:paraId="7E44FE8D" w14:textId="241F6CDF" w:rsidR="00803BB0" w:rsidRPr="00AD3C82" w:rsidRDefault="00803BB0" w:rsidP="00AD3C8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Vidjeti bilješku 30. (neformalni sastanak ministara javne uprave).</w:t>
      </w:r>
    </w:p>
  </w:footnote>
  <w:footnote w:id="47">
    <w:p w14:paraId="0080270D" w14:textId="22D3421A" w:rsidR="00D37BEA" w:rsidRPr="00AD3C82" w:rsidRDefault="00D37BEA" w:rsidP="00AD3C82">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w:t>
      </w:r>
      <w:hyperlink r:id="rId50" w:history="1">
        <w:r>
          <w:rPr>
            <w:rStyle w:val="Hyperlink"/>
            <w:rFonts w:ascii="Times New Roman" w:hAnsi="Times New Roman"/>
          </w:rPr>
          <w:t>Vodeća inicijativa PACE 2023</w:t>
        </w:r>
      </w:hyperlink>
      <w:r>
        <w:rPr>
          <w:rStyle w:val="Hyperlink"/>
          <w:rFonts w:ascii="Times New Roman" w:hAnsi="Times New Roman"/>
        </w:rPr>
        <w:t>.</w:t>
      </w:r>
      <w:r>
        <w:rPr>
          <w:rFonts w:ascii="Times New Roman" w:hAnsi="Times New Roman"/>
        </w:rPr>
        <w:t xml:space="preserve"> </w:t>
      </w:r>
    </w:p>
  </w:footnote>
  <w:footnote w:id="48">
    <w:p w14:paraId="584E95A9" w14:textId="08A157F3" w:rsidR="00803BB0" w:rsidRPr="00AD3C82" w:rsidRDefault="00803BB0" w:rsidP="00AD3C82">
      <w:pPr>
        <w:pStyle w:val="FootnoteText"/>
        <w:jc w:val="both"/>
      </w:pPr>
      <w:r>
        <w:rPr>
          <w:rStyle w:val="FootnoteReference"/>
          <w:rFonts w:ascii="Times New Roman" w:hAnsi="Times New Roman" w:cs="Times New Roman"/>
        </w:rPr>
        <w:footnoteRef/>
      </w:r>
      <w:r>
        <w:rPr>
          <w:rFonts w:ascii="Times New Roman" w:hAnsi="Times New Roman"/>
        </w:rPr>
        <w:t xml:space="preserve"> S pomoću proračuna za administrativne troškove.</w:t>
      </w:r>
    </w:p>
  </w:footnote>
  <w:footnote w:id="49">
    <w:p w14:paraId="311FD0AB" w14:textId="40D68F0C" w:rsidR="00250A0C" w:rsidRPr="00B459D5" w:rsidRDefault="00250A0C" w:rsidP="00E60BE5">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Broj članova osoblja javne uprave na središnjoj, regionalnoj i lokalnoj razini procjenjuje se na temelju nacionalnih izvješća. Ne temelji se na usklađenoj metodologiji o području primjene javne uprave. Broj članova osoblja javnog sektora izračunava se na temelju podataka Eurostata iz ankete o radnoj snazi EU-a (2022.). </w:t>
      </w:r>
    </w:p>
  </w:footnote>
  <w:footnote w:id="50">
    <w:p w14:paraId="194ADB82" w14:textId="7B522564" w:rsidR="00A7137A" w:rsidRPr="00B459D5" w:rsidRDefault="00A7137A" w:rsidP="00E60BE5">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Kao što je</w:t>
      </w:r>
      <w:r>
        <w:t xml:space="preserve"> </w:t>
      </w:r>
      <w:hyperlink r:id="rId51" w:history="1">
        <w:r>
          <w:rPr>
            <w:rStyle w:val="Hyperlink"/>
            <w:rFonts w:ascii="Times New Roman" w:hAnsi="Times New Roman"/>
          </w:rPr>
          <w:t>Mreža znanja EU-a u području civilne zaštite</w:t>
        </w:r>
      </w:hyperlink>
      <w:r>
        <w:rPr>
          <w:rStyle w:val="Hyperlink"/>
          <w:rFonts w:ascii="Times New Roman" w:hAnsi="Times New Roman"/>
        </w:rPr>
        <w:t>.</w:t>
      </w:r>
    </w:p>
  </w:footnote>
  <w:footnote w:id="51">
    <w:p w14:paraId="67D3B875" w14:textId="19716DAF" w:rsidR="00A7137A" w:rsidRPr="00CA3355" w:rsidRDefault="00A7137A" w:rsidP="00E60BE5">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Kao što je</w:t>
      </w:r>
      <w:r>
        <w:t xml:space="preserve"> </w:t>
      </w:r>
      <w:hyperlink r:id="rId52" w:history="1">
        <w:r>
          <w:rPr>
            <w:rStyle w:val="Hyperlink"/>
            <w:rFonts w:ascii="Times New Roman" w:hAnsi="Times New Roman"/>
          </w:rPr>
          <w:t>Platforma zajednice javnih kupaca</w:t>
        </w:r>
      </w:hyperlink>
      <w:r>
        <w:rPr>
          <w:rStyle w:val="Hyperlink"/>
        </w:rPr>
        <w:t>.</w:t>
      </w:r>
      <w:r>
        <w:rPr>
          <w:rFonts w:ascii="Times New Roman" w:hAnsi="Times New Roman"/>
        </w:rPr>
        <w:t xml:space="preserve"> </w:t>
      </w:r>
    </w:p>
  </w:footnote>
  <w:footnote w:id="52">
    <w:p w14:paraId="3FE78C2C" w14:textId="30ED984C" w:rsidR="00EB05DB" w:rsidRPr="00B459D5" w:rsidRDefault="00EB05DB" w:rsidP="00711377">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w:t>
      </w:r>
      <w:hyperlink r:id="rId53" w:history="1">
        <w:r>
          <w:rPr>
            <w:rStyle w:val="Hyperlink"/>
            <w:rFonts w:ascii="Times New Roman" w:hAnsi="Times New Roman"/>
          </w:rPr>
          <w:t>EU Academy</w:t>
        </w:r>
      </w:hyperlink>
      <w:r>
        <w:rPr>
          <w:rStyle w:val="Hyperlink"/>
          <w:rFonts w:ascii="Times New Roman" w:hAnsi="Times New Roman"/>
        </w:rPr>
        <w:t>.</w:t>
      </w:r>
    </w:p>
  </w:footnote>
  <w:footnote w:id="53">
    <w:p w14:paraId="0963579C" w14:textId="77AAB0CA" w:rsidR="00902721" w:rsidRPr="00E60BE5" w:rsidRDefault="00055DA4" w:rsidP="00F279B3">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Rezolucija Europskog odbora regija –</w:t>
      </w:r>
      <w:r>
        <w:t xml:space="preserve"> </w:t>
      </w:r>
      <w:hyperlink r:id="rId54" w:history="1">
        <w:r>
          <w:rPr>
            <w:rStyle w:val="Hyperlink"/>
            <w:rFonts w:ascii="Times New Roman" w:hAnsi="Times New Roman"/>
            <w:shd w:val="clear" w:color="auto" w:fill="FFFFFF"/>
          </w:rPr>
          <w:t>Zeleni plan u partnerstvu s lokalnim i regionalnim vlastima (2020/C 79/01)</w:t>
        </w:r>
      </w:hyperlink>
      <w:r>
        <w:rPr>
          <w:rFonts w:ascii="Times New Roman" w:hAnsi="Times New Roman"/>
        </w:rPr>
        <w:t>.</w:t>
      </w:r>
    </w:p>
  </w:footnote>
  <w:footnote w:id="54">
    <w:p w14:paraId="44408CFB" w14:textId="526B1A73" w:rsidR="00130A70" w:rsidRPr="00B459D5" w:rsidRDefault="00130A70" w:rsidP="00CA3355">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Rashodi lokalnih vlasti EU-a u tim sektorima 2021. činili su 71 % (zaštita okoliša), 70 % (stanovanje i komunalne usluge), 53 % (rekreacija, kultura i religija) odnosno 36 % (obrazovanje) ukupnih rashoda opće države.</w:t>
      </w:r>
    </w:p>
  </w:footnote>
  <w:footnote w:id="55">
    <w:p w14:paraId="70D3A61E" w14:textId="23406EED" w:rsidR="00B30BB6" w:rsidRPr="00B459D5" w:rsidRDefault="00B30BB6" w:rsidP="00CA335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69 % općina izjavilo je da nema dovoljno stručnjaka s vještinama u području okoliša i klime te osoblja s tehničkim i inženjerskim stručnim znanjem. </w:t>
      </w:r>
      <w:hyperlink r:id="rId55" w:history="1">
        <w:r>
          <w:rPr>
            <w:rStyle w:val="Hyperlink"/>
            <w:rFonts w:ascii="Times New Roman" w:hAnsi="Times New Roman"/>
          </w:rPr>
          <w:t>Istraživanje EIB-a o općinama 2022.–2023.</w:t>
        </w:r>
      </w:hyperlink>
      <w:r>
        <w:rPr>
          <w:rFonts w:ascii="Times New Roman" w:hAnsi="Times New Roman"/>
        </w:rPr>
        <w:t xml:space="preserve"> </w:t>
      </w:r>
    </w:p>
  </w:footnote>
  <w:footnote w:id="56">
    <w:p w14:paraId="677BFF43" w14:textId="3C1447A2" w:rsidR="009F6808" w:rsidRPr="00812560" w:rsidRDefault="009F6808" w:rsidP="00CA335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6" w:history="1">
        <w:r>
          <w:rPr>
            <w:rStyle w:val="Hyperlink"/>
            <w:rFonts w:ascii="Times New Roman" w:hAnsi="Times New Roman"/>
          </w:rPr>
          <w:t>Vodeća inicijativa Instrumenta za tehničku potporu 2024. – Prevladavanje prepreka regionalnom razvoju</w:t>
        </w:r>
      </w:hyperlink>
      <w:r>
        <w:rPr>
          <w:rFonts w:ascii="Times New Roman" w:hAnsi="Times New Roman"/>
        </w:rPr>
        <w:t xml:space="preserve">. </w:t>
      </w:r>
    </w:p>
  </w:footnote>
  <w:footnote w:id="57">
    <w:p w14:paraId="65D5FEDA" w14:textId="2E3DB2BF" w:rsidR="00D470B6" w:rsidRPr="00B459D5" w:rsidRDefault="00D470B6" w:rsidP="00E60BE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Odgovarajući redoslijed: </w:t>
      </w:r>
      <w:hyperlink r:id="rId57" w:history="1">
        <w:r>
          <w:rPr>
            <w:rStyle w:val="Hyperlink"/>
            <w:rFonts w:ascii="Times New Roman" w:hAnsi="Times New Roman"/>
          </w:rPr>
          <w:t>okviri kompetencija za oblikovatelje politika i istraživače</w:t>
        </w:r>
      </w:hyperlink>
      <w:r>
        <w:rPr>
          <w:rFonts w:ascii="Times New Roman" w:hAnsi="Times New Roman"/>
        </w:rPr>
        <w:t xml:space="preserve">, </w:t>
      </w:r>
      <w:hyperlink r:id="rId58" w:history="1">
        <w:r>
          <w:rPr>
            <w:rStyle w:val="Hyperlink"/>
            <w:rFonts w:ascii="Times New Roman" w:hAnsi="Times New Roman"/>
          </w:rPr>
          <w:t>EU-ov okvir kompetencija za upravljanje i provedbu EFRR-a i Kohezijskog fonda</w:t>
        </w:r>
      </w:hyperlink>
      <w:r>
        <w:rPr>
          <w:rFonts w:ascii="Times New Roman" w:hAnsi="Times New Roman"/>
        </w:rPr>
        <w:t xml:space="preserve">, </w:t>
      </w:r>
      <w:hyperlink r:id="rId59" w:history="1">
        <w:r>
          <w:rPr>
            <w:rStyle w:val="Hyperlink"/>
            <w:rFonts w:ascii="Times New Roman" w:hAnsi="Times New Roman"/>
          </w:rPr>
          <w:t>EU-ov okvir kompetencija za stručnjake za javnu nabavu</w:t>
        </w:r>
      </w:hyperlink>
      <w:r>
        <w:rPr>
          <w:rFonts w:ascii="Times New Roman" w:hAnsi="Times New Roman"/>
        </w:rPr>
        <w:t xml:space="preserve">, </w:t>
      </w:r>
      <w:hyperlink r:id="rId60" w:history="1">
        <w:r>
          <w:rPr>
            <w:rStyle w:val="Hyperlink"/>
            <w:rFonts w:ascii="Times New Roman" w:hAnsi="Times New Roman"/>
          </w:rPr>
          <w:t>EU-ov okvir kompetencija za oporezivanje</w:t>
        </w:r>
      </w:hyperlink>
      <w:r>
        <w:rPr>
          <w:rStyle w:val="Hyperlink"/>
          <w:rFonts w:ascii="Times New Roman" w:hAnsi="Times New Roman"/>
          <w:u w:val="none"/>
        </w:rPr>
        <w:t xml:space="preserve">, </w:t>
      </w:r>
      <w:hyperlink r:id="rId61" w:anchor="customs-tab" w:history="1">
        <w:r>
          <w:rPr>
            <w:rStyle w:val="Hyperlink"/>
            <w:rFonts w:ascii="Times New Roman" w:hAnsi="Times New Roman"/>
          </w:rPr>
          <w:t>EU-ov okvir kompetencija za carinski sektor</w:t>
        </w:r>
      </w:hyperlink>
      <w:r>
        <w:rPr>
          <w:rStyle w:val="Hyperlink"/>
          <w:rFonts w:ascii="Times New Roman" w:hAnsi="Times New Roman"/>
          <w:color w:val="auto"/>
          <w:u w:val="none"/>
        </w:rPr>
        <w:t xml:space="preserve">, </w:t>
      </w:r>
      <w:hyperlink r:id="rId62" w:history="1">
        <w:r>
          <w:rPr>
            <w:rStyle w:val="Hyperlink"/>
            <w:rFonts w:ascii="Times New Roman" w:hAnsi="Times New Roman"/>
          </w:rPr>
          <w:t>interoperabilnost javnog sektora</w:t>
        </w:r>
      </w:hyperlink>
      <w:r>
        <w:rPr>
          <w:rFonts w:ascii="Times New Roman" w:hAnsi="Times New Roman"/>
        </w:rPr>
        <w:t xml:space="preserve"> i </w:t>
      </w:r>
      <w:hyperlink r:id="rId63" w:history="1">
        <w:r>
          <w:rPr>
            <w:rStyle w:val="Hyperlink"/>
            <w:rFonts w:ascii="Times New Roman" w:hAnsi="Times New Roman"/>
          </w:rPr>
          <w:t>metodologija upravljanja projektima</w:t>
        </w:r>
      </w:hyperlink>
      <w:r>
        <w:rPr>
          <w:rStyle w:val="Hyperlink"/>
          <w:rFonts w:ascii="Times New Roman" w:hAnsi="Times New Roman"/>
        </w:rPr>
        <w:t>.</w:t>
      </w:r>
    </w:p>
  </w:footnote>
  <w:footnote w:id="58">
    <w:p w14:paraId="31BD600F" w14:textId="4F304E87" w:rsidR="005221D6" w:rsidRPr="00B459D5" w:rsidRDefault="005221D6" w:rsidP="00E60BE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Uzimajući u obzir </w:t>
      </w:r>
      <w:hyperlink r:id="rId64" w:anchor=":~:text=The%20DigComp%20framework%20identifies%20the,the%20source%20and%20its%20content." w:history="1">
        <w:r>
          <w:rPr>
            <w:rStyle w:val="Hyperlink"/>
            <w:rFonts w:ascii="Times New Roman" w:hAnsi="Times New Roman"/>
          </w:rPr>
          <w:t>Okvir digitalnih kompetencija za građane</w:t>
        </w:r>
      </w:hyperlink>
      <w:r>
        <w:rPr>
          <w:rStyle w:val="Hyperlink"/>
          <w:rFonts w:ascii="Times New Roman" w:hAnsi="Times New Roman"/>
          <w:u w:val="none"/>
        </w:rPr>
        <w:t xml:space="preserve">, </w:t>
      </w:r>
      <w:hyperlink r:id="rId65" w:history="1">
        <w:r>
          <w:rPr>
            <w:rStyle w:val="Hyperlink"/>
            <w:rFonts w:ascii="Times New Roman" w:hAnsi="Times New Roman"/>
          </w:rPr>
          <w:t>Europski okvir poduzetničkih kompetencija</w:t>
        </w:r>
      </w:hyperlink>
      <w:r>
        <w:rPr>
          <w:rStyle w:val="Hyperlink"/>
          <w:rFonts w:ascii="Times New Roman" w:hAnsi="Times New Roman"/>
          <w:u w:val="none"/>
        </w:rPr>
        <w:t xml:space="preserve"> </w:t>
      </w:r>
      <w:r>
        <w:rPr>
          <w:rFonts w:ascii="Times New Roman" w:hAnsi="Times New Roman"/>
        </w:rPr>
        <w:t xml:space="preserve">i </w:t>
      </w:r>
      <w:hyperlink r:id="rId66" w:history="1">
        <w:r>
          <w:rPr>
            <w:rStyle w:val="Hyperlink"/>
            <w:rFonts w:ascii="Times New Roman" w:hAnsi="Times New Roman"/>
          </w:rPr>
          <w:t>EU-ov okvir kompetencija za održivost</w:t>
        </w:r>
      </w:hyperlink>
      <w:r>
        <w:rPr>
          <w:rStyle w:val="Hyperlink"/>
          <w:rFonts w:ascii="Times New Roman" w:hAnsi="Times New Roman"/>
        </w:rPr>
        <w:t>.</w:t>
      </w:r>
    </w:p>
  </w:footnote>
  <w:footnote w:id="59">
    <w:p w14:paraId="7DF658A7" w14:textId="560E6673" w:rsidR="00343B6F" w:rsidRPr="00E60BE5" w:rsidRDefault="00343B6F" w:rsidP="00E60BE5">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Style w:val="FootnoteReference"/>
          <w:rFonts w:ascii="Times New Roman" w:hAnsi="Times New Roman"/>
          <w:vertAlign w:val="baseline"/>
        </w:rPr>
        <w:t xml:space="preserve"> </w:t>
      </w:r>
      <w:hyperlink r:id="rId67" w:history="1">
        <w:r>
          <w:rPr>
            <w:rStyle w:val="Hyperlink"/>
            <w:rFonts w:ascii="Times New Roman" w:hAnsi="Times New Roman"/>
          </w:rPr>
          <w:t>Paket instrumenata za kvalitetu javne uprave (iz 2017.)</w:t>
        </w:r>
      </w:hyperlink>
      <w:r>
        <w:rPr>
          <w:rFonts w:ascii="Times New Roman" w:hAnsi="Times New Roman"/>
        </w:rPr>
        <w:t xml:space="preserve"> </w:t>
      </w:r>
    </w:p>
  </w:footnote>
  <w:footnote w:id="60">
    <w:p w14:paraId="096357C3" w14:textId="7378CC62" w:rsidR="00902721" w:rsidRPr="00B459D5" w:rsidRDefault="00055DA4" w:rsidP="00E60BE5">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vertAlign w:val="superscript"/>
        </w:rPr>
        <w:t xml:space="preserve"> </w:t>
      </w:r>
      <w:hyperlink r:id="rId68" w:history="1">
        <w:r>
          <w:rPr>
            <w:rStyle w:val="Hyperlink"/>
            <w:rFonts w:ascii="Times New Roman" w:hAnsi="Times New Roman"/>
          </w:rPr>
          <w:t>Provedbena uredba Komisije (EU) 2022/1463 o utvrđivanju tehničkih i operativnih specifikacija tehničkog sustava za prekograničnu automatiziranu razmjenu dokaza i primjenu načela „samo jednom”</w:t>
        </w:r>
      </w:hyperlink>
      <w:r>
        <w:rPr>
          <w:rFonts w:ascii="Times New Roman" w:hAnsi="Times New Roman"/>
        </w:rPr>
        <w:t>.</w:t>
      </w:r>
    </w:p>
  </w:footnote>
  <w:footnote w:id="61">
    <w:p w14:paraId="096357C4" w14:textId="5511868F" w:rsidR="00902721" w:rsidRPr="00B459D5" w:rsidRDefault="00055DA4" w:rsidP="00E60BE5">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Vidjeti bilješku 16. (Izvješće o trošku slabih rezultata u javnoj upravi).</w:t>
      </w:r>
    </w:p>
  </w:footnote>
  <w:footnote w:id="62">
    <w:p w14:paraId="55812575" w14:textId="4F5CAA51" w:rsidR="004E0542" w:rsidRPr="00B459D5" w:rsidRDefault="004E0542" w:rsidP="00E60BE5">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Europska komisija, SWD(2022) 721,</w:t>
      </w:r>
      <w:hyperlink r:id="rId69" w:history="1">
        <w:r>
          <w:rPr>
            <w:rStyle w:val="Hyperlink"/>
            <w:rFonts w:ascii="Times New Roman" w:hAnsi="Times New Roman"/>
          </w:rPr>
          <w:t xml:space="preserve"> Izvješće o procjeni učinka Prijedloga akta o interoperabilnoj Europi</w:t>
        </w:r>
      </w:hyperlink>
      <w:r>
        <w:rPr>
          <w:rStyle w:val="Hyperlink"/>
          <w:rFonts w:ascii="Times New Roman" w:hAnsi="Times New Roman"/>
        </w:rPr>
        <w:t>.</w:t>
      </w:r>
    </w:p>
  </w:footnote>
  <w:footnote w:id="63">
    <w:p w14:paraId="5533F740" w14:textId="77777777" w:rsidR="00AA05A9" w:rsidRPr="00947A05" w:rsidRDefault="00AA05A9" w:rsidP="00B15EA9">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vertAlign w:val="superscript"/>
        </w:rPr>
        <w:t xml:space="preserve"> </w:t>
      </w:r>
      <w:r>
        <w:rPr>
          <w:rFonts w:ascii="Times New Roman" w:hAnsi="Times New Roman"/>
        </w:rPr>
        <w:t xml:space="preserve">Regulatorni okvir za digitalizaciju uključuje predloženi </w:t>
      </w:r>
      <w:hyperlink r:id="rId70" w:history="1">
        <w:r>
          <w:rPr>
            <w:rStyle w:val="Hyperlink"/>
            <w:rFonts w:ascii="Times New Roman" w:hAnsi="Times New Roman"/>
          </w:rPr>
          <w:t>Akt o podacima</w:t>
        </w:r>
      </w:hyperlink>
      <w:r>
        <w:rPr>
          <w:rFonts w:ascii="Times New Roman" w:hAnsi="Times New Roman"/>
        </w:rPr>
        <w:t xml:space="preserve">, </w:t>
      </w:r>
      <w:hyperlink r:id="rId71" w:history="1">
        <w:r>
          <w:rPr>
            <w:rStyle w:val="Hyperlink"/>
            <w:rFonts w:ascii="Times New Roman" w:hAnsi="Times New Roman"/>
          </w:rPr>
          <w:t>Direktivu o otvorenim podacima</w:t>
        </w:r>
      </w:hyperlink>
      <w:r>
        <w:rPr>
          <w:rFonts w:ascii="Times New Roman" w:hAnsi="Times New Roman"/>
        </w:rPr>
        <w:t xml:space="preserve"> i s njome povezanu </w:t>
      </w:r>
      <w:hyperlink r:id="rId72" w:history="1">
        <w:r>
          <w:rPr>
            <w:rStyle w:val="Hyperlink"/>
            <w:rFonts w:ascii="Times New Roman" w:hAnsi="Times New Roman"/>
          </w:rPr>
          <w:t>Provedbenu uredbu o visokovrijednim skupovima podataka</w:t>
        </w:r>
      </w:hyperlink>
      <w:r>
        <w:rPr>
          <w:rFonts w:ascii="Times New Roman" w:hAnsi="Times New Roman"/>
        </w:rPr>
        <w:t xml:space="preserve">, </w:t>
      </w:r>
      <w:hyperlink r:id="rId73" w:history="1">
        <w:r>
          <w:rPr>
            <w:rStyle w:val="Hyperlink"/>
            <w:rFonts w:ascii="Times New Roman" w:hAnsi="Times New Roman"/>
          </w:rPr>
          <w:t>Akt o upravljanju podacima</w:t>
        </w:r>
      </w:hyperlink>
      <w:r>
        <w:rPr>
          <w:rFonts w:ascii="Times New Roman" w:hAnsi="Times New Roman"/>
        </w:rPr>
        <w:t xml:space="preserve">, predloženi </w:t>
      </w:r>
      <w:hyperlink r:id="rId74" w:history="1">
        <w:r>
          <w:rPr>
            <w:rStyle w:val="Hyperlink"/>
            <w:rFonts w:ascii="Times New Roman" w:hAnsi="Times New Roman"/>
          </w:rPr>
          <w:t>Akt o umjetnoj inteligenciji</w:t>
        </w:r>
      </w:hyperlink>
      <w:r>
        <w:rPr>
          <w:rFonts w:ascii="Times New Roman" w:hAnsi="Times New Roman"/>
        </w:rPr>
        <w:t xml:space="preserve">, predloženi </w:t>
      </w:r>
      <w:hyperlink r:id="rId75" w:history="1">
        <w:r>
          <w:rPr>
            <w:rStyle w:val="Hyperlink"/>
            <w:rFonts w:ascii="Times New Roman" w:hAnsi="Times New Roman"/>
          </w:rPr>
          <w:t>Akt o interoperabilnoj Europi</w:t>
        </w:r>
      </w:hyperlink>
      <w:r>
        <w:rPr>
          <w:rFonts w:ascii="Times New Roman" w:hAnsi="Times New Roman"/>
        </w:rPr>
        <w:t xml:space="preserve">, </w:t>
      </w:r>
      <w:hyperlink r:id="rId76" w:history="1">
        <w:r>
          <w:rPr>
            <w:rStyle w:val="Hyperlink"/>
            <w:rFonts w:ascii="Times New Roman" w:hAnsi="Times New Roman"/>
          </w:rPr>
          <w:t>Akt o digitalnim tržištima</w:t>
        </w:r>
      </w:hyperlink>
      <w:r>
        <w:rPr>
          <w:rFonts w:ascii="Times New Roman" w:hAnsi="Times New Roman"/>
        </w:rPr>
        <w:t xml:space="preserve"> i </w:t>
      </w:r>
      <w:hyperlink r:id="rId77" w:history="1">
        <w:r>
          <w:rPr>
            <w:rStyle w:val="Hyperlink"/>
            <w:rFonts w:ascii="Times New Roman" w:hAnsi="Times New Roman"/>
          </w:rPr>
          <w:t>Akt o digitalnim uslugama</w:t>
        </w:r>
      </w:hyperlink>
      <w:r>
        <w:rPr>
          <w:rFonts w:ascii="Times New Roman" w:hAnsi="Times New Roman"/>
        </w:rPr>
        <w:t>.</w:t>
      </w:r>
    </w:p>
  </w:footnote>
  <w:footnote w:id="64">
    <w:p w14:paraId="41C5D3B4" w14:textId="345DDB0F" w:rsidR="00D2561E" w:rsidRPr="00B536A8" w:rsidRDefault="00D2561E" w:rsidP="00B536A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Europska komisija, COM(2022) 710 final, </w:t>
      </w:r>
      <w:hyperlink r:id="rId78" w:history="1">
        <w:r>
          <w:rPr>
            <w:rStyle w:val="Hyperlink"/>
            <w:rFonts w:ascii="Times New Roman" w:hAnsi="Times New Roman"/>
          </w:rPr>
          <w:t>Ojačana politika interoperabilnosti javnog sektora</w:t>
        </w:r>
      </w:hyperlink>
      <w:r>
        <w:rPr>
          <w:rFonts w:ascii="Times New Roman" w:hAnsi="Times New Roman"/>
        </w:rPr>
        <w:t xml:space="preserve">. </w:t>
      </w:r>
    </w:p>
  </w:footnote>
  <w:footnote w:id="65">
    <w:p w14:paraId="21430356" w14:textId="7876887D" w:rsidR="00D21546" w:rsidRPr="00B536A8" w:rsidRDefault="00D21546" w:rsidP="00B536A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9" w:history="1">
        <w:r>
          <w:rPr>
            <w:rStyle w:val="Hyperlink"/>
            <w:rFonts w:ascii="Times New Roman" w:hAnsi="Times New Roman"/>
          </w:rPr>
          <w:t>Direktiva (EU) 2022/2555 Europskog parlamenta i Vijeća od 14. prosinca 2022. o mjerama za visoku zajedničku razinu kibersigurnosti širom Unije</w:t>
        </w:r>
      </w:hyperlink>
      <w:r>
        <w:rPr>
          <w:rFonts w:ascii="Times New Roman" w:hAnsi="Times New Roman"/>
        </w:rPr>
        <w:t xml:space="preserve">. </w:t>
      </w:r>
    </w:p>
  </w:footnote>
  <w:footnote w:id="66">
    <w:p w14:paraId="784CDA3B" w14:textId="475EBBAD" w:rsidR="00EF222C" w:rsidRPr="00B536A8" w:rsidRDefault="00EF222C" w:rsidP="00B536A8">
      <w:pPr>
        <w:pStyle w:val="FootnoteText"/>
        <w:jc w:val="both"/>
        <w:rPr>
          <w:rFonts w:ascii="Times New Roman" w:eastAsia="Calibri"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Kao nastavak na nedavno planiranje praćenja interoperabilnosti i digitalne transformacije i utvrđivanje mogućnosti za pojednostavnjenje europskog praćenja digitalnih politika koje provodi Zajednički istraživački centar Europske komisije.</w:t>
      </w:r>
    </w:p>
  </w:footnote>
  <w:footnote w:id="67">
    <w:p w14:paraId="1EC2F71B" w14:textId="1852C486" w:rsidR="00727B1B" w:rsidRPr="00B536A8" w:rsidRDefault="00727B1B" w:rsidP="00B536A8">
      <w:pPr>
        <w:pStyle w:val="FootnoteText"/>
        <w:jc w:val="both"/>
        <w:rPr>
          <w:rStyle w:val="Hyperlink"/>
          <w:rFonts w:ascii="Times New Roman" w:hAnsi="Times New Roman" w:cs="Times New Roman"/>
        </w:rPr>
      </w:pPr>
      <w:r>
        <w:rPr>
          <w:rStyle w:val="FootnoteReference"/>
          <w:rFonts w:ascii="Times New Roman" w:hAnsi="Times New Roman" w:cs="Times New Roman"/>
          <w:lang w:val="en-GB"/>
        </w:rPr>
        <w:footnoteRef/>
      </w:r>
      <w:r>
        <w:rPr>
          <w:rStyle w:val="FootnoteReference"/>
          <w:rFonts w:ascii="Times New Roman" w:hAnsi="Times New Roman"/>
        </w:rPr>
        <w:t xml:space="preserve"> </w:t>
      </w:r>
      <w:r>
        <w:rPr>
          <w:rFonts w:ascii="Times New Roman" w:hAnsi="Times New Roman"/>
        </w:rPr>
        <w:t xml:space="preserve"> Europska komisija, Zajednički istraživački centar,</w:t>
      </w:r>
      <w:hyperlink r:id="rId80" w:history="1">
        <w:r>
          <w:rPr>
            <w:rStyle w:val="Hyperlink"/>
            <w:rFonts w:ascii="Times New Roman" w:hAnsi="Times New Roman"/>
          </w:rPr>
          <w:t xml:space="preserve"> AI Watch.</w:t>
        </w:r>
      </w:hyperlink>
      <w:hyperlink r:id="rId81" w:history="1">
        <w:r>
          <w:rPr>
            <w:rStyle w:val="Hyperlink"/>
            <w:rFonts w:ascii="Times New Roman" w:hAnsi="Times New Roman"/>
          </w:rPr>
          <w:t xml:space="preserve"> </w:t>
        </w:r>
        <w:r>
          <w:rPr>
            <w:rStyle w:val="Hyperlink"/>
            <w:rFonts w:ascii="Times New Roman" w:hAnsi="Times New Roman"/>
            <w:i/>
            <w:iCs/>
          </w:rPr>
          <w:t>European landscape on the use of Artificial Intelligence by the Public Sector</w:t>
        </w:r>
      </w:hyperlink>
      <w:r>
        <w:rPr>
          <w:rFonts w:ascii="Times New Roman" w:hAnsi="Times New Roman"/>
        </w:rPr>
        <w:t xml:space="preserve"> (AI Watch. Europsko okružje za upotrebu umjetne inteligencije u javnom sektoru), </w:t>
      </w:r>
      <w:hyperlink r:id="rId82" w:history="1">
        <w:r>
          <w:rPr>
            <w:rStyle w:val="Hyperlink"/>
            <w:rFonts w:ascii="Times New Roman" w:hAnsi="Times New Roman"/>
            <w:i/>
            <w:iCs/>
          </w:rPr>
          <w:t>European Landscape on the Use of Blockchain Technology by the Public Sector</w:t>
        </w:r>
      </w:hyperlink>
      <w:r>
        <w:rPr>
          <w:rFonts w:ascii="Times New Roman" w:hAnsi="Times New Roman"/>
        </w:rPr>
        <w:t xml:space="preserve"> (Europsko okružje za upotrebu tehnologije lanca blokova u javnom sektoru) i </w:t>
      </w:r>
      <w:hyperlink r:id="rId83" w:history="1">
        <w:r>
          <w:rPr>
            <w:rStyle w:val="Hyperlink"/>
            <w:rFonts w:ascii="Times New Roman" w:hAnsi="Times New Roman"/>
            <w:i/>
            <w:iCs/>
          </w:rPr>
          <w:t>Next generation virtual worlds:</w:t>
        </w:r>
      </w:hyperlink>
      <w:hyperlink r:id="rId84" w:history="1">
        <w:r>
          <w:rPr>
            <w:rStyle w:val="Hyperlink"/>
            <w:rFonts w:ascii="Times New Roman" w:hAnsi="Times New Roman"/>
            <w:i/>
            <w:iCs/>
          </w:rPr>
          <w:t xml:space="preserve"> opportunities, challenges, and policy implications</w:t>
        </w:r>
      </w:hyperlink>
      <w:r>
        <w:rPr>
          <w:rFonts w:ascii="Times New Roman" w:hAnsi="Times New Roman"/>
        </w:rPr>
        <w:t xml:space="preserve"> (Virtualni svjetovi sljedeće generacije: prilike, izazovi i posljedice za politike).</w:t>
      </w:r>
    </w:p>
  </w:footnote>
  <w:footnote w:id="68">
    <w:p w14:paraId="22BA1D6F" w14:textId="5610486B" w:rsidR="00394FF5" w:rsidRPr="00004633" w:rsidRDefault="00394FF5" w:rsidP="00B536A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Vidjeti </w:t>
      </w:r>
      <w:hyperlink r:id="rId85" w:history="1">
        <w:r>
          <w:rPr>
            <w:rStyle w:val="Hyperlink"/>
            <w:rFonts w:ascii="Times New Roman" w:hAnsi="Times New Roman"/>
          </w:rPr>
          <w:t>JoinUp</w:t>
        </w:r>
      </w:hyperlink>
      <w:r>
        <w:rPr>
          <w:rFonts w:ascii="Times New Roman" w:hAnsi="Times New Roman"/>
        </w:rPr>
        <w:t>.</w:t>
      </w:r>
    </w:p>
  </w:footnote>
  <w:footnote w:id="69">
    <w:p w14:paraId="236E614E" w14:textId="2CA4ADA2" w:rsidR="00D30536" w:rsidRPr="00B459D5" w:rsidRDefault="00D30536" w:rsidP="00C063B5">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w:t>
      </w:r>
      <w:hyperlink r:id="rId86" w:history="1">
        <w:r>
          <w:rPr>
            <w:rStyle w:val="Hyperlink"/>
            <w:rFonts w:ascii="Times New Roman" w:hAnsi="Times New Roman"/>
          </w:rPr>
          <w:t>Berlinska deklaracija o digitalnom društvu i digitalnoj upravi utemeljenoj na vrijednostima</w:t>
        </w:r>
      </w:hyperlink>
      <w:r>
        <w:rPr>
          <w:rStyle w:val="Hyperlink"/>
          <w:rFonts w:ascii="Times New Roman" w:hAnsi="Times New Roman"/>
        </w:rPr>
        <w:t>.</w:t>
      </w:r>
    </w:p>
  </w:footnote>
  <w:footnote w:id="70">
    <w:p w14:paraId="53334C20" w14:textId="3A85C716" w:rsidR="000E6542" w:rsidRPr="00B459D5" w:rsidRDefault="000E6542" w:rsidP="000E6542">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vertAlign w:val="superscript"/>
        </w:rPr>
        <w:t xml:space="preserve"> </w:t>
      </w:r>
      <w:hyperlink r:id="rId87" w:history="1">
        <w:r>
          <w:rPr>
            <w:rStyle w:val="Hyperlink"/>
            <w:rFonts w:ascii="Times New Roman" w:hAnsi="Times New Roman"/>
          </w:rPr>
          <w:t>Platforma Joinup</w:t>
        </w:r>
      </w:hyperlink>
      <w:r>
        <w:t>.</w:t>
      </w:r>
    </w:p>
  </w:footnote>
  <w:footnote w:id="71">
    <w:p w14:paraId="364E4EF8" w14:textId="2E71A2AE" w:rsidR="00922CBD" w:rsidRPr="00B459D5" w:rsidRDefault="00922CBD" w:rsidP="00C063B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88" w:anchor=":~:text=The%20EU%20Single%20Window%20Environment%20for%20Customs%20will%20enable%20interoperability,for%20the%20goods%20clearance%20process." w:history="1">
        <w:r>
          <w:rPr>
            <w:rStyle w:val="Hyperlink"/>
            <w:rFonts w:ascii="Times New Roman" w:hAnsi="Times New Roman"/>
          </w:rPr>
          <w:t>Okruženje jedinstvenog sučelja EU-a za carinu</w:t>
        </w:r>
      </w:hyperlink>
      <w:r>
        <w:rPr>
          <w:rFonts w:ascii="Times New Roman" w:hAnsi="Times New Roman"/>
        </w:rPr>
        <w:t xml:space="preserve"> pojednostavnjuje elektroničku razmjenu dokumenata i informacija potrebnih za postupak carinjenja robe; </w:t>
      </w:r>
      <w:hyperlink r:id="rId89" w:history="1">
        <w:r>
          <w:rPr>
            <w:rStyle w:val="Hyperlink"/>
            <w:rFonts w:ascii="Times New Roman" w:hAnsi="Times New Roman"/>
          </w:rPr>
          <w:t>podatkovni prostor za javnu nabavu</w:t>
        </w:r>
      </w:hyperlink>
      <w:r>
        <w:rPr>
          <w:rFonts w:ascii="Times New Roman" w:hAnsi="Times New Roman"/>
        </w:rPr>
        <w:t xml:space="preserve"> omogućuje sveobuhvatniji pregled javne nabave u EU-u; identifikacijski sustavi kao što su identifikatori zakonodavstva ili sudske prakse EU-a za prekogranične razmjene u pravnom području.</w:t>
      </w:r>
    </w:p>
  </w:footnote>
  <w:footnote w:id="72">
    <w:p w14:paraId="481B48EF" w14:textId="267F5DF7" w:rsidR="00D2587C" w:rsidRPr="00CA3355" w:rsidRDefault="00D2587C" w:rsidP="00605E2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Europska komisija, COM(2023) 501 final, </w:t>
      </w:r>
      <w:hyperlink r:id="rId90" w:history="1">
        <w:r>
          <w:rPr>
            <w:rStyle w:val="Hyperlink"/>
            <w:rFonts w:ascii="Times New Roman" w:hAnsi="Times New Roman"/>
          </w:rPr>
          <w:t>Digitalizacija u koordinaciji sustava socijalne sigurnosti:</w:t>
        </w:r>
      </w:hyperlink>
      <w:hyperlink r:id="rId91" w:history="1">
        <w:r>
          <w:rPr>
            <w:rStyle w:val="Hyperlink"/>
            <w:rFonts w:ascii="Times New Roman" w:hAnsi="Times New Roman"/>
          </w:rPr>
          <w:t>olakšavanje slobodnog kretanja na jedinstvenom tržištu</w:t>
        </w:r>
      </w:hyperlink>
      <w:r>
        <w:rPr>
          <w:rFonts w:ascii="Times New Roman" w:hAnsi="Times New Roman"/>
        </w:rPr>
        <w:t>.</w:t>
      </w:r>
    </w:p>
  </w:footnote>
  <w:footnote w:id="73">
    <w:p w14:paraId="724F3FD7" w14:textId="07A6000E" w:rsidR="002F3D93" w:rsidRPr="00B459D5" w:rsidRDefault="002F3D93" w:rsidP="00C063B5">
      <w:pPr>
        <w:pStyle w:val="FootnoteText"/>
        <w:jc w:val="both"/>
        <w:rPr>
          <w:rFonts w:ascii="Times New Roman" w:hAnsi="Times New Roman" w:cs="Times New Roman"/>
        </w:rPr>
      </w:pPr>
      <w:r>
        <w:rPr>
          <w:rStyle w:val="FootnoteReference"/>
          <w:rFonts w:ascii="Times New Roman" w:hAnsi="Times New Roman" w:cs="Times New Roman"/>
          <w:lang w:val="en-GB"/>
        </w:rPr>
        <w:footnoteRef/>
      </w:r>
      <w:r>
        <w:t xml:space="preserve"> </w:t>
      </w:r>
      <w:r>
        <w:rPr>
          <w:rFonts w:ascii="Times New Roman" w:hAnsi="Times New Roman"/>
        </w:rPr>
        <w:t xml:space="preserve">Europska komisija, SWD(2022) 45 final, </w:t>
      </w:r>
      <w:hyperlink r:id="rId92" w:history="1">
        <w:r>
          <w:rPr>
            <w:rStyle w:val="Hyperlink"/>
            <w:rFonts w:ascii="Times New Roman" w:hAnsi="Times New Roman"/>
          </w:rPr>
          <w:t>Zajednički europski podatkovni prostori</w:t>
        </w:r>
      </w:hyperlink>
      <w:r>
        <w:rPr>
          <w:rFonts w:ascii="Times New Roman" w:hAnsi="Times New Roman"/>
        </w:rPr>
        <w:t>.</w:t>
      </w:r>
    </w:p>
  </w:footnote>
  <w:footnote w:id="74">
    <w:p w14:paraId="5B0357B4" w14:textId="66EEE3F7" w:rsidR="000149E5" w:rsidRPr="00B459D5" w:rsidRDefault="000149E5" w:rsidP="00C063B5">
      <w:pPr>
        <w:pStyle w:val="FootnoteText"/>
        <w:jc w:val="both"/>
        <w:rPr>
          <w:rFonts w:ascii="Times New Roman" w:hAnsi="Times New Roman" w:cs="Times New Roman"/>
        </w:rPr>
      </w:pPr>
      <w:r>
        <w:rPr>
          <w:rFonts w:ascii="Times New Roman" w:hAnsi="Times New Roman" w:cs="Times New Roman"/>
          <w:vertAlign w:val="superscript"/>
          <w:lang w:val="en-GB"/>
        </w:rPr>
        <w:footnoteRef/>
      </w:r>
      <w:r>
        <w:rPr>
          <w:rFonts w:ascii="Times New Roman" w:hAnsi="Times New Roman"/>
        </w:rPr>
        <w:t xml:space="preserve"> </w:t>
      </w:r>
      <w:hyperlink r:id="rId93" w:history="1">
        <w:r>
          <w:rPr>
            <w:rStyle w:val="Hyperlink"/>
            <w:rFonts w:ascii="Times New Roman" w:hAnsi="Times New Roman"/>
          </w:rPr>
          <w:t>Uredba (EU) 2018/1724 o uspostavi jedinstvenog digitalnog pristupnika za pristup informacijama, postupcima, uslugama podrške i rješavanja problema te o izmjeni Uredbe (EU) br. 1024/2012</w:t>
        </w:r>
      </w:hyperlink>
      <w:r>
        <w:rPr>
          <w:rFonts w:ascii="Times New Roman" w:hAnsi="Times New Roman"/>
        </w:rPr>
        <w:t>.</w:t>
      </w:r>
    </w:p>
  </w:footnote>
  <w:footnote w:id="75">
    <w:p w14:paraId="525F3637" w14:textId="77777777" w:rsidR="00B24BF7" w:rsidRPr="00B459D5" w:rsidRDefault="00B24BF7" w:rsidP="00B24BF7">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Sustav trenutačno podupire 95 postupaka administrativne suradnje u 19 područja politika povezanih s jedinstvenim tržištem.</w:t>
      </w:r>
    </w:p>
  </w:footnote>
  <w:footnote w:id="76">
    <w:p w14:paraId="797D7C25" w14:textId="0E74BFE4" w:rsidR="00F153D0" w:rsidRPr="00F153D0" w:rsidRDefault="00F153D0" w:rsidP="00F153D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Najavljeno u europskoj strategiji za podatke i ponovljeno u Izjavi 27 država članica o izgradnji oblaka sljedeće generacije za poduzeća i javni sektor u EU-u.</w:t>
      </w:r>
    </w:p>
  </w:footnote>
  <w:footnote w:id="77">
    <w:p w14:paraId="4E524966" w14:textId="77777777" w:rsidR="00BF3F2D" w:rsidRPr="007A1C2A" w:rsidRDefault="00BF3F2D" w:rsidP="00CA335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Nekoliko država članica u planove za oporavak i otpornost uključilo je mjere koje se odnose na izradu zelenog proračuna, zeleno oporezivanje i zelenu javnu nabavu.</w:t>
      </w:r>
    </w:p>
  </w:footnote>
  <w:footnote w:id="78">
    <w:p w14:paraId="6460A9F3" w14:textId="77777777" w:rsidR="00BB26F4" w:rsidRPr="00B459D5" w:rsidRDefault="00BB26F4" w:rsidP="00BB26F4">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rPr>
        <w:t xml:space="preserve"> </w:t>
      </w:r>
      <w:hyperlink r:id="rId94" w:history="1">
        <w:r>
          <w:rPr>
            <w:rStyle w:val="Hyperlink"/>
            <w:rFonts w:ascii="Times New Roman" w:hAnsi="Times New Roman"/>
          </w:rPr>
          <w:t>Europska platforma za prilagodbu klimatskim promjenama</w:t>
        </w:r>
      </w:hyperlink>
      <w:r>
        <w:rPr>
          <w:rFonts w:ascii="Times New Roman" w:hAnsi="Times New Roman"/>
        </w:rPr>
        <w:t xml:space="preserve">; </w:t>
      </w:r>
      <w:hyperlink r:id="rId95" w:history="1">
        <w:r>
          <w:rPr>
            <w:rStyle w:val="Hyperlink"/>
            <w:rFonts w:ascii="Times New Roman" w:hAnsi="Times New Roman"/>
          </w:rPr>
          <w:t>Misija EU-a:</w:t>
        </w:r>
      </w:hyperlink>
      <w:hyperlink r:id="rId96" w:history="1">
        <w:r>
          <w:rPr>
            <w:rStyle w:val="Hyperlink"/>
            <w:rFonts w:ascii="Times New Roman" w:hAnsi="Times New Roman"/>
          </w:rPr>
          <w:t>klimatski neutralni i pametni gradovi</w:t>
        </w:r>
      </w:hyperlink>
      <w:r>
        <w:rPr>
          <w:rFonts w:ascii="Times New Roman" w:hAnsi="Times New Roman"/>
        </w:rPr>
        <w:t>;</w:t>
      </w:r>
      <w:r>
        <w:rPr>
          <w:rStyle w:val="Hyperlink"/>
          <w:rFonts w:ascii="Times New Roman" w:hAnsi="Times New Roman"/>
          <w:color w:val="auto"/>
          <w:u w:val="none"/>
        </w:rPr>
        <w:t xml:space="preserve"> </w:t>
      </w:r>
      <w:r>
        <w:rPr>
          <w:rFonts w:ascii="Times New Roman" w:hAnsi="Times New Roman"/>
        </w:rPr>
        <w:t xml:space="preserve">inicijativa </w:t>
      </w:r>
      <w:hyperlink r:id="rId97" w:history="1">
        <w:r>
          <w:rPr>
            <w:rStyle w:val="Hyperlink"/>
            <w:rFonts w:ascii="Times New Roman" w:hAnsi="Times New Roman"/>
          </w:rPr>
          <w:t>Sporazum gradonačelnika</w:t>
        </w:r>
      </w:hyperlink>
      <w:r>
        <w:rPr>
          <w:rFonts w:ascii="Times New Roman" w:hAnsi="Times New Roman"/>
        </w:rPr>
        <w:t xml:space="preserve">; </w:t>
      </w:r>
      <w:hyperlink r:id="rId98" w:history="1">
        <w:r>
          <w:rPr>
            <w:rStyle w:val="Hyperlink"/>
            <w:rFonts w:ascii="Times New Roman" w:hAnsi="Times New Roman"/>
          </w:rPr>
          <w:t>platforme za dijalog o klimi i energiji</w:t>
        </w:r>
      </w:hyperlink>
      <w:r>
        <w:rPr>
          <w:rFonts w:ascii="Times New Roman" w:hAnsi="Times New Roman"/>
        </w:rPr>
        <w:t>.</w:t>
      </w:r>
    </w:p>
  </w:footnote>
  <w:footnote w:id="79">
    <w:p w14:paraId="26F7B246" w14:textId="3BB2B759" w:rsidR="000A6949" w:rsidRPr="00B459D5" w:rsidRDefault="000A6949" w:rsidP="00CA335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Testiranja otpornosti na stres subjekata koji upravljaju kritičnom infrastrukturom u energetskom sektoru u skladu s Preporukom Vijeća 2023/C 20/01 trebala bi biti dovršena do kraja 2023.</w:t>
      </w:r>
    </w:p>
  </w:footnote>
  <w:footnote w:id="80">
    <w:p w14:paraId="0AE78E84" w14:textId="77777777" w:rsidR="00FD765E" w:rsidRPr="00B459D5" w:rsidRDefault="00FD765E" w:rsidP="00CA335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9" w:history="1">
        <w:r>
          <w:rPr>
            <w:rStyle w:val="Hyperlink"/>
            <w:rFonts w:ascii="Times New Roman" w:hAnsi="Times New Roman"/>
          </w:rPr>
          <w:t>Smjernice o strategijama i planovima prilagodbe država članica</w:t>
        </w:r>
      </w:hyperlink>
      <w:r>
        <w:rPr>
          <w:rFonts w:ascii="Times New Roman" w:hAnsi="Times New Roman"/>
        </w:rPr>
        <w:t>.</w:t>
      </w:r>
    </w:p>
  </w:footnote>
  <w:footnote w:id="81">
    <w:p w14:paraId="29810C52" w14:textId="4ABDAE7D" w:rsidR="00E04B17" w:rsidRPr="007A1C2A" w:rsidRDefault="00E04B17" w:rsidP="00CA335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00" w:history="1">
        <w:r>
          <w:rPr>
            <w:rStyle w:val="Hyperlink"/>
            <w:rFonts w:ascii="Times New Roman" w:hAnsi="Times New Roman"/>
          </w:rPr>
          <w:t>Pregled aktivnosti u području okoliša</w:t>
        </w:r>
      </w:hyperlink>
      <w:r>
        <w:rPr>
          <w:rFonts w:ascii="Times New Roman" w:hAnsi="Times New Roman"/>
        </w:rPr>
        <w:t>.</w:t>
      </w:r>
    </w:p>
  </w:footnote>
  <w:footnote w:id="82">
    <w:p w14:paraId="5ABB6B06" w14:textId="2A8AA1C1" w:rsidR="00EB7027" w:rsidRPr="00B459D5" w:rsidRDefault="00EB7027" w:rsidP="00CA335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Europska komisija, C(2022) 2230 final, </w:t>
      </w:r>
      <w:hyperlink r:id="rId101" w:history="1">
        <w:r>
          <w:rPr>
            <w:rStyle w:val="Hyperlink"/>
            <w:rFonts w:ascii="Times New Roman" w:hAnsi="Times New Roman"/>
          </w:rPr>
          <w:t>Ozelenjivanje Komisije</w:t>
        </w:r>
      </w:hyperlink>
      <w:r>
        <w:rPr>
          <w:rFonts w:ascii="Times New Roman" w:hAnsi="Times New Roman"/>
        </w:rPr>
        <w:t>.</w:t>
      </w:r>
    </w:p>
  </w:footnote>
  <w:footnote w:id="83">
    <w:p w14:paraId="766B9F28" w14:textId="1A6AC916" w:rsidR="00EC36B8" w:rsidRPr="00EF05F2" w:rsidRDefault="00EC36B8" w:rsidP="00CA3355">
      <w:pPr>
        <w:pStyle w:val="FootnoteText"/>
        <w:jc w:val="both"/>
      </w:pPr>
      <w:r>
        <w:rPr>
          <w:rStyle w:val="FootnoteReference"/>
          <w:rFonts w:ascii="Times New Roman" w:hAnsi="Times New Roman" w:cs="Times New Roman"/>
          <w:lang w:val="en-GB"/>
        </w:rPr>
        <w:footnoteRef/>
      </w:r>
      <w:r>
        <w:rPr>
          <w:rFonts w:ascii="Times New Roman" w:hAnsi="Times New Roman"/>
        </w:rPr>
        <w:t xml:space="preserve"> </w:t>
      </w:r>
      <w:hyperlink r:id="rId102" w:history="1">
        <w:r>
          <w:rPr>
            <w:rStyle w:val="Hyperlink"/>
            <w:rFonts w:ascii="Times New Roman" w:hAnsi="Times New Roman"/>
          </w:rPr>
          <w:t>Uredba (EU) 2018/1999 o upravljanju energetskom unijom i djelovanjem u području klime</w:t>
        </w:r>
      </w:hyperlink>
      <w:r>
        <w:rPr>
          <w:rFonts w:ascii="Times New Roman" w:hAnsi="Times New Roman"/>
        </w:rPr>
        <w:t xml:space="preserve"> i Direktiva (EU) 2023/1791 Europskog parlamenta i Vijeća o energetskoj učinkovitosti.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182C8" w14:textId="77777777" w:rsidR="007E2B5A" w:rsidRPr="007E2B5A" w:rsidRDefault="007E2B5A" w:rsidP="007E2B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37C4" w14:textId="77777777" w:rsidR="007E2B5A" w:rsidRPr="007E2B5A" w:rsidRDefault="007E2B5A" w:rsidP="007E2B5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4EAAC" w14:textId="77777777" w:rsidR="007E2B5A" w:rsidRPr="007E2B5A" w:rsidRDefault="007E2B5A" w:rsidP="007E2B5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35756" w14:textId="77777777" w:rsidR="00902721" w:rsidRDefault="009027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35757" w14:textId="60BB801E" w:rsidR="00902721" w:rsidRDefault="0090272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3575B" w14:textId="77777777" w:rsidR="00902721" w:rsidRDefault="00902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1128"/>
    <w:multiLevelType w:val="multilevel"/>
    <w:tmpl w:val="949CB0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A43AB3"/>
    <w:multiLevelType w:val="multilevel"/>
    <w:tmpl w:val="DC3453D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4960B9"/>
    <w:multiLevelType w:val="hybridMultilevel"/>
    <w:tmpl w:val="D762583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87E50C4"/>
    <w:multiLevelType w:val="multilevel"/>
    <w:tmpl w:val="17DC92F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CD560C"/>
    <w:multiLevelType w:val="multilevel"/>
    <w:tmpl w:val="17DC92F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2E0C53"/>
    <w:multiLevelType w:val="hybridMultilevel"/>
    <w:tmpl w:val="7012C412"/>
    <w:lvl w:ilvl="0" w:tplc="18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B91043"/>
    <w:multiLevelType w:val="multilevel"/>
    <w:tmpl w:val="1B90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BA4555"/>
    <w:multiLevelType w:val="hybridMultilevel"/>
    <w:tmpl w:val="5EAC6216"/>
    <w:lvl w:ilvl="0" w:tplc="18090001">
      <w:start w:val="1"/>
      <w:numFmt w:val="bullet"/>
      <w:lvlText w:val=""/>
      <w:lvlJc w:val="left"/>
      <w:pPr>
        <w:ind w:left="720" w:hanging="360"/>
      </w:pPr>
      <w:rPr>
        <w:rFonts w:ascii="Symbol" w:hAnsi="Symbol" w:hint="default"/>
      </w:rPr>
    </w:lvl>
    <w:lvl w:ilvl="1" w:tplc="FFFFFFFF">
      <w:start w:val="1"/>
      <w:numFmt w:val="decimal"/>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F4E3C0D"/>
    <w:multiLevelType w:val="multilevel"/>
    <w:tmpl w:val="75166530"/>
    <w:lvl w:ilvl="0">
      <w:start w:val="1"/>
      <w:numFmt w:val="decimal"/>
      <w:lvlText w:val="%1."/>
      <w:lvlJc w:val="left"/>
      <w:pPr>
        <w:ind w:left="360" w:hanging="360"/>
      </w:pPr>
      <w:rPr>
        <w:rFonts w:hint="default"/>
      </w:rPr>
    </w:lvl>
    <w:lvl w:ilvl="1">
      <w:start w:val="1"/>
      <w:numFmt w:val="decimal"/>
      <w:pStyle w:val="Heading2"/>
      <w:lvlText w:val="%1.%2."/>
      <w:lvlJc w:val="left"/>
      <w:pPr>
        <w:ind w:left="785" w:hanging="360"/>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E85718"/>
    <w:multiLevelType w:val="hybridMultilevel"/>
    <w:tmpl w:val="E02ECBBE"/>
    <w:lvl w:ilvl="0" w:tplc="BF1E9272">
      <w:start w:val="1"/>
      <w:numFmt w:val="decimal"/>
      <w:lvlText w:val="%1.1"/>
      <w:lvlJc w:val="left"/>
      <w:pPr>
        <w:ind w:left="720" w:hanging="360"/>
      </w:pPr>
      <w:rPr>
        <w:rFonts w:hint="default"/>
      </w:rPr>
    </w:lvl>
    <w:lvl w:ilvl="1" w:tplc="DC52F580">
      <w:start w:val="1"/>
      <w:numFmt w:val="decimal"/>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34340B6"/>
    <w:multiLevelType w:val="hybridMultilevel"/>
    <w:tmpl w:val="A5AC233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D7740F6"/>
    <w:multiLevelType w:val="hybridMultilevel"/>
    <w:tmpl w:val="C1405AE2"/>
    <w:lvl w:ilvl="0" w:tplc="DC52F580">
      <w:start w:val="1"/>
      <w:numFmt w:val="decimal"/>
      <w:lvlText w:val="%1.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7DD10E4"/>
    <w:multiLevelType w:val="hybridMultilevel"/>
    <w:tmpl w:val="B9A0C1EE"/>
    <w:lvl w:ilvl="0" w:tplc="529A3D6E">
      <w:start w:val="1"/>
      <w:numFmt w:val="bullet"/>
      <w:lvlText w:val="·"/>
      <w:lvlJc w:val="left"/>
      <w:pPr>
        <w:ind w:left="720" w:hanging="360"/>
      </w:pPr>
      <w:rPr>
        <w:rFonts w:ascii="Symbol" w:hAnsi="Symbol" w:hint="default"/>
      </w:rPr>
    </w:lvl>
    <w:lvl w:ilvl="1" w:tplc="F5BE2FE4">
      <w:start w:val="1"/>
      <w:numFmt w:val="bullet"/>
      <w:lvlText w:val="o"/>
      <w:lvlJc w:val="left"/>
      <w:pPr>
        <w:ind w:left="1440" w:hanging="360"/>
      </w:pPr>
      <w:rPr>
        <w:rFonts w:ascii="Courier New" w:hAnsi="Courier New" w:hint="default"/>
      </w:rPr>
    </w:lvl>
    <w:lvl w:ilvl="2" w:tplc="8DFC8700">
      <w:start w:val="1"/>
      <w:numFmt w:val="bullet"/>
      <w:lvlText w:val=""/>
      <w:lvlJc w:val="left"/>
      <w:pPr>
        <w:ind w:left="2160" w:hanging="360"/>
      </w:pPr>
      <w:rPr>
        <w:rFonts w:ascii="Wingdings" w:hAnsi="Wingdings" w:hint="default"/>
      </w:rPr>
    </w:lvl>
    <w:lvl w:ilvl="3" w:tplc="8F6A775E">
      <w:start w:val="1"/>
      <w:numFmt w:val="bullet"/>
      <w:lvlText w:val=""/>
      <w:lvlJc w:val="left"/>
      <w:pPr>
        <w:ind w:left="2880" w:hanging="360"/>
      </w:pPr>
      <w:rPr>
        <w:rFonts w:ascii="Symbol" w:hAnsi="Symbol" w:hint="default"/>
      </w:rPr>
    </w:lvl>
    <w:lvl w:ilvl="4" w:tplc="D8B2A7A6">
      <w:start w:val="1"/>
      <w:numFmt w:val="bullet"/>
      <w:lvlText w:val="o"/>
      <w:lvlJc w:val="left"/>
      <w:pPr>
        <w:ind w:left="3600" w:hanging="360"/>
      </w:pPr>
      <w:rPr>
        <w:rFonts w:ascii="Courier New" w:hAnsi="Courier New" w:hint="default"/>
      </w:rPr>
    </w:lvl>
    <w:lvl w:ilvl="5" w:tplc="2B70B75A">
      <w:start w:val="1"/>
      <w:numFmt w:val="bullet"/>
      <w:lvlText w:val=""/>
      <w:lvlJc w:val="left"/>
      <w:pPr>
        <w:ind w:left="4320" w:hanging="360"/>
      </w:pPr>
      <w:rPr>
        <w:rFonts w:ascii="Wingdings" w:hAnsi="Wingdings" w:hint="default"/>
      </w:rPr>
    </w:lvl>
    <w:lvl w:ilvl="6" w:tplc="93C694C2">
      <w:start w:val="1"/>
      <w:numFmt w:val="bullet"/>
      <w:lvlText w:val=""/>
      <w:lvlJc w:val="left"/>
      <w:pPr>
        <w:ind w:left="5040" w:hanging="360"/>
      </w:pPr>
      <w:rPr>
        <w:rFonts w:ascii="Symbol" w:hAnsi="Symbol" w:hint="default"/>
      </w:rPr>
    </w:lvl>
    <w:lvl w:ilvl="7" w:tplc="4588FF80">
      <w:start w:val="1"/>
      <w:numFmt w:val="bullet"/>
      <w:lvlText w:val="o"/>
      <w:lvlJc w:val="left"/>
      <w:pPr>
        <w:ind w:left="5760" w:hanging="360"/>
      </w:pPr>
      <w:rPr>
        <w:rFonts w:ascii="Courier New" w:hAnsi="Courier New" w:hint="default"/>
      </w:rPr>
    </w:lvl>
    <w:lvl w:ilvl="8" w:tplc="5FD294C4">
      <w:start w:val="1"/>
      <w:numFmt w:val="bullet"/>
      <w:lvlText w:val=""/>
      <w:lvlJc w:val="left"/>
      <w:pPr>
        <w:ind w:left="6480" w:hanging="360"/>
      </w:pPr>
      <w:rPr>
        <w:rFonts w:ascii="Wingdings" w:hAnsi="Wingdings" w:hint="default"/>
      </w:rPr>
    </w:lvl>
  </w:abstractNum>
  <w:abstractNum w:abstractNumId="13" w15:restartNumberingAfterBreak="0">
    <w:nsid w:val="78232F4B"/>
    <w:multiLevelType w:val="multilevel"/>
    <w:tmpl w:val="FB06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2045E5"/>
    <w:multiLevelType w:val="hybridMultilevel"/>
    <w:tmpl w:val="6C4CF87A"/>
    <w:lvl w:ilvl="0" w:tplc="3312B684">
      <w:start w:val="1"/>
      <w:numFmt w:val="decimal"/>
      <w:lvlText w:val="%1."/>
      <w:lvlJc w:val="left"/>
      <w:pPr>
        <w:ind w:left="1145" w:hanging="360"/>
      </w:pPr>
      <w:rPr>
        <w:rFonts w:hint="default"/>
      </w:rPr>
    </w:lvl>
    <w:lvl w:ilvl="1" w:tplc="18090019" w:tentative="1">
      <w:start w:val="1"/>
      <w:numFmt w:val="lowerLetter"/>
      <w:lvlText w:val="%2."/>
      <w:lvlJc w:val="left"/>
      <w:pPr>
        <w:ind w:left="1865" w:hanging="360"/>
      </w:pPr>
    </w:lvl>
    <w:lvl w:ilvl="2" w:tplc="1809001B" w:tentative="1">
      <w:start w:val="1"/>
      <w:numFmt w:val="lowerRoman"/>
      <w:lvlText w:val="%3."/>
      <w:lvlJc w:val="right"/>
      <w:pPr>
        <w:ind w:left="2585" w:hanging="180"/>
      </w:pPr>
    </w:lvl>
    <w:lvl w:ilvl="3" w:tplc="1809000F" w:tentative="1">
      <w:start w:val="1"/>
      <w:numFmt w:val="decimal"/>
      <w:lvlText w:val="%4."/>
      <w:lvlJc w:val="left"/>
      <w:pPr>
        <w:ind w:left="3305" w:hanging="360"/>
      </w:pPr>
    </w:lvl>
    <w:lvl w:ilvl="4" w:tplc="18090019" w:tentative="1">
      <w:start w:val="1"/>
      <w:numFmt w:val="lowerLetter"/>
      <w:lvlText w:val="%5."/>
      <w:lvlJc w:val="left"/>
      <w:pPr>
        <w:ind w:left="4025" w:hanging="360"/>
      </w:pPr>
    </w:lvl>
    <w:lvl w:ilvl="5" w:tplc="1809001B" w:tentative="1">
      <w:start w:val="1"/>
      <w:numFmt w:val="lowerRoman"/>
      <w:lvlText w:val="%6."/>
      <w:lvlJc w:val="right"/>
      <w:pPr>
        <w:ind w:left="4745" w:hanging="180"/>
      </w:pPr>
    </w:lvl>
    <w:lvl w:ilvl="6" w:tplc="1809000F" w:tentative="1">
      <w:start w:val="1"/>
      <w:numFmt w:val="decimal"/>
      <w:lvlText w:val="%7."/>
      <w:lvlJc w:val="left"/>
      <w:pPr>
        <w:ind w:left="5465" w:hanging="360"/>
      </w:pPr>
    </w:lvl>
    <w:lvl w:ilvl="7" w:tplc="18090019" w:tentative="1">
      <w:start w:val="1"/>
      <w:numFmt w:val="lowerLetter"/>
      <w:lvlText w:val="%8."/>
      <w:lvlJc w:val="left"/>
      <w:pPr>
        <w:ind w:left="6185" w:hanging="360"/>
      </w:pPr>
    </w:lvl>
    <w:lvl w:ilvl="8" w:tplc="1809001B" w:tentative="1">
      <w:start w:val="1"/>
      <w:numFmt w:val="lowerRoman"/>
      <w:lvlText w:val="%9."/>
      <w:lvlJc w:val="right"/>
      <w:pPr>
        <w:ind w:left="6905" w:hanging="180"/>
      </w:pPr>
    </w:lvl>
  </w:abstractNum>
  <w:abstractNum w:abstractNumId="15" w15:restartNumberingAfterBreak="0">
    <w:nsid w:val="7CD71840"/>
    <w:multiLevelType w:val="multilevel"/>
    <w:tmpl w:val="17DC92F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3"/>
  </w:num>
  <w:num w:numId="3">
    <w:abstractNumId w:val="6"/>
  </w:num>
  <w:num w:numId="4">
    <w:abstractNumId w:val="12"/>
  </w:num>
  <w:num w:numId="5">
    <w:abstractNumId w:val="8"/>
  </w:num>
  <w:num w:numId="6">
    <w:abstractNumId w:val="3"/>
  </w:num>
  <w:num w:numId="7">
    <w:abstractNumId w:val="1"/>
  </w:num>
  <w:num w:numId="8">
    <w:abstractNumId w:val="10"/>
  </w:num>
  <w:num w:numId="9">
    <w:abstractNumId w:val="15"/>
  </w:num>
  <w:num w:numId="10">
    <w:abstractNumId w:val="5"/>
  </w:num>
  <w:num w:numId="11">
    <w:abstractNumId w:val="11"/>
  </w:num>
  <w:num w:numId="12">
    <w:abstractNumId w:val="4"/>
  </w:num>
  <w:num w:numId="13">
    <w:abstractNumId w:val="9"/>
  </w:num>
  <w:num w:numId="14">
    <w:abstractNumId w:val="7"/>
  </w:num>
  <w:num w:numId="15">
    <w:abstractNumId w:val="14"/>
  </w:num>
  <w:num w:numId="1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ocumentProtection w:edit="readOnly" w:enforcement="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65223D49-D77B-426A-AFC0-C986E6B5D039"/>
    <w:docVar w:name="LW_COVERPAGE_TYPE" w:val="1"/>
    <w:docVar w:name="LW_CROSSREFERENCE" w:val="&lt;UNUSED&gt;"/>
    <w:docVar w:name="LW_DocType" w:val="NORMAL"/>
    <w:docVar w:name="LW_EMISSION" w:val="25.10.2023."/>
    <w:docVar w:name="LW_EMISSION_ISODATE" w:val="2023-10-25"/>
    <w:docVar w:name="LW_EMISSION_LOCATION" w:val="BRX"/>
    <w:docVar w:name="LW_EMISSION_PREFIX" w:val="Bruxelles, "/>
    <w:docVar w:name="LW_EMISSION_SUFFIX" w:val="&lt;EMPTY&gt;"/>
    <w:docVar w:name="LW_ID_DOCTYPE_NONLW" w:val="CP-014"/>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23) 66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Jačanje europskog administrativnog prostora (ComPAct)"/>
    <w:docVar w:name="LW_TYPE.DOC.CP" w:val="KOMUNIKACIJA KOMISIJE EUROPSKOM PARLAMENTU, VIJEĆU, EUROPSKOM GOSPODARSKOM I SOCIJALNOM ODBORU I ODBORU REGIJA"/>
    <w:docVar w:name="LW_TYPE.DOC.CP.USERTEXT" w:val="&lt;EMPTY&gt;"/>
    <w:docVar w:name="LwApiVersions" w:val="LW4CoDe 1.23.2.0; LW 8.0, Build 20211117"/>
  </w:docVars>
  <w:rsids>
    <w:rsidRoot w:val="00902721"/>
    <w:rsid w:val="00000119"/>
    <w:rsid w:val="0000139D"/>
    <w:rsid w:val="0000217F"/>
    <w:rsid w:val="00003B21"/>
    <w:rsid w:val="00004633"/>
    <w:rsid w:val="000059A3"/>
    <w:rsid w:val="00006BAB"/>
    <w:rsid w:val="00007A67"/>
    <w:rsid w:val="00007FA9"/>
    <w:rsid w:val="00010A40"/>
    <w:rsid w:val="00010BC2"/>
    <w:rsid w:val="00011B3D"/>
    <w:rsid w:val="00011D25"/>
    <w:rsid w:val="0001200E"/>
    <w:rsid w:val="00012179"/>
    <w:rsid w:val="000129BF"/>
    <w:rsid w:val="00012B9C"/>
    <w:rsid w:val="000133CF"/>
    <w:rsid w:val="000141B0"/>
    <w:rsid w:val="0001431D"/>
    <w:rsid w:val="000143B1"/>
    <w:rsid w:val="000149D3"/>
    <w:rsid w:val="000149E5"/>
    <w:rsid w:val="00014B20"/>
    <w:rsid w:val="00014CEE"/>
    <w:rsid w:val="000153DB"/>
    <w:rsid w:val="000166BC"/>
    <w:rsid w:val="00017ECB"/>
    <w:rsid w:val="000215C8"/>
    <w:rsid w:val="00023032"/>
    <w:rsid w:val="00023E0A"/>
    <w:rsid w:val="000240D1"/>
    <w:rsid w:val="00024286"/>
    <w:rsid w:val="00024DAC"/>
    <w:rsid w:val="00024E1D"/>
    <w:rsid w:val="000252AD"/>
    <w:rsid w:val="00025EB6"/>
    <w:rsid w:val="000261B4"/>
    <w:rsid w:val="00026314"/>
    <w:rsid w:val="000264A5"/>
    <w:rsid w:val="00026711"/>
    <w:rsid w:val="00026763"/>
    <w:rsid w:val="000267F1"/>
    <w:rsid w:val="00030A7A"/>
    <w:rsid w:val="00031A2F"/>
    <w:rsid w:val="0003258D"/>
    <w:rsid w:val="00033B89"/>
    <w:rsid w:val="00034D7C"/>
    <w:rsid w:val="00036DF3"/>
    <w:rsid w:val="00037218"/>
    <w:rsid w:val="00040454"/>
    <w:rsid w:val="0004066E"/>
    <w:rsid w:val="0004106A"/>
    <w:rsid w:val="0004144C"/>
    <w:rsid w:val="00041544"/>
    <w:rsid w:val="000418AB"/>
    <w:rsid w:val="0004192C"/>
    <w:rsid w:val="000425F5"/>
    <w:rsid w:val="000426E7"/>
    <w:rsid w:val="000428F0"/>
    <w:rsid w:val="00042917"/>
    <w:rsid w:val="00042CB2"/>
    <w:rsid w:val="00043067"/>
    <w:rsid w:val="000443C7"/>
    <w:rsid w:val="000448D6"/>
    <w:rsid w:val="00044956"/>
    <w:rsid w:val="00044E4F"/>
    <w:rsid w:val="00045518"/>
    <w:rsid w:val="00045D90"/>
    <w:rsid w:val="000461FE"/>
    <w:rsid w:val="0004669C"/>
    <w:rsid w:val="00046BB0"/>
    <w:rsid w:val="00046C67"/>
    <w:rsid w:val="00047036"/>
    <w:rsid w:val="00047063"/>
    <w:rsid w:val="0004707F"/>
    <w:rsid w:val="00047B3A"/>
    <w:rsid w:val="00047D7A"/>
    <w:rsid w:val="00047DD0"/>
    <w:rsid w:val="0005002F"/>
    <w:rsid w:val="0005023D"/>
    <w:rsid w:val="00050438"/>
    <w:rsid w:val="00050B8A"/>
    <w:rsid w:val="00052560"/>
    <w:rsid w:val="00054008"/>
    <w:rsid w:val="00054A1A"/>
    <w:rsid w:val="00054C58"/>
    <w:rsid w:val="00055CBD"/>
    <w:rsid w:val="00055DA4"/>
    <w:rsid w:val="00060020"/>
    <w:rsid w:val="000616EC"/>
    <w:rsid w:val="00061E36"/>
    <w:rsid w:val="00063296"/>
    <w:rsid w:val="000660F0"/>
    <w:rsid w:val="000677C1"/>
    <w:rsid w:val="000724DE"/>
    <w:rsid w:val="00072678"/>
    <w:rsid w:val="00072768"/>
    <w:rsid w:val="00072D33"/>
    <w:rsid w:val="00073290"/>
    <w:rsid w:val="0007374E"/>
    <w:rsid w:val="00073CB6"/>
    <w:rsid w:val="000743CC"/>
    <w:rsid w:val="00074649"/>
    <w:rsid w:val="00075246"/>
    <w:rsid w:val="0007581A"/>
    <w:rsid w:val="00075CD0"/>
    <w:rsid w:val="0007621A"/>
    <w:rsid w:val="000765A1"/>
    <w:rsid w:val="00076BD4"/>
    <w:rsid w:val="000773E2"/>
    <w:rsid w:val="000773F9"/>
    <w:rsid w:val="00077B9C"/>
    <w:rsid w:val="00080192"/>
    <w:rsid w:val="000810C1"/>
    <w:rsid w:val="000815F8"/>
    <w:rsid w:val="00081774"/>
    <w:rsid w:val="00081B53"/>
    <w:rsid w:val="00081F34"/>
    <w:rsid w:val="00082110"/>
    <w:rsid w:val="00082E04"/>
    <w:rsid w:val="00083549"/>
    <w:rsid w:val="0008466A"/>
    <w:rsid w:val="00084987"/>
    <w:rsid w:val="000859AC"/>
    <w:rsid w:val="00085EC7"/>
    <w:rsid w:val="00086B88"/>
    <w:rsid w:val="000907D2"/>
    <w:rsid w:val="000910A6"/>
    <w:rsid w:val="00091533"/>
    <w:rsid w:val="000916F7"/>
    <w:rsid w:val="0009198C"/>
    <w:rsid w:val="00091FFE"/>
    <w:rsid w:val="00092134"/>
    <w:rsid w:val="00092B6D"/>
    <w:rsid w:val="00092CBA"/>
    <w:rsid w:val="00093359"/>
    <w:rsid w:val="00093AC5"/>
    <w:rsid w:val="00094E1D"/>
    <w:rsid w:val="000975FC"/>
    <w:rsid w:val="00097CE8"/>
    <w:rsid w:val="000A1078"/>
    <w:rsid w:val="000A3187"/>
    <w:rsid w:val="000A3A82"/>
    <w:rsid w:val="000A3DE3"/>
    <w:rsid w:val="000A487B"/>
    <w:rsid w:val="000A4D92"/>
    <w:rsid w:val="000A536D"/>
    <w:rsid w:val="000A5674"/>
    <w:rsid w:val="000A5839"/>
    <w:rsid w:val="000A5B90"/>
    <w:rsid w:val="000A6949"/>
    <w:rsid w:val="000A6B34"/>
    <w:rsid w:val="000A72BB"/>
    <w:rsid w:val="000A79F7"/>
    <w:rsid w:val="000B0051"/>
    <w:rsid w:val="000B05B8"/>
    <w:rsid w:val="000B0A9D"/>
    <w:rsid w:val="000B147A"/>
    <w:rsid w:val="000B1A7A"/>
    <w:rsid w:val="000B2500"/>
    <w:rsid w:val="000B3590"/>
    <w:rsid w:val="000B3AE1"/>
    <w:rsid w:val="000B4469"/>
    <w:rsid w:val="000B48EE"/>
    <w:rsid w:val="000B61D4"/>
    <w:rsid w:val="000B7C13"/>
    <w:rsid w:val="000B7D26"/>
    <w:rsid w:val="000B7E94"/>
    <w:rsid w:val="000C0009"/>
    <w:rsid w:val="000C02C1"/>
    <w:rsid w:val="000C0780"/>
    <w:rsid w:val="000C11B5"/>
    <w:rsid w:val="000C247D"/>
    <w:rsid w:val="000C3A68"/>
    <w:rsid w:val="000C3C34"/>
    <w:rsid w:val="000C42DB"/>
    <w:rsid w:val="000C4304"/>
    <w:rsid w:val="000C4341"/>
    <w:rsid w:val="000C6F65"/>
    <w:rsid w:val="000C6FAF"/>
    <w:rsid w:val="000C7257"/>
    <w:rsid w:val="000C73A3"/>
    <w:rsid w:val="000C7AB8"/>
    <w:rsid w:val="000C7E6D"/>
    <w:rsid w:val="000D07F9"/>
    <w:rsid w:val="000D1347"/>
    <w:rsid w:val="000D1A93"/>
    <w:rsid w:val="000D1BE4"/>
    <w:rsid w:val="000D1CA8"/>
    <w:rsid w:val="000D1FAA"/>
    <w:rsid w:val="000D2676"/>
    <w:rsid w:val="000D353E"/>
    <w:rsid w:val="000D4B83"/>
    <w:rsid w:val="000D5607"/>
    <w:rsid w:val="000D652B"/>
    <w:rsid w:val="000D6540"/>
    <w:rsid w:val="000D6CE8"/>
    <w:rsid w:val="000D6F93"/>
    <w:rsid w:val="000D7797"/>
    <w:rsid w:val="000E0E09"/>
    <w:rsid w:val="000E1848"/>
    <w:rsid w:val="000E1EBC"/>
    <w:rsid w:val="000E3361"/>
    <w:rsid w:val="000E3419"/>
    <w:rsid w:val="000E39D0"/>
    <w:rsid w:val="000E5979"/>
    <w:rsid w:val="000E6542"/>
    <w:rsid w:val="000E688F"/>
    <w:rsid w:val="000E72AC"/>
    <w:rsid w:val="000E7CB6"/>
    <w:rsid w:val="000E7FDD"/>
    <w:rsid w:val="000F041E"/>
    <w:rsid w:val="000F047B"/>
    <w:rsid w:val="000F0AEB"/>
    <w:rsid w:val="000F0EE6"/>
    <w:rsid w:val="000F17B0"/>
    <w:rsid w:val="000F1D9F"/>
    <w:rsid w:val="000F244F"/>
    <w:rsid w:val="000F39E7"/>
    <w:rsid w:val="000F5053"/>
    <w:rsid w:val="000F5185"/>
    <w:rsid w:val="000F59AD"/>
    <w:rsid w:val="000F5AF9"/>
    <w:rsid w:val="000F5C4A"/>
    <w:rsid w:val="000F6EF9"/>
    <w:rsid w:val="000F759C"/>
    <w:rsid w:val="000F7B6C"/>
    <w:rsid w:val="00102B7C"/>
    <w:rsid w:val="00103685"/>
    <w:rsid w:val="001044C5"/>
    <w:rsid w:val="00104B41"/>
    <w:rsid w:val="00105D48"/>
    <w:rsid w:val="00106633"/>
    <w:rsid w:val="00106702"/>
    <w:rsid w:val="00106838"/>
    <w:rsid w:val="00106FE9"/>
    <w:rsid w:val="00107E8D"/>
    <w:rsid w:val="00110CDF"/>
    <w:rsid w:val="00111737"/>
    <w:rsid w:val="00111F03"/>
    <w:rsid w:val="001122F7"/>
    <w:rsid w:val="001128BC"/>
    <w:rsid w:val="00112A8C"/>
    <w:rsid w:val="00112C6F"/>
    <w:rsid w:val="00112DF4"/>
    <w:rsid w:val="001135B7"/>
    <w:rsid w:val="00113AE0"/>
    <w:rsid w:val="00113DBC"/>
    <w:rsid w:val="00113E0E"/>
    <w:rsid w:val="001141FC"/>
    <w:rsid w:val="00114956"/>
    <w:rsid w:val="00116A5F"/>
    <w:rsid w:val="00116EA3"/>
    <w:rsid w:val="00117E53"/>
    <w:rsid w:val="00117FF8"/>
    <w:rsid w:val="00120A19"/>
    <w:rsid w:val="00120B1D"/>
    <w:rsid w:val="001217A4"/>
    <w:rsid w:val="00122FA1"/>
    <w:rsid w:val="00124FDB"/>
    <w:rsid w:val="00126E3D"/>
    <w:rsid w:val="001272A7"/>
    <w:rsid w:val="001274D2"/>
    <w:rsid w:val="00130088"/>
    <w:rsid w:val="00130158"/>
    <w:rsid w:val="001302C5"/>
    <w:rsid w:val="00130A70"/>
    <w:rsid w:val="00131A98"/>
    <w:rsid w:val="0013234F"/>
    <w:rsid w:val="0013247F"/>
    <w:rsid w:val="0013261D"/>
    <w:rsid w:val="00132E24"/>
    <w:rsid w:val="00133682"/>
    <w:rsid w:val="00134027"/>
    <w:rsid w:val="001349B1"/>
    <w:rsid w:val="00135205"/>
    <w:rsid w:val="00137FDA"/>
    <w:rsid w:val="001400FB"/>
    <w:rsid w:val="00140119"/>
    <w:rsid w:val="00140BBF"/>
    <w:rsid w:val="001416CD"/>
    <w:rsid w:val="00141D8E"/>
    <w:rsid w:val="0014256C"/>
    <w:rsid w:val="00143301"/>
    <w:rsid w:val="00143883"/>
    <w:rsid w:val="00144948"/>
    <w:rsid w:val="0014507C"/>
    <w:rsid w:val="0014518B"/>
    <w:rsid w:val="001475A1"/>
    <w:rsid w:val="00147EB3"/>
    <w:rsid w:val="001501D4"/>
    <w:rsid w:val="0015022E"/>
    <w:rsid w:val="001502F4"/>
    <w:rsid w:val="00151632"/>
    <w:rsid w:val="001518F0"/>
    <w:rsid w:val="00151BA1"/>
    <w:rsid w:val="0015253C"/>
    <w:rsid w:val="00152F51"/>
    <w:rsid w:val="00153948"/>
    <w:rsid w:val="001549F0"/>
    <w:rsid w:val="00154A64"/>
    <w:rsid w:val="0015699E"/>
    <w:rsid w:val="001570E5"/>
    <w:rsid w:val="00162284"/>
    <w:rsid w:val="00162F75"/>
    <w:rsid w:val="00163D38"/>
    <w:rsid w:val="0016434F"/>
    <w:rsid w:val="001648FF"/>
    <w:rsid w:val="00165A95"/>
    <w:rsid w:val="00167D3D"/>
    <w:rsid w:val="00167DD1"/>
    <w:rsid w:val="001708D4"/>
    <w:rsid w:val="00170955"/>
    <w:rsid w:val="00170C95"/>
    <w:rsid w:val="00170D2D"/>
    <w:rsid w:val="00171099"/>
    <w:rsid w:val="00171530"/>
    <w:rsid w:val="001722C3"/>
    <w:rsid w:val="00172998"/>
    <w:rsid w:val="001730A2"/>
    <w:rsid w:val="00173A2F"/>
    <w:rsid w:val="0017561A"/>
    <w:rsid w:val="00176061"/>
    <w:rsid w:val="0017606A"/>
    <w:rsid w:val="001767DF"/>
    <w:rsid w:val="00176905"/>
    <w:rsid w:val="00176E76"/>
    <w:rsid w:val="00181793"/>
    <w:rsid w:val="00182C69"/>
    <w:rsid w:val="00182E74"/>
    <w:rsid w:val="001835D5"/>
    <w:rsid w:val="00183B3F"/>
    <w:rsid w:val="00183E75"/>
    <w:rsid w:val="00184359"/>
    <w:rsid w:val="00184B4A"/>
    <w:rsid w:val="0018500C"/>
    <w:rsid w:val="0018582C"/>
    <w:rsid w:val="00185B03"/>
    <w:rsid w:val="0018650E"/>
    <w:rsid w:val="0018665F"/>
    <w:rsid w:val="00187EC4"/>
    <w:rsid w:val="00187F72"/>
    <w:rsid w:val="00190353"/>
    <w:rsid w:val="0019167B"/>
    <w:rsid w:val="001918E8"/>
    <w:rsid w:val="00191DE5"/>
    <w:rsid w:val="001927B6"/>
    <w:rsid w:val="001941D4"/>
    <w:rsid w:val="0019445C"/>
    <w:rsid w:val="00196B3C"/>
    <w:rsid w:val="00196E4B"/>
    <w:rsid w:val="001970EA"/>
    <w:rsid w:val="001978AC"/>
    <w:rsid w:val="001A1655"/>
    <w:rsid w:val="001A18D0"/>
    <w:rsid w:val="001A19AB"/>
    <w:rsid w:val="001A26DD"/>
    <w:rsid w:val="001A29C6"/>
    <w:rsid w:val="001A3543"/>
    <w:rsid w:val="001A3DAE"/>
    <w:rsid w:val="001A4B97"/>
    <w:rsid w:val="001A4E85"/>
    <w:rsid w:val="001A56C5"/>
    <w:rsid w:val="001A5F9A"/>
    <w:rsid w:val="001A7577"/>
    <w:rsid w:val="001A7797"/>
    <w:rsid w:val="001A789E"/>
    <w:rsid w:val="001B014C"/>
    <w:rsid w:val="001B1996"/>
    <w:rsid w:val="001B21AD"/>
    <w:rsid w:val="001B296A"/>
    <w:rsid w:val="001B2AAF"/>
    <w:rsid w:val="001B4576"/>
    <w:rsid w:val="001B5014"/>
    <w:rsid w:val="001B52FD"/>
    <w:rsid w:val="001B588F"/>
    <w:rsid w:val="001B65F7"/>
    <w:rsid w:val="001B757A"/>
    <w:rsid w:val="001B7A6B"/>
    <w:rsid w:val="001B7BFF"/>
    <w:rsid w:val="001C0983"/>
    <w:rsid w:val="001C0C34"/>
    <w:rsid w:val="001C1160"/>
    <w:rsid w:val="001C19B5"/>
    <w:rsid w:val="001C2287"/>
    <w:rsid w:val="001C2879"/>
    <w:rsid w:val="001C28B9"/>
    <w:rsid w:val="001C371D"/>
    <w:rsid w:val="001C4041"/>
    <w:rsid w:val="001C4600"/>
    <w:rsid w:val="001C4950"/>
    <w:rsid w:val="001C4AC8"/>
    <w:rsid w:val="001C5352"/>
    <w:rsid w:val="001C5BA5"/>
    <w:rsid w:val="001C64A8"/>
    <w:rsid w:val="001C7CFB"/>
    <w:rsid w:val="001D0A67"/>
    <w:rsid w:val="001D0B98"/>
    <w:rsid w:val="001D0BE7"/>
    <w:rsid w:val="001D0C5F"/>
    <w:rsid w:val="001D2459"/>
    <w:rsid w:val="001D27E5"/>
    <w:rsid w:val="001D2CC1"/>
    <w:rsid w:val="001D3A97"/>
    <w:rsid w:val="001D513F"/>
    <w:rsid w:val="001D5150"/>
    <w:rsid w:val="001D5160"/>
    <w:rsid w:val="001D5647"/>
    <w:rsid w:val="001D57E7"/>
    <w:rsid w:val="001D5C27"/>
    <w:rsid w:val="001D63FA"/>
    <w:rsid w:val="001D6754"/>
    <w:rsid w:val="001D797D"/>
    <w:rsid w:val="001E05B4"/>
    <w:rsid w:val="001E10C6"/>
    <w:rsid w:val="001E14D0"/>
    <w:rsid w:val="001E2097"/>
    <w:rsid w:val="001E23C5"/>
    <w:rsid w:val="001E27F6"/>
    <w:rsid w:val="001E318A"/>
    <w:rsid w:val="001E3367"/>
    <w:rsid w:val="001E418D"/>
    <w:rsid w:val="001E42D7"/>
    <w:rsid w:val="001E44CD"/>
    <w:rsid w:val="001E5AAA"/>
    <w:rsid w:val="001E6627"/>
    <w:rsid w:val="001E6E15"/>
    <w:rsid w:val="001F079E"/>
    <w:rsid w:val="001F07BA"/>
    <w:rsid w:val="001F1219"/>
    <w:rsid w:val="001F1B9D"/>
    <w:rsid w:val="001F1F9C"/>
    <w:rsid w:val="001F3120"/>
    <w:rsid w:val="001F3FD2"/>
    <w:rsid w:val="001F5F1D"/>
    <w:rsid w:val="001F6EFB"/>
    <w:rsid w:val="002002F6"/>
    <w:rsid w:val="002008E9"/>
    <w:rsid w:val="002013FA"/>
    <w:rsid w:val="0020235E"/>
    <w:rsid w:val="002027D2"/>
    <w:rsid w:val="002052D3"/>
    <w:rsid w:val="00206E2F"/>
    <w:rsid w:val="00207EDD"/>
    <w:rsid w:val="0021068A"/>
    <w:rsid w:val="00210724"/>
    <w:rsid w:val="002113E7"/>
    <w:rsid w:val="002121AA"/>
    <w:rsid w:val="002122A5"/>
    <w:rsid w:val="00212730"/>
    <w:rsid w:val="00212E17"/>
    <w:rsid w:val="002133F5"/>
    <w:rsid w:val="002138EE"/>
    <w:rsid w:val="0021480D"/>
    <w:rsid w:val="00215B9E"/>
    <w:rsid w:val="00217299"/>
    <w:rsid w:val="002177B6"/>
    <w:rsid w:val="00217F41"/>
    <w:rsid w:val="00221C3A"/>
    <w:rsid w:val="002241F9"/>
    <w:rsid w:val="002245E9"/>
    <w:rsid w:val="00224AF0"/>
    <w:rsid w:val="00224EB2"/>
    <w:rsid w:val="00225E18"/>
    <w:rsid w:val="00225F0C"/>
    <w:rsid w:val="00226100"/>
    <w:rsid w:val="00227220"/>
    <w:rsid w:val="002309BB"/>
    <w:rsid w:val="00230E11"/>
    <w:rsid w:val="00231B00"/>
    <w:rsid w:val="00231CF1"/>
    <w:rsid w:val="00232B31"/>
    <w:rsid w:val="00233370"/>
    <w:rsid w:val="0023365C"/>
    <w:rsid w:val="00233709"/>
    <w:rsid w:val="002345EB"/>
    <w:rsid w:val="00234C96"/>
    <w:rsid w:val="00235CAC"/>
    <w:rsid w:val="00235D16"/>
    <w:rsid w:val="00236167"/>
    <w:rsid w:val="00236FD5"/>
    <w:rsid w:val="00236FE4"/>
    <w:rsid w:val="00237181"/>
    <w:rsid w:val="00237EB4"/>
    <w:rsid w:val="00240809"/>
    <w:rsid w:val="00241177"/>
    <w:rsid w:val="00243096"/>
    <w:rsid w:val="00243CBC"/>
    <w:rsid w:val="00244A20"/>
    <w:rsid w:val="00244A87"/>
    <w:rsid w:val="00245FE2"/>
    <w:rsid w:val="00246F9C"/>
    <w:rsid w:val="00247014"/>
    <w:rsid w:val="00247450"/>
    <w:rsid w:val="00250611"/>
    <w:rsid w:val="002508E6"/>
    <w:rsid w:val="00250A0C"/>
    <w:rsid w:val="00251DF3"/>
    <w:rsid w:val="00253103"/>
    <w:rsid w:val="00253419"/>
    <w:rsid w:val="00254240"/>
    <w:rsid w:val="00254BCA"/>
    <w:rsid w:val="00254C0A"/>
    <w:rsid w:val="0025600D"/>
    <w:rsid w:val="00256D32"/>
    <w:rsid w:val="00257105"/>
    <w:rsid w:val="00260B22"/>
    <w:rsid w:val="00260D89"/>
    <w:rsid w:val="002611F5"/>
    <w:rsid w:val="002613E6"/>
    <w:rsid w:val="0026149B"/>
    <w:rsid w:val="00261BB4"/>
    <w:rsid w:val="00262C25"/>
    <w:rsid w:val="002631ED"/>
    <w:rsid w:val="0026391F"/>
    <w:rsid w:val="00265830"/>
    <w:rsid w:val="00270274"/>
    <w:rsid w:val="002704F9"/>
    <w:rsid w:val="00270AB6"/>
    <w:rsid w:val="00270CD7"/>
    <w:rsid w:val="00270D63"/>
    <w:rsid w:val="002719A8"/>
    <w:rsid w:val="00271C34"/>
    <w:rsid w:val="00272BD1"/>
    <w:rsid w:val="00273882"/>
    <w:rsid w:val="00274218"/>
    <w:rsid w:val="00274981"/>
    <w:rsid w:val="00275D78"/>
    <w:rsid w:val="002771B8"/>
    <w:rsid w:val="00277384"/>
    <w:rsid w:val="00282B16"/>
    <w:rsid w:val="002834B1"/>
    <w:rsid w:val="002838FC"/>
    <w:rsid w:val="002863A3"/>
    <w:rsid w:val="00287280"/>
    <w:rsid w:val="002872DF"/>
    <w:rsid w:val="002902C0"/>
    <w:rsid w:val="002905DB"/>
    <w:rsid w:val="00291065"/>
    <w:rsid w:val="00291AB8"/>
    <w:rsid w:val="00292423"/>
    <w:rsid w:val="00292C86"/>
    <w:rsid w:val="00292D90"/>
    <w:rsid w:val="00292F00"/>
    <w:rsid w:val="00294941"/>
    <w:rsid w:val="0029504B"/>
    <w:rsid w:val="002967CE"/>
    <w:rsid w:val="00297E02"/>
    <w:rsid w:val="002A02A3"/>
    <w:rsid w:val="002A0E21"/>
    <w:rsid w:val="002A1823"/>
    <w:rsid w:val="002A2019"/>
    <w:rsid w:val="002A30F7"/>
    <w:rsid w:val="002A38A3"/>
    <w:rsid w:val="002A407F"/>
    <w:rsid w:val="002A4B20"/>
    <w:rsid w:val="002A6BA5"/>
    <w:rsid w:val="002A7A00"/>
    <w:rsid w:val="002B020D"/>
    <w:rsid w:val="002B1877"/>
    <w:rsid w:val="002B1C4F"/>
    <w:rsid w:val="002B425A"/>
    <w:rsid w:val="002B447C"/>
    <w:rsid w:val="002B46ED"/>
    <w:rsid w:val="002B5FD8"/>
    <w:rsid w:val="002B6403"/>
    <w:rsid w:val="002B72BF"/>
    <w:rsid w:val="002B77B5"/>
    <w:rsid w:val="002C1F7E"/>
    <w:rsid w:val="002C285F"/>
    <w:rsid w:val="002C33AB"/>
    <w:rsid w:val="002C4180"/>
    <w:rsid w:val="002C4625"/>
    <w:rsid w:val="002C4E75"/>
    <w:rsid w:val="002C55E3"/>
    <w:rsid w:val="002C585D"/>
    <w:rsid w:val="002C5C99"/>
    <w:rsid w:val="002C5D72"/>
    <w:rsid w:val="002C6166"/>
    <w:rsid w:val="002C62A1"/>
    <w:rsid w:val="002C692E"/>
    <w:rsid w:val="002C6B09"/>
    <w:rsid w:val="002C6E62"/>
    <w:rsid w:val="002D00D7"/>
    <w:rsid w:val="002D056A"/>
    <w:rsid w:val="002D184F"/>
    <w:rsid w:val="002D1CA5"/>
    <w:rsid w:val="002D20F0"/>
    <w:rsid w:val="002D22FA"/>
    <w:rsid w:val="002D3E0C"/>
    <w:rsid w:val="002D431D"/>
    <w:rsid w:val="002D5318"/>
    <w:rsid w:val="002D5433"/>
    <w:rsid w:val="002D6972"/>
    <w:rsid w:val="002D6E9F"/>
    <w:rsid w:val="002D78BC"/>
    <w:rsid w:val="002D7A96"/>
    <w:rsid w:val="002E06F8"/>
    <w:rsid w:val="002E122A"/>
    <w:rsid w:val="002E1D1C"/>
    <w:rsid w:val="002E3469"/>
    <w:rsid w:val="002E444E"/>
    <w:rsid w:val="002E4C12"/>
    <w:rsid w:val="002E5D45"/>
    <w:rsid w:val="002E6F2C"/>
    <w:rsid w:val="002E744E"/>
    <w:rsid w:val="002E7C7B"/>
    <w:rsid w:val="002E7D35"/>
    <w:rsid w:val="002E7D92"/>
    <w:rsid w:val="002F08C1"/>
    <w:rsid w:val="002F0CDB"/>
    <w:rsid w:val="002F0DD0"/>
    <w:rsid w:val="002F0F58"/>
    <w:rsid w:val="002F1046"/>
    <w:rsid w:val="002F17B6"/>
    <w:rsid w:val="002F2623"/>
    <w:rsid w:val="002F2C18"/>
    <w:rsid w:val="002F2F61"/>
    <w:rsid w:val="002F32BC"/>
    <w:rsid w:val="002F3AAC"/>
    <w:rsid w:val="002F3D93"/>
    <w:rsid w:val="002F4522"/>
    <w:rsid w:val="002F5075"/>
    <w:rsid w:val="002F5595"/>
    <w:rsid w:val="002F56BB"/>
    <w:rsid w:val="002F606A"/>
    <w:rsid w:val="002F6A77"/>
    <w:rsid w:val="002F73B2"/>
    <w:rsid w:val="003008B0"/>
    <w:rsid w:val="00300E1D"/>
    <w:rsid w:val="00301316"/>
    <w:rsid w:val="003017B7"/>
    <w:rsid w:val="00302938"/>
    <w:rsid w:val="0030353A"/>
    <w:rsid w:val="00304458"/>
    <w:rsid w:val="0030491E"/>
    <w:rsid w:val="00304C99"/>
    <w:rsid w:val="0030596B"/>
    <w:rsid w:val="00306935"/>
    <w:rsid w:val="003074DF"/>
    <w:rsid w:val="00310E23"/>
    <w:rsid w:val="0031157E"/>
    <w:rsid w:val="00311618"/>
    <w:rsid w:val="003118E2"/>
    <w:rsid w:val="00311B19"/>
    <w:rsid w:val="0031201E"/>
    <w:rsid w:val="00312969"/>
    <w:rsid w:val="00313207"/>
    <w:rsid w:val="00313235"/>
    <w:rsid w:val="0031404F"/>
    <w:rsid w:val="00314138"/>
    <w:rsid w:val="003142B7"/>
    <w:rsid w:val="00314D80"/>
    <w:rsid w:val="003151BB"/>
    <w:rsid w:val="00315E0F"/>
    <w:rsid w:val="003167FB"/>
    <w:rsid w:val="00316D96"/>
    <w:rsid w:val="00317A80"/>
    <w:rsid w:val="0032012B"/>
    <w:rsid w:val="00320A47"/>
    <w:rsid w:val="00320CB2"/>
    <w:rsid w:val="003211E2"/>
    <w:rsid w:val="003213C2"/>
    <w:rsid w:val="003222AE"/>
    <w:rsid w:val="00322A08"/>
    <w:rsid w:val="00322FC7"/>
    <w:rsid w:val="00323358"/>
    <w:rsid w:val="0032340C"/>
    <w:rsid w:val="00323A4E"/>
    <w:rsid w:val="00323F7C"/>
    <w:rsid w:val="00324103"/>
    <w:rsid w:val="00324B9A"/>
    <w:rsid w:val="00324FA6"/>
    <w:rsid w:val="003258FB"/>
    <w:rsid w:val="003260A1"/>
    <w:rsid w:val="00326CB8"/>
    <w:rsid w:val="00326F59"/>
    <w:rsid w:val="003270E4"/>
    <w:rsid w:val="003279C6"/>
    <w:rsid w:val="00330300"/>
    <w:rsid w:val="0033086C"/>
    <w:rsid w:val="00330B95"/>
    <w:rsid w:val="0033131E"/>
    <w:rsid w:val="003320A4"/>
    <w:rsid w:val="003335C2"/>
    <w:rsid w:val="003337CD"/>
    <w:rsid w:val="00334BBF"/>
    <w:rsid w:val="00335E4D"/>
    <w:rsid w:val="00336255"/>
    <w:rsid w:val="00336FF0"/>
    <w:rsid w:val="00340202"/>
    <w:rsid w:val="0034021A"/>
    <w:rsid w:val="0034121E"/>
    <w:rsid w:val="00341534"/>
    <w:rsid w:val="00341EF5"/>
    <w:rsid w:val="00341FDB"/>
    <w:rsid w:val="00342F9A"/>
    <w:rsid w:val="00343A69"/>
    <w:rsid w:val="00343B6F"/>
    <w:rsid w:val="003440BD"/>
    <w:rsid w:val="00346586"/>
    <w:rsid w:val="00346A4D"/>
    <w:rsid w:val="00347179"/>
    <w:rsid w:val="003476A4"/>
    <w:rsid w:val="00347E40"/>
    <w:rsid w:val="00347FC5"/>
    <w:rsid w:val="003500C4"/>
    <w:rsid w:val="0035189B"/>
    <w:rsid w:val="00351BE7"/>
    <w:rsid w:val="003523D8"/>
    <w:rsid w:val="00352471"/>
    <w:rsid w:val="0035289D"/>
    <w:rsid w:val="0035314C"/>
    <w:rsid w:val="00354B5B"/>
    <w:rsid w:val="00354C97"/>
    <w:rsid w:val="00355080"/>
    <w:rsid w:val="00355258"/>
    <w:rsid w:val="003554C4"/>
    <w:rsid w:val="00355B04"/>
    <w:rsid w:val="00355F93"/>
    <w:rsid w:val="00356A14"/>
    <w:rsid w:val="003617E6"/>
    <w:rsid w:val="00361844"/>
    <w:rsid w:val="00363B32"/>
    <w:rsid w:val="00364A7F"/>
    <w:rsid w:val="003650CE"/>
    <w:rsid w:val="00365BFF"/>
    <w:rsid w:val="0036614E"/>
    <w:rsid w:val="0036630C"/>
    <w:rsid w:val="00366511"/>
    <w:rsid w:val="003665C4"/>
    <w:rsid w:val="003674DB"/>
    <w:rsid w:val="003704D1"/>
    <w:rsid w:val="00371092"/>
    <w:rsid w:val="003711FF"/>
    <w:rsid w:val="003717E6"/>
    <w:rsid w:val="00371811"/>
    <w:rsid w:val="00371CB2"/>
    <w:rsid w:val="003722E2"/>
    <w:rsid w:val="00373142"/>
    <w:rsid w:val="00373783"/>
    <w:rsid w:val="0037450D"/>
    <w:rsid w:val="00374C65"/>
    <w:rsid w:val="003751D5"/>
    <w:rsid w:val="00375BB8"/>
    <w:rsid w:val="00375DF2"/>
    <w:rsid w:val="00376646"/>
    <w:rsid w:val="00376811"/>
    <w:rsid w:val="00376C11"/>
    <w:rsid w:val="003778EE"/>
    <w:rsid w:val="00380CBF"/>
    <w:rsid w:val="003816B9"/>
    <w:rsid w:val="00381A05"/>
    <w:rsid w:val="00381ADB"/>
    <w:rsid w:val="00382318"/>
    <w:rsid w:val="00382A33"/>
    <w:rsid w:val="00382A48"/>
    <w:rsid w:val="00382CEE"/>
    <w:rsid w:val="00382F4F"/>
    <w:rsid w:val="003834EA"/>
    <w:rsid w:val="00384559"/>
    <w:rsid w:val="0038493B"/>
    <w:rsid w:val="00385FD9"/>
    <w:rsid w:val="00386462"/>
    <w:rsid w:val="003872FD"/>
    <w:rsid w:val="00392621"/>
    <w:rsid w:val="00392D21"/>
    <w:rsid w:val="00394FF5"/>
    <w:rsid w:val="00395420"/>
    <w:rsid w:val="00397866"/>
    <w:rsid w:val="0039793D"/>
    <w:rsid w:val="003A0247"/>
    <w:rsid w:val="003A0328"/>
    <w:rsid w:val="003A0410"/>
    <w:rsid w:val="003A1E0C"/>
    <w:rsid w:val="003A2EB7"/>
    <w:rsid w:val="003A34C9"/>
    <w:rsid w:val="003A55EB"/>
    <w:rsid w:val="003A5BD4"/>
    <w:rsid w:val="003A64D2"/>
    <w:rsid w:val="003A7C23"/>
    <w:rsid w:val="003A7F5E"/>
    <w:rsid w:val="003B0552"/>
    <w:rsid w:val="003B0A3E"/>
    <w:rsid w:val="003B0C66"/>
    <w:rsid w:val="003B15CA"/>
    <w:rsid w:val="003B1C37"/>
    <w:rsid w:val="003B1F19"/>
    <w:rsid w:val="003B2B93"/>
    <w:rsid w:val="003B2D40"/>
    <w:rsid w:val="003B3F11"/>
    <w:rsid w:val="003B6595"/>
    <w:rsid w:val="003B6A2B"/>
    <w:rsid w:val="003B70BE"/>
    <w:rsid w:val="003C00BB"/>
    <w:rsid w:val="003C0742"/>
    <w:rsid w:val="003C0C34"/>
    <w:rsid w:val="003C1190"/>
    <w:rsid w:val="003C134E"/>
    <w:rsid w:val="003C167F"/>
    <w:rsid w:val="003C2233"/>
    <w:rsid w:val="003C24F1"/>
    <w:rsid w:val="003C2959"/>
    <w:rsid w:val="003C3027"/>
    <w:rsid w:val="003C4537"/>
    <w:rsid w:val="003C4F47"/>
    <w:rsid w:val="003C4F5C"/>
    <w:rsid w:val="003C56D4"/>
    <w:rsid w:val="003C59DF"/>
    <w:rsid w:val="003C7381"/>
    <w:rsid w:val="003D177F"/>
    <w:rsid w:val="003D2B85"/>
    <w:rsid w:val="003D2E5D"/>
    <w:rsid w:val="003D36A6"/>
    <w:rsid w:val="003D495F"/>
    <w:rsid w:val="003D4CF9"/>
    <w:rsid w:val="003D4FBE"/>
    <w:rsid w:val="003D507D"/>
    <w:rsid w:val="003D50DF"/>
    <w:rsid w:val="003D5873"/>
    <w:rsid w:val="003D66A4"/>
    <w:rsid w:val="003D6AF7"/>
    <w:rsid w:val="003D78AD"/>
    <w:rsid w:val="003D7AEC"/>
    <w:rsid w:val="003E047D"/>
    <w:rsid w:val="003E051A"/>
    <w:rsid w:val="003E0AFC"/>
    <w:rsid w:val="003E106F"/>
    <w:rsid w:val="003E1F66"/>
    <w:rsid w:val="003E4CB1"/>
    <w:rsid w:val="003E5636"/>
    <w:rsid w:val="003E5AD4"/>
    <w:rsid w:val="003E627A"/>
    <w:rsid w:val="003E62D4"/>
    <w:rsid w:val="003E6364"/>
    <w:rsid w:val="003E738F"/>
    <w:rsid w:val="003E74BD"/>
    <w:rsid w:val="003E77F5"/>
    <w:rsid w:val="003F0A77"/>
    <w:rsid w:val="003F1560"/>
    <w:rsid w:val="003F1828"/>
    <w:rsid w:val="003F25A6"/>
    <w:rsid w:val="003F297C"/>
    <w:rsid w:val="003F3232"/>
    <w:rsid w:val="003F33E5"/>
    <w:rsid w:val="003F3E59"/>
    <w:rsid w:val="003F4E7C"/>
    <w:rsid w:val="003F5016"/>
    <w:rsid w:val="003F5726"/>
    <w:rsid w:val="003F63ED"/>
    <w:rsid w:val="003F6628"/>
    <w:rsid w:val="003F6D34"/>
    <w:rsid w:val="003F7D82"/>
    <w:rsid w:val="004021DC"/>
    <w:rsid w:val="00402533"/>
    <w:rsid w:val="00403092"/>
    <w:rsid w:val="004030D2"/>
    <w:rsid w:val="00403153"/>
    <w:rsid w:val="004032C6"/>
    <w:rsid w:val="00403B79"/>
    <w:rsid w:val="00403C92"/>
    <w:rsid w:val="00403F26"/>
    <w:rsid w:val="004042E7"/>
    <w:rsid w:val="00404748"/>
    <w:rsid w:val="00404A56"/>
    <w:rsid w:val="00404C5D"/>
    <w:rsid w:val="004052EE"/>
    <w:rsid w:val="004062D8"/>
    <w:rsid w:val="004064B9"/>
    <w:rsid w:val="00406C7A"/>
    <w:rsid w:val="00407036"/>
    <w:rsid w:val="00407297"/>
    <w:rsid w:val="00407E26"/>
    <w:rsid w:val="004100B6"/>
    <w:rsid w:val="004106DC"/>
    <w:rsid w:val="0041162C"/>
    <w:rsid w:val="004116D5"/>
    <w:rsid w:val="004128CB"/>
    <w:rsid w:val="00413219"/>
    <w:rsid w:val="00415029"/>
    <w:rsid w:val="00415CA2"/>
    <w:rsid w:val="00416007"/>
    <w:rsid w:val="004161E6"/>
    <w:rsid w:val="00416467"/>
    <w:rsid w:val="00417592"/>
    <w:rsid w:val="004200F6"/>
    <w:rsid w:val="0042016F"/>
    <w:rsid w:val="00420E1D"/>
    <w:rsid w:val="00420F79"/>
    <w:rsid w:val="00421A5F"/>
    <w:rsid w:val="00421C19"/>
    <w:rsid w:val="00422A53"/>
    <w:rsid w:val="004237BA"/>
    <w:rsid w:val="004240F6"/>
    <w:rsid w:val="00424673"/>
    <w:rsid w:val="0042516C"/>
    <w:rsid w:val="00425D49"/>
    <w:rsid w:val="004262F2"/>
    <w:rsid w:val="004272CD"/>
    <w:rsid w:val="004307CA"/>
    <w:rsid w:val="00431BA3"/>
    <w:rsid w:val="00432018"/>
    <w:rsid w:val="0043245E"/>
    <w:rsid w:val="00432777"/>
    <w:rsid w:val="00432CC8"/>
    <w:rsid w:val="00433B40"/>
    <w:rsid w:val="00433E6B"/>
    <w:rsid w:val="00435128"/>
    <w:rsid w:val="00435603"/>
    <w:rsid w:val="00436166"/>
    <w:rsid w:val="00436327"/>
    <w:rsid w:val="004363DB"/>
    <w:rsid w:val="00436773"/>
    <w:rsid w:val="004375B5"/>
    <w:rsid w:val="00437733"/>
    <w:rsid w:val="0043781C"/>
    <w:rsid w:val="00440244"/>
    <w:rsid w:val="00440532"/>
    <w:rsid w:val="00440735"/>
    <w:rsid w:val="0044104D"/>
    <w:rsid w:val="004412A3"/>
    <w:rsid w:val="004416A7"/>
    <w:rsid w:val="00441C13"/>
    <w:rsid w:val="00441CF8"/>
    <w:rsid w:val="0044206F"/>
    <w:rsid w:val="0044253B"/>
    <w:rsid w:val="00443524"/>
    <w:rsid w:val="004437B8"/>
    <w:rsid w:val="00443E1F"/>
    <w:rsid w:val="00444AEC"/>
    <w:rsid w:val="00445D87"/>
    <w:rsid w:val="0044629A"/>
    <w:rsid w:val="00446B9D"/>
    <w:rsid w:val="00447183"/>
    <w:rsid w:val="0045158B"/>
    <w:rsid w:val="00451846"/>
    <w:rsid w:val="00451EE2"/>
    <w:rsid w:val="00451FCF"/>
    <w:rsid w:val="00452F09"/>
    <w:rsid w:val="00453261"/>
    <w:rsid w:val="00453594"/>
    <w:rsid w:val="00453C9F"/>
    <w:rsid w:val="00454D95"/>
    <w:rsid w:val="004551D6"/>
    <w:rsid w:val="00455FFC"/>
    <w:rsid w:val="004570B6"/>
    <w:rsid w:val="004571E4"/>
    <w:rsid w:val="00457562"/>
    <w:rsid w:val="004577BE"/>
    <w:rsid w:val="00457A13"/>
    <w:rsid w:val="00457A56"/>
    <w:rsid w:val="00460010"/>
    <w:rsid w:val="00460482"/>
    <w:rsid w:val="00460731"/>
    <w:rsid w:val="00460AEA"/>
    <w:rsid w:val="00462040"/>
    <w:rsid w:val="0046224C"/>
    <w:rsid w:val="0046264F"/>
    <w:rsid w:val="0046325E"/>
    <w:rsid w:val="0046355B"/>
    <w:rsid w:val="00463E52"/>
    <w:rsid w:val="004648E2"/>
    <w:rsid w:val="00464CBD"/>
    <w:rsid w:val="00465663"/>
    <w:rsid w:val="004661E9"/>
    <w:rsid w:val="0046662E"/>
    <w:rsid w:val="00467461"/>
    <w:rsid w:val="004702C1"/>
    <w:rsid w:val="0047033C"/>
    <w:rsid w:val="00470E73"/>
    <w:rsid w:val="00470F0F"/>
    <w:rsid w:val="004719D3"/>
    <w:rsid w:val="00472578"/>
    <w:rsid w:val="0047277C"/>
    <w:rsid w:val="00473D82"/>
    <w:rsid w:val="004758FE"/>
    <w:rsid w:val="004761B7"/>
    <w:rsid w:val="00476340"/>
    <w:rsid w:val="00476D4F"/>
    <w:rsid w:val="0047702D"/>
    <w:rsid w:val="00477935"/>
    <w:rsid w:val="00480F01"/>
    <w:rsid w:val="00481004"/>
    <w:rsid w:val="00481810"/>
    <w:rsid w:val="00481E5D"/>
    <w:rsid w:val="00482CB7"/>
    <w:rsid w:val="00483833"/>
    <w:rsid w:val="00484332"/>
    <w:rsid w:val="004863D8"/>
    <w:rsid w:val="00486C03"/>
    <w:rsid w:val="00486CC7"/>
    <w:rsid w:val="004872A4"/>
    <w:rsid w:val="00487638"/>
    <w:rsid w:val="004906DF"/>
    <w:rsid w:val="00490B0A"/>
    <w:rsid w:val="00490CBC"/>
    <w:rsid w:val="004919DA"/>
    <w:rsid w:val="004922BF"/>
    <w:rsid w:val="0049351F"/>
    <w:rsid w:val="004950C8"/>
    <w:rsid w:val="00495357"/>
    <w:rsid w:val="00495657"/>
    <w:rsid w:val="00495CA3"/>
    <w:rsid w:val="004A06F2"/>
    <w:rsid w:val="004A093F"/>
    <w:rsid w:val="004A15F7"/>
    <w:rsid w:val="004A1699"/>
    <w:rsid w:val="004A21C9"/>
    <w:rsid w:val="004A21CA"/>
    <w:rsid w:val="004A3040"/>
    <w:rsid w:val="004A507A"/>
    <w:rsid w:val="004A5A37"/>
    <w:rsid w:val="004A5CD6"/>
    <w:rsid w:val="004A60CA"/>
    <w:rsid w:val="004A65B5"/>
    <w:rsid w:val="004A69B3"/>
    <w:rsid w:val="004A7763"/>
    <w:rsid w:val="004B0747"/>
    <w:rsid w:val="004B0780"/>
    <w:rsid w:val="004B1436"/>
    <w:rsid w:val="004B1CED"/>
    <w:rsid w:val="004B21B7"/>
    <w:rsid w:val="004B22C6"/>
    <w:rsid w:val="004B2434"/>
    <w:rsid w:val="004B2626"/>
    <w:rsid w:val="004B3243"/>
    <w:rsid w:val="004B3EA8"/>
    <w:rsid w:val="004B40AA"/>
    <w:rsid w:val="004B4E09"/>
    <w:rsid w:val="004B592F"/>
    <w:rsid w:val="004B5E17"/>
    <w:rsid w:val="004B63E7"/>
    <w:rsid w:val="004B74A5"/>
    <w:rsid w:val="004C0472"/>
    <w:rsid w:val="004C132D"/>
    <w:rsid w:val="004C2B81"/>
    <w:rsid w:val="004C456F"/>
    <w:rsid w:val="004C4BF8"/>
    <w:rsid w:val="004C4DDD"/>
    <w:rsid w:val="004C53CD"/>
    <w:rsid w:val="004C67B3"/>
    <w:rsid w:val="004C6AF8"/>
    <w:rsid w:val="004C6CBB"/>
    <w:rsid w:val="004D094B"/>
    <w:rsid w:val="004D0CA1"/>
    <w:rsid w:val="004D13A8"/>
    <w:rsid w:val="004D1A8D"/>
    <w:rsid w:val="004D1B89"/>
    <w:rsid w:val="004D2CA9"/>
    <w:rsid w:val="004D340D"/>
    <w:rsid w:val="004D36EB"/>
    <w:rsid w:val="004D403F"/>
    <w:rsid w:val="004D4A9A"/>
    <w:rsid w:val="004D4B0E"/>
    <w:rsid w:val="004D68B7"/>
    <w:rsid w:val="004D6E73"/>
    <w:rsid w:val="004D7C13"/>
    <w:rsid w:val="004E0542"/>
    <w:rsid w:val="004E0A18"/>
    <w:rsid w:val="004E13D5"/>
    <w:rsid w:val="004E153B"/>
    <w:rsid w:val="004E17F4"/>
    <w:rsid w:val="004E2070"/>
    <w:rsid w:val="004E35C1"/>
    <w:rsid w:val="004E3A75"/>
    <w:rsid w:val="004E3CE3"/>
    <w:rsid w:val="004E4ECC"/>
    <w:rsid w:val="004E57F6"/>
    <w:rsid w:val="004E682C"/>
    <w:rsid w:val="004E6C7F"/>
    <w:rsid w:val="004E75B7"/>
    <w:rsid w:val="004E7C7A"/>
    <w:rsid w:val="004E7E28"/>
    <w:rsid w:val="004E7FA5"/>
    <w:rsid w:val="004F0347"/>
    <w:rsid w:val="004F1330"/>
    <w:rsid w:val="004F262F"/>
    <w:rsid w:val="004F3769"/>
    <w:rsid w:val="004F3C83"/>
    <w:rsid w:val="004F42AE"/>
    <w:rsid w:val="004F433B"/>
    <w:rsid w:val="004F4CF5"/>
    <w:rsid w:val="004F57FE"/>
    <w:rsid w:val="004F597E"/>
    <w:rsid w:val="004F64A4"/>
    <w:rsid w:val="004F697B"/>
    <w:rsid w:val="004F6D3D"/>
    <w:rsid w:val="0050081F"/>
    <w:rsid w:val="00500A8C"/>
    <w:rsid w:val="005019B5"/>
    <w:rsid w:val="00501B25"/>
    <w:rsid w:val="00502C83"/>
    <w:rsid w:val="005030F7"/>
    <w:rsid w:val="00503BBB"/>
    <w:rsid w:val="00505DBA"/>
    <w:rsid w:val="0050617C"/>
    <w:rsid w:val="005067DE"/>
    <w:rsid w:val="005069D7"/>
    <w:rsid w:val="00506A0F"/>
    <w:rsid w:val="005070A6"/>
    <w:rsid w:val="00510264"/>
    <w:rsid w:val="00511085"/>
    <w:rsid w:val="005128B8"/>
    <w:rsid w:val="00512BB4"/>
    <w:rsid w:val="005135CD"/>
    <w:rsid w:val="00513A56"/>
    <w:rsid w:val="005147D2"/>
    <w:rsid w:val="00514965"/>
    <w:rsid w:val="00514CCA"/>
    <w:rsid w:val="00515198"/>
    <w:rsid w:val="005152DF"/>
    <w:rsid w:val="005158C8"/>
    <w:rsid w:val="00516F60"/>
    <w:rsid w:val="00517741"/>
    <w:rsid w:val="0052025E"/>
    <w:rsid w:val="005203DF"/>
    <w:rsid w:val="005206C3"/>
    <w:rsid w:val="0052076E"/>
    <w:rsid w:val="00521789"/>
    <w:rsid w:val="005221D6"/>
    <w:rsid w:val="00522B2F"/>
    <w:rsid w:val="00523B9A"/>
    <w:rsid w:val="00524D0B"/>
    <w:rsid w:val="00526F56"/>
    <w:rsid w:val="00527573"/>
    <w:rsid w:val="00527ABD"/>
    <w:rsid w:val="00527B9B"/>
    <w:rsid w:val="0053087F"/>
    <w:rsid w:val="0053133F"/>
    <w:rsid w:val="00531E1B"/>
    <w:rsid w:val="0053200C"/>
    <w:rsid w:val="00532445"/>
    <w:rsid w:val="005331BA"/>
    <w:rsid w:val="0053510F"/>
    <w:rsid w:val="00535274"/>
    <w:rsid w:val="00535DA7"/>
    <w:rsid w:val="00536ED8"/>
    <w:rsid w:val="00536F4A"/>
    <w:rsid w:val="00537778"/>
    <w:rsid w:val="00540015"/>
    <w:rsid w:val="005407E7"/>
    <w:rsid w:val="00540AD9"/>
    <w:rsid w:val="00541052"/>
    <w:rsid w:val="005411E5"/>
    <w:rsid w:val="0054185E"/>
    <w:rsid w:val="00542F68"/>
    <w:rsid w:val="00543AF5"/>
    <w:rsid w:val="00543B1C"/>
    <w:rsid w:val="00543B5A"/>
    <w:rsid w:val="00544882"/>
    <w:rsid w:val="00545016"/>
    <w:rsid w:val="005455C5"/>
    <w:rsid w:val="00545A16"/>
    <w:rsid w:val="00545D91"/>
    <w:rsid w:val="00545FA4"/>
    <w:rsid w:val="005468A8"/>
    <w:rsid w:val="00546CD2"/>
    <w:rsid w:val="00546F22"/>
    <w:rsid w:val="005479D2"/>
    <w:rsid w:val="00547DAB"/>
    <w:rsid w:val="00547DBC"/>
    <w:rsid w:val="0055012C"/>
    <w:rsid w:val="00550309"/>
    <w:rsid w:val="00550795"/>
    <w:rsid w:val="00550D37"/>
    <w:rsid w:val="00551E6A"/>
    <w:rsid w:val="00552949"/>
    <w:rsid w:val="00552E22"/>
    <w:rsid w:val="00554C7E"/>
    <w:rsid w:val="00554FAB"/>
    <w:rsid w:val="00555A2B"/>
    <w:rsid w:val="00555AA4"/>
    <w:rsid w:val="00556A19"/>
    <w:rsid w:val="00556F18"/>
    <w:rsid w:val="00557AB7"/>
    <w:rsid w:val="00560329"/>
    <w:rsid w:val="005656F6"/>
    <w:rsid w:val="00565B23"/>
    <w:rsid w:val="00566EAA"/>
    <w:rsid w:val="005671AA"/>
    <w:rsid w:val="00570209"/>
    <w:rsid w:val="005715DF"/>
    <w:rsid w:val="00571FAB"/>
    <w:rsid w:val="00573857"/>
    <w:rsid w:val="00573F85"/>
    <w:rsid w:val="00575FFE"/>
    <w:rsid w:val="00576524"/>
    <w:rsid w:val="0057719E"/>
    <w:rsid w:val="00577420"/>
    <w:rsid w:val="0057753A"/>
    <w:rsid w:val="00580D0F"/>
    <w:rsid w:val="005823C2"/>
    <w:rsid w:val="0058257A"/>
    <w:rsid w:val="005835AA"/>
    <w:rsid w:val="005837A6"/>
    <w:rsid w:val="00584BD2"/>
    <w:rsid w:val="00585257"/>
    <w:rsid w:val="00586A12"/>
    <w:rsid w:val="005906A8"/>
    <w:rsid w:val="005908B0"/>
    <w:rsid w:val="00590E44"/>
    <w:rsid w:val="00591C2B"/>
    <w:rsid w:val="005929A1"/>
    <w:rsid w:val="00592C0F"/>
    <w:rsid w:val="005947B4"/>
    <w:rsid w:val="00594891"/>
    <w:rsid w:val="00594D99"/>
    <w:rsid w:val="00594FCA"/>
    <w:rsid w:val="005954AA"/>
    <w:rsid w:val="00595724"/>
    <w:rsid w:val="005958DF"/>
    <w:rsid w:val="00595DC5"/>
    <w:rsid w:val="00595E6E"/>
    <w:rsid w:val="0059677B"/>
    <w:rsid w:val="00596E70"/>
    <w:rsid w:val="00597325"/>
    <w:rsid w:val="005976F7"/>
    <w:rsid w:val="005A0832"/>
    <w:rsid w:val="005A0F7A"/>
    <w:rsid w:val="005A1C58"/>
    <w:rsid w:val="005A32CB"/>
    <w:rsid w:val="005A33BB"/>
    <w:rsid w:val="005A435E"/>
    <w:rsid w:val="005A48A5"/>
    <w:rsid w:val="005A5091"/>
    <w:rsid w:val="005A53E7"/>
    <w:rsid w:val="005A6284"/>
    <w:rsid w:val="005A7312"/>
    <w:rsid w:val="005A7921"/>
    <w:rsid w:val="005B02E4"/>
    <w:rsid w:val="005B0D47"/>
    <w:rsid w:val="005B1830"/>
    <w:rsid w:val="005B1FA1"/>
    <w:rsid w:val="005B2955"/>
    <w:rsid w:val="005B2A71"/>
    <w:rsid w:val="005B2AF4"/>
    <w:rsid w:val="005B2B4F"/>
    <w:rsid w:val="005B3A82"/>
    <w:rsid w:val="005B3D54"/>
    <w:rsid w:val="005B45EB"/>
    <w:rsid w:val="005B5D35"/>
    <w:rsid w:val="005B70DF"/>
    <w:rsid w:val="005C028E"/>
    <w:rsid w:val="005C0D29"/>
    <w:rsid w:val="005C0E1D"/>
    <w:rsid w:val="005C0FBB"/>
    <w:rsid w:val="005C19B1"/>
    <w:rsid w:val="005C308C"/>
    <w:rsid w:val="005C31DA"/>
    <w:rsid w:val="005C3E55"/>
    <w:rsid w:val="005C4917"/>
    <w:rsid w:val="005C5837"/>
    <w:rsid w:val="005C5DC4"/>
    <w:rsid w:val="005C6875"/>
    <w:rsid w:val="005D03AC"/>
    <w:rsid w:val="005D0893"/>
    <w:rsid w:val="005D1F00"/>
    <w:rsid w:val="005D26FD"/>
    <w:rsid w:val="005D2773"/>
    <w:rsid w:val="005D37F5"/>
    <w:rsid w:val="005D4576"/>
    <w:rsid w:val="005D4618"/>
    <w:rsid w:val="005D5428"/>
    <w:rsid w:val="005D552E"/>
    <w:rsid w:val="005D5F9A"/>
    <w:rsid w:val="005D6FE6"/>
    <w:rsid w:val="005D70C1"/>
    <w:rsid w:val="005D7AFB"/>
    <w:rsid w:val="005E157A"/>
    <w:rsid w:val="005E1CB0"/>
    <w:rsid w:val="005E3886"/>
    <w:rsid w:val="005E447A"/>
    <w:rsid w:val="005E44FE"/>
    <w:rsid w:val="005E56C5"/>
    <w:rsid w:val="005E5A0D"/>
    <w:rsid w:val="005E62CA"/>
    <w:rsid w:val="005E7317"/>
    <w:rsid w:val="005E7CE1"/>
    <w:rsid w:val="005E7D48"/>
    <w:rsid w:val="005F02DB"/>
    <w:rsid w:val="005F0360"/>
    <w:rsid w:val="005F0906"/>
    <w:rsid w:val="005F126A"/>
    <w:rsid w:val="005F165C"/>
    <w:rsid w:val="005F1844"/>
    <w:rsid w:val="005F29B4"/>
    <w:rsid w:val="005F2CCC"/>
    <w:rsid w:val="005F3E72"/>
    <w:rsid w:val="005F4627"/>
    <w:rsid w:val="005F4ACB"/>
    <w:rsid w:val="005F574D"/>
    <w:rsid w:val="005F689F"/>
    <w:rsid w:val="005F6DB4"/>
    <w:rsid w:val="005F7899"/>
    <w:rsid w:val="00600047"/>
    <w:rsid w:val="00600EAF"/>
    <w:rsid w:val="00600EC2"/>
    <w:rsid w:val="00600FA4"/>
    <w:rsid w:val="006010C8"/>
    <w:rsid w:val="00601A4D"/>
    <w:rsid w:val="006026E8"/>
    <w:rsid w:val="006029E0"/>
    <w:rsid w:val="00602B76"/>
    <w:rsid w:val="006030CC"/>
    <w:rsid w:val="00603576"/>
    <w:rsid w:val="00603A52"/>
    <w:rsid w:val="0060404B"/>
    <w:rsid w:val="006044F2"/>
    <w:rsid w:val="0060511A"/>
    <w:rsid w:val="00605978"/>
    <w:rsid w:val="00605B87"/>
    <w:rsid w:val="00605E2E"/>
    <w:rsid w:val="00606544"/>
    <w:rsid w:val="00607786"/>
    <w:rsid w:val="0061026C"/>
    <w:rsid w:val="00612037"/>
    <w:rsid w:val="0061235F"/>
    <w:rsid w:val="00612428"/>
    <w:rsid w:val="0061288F"/>
    <w:rsid w:val="00612941"/>
    <w:rsid w:val="00612D8F"/>
    <w:rsid w:val="00613B5E"/>
    <w:rsid w:val="00614720"/>
    <w:rsid w:val="0061642D"/>
    <w:rsid w:val="00616455"/>
    <w:rsid w:val="0061694B"/>
    <w:rsid w:val="00616F61"/>
    <w:rsid w:val="00617A54"/>
    <w:rsid w:val="00617E7D"/>
    <w:rsid w:val="006213BE"/>
    <w:rsid w:val="006214AC"/>
    <w:rsid w:val="00621E73"/>
    <w:rsid w:val="00622C83"/>
    <w:rsid w:val="006239DD"/>
    <w:rsid w:val="00623B99"/>
    <w:rsid w:val="006241DC"/>
    <w:rsid w:val="006247ED"/>
    <w:rsid w:val="00624ED2"/>
    <w:rsid w:val="006277DB"/>
    <w:rsid w:val="00630C3D"/>
    <w:rsid w:val="00630DC7"/>
    <w:rsid w:val="0063101A"/>
    <w:rsid w:val="006311E0"/>
    <w:rsid w:val="006329CF"/>
    <w:rsid w:val="00632CCE"/>
    <w:rsid w:val="00633DB4"/>
    <w:rsid w:val="006347DE"/>
    <w:rsid w:val="006349C0"/>
    <w:rsid w:val="0063513F"/>
    <w:rsid w:val="0063521B"/>
    <w:rsid w:val="00635880"/>
    <w:rsid w:val="00635B31"/>
    <w:rsid w:val="0063601E"/>
    <w:rsid w:val="00636231"/>
    <w:rsid w:val="00637036"/>
    <w:rsid w:val="00640118"/>
    <w:rsid w:val="00640589"/>
    <w:rsid w:val="00641081"/>
    <w:rsid w:val="00641EB9"/>
    <w:rsid w:val="00641F7A"/>
    <w:rsid w:val="0064273B"/>
    <w:rsid w:val="00642CE3"/>
    <w:rsid w:val="00642F63"/>
    <w:rsid w:val="006432D6"/>
    <w:rsid w:val="0064384E"/>
    <w:rsid w:val="0064411F"/>
    <w:rsid w:val="006449EB"/>
    <w:rsid w:val="00645782"/>
    <w:rsid w:val="00646CAC"/>
    <w:rsid w:val="00646D22"/>
    <w:rsid w:val="00647B92"/>
    <w:rsid w:val="0065074B"/>
    <w:rsid w:val="00651AF0"/>
    <w:rsid w:val="00651EF9"/>
    <w:rsid w:val="00652113"/>
    <w:rsid w:val="00653776"/>
    <w:rsid w:val="006538AA"/>
    <w:rsid w:val="00653E8E"/>
    <w:rsid w:val="00655543"/>
    <w:rsid w:val="00656B46"/>
    <w:rsid w:val="00657761"/>
    <w:rsid w:val="00661E30"/>
    <w:rsid w:val="006624C8"/>
    <w:rsid w:val="00662E67"/>
    <w:rsid w:val="0066574E"/>
    <w:rsid w:val="006658DB"/>
    <w:rsid w:val="006661B8"/>
    <w:rsid w:val="00666B41"/>
    <w:rsid w:val="0066758B"/>
    <w:rsid w:val="00667902"/>
    <w:rsid w:val="006679E3"/>
    <w:rsid w:val="00670AD6"/>
    <w:rsid w:val="00670E6E"/>
    <w:rsid w:val="006714AA"/>
    <w:rsid w:val="00673030"/>
    <w:rsid w:val="0067307A"/>
    <w:rsid w:val="006730CA"/>
    <w:rsid w:val="00673316"/>
    <w:rsid w:val="00673B2E"/>
    <w:rsid w:val="00673CC3"/>
    <w:rsid w:val="0067636F"/>
    <w:rsid w:val="0067697E"/>
    <w:rsid w:val="00676A0A"/>
    <w:rsid w:val="00676B81"/>
    <w:rsid w:val="00677757"/>
    <w:rsid w:val="00680579"/>
    <w:rsid w:val="006815CE"/>
    <w:rsid w:val="00681A8B"/>
    <w:rsid w:val="00682DB1"/>
    <w:rsid w:val="00683234"/>
    <w:rsid w:val="006839B3"/>
    <w:rsid w:val="00683CCC"/>
    <w:rsid w:val="00684070"/>
    <w:rsid w:val="00684DCA"/>
    <w:rsid w:val="00685359"/>
    <w:rsid w:val="00687123"/>
    <w:rsid w:val="00687B16"/>
    <w:rsid w:val="00687C07"/>
    <w:rsid w:val="006908AF"/>
    <w:rsid w:val="00690951"/>
    <w:rsid w:val="00691020"/>
    <w:rsid w:val="00691990"/>
    <w:rsid w:val="00691D07"/>
    <w:rsid w:val="006928CE"/>
    <w:rsid w:val="00693228"/>
    <w:rsid w:val="006936CD"/>
    <w:rsid w:val="006943CE"/>
    <w:rsid w:val="00695169"/>
    <w:rsid w:val="006974E9"/>
    <w:rsid w:val="006976A3"/>
    <w:rsid w:val="00697EBF"/>
    <w:rsid w:val="006A028A"/>
    <w:rsid w:val="006A1E82"/>
    <w:rsid w:val="006A27B0"/>
    <w:rsid w:val="006A2E8A"/>
    <w:rsid w:val="006A526B"/>
    <w:rsid w:val="006A5735"/>
    <w:rsid w:val="006A6E5B"/>
    <w:rsid w:val="006B044B"/>
    <w:rsid w:val="006B121A"/>
    <w:rsid w:val="006B2AD9"/>
    <w:rsid w:val="006B34E4"/>
    <w:rsid w:val="006B41CE"/>
    <w:rsid w:val="006B5289"/>
    <w:rsid w:val="006B5B39"/>
    <w:rsid w:val="006B6260"/>
    <w:rsid w:val="006B6399"/>
    <w:rsid w:val="006B6462"/>
    <w:rsid w:val="006B6AB4"/>
    <w:rsid w:val="006B70F2"/>
    <w:rsid w:val="006B7741"/>
    <w:rsid w:val="006C01F0"/>
    <w:rsid w:val="006C0762"/>
    <w:rsid w:val="006C0B10"/>
    <w:rsid w:val="006C0F48"/>
    <w:rsid w:val="006C1250"/>
    <w:rsid w:val="006C13B3"/>
    <w:rsid w:val="006C1690"/>
    <w:rsid w:val="006C2AA0"/>
    <w:rsid w:val="006C2E8F"/>
    <w:rsid w:val="006C3428"/>
    <w:rsid w:val="006C405A"/>
    <w:rsid w:val="006C7231"/>
    <w:rsid w:val="006C79A3"/>
    <w:rsid w:val="006C7F66"/>
    <w:rsid w:val="006D004A"/>
    <w:rsid w:val="006D0A00"/>
    <w:rsid w:val="006D1CA1"/>
    <w:rsid w:val="006D2D1B"/>
    <w:rsid w:val="006D2E9E"/>
    <w:rsid w:val="006D2EBF"/>
    <w:rsid w:val="006D3012"/>
    <w:rsid w:val="006D3571"/>
    <w:rsid w:val="006D3B22"/>
    <w:rsid w:val="006D3D59"/>
    <w:rsid w:val="006D46B2"/>
    <w:rsid w:val="006D5775"/>
    <w:rsid w:val="006D57F8"/>
    <w:rsid w:val="006D61B8"/>
    <w:rsid w:val="006D64C6"/>
    <w:rsid w:val="006D6E4F"/>
    <w:rsid w:val="006D7CBE"/>
    <w:rsid w:val="006E0179"/>
    <w:rsid w:val="006E10A3"/>
    <w:rsid w:val="006E1CF2"/>
    <w:rsid w:val="006E3825"/>
    <w:rsid w:val="006E388B"/>
    <w:rsid w:val="006E40C8"/>
    <w:rsid w:val="006E4340"/>
    <w:rsid w:val="006E5C28"/>
    <w:rsid w:val="006E6973"/>
    <w:rsid w:val="006E69B7"/>
    <w:rsid w:val="006E79A4"/>
    <w:rsid w:val="006F0A96"/>
    <w:rsid w:val="006F0CA8"/>
    <w:rsid w:val="006F0FA0"/>
    <w:rsid w:val="006F12A3"/>
    <w:rsid w:val="006F1A43"/>
    <w:rsid w:val="006F20E7"/>
    <w:rsid w:val="006F2278"/>
    <w:rsid w:val="006F2422"/>
    <w:rsid w:val="006F2DCF"/>
    <w:rsid w:val="006F305A"/>
    <w:rsid w:val="006F408F"/>
    <w:rsid w:val="006F4471"/>
    <w:rsid w:val="006F46E3"/>
    <w:rsid w:val="006F4F4E"/>
    <w:rsid w:val="006F5024"/>
    <w:rsid w:val="006F52E0"/>
    <w:rsid w:val="006F5A33"/>
    <w:rsid w:val="006F5D52"/>
    <w:rsid w:val="006F68B0"/>
    <w:rsid w:val="006F6BF7"/>
    <w:rsid w:val="006F7AE2"/>
    <w:rsid w:val="00700293"/>
    <w:rsid w:val="0070086A"/>
    <w:rsid w:val="00700EF7"/>
    <w:rsid w:val="00702863"/>
    <w:rsid w:val="00704EAA"/>
    <w:rsid w:val="00705BC5"/>
    <w:rsid w:val="00705DD0"/>
    <w:rsid w:val="00706A6B"/>
    <w:rsid w:val="00707B43"/>
    <w:rsid w:val="00710576"/>
    <w:rsid w:val="0071067E"/>
    <w:rsid w:val="00711377"/>
    <w:rsid w:val="007118A8"/>
    <w:rsid w:val="00711ADE"/>
    <w:rsid w:val="00711D2A"/>
    <w:rsid w:val="0071244E"/>
    <w:rsid w:val="0071265A"/>
    <w:rsid w:val="0071373A"/>
    <w:rsid w:val="00713B86"/>
    <w:rsid w:val="00715684"/>
    <w:rsid w:val="00715EFE"/>
    <w:rsid w:val="0071643B"/>
    <w:rsid w:val="00717275"/>
    <w:rsid w:val="007173D1"/>
    <w:rsid w:val="007209AD"/>
    <w:rsid w:val="00721647"/>
    <w:rsid w:val="00722AC9"/>
    <w:rsid w:val="00722F0D"/>
    <w:rsid w:val="00723E96"/>
    <w:rsid w:val="00723EBA"/>
    <w:rsid w:val="0072628C"/>
    <w:rsid w:val="00727B1B"/>
    <w:rsid w:val="00731F4F"/>
    <w:rsid w:val="0073281A"/>
    <w:rsid w:val="00732CB5"/>
    <w:rsid w:val="007338A2"/>
    <w:rsid w:val="00733E7F"/>
    <w:rsid w:val="00734547"/>
    <w:rsid w:val="00736F9F"/>
    <w:rsid w:val="00737684"/>
    <w:rsid w:val="00737B85"/>
    <w:rsid w:val="0074043A"/>
    <w:rsid w:val="00741B66"/>
    <w:rsid w:val="00741ED6"/>
    <w:rsid w:val="00743363"/>
    <w:rsid w:val="007434BE"/>
    <w:rsid w:val="00744310"/>
    <w:rsid w:val="0074484F"/>
    <w:rsid w:val="00744E37"/>
    <w:rsid w:val="00744E91"/>
    <w:rsid w:val="007454F4"/>
    <w:rsid w:val="0074642C"/>
    <w:rsid w:val="00747D94"/>
    <w:rsid w:val="00751E85"/>
    <w:rsid w:val="0075218A"/>
    <w:rsid w:val="00752421"/>
    <w:rsid w:val="00754A40"/>
    <w:rsid w:val="00754D73"/>
    <w:rsid w:val="0075509A"/>
    <w:rsid w:val="00755AB1"/>
    <w:rsid w:val="00756995"/>
    <w:rsid w:val="00756B50"/>
    <w:rsid w:val="007578D9"/>
    <w:rsid w:val="00757CC5"/>
    <w:rsid w:val="00757DDF"/>
    <w:rsid w:val="007606F1"/>
    <w:rsid w:val="0076097A"/>
    <w:rsid w:val="007621BF"/>
    <w:rsid w:val="00762F43"/>
    <w:rsid w:val="00764068"/>
    <w:rsid w:val="007644D9"/>
    <w:rsid w:val="007647A7"/>
    <w:rsid w:val="00764CC4"/>
    <w:rsid w:val="00767AD8"/>
    <w:rsid w:val="00767B5E"/>
    <w:rsid w:val="00770073"/>
    <w:rsid w:val="00770284"/>
    <w:rsid w:val="00770855"/>
    <w:rsid w:val="00771B87"/>
    <w:rsid w:val="00771E42"/>
    <w:rsid w:val="007726D9"/>
    <w:rsid w:val="00773572"/>
    <w:rsid w:val="0077475F"/>
    <w:rsid w:val="00774B9D"/>
    <w:rsid w:val="0077569F"/>
    <w:rsid w:val="007757D2"/>
    <w:rsid w:val="00775AF9"/>
    <w:rsid w:val="00776DE1"/>
    <w:rsid w:val="00776DE7"/>
    <w:rsid w:val="007771D5"/>
    <w:rsid w:val="00780364"/>
    <w:rsid w:val="00780697"/>
    <w:rsid w:val="007806AD"/>
    <w:rsid w:val="00780751"/>
    <w:rsid w:val="00780D6A"/>
    <w:rsid w:val="00781211"/>
    <w:rsid w:val="007814E1"/>
    <w:rsid w:val="007819DD"/>
    <w:rsid w:val="00781FC5"/>
    <w:rsid w:val="00782527"/>
    <w:rsid w:val="00782901"/>
    <w:rsid w:val="00783076"/>
    <w:rsid w:val="0078388D"/>
    <w:rsid w:val="00783A32"/>
    <w:rsid w:val="00783E22"/>
    <w:rsid w:val="007845A8"/>
    <w:rsid w:val="00784EA2"/>
    <w:rsid w:val="0078558F"/>
    <w:rsid w:val="00785D3C"/>
    <w:rsid w:val="00785E53"/>
    <w:rsid w:val="007879B1"/>
    <w:rsid w:val="007879BF"/>
    <w:rsid w:val="00787EA0"/>
    <w:rsid w:val="0079030B"/>
    <w:rsid w:val="00790F14"/>
    <w:rsid w:val="00792F07"/>
    <w:rsid w:val="007931E5"/>
    <w:rsid w:val="007936C6"/>
    <w:rsid w:val="00795449"/>
    <w:rsid w:val="007959C2"/>
    <w:rsid w:val="007968B0"/>
    <w:rsid w:val="00797C96"/>
    <w:rsid w:val="00797D50"/>
    <w:rsid w:val="007A01D6"/>
    <w:rsid w:val="007A0675"/>
    <w:rsid w:val="007A0A27"/>
    <w:rsid w:val="007A0C3E"/>
    <w:rsid w:val="007A1C2A"/>
    <w:rsid w:val="007A1D85"/>
    <w:rsid w:val="007A2F87"/>
    <w:rsid w:val="007A3B6D"/>
    <w:rsid w:val="007A5179"/>
    <w:rsid w:val="007A52EE"/>
    <w:rsid w:val="007A5970"/>
    <w:rsid w:val="007A5AE4"/>
    <w:rsid w:val="007A5B81"/>
    <w:rsid w:val="007A5C2F"/>
    <w:rsid w:val="007A5FB1"/>
    <w:rsid w:val="007A67D6"/>
    <w:rsid w:val="007A6E3E"/>
    <w:rsid w:val="007A6F5F"/>
    <w:rsid w:val="007A742D"/>
    <w:rsid w:val="007A7483"/>
    <w:rsid w:val="007A758D"/>
    <w:rsid w:val="007A7747"/>
    <w:rsid w:val="007B0310"/>
    <w:rsid w:val="007B03A5"/>
    <w:rsid w:val="007B10A5"/>
    <w:rsid w:val="007B113A"/>
    <w:rsid w:val="007B1549"/>
    <w:rsid w:val="007B1B7E"/>
    <w:rsid w:val="007B32F2"/>
    <w:rsid w:val="007B3370"/>
    <w:rsid w:val="007B3C0E"/>
    <w:rsid w:val="007B4019"/>
    <w:rsid w:val="007B4897"/>
    <w:rsid w:val="007B48E8"/>
    <w:rsid w:val="007B6071"/>
    <w:rsid w:val="007B75CC"/>
    <w:rsid w:val="007B798D"/>
    <w:rsid w:val="007C000B"/>
    <w:rsid w:val="007C106C"/>
    <w:rsid w:val="007C337F"/>
    <w:rsid w:val="007C3598"/>
    <w:rsid w:val="007C3D07"/>
    <w:rsid w:val="007C4CEE"/>
    <w:rsid w:val="007C4EEB"/>
    <w:rsid w:val="007C5218"/>
    <w:rsid w:val="007C6516"/>
    <w:rsid w:val="007C72B6"/>
    <w:rsid w:val="007C7587"/>
    <w:rsid w:val="007C7E96"/>
    <w:rsid w:val="007D0AC3"/>
    <w:rsid w:val="007D181A"/>
    <w:rsid w:val="007D1C03"/>
    <w:rsid w:val="007D275F"/>
    <w:rsid w:val="007D4530"/>
    <w:rsid w:val="007D5B07"/>
    <w:rsid w:val="007D694A"/>
    <w:rsid w:val="007D7127"/>
    <w:rsid w:val="007D71C7"/>
    <w:rsid w:val="007D727C"/>
    <w:rsid w:val="007D72ED"/>
    <w:rsid w:val="007E0BE1"/>
    <w:rsid w:val="007E14E0"/>
    <w:rsid w:val="007E223F"/>
    <w:rsid w:val="007E2B5A"/>
    <w:rsid w:val="007E311A"/>
    <w:rsid w:val="007E3980"/>
    <w:rsid w:val="007E3A13"/>
    <w:rsid w:val="007E3F7D"/>
    <w:rsid w:val="007E4529"/>
    <w:rsid w:val="007E453C"/>
    <w:rsid w:val="007E493A"/>
    <w:rsid w:val="007E5BBA"/>
    <w:rsid w:val="007E6A70"/>
    <w:rsid w:val="007E6D33"/>
    <w:rsid w:val="007E7B35"/>
    <w:rsid w:val="007F02C6"/>
    <w:rsid w:val="007F0A54"/>
    <w:rsid w:val="007F3125"/>
    <w:rsid w:val="007F35AB"/>
    <w:rsid w:val="007F3881"/>
    <w:rsid w:val="007F42AE"/>
    <w:rsid w:val="007F506C"/>
    <w:rsid w:val="007F510F"/>
    <w:rsid w:val="007F68CD"/>
    <w:rsid w:val="007F7973"/>
    <w:rsid w:val="00800647"/>
    <w:rsid w:val="008010B3"/>
    <w:rsid w:val="00801DDD"/>
    <w:rsid w:val="00802354"/>
    <w:rsid w:val="00802440"/>
    <w:rsid w:val="0080269E"/>
    <w:rsid w:val="00803184"/>
    <w:rsid w:val="0080358A"/>
    <w:rsid w:val="00803BB0"/>
    <w:rsid w:val="00803BBE"/>
    <w:rsid w:val="00803C0E"/>
    <w:rsid w:val="00803E8B"/>
    <w:rsid w:val="00803F01"/>
    <w:rsid w:val="00804215"/>
    <w:rsid w:val="008046F5"/>
    <w:rsid w:val="00805299"/>
    <w:rsid w:val="00805681"/>
    <w:rsid w:val="00805B28"/>
    <w:rsid w:val="008067B4"/>
    <w:rsid w:val="008075C0"/>
    <w:rsid w:val="00807B59"/>
    <w:rsid w:val="00807E87"/>
    <w:rsid w:val="0081065E"/>
    <w:rsid w:val="00810C6B"/>
    <w:rsid w:val="00812560"/>
    <w:rsid w:val="00812765"/>
    <w:rsid w:val="008135FC"/>
    <w:rsid w:val="00813794"/>
    <w:rsid w:val="00814EFB"/>
    <w:rsid w:val="00815753"/>
    <w:rsid w:val="00817481"/>
    <w:rsid w:val="00817DBD"/>
    <w:rsid w:val="00821762"/>
    <w:rsid w:val="00822FCA"/>
    <w:rsid w:val="00824EC4"/>
    <w:rsid w:val="008256FA"/>
    <w:rsid w:val="008262E8"/>
    <w:rsid w:val="00826E03"/>
    <w:rsid w:val="00827259"/>
    <w:rsid w:val="008273AB"/>
    <w:rsid w:val="0082797B"/>
    <w:rsid w:val="00827CC3"/>
    <w:rsid w:val="00831215"/>
    <w:rsid w:val="00831AA7"/>
    <w:rsid w:val="00831FC6"/>
    <w:rsid w:val="008321A4"/>
    <w:rsid w:val="00832414"/>
    <w:rsid w:val="00833461"/>
    <w:rsid w:val="008337CD"/>
    <w:rsid w:val="008348E6"/>
    <w:rsid w:val="00835442"/>
    <w:rsid w:val="00835BFE"/>
    <w:rsid w:val="008360BF"/>
    <w:rsid w:val="00836152"/>
    <w:rsid w:val="00836271"/>
    <w:rsid w:val="00836313"/>
    <w:rsid w:val="008365B4"/>
    <w:rsid w:val="00836878"/>
    <w:rsid w:val="00836C91"/>
    <w:rsid w:val="00836D6E"/>
    <w:rsid w:val="0083714C"/>
    <w:rsid w:val="0084058C"/>
    <w:rsid w:val="00840C19"/>
    <w:rsid w:val="00840C74"/>
    <w:rsid w:val="008413A7"/>
    <w:rsid w:val="00843FB5"/>
    <w:rsid w:val="0084422C"/>
    <w:rsid w:val="0084435D"/>
    <w:rsid w:val="00844A76"/>
    <w:rsid w:val="00844E33"/>
    <w:rsid w:val="0084543B"/>
    <w:rsid w:val="00846AE4"/>
    <w:rsid w:val="00847B85"/>
    <w:rsid w:val="00850496"/>
    <w:rsid w:val="008508C3"/>
    <w:rsid w:val="008515D9"/>
    <w:rsid w:val="0085276F"/>
    <w:rsid w:val="008528C8"/>
    <w:rsid w:val="00853132"/>
    <w:rsid w:val="00854A43"/>
    <w:rsid w:val="00854CB0"/>
    <w:rsid w:val="008550B1"/>
    <w:rsid w:val="00855F13"/>
    <w:rsid w:val="008562A9"/>
    <w:rsid w:val="008572DC"/>
    <w:rsid w:val="00857777"/>
    <w:rsid w:val="008578B3"/>
    <w:rsid w:val="008603DE"/>
    <w:rsid w:val="00860596"/>
    <w:rsid w:val="008606C8"/>
    <w:rsid w:val="008619BC"/>
    <w:rsid w:val="00861CF5"/>
    <w:rsid w:val="00863633"/>
    <w:rsid w:val="00863CDF"/>
    <w:rsid w:val="008642FA"/>
    <w:rsid w:val="0086447F"/>
    <w:rsid w:val="00864B17"/>
    <w:rsid w:val="00864F7F"/>
    <w:rsid w:val="008651FA"/>
    <w:rsid w:val="0086587E"/>
    <w:rsid w:val="008669E5"/>
    <w:rsid w:val="00866C64"/>
    <w:rsid w:val="00867D20"/>
    <w:rsid w:val="00867EAE"/>
    <w:rsid w:val="00870779"/>
    <w:rsid w:val="00870878"/>
    <w:rsid w:val="00870B40"/>
    <w:rsid w:val="00872E70"/>
    <w:rsid w:val="008730D2"/>
    <w:rsid w:val="00874C5F"/>
    <w:rsid w:val="00874D99"/>
    <w:rsid w:val="00875222"/>
    <w:rsid w:val="008766FD"/>
    <w:rsid w:val="0087674B"/>
    <w:rsid w:val="00876B76"/>
    <w:rsid w:val="00876BA4"/>
    <w:rsid w:val="00876CBA"/>
    <w:rsid w:val="008770C7"/>
    <w:rsid w:val="00877AB1"/>
    <w:rsid w:val="00877CF8"/>
    <w:rsid w:val="00880239"/>
    <w:rsid w:val="00880C3B"/>
    <w:rsid w:val="0088163C"/>
    <w:rsid w:val="00881784"/>
    <w:rsid w:val="00881E87"/>
    <w:rsid w:val="00882469"/>
    <w:rsid w:val="00882869"/>
    <w:rsid w:val="00882BD8"/>
    <w:rsid w:val="00883021"/>
    <w:rsid w:val="008835A9"/>
    <w:rsid w:val="00883AF1"/>
    <w:rsid w:val="0088419A"/>
    <w:rsid w:val="00886999"/>
    <w:rsid w:val="00886AA3"/>
    <w:rsid w:val="00886B7C"/>
    <w:rsid w:val="0088736C"/>
    <w:rsid w:val="00887738"/>
    <w:rsid w:val="008905CE"/>
    <w:rsid w:val="00890624"/>
    <w:rsid w:val="00891E40"/>
    <w:rsid w:val="0089370D"/>
    <w:rsid w:val="0089410B"/>
    <w:rsid w:val="00894840"/>
    <w:rsid w:val="00894875"/>
    <w:rsid w:val="00894A92"/>
    <w:rsid w:val="00894B43"/>
    <w:rsid w:val="00895889"/>
    <w:rsid w:val="00897AAB"/>
    <w:rsid w:val="00897E7D"/>
    <w:rsid w:val="008A0AC0"/>
    <w:rsid w:val="008A1147"/>
    <w:rsid w:val="008A1BC9"/>
    <w:rsid w:val="008A25F6"/>
    <w:rsid w:val="008A26DB"/>
    <w:rsid w:val="008A304F"/>
    <w:rsid w:val="008A30B0"/>
    <w:rsid w:val="008A360D"/>
    <w:rsid w:val="008A3669"/>
    <w:rsid w:val="008A3B0E"/>
    <w:rsid w:val="008A4FCE"/>
    <w:rsid w:val="008A4FE4"/>
    <w:rsid w:val="008A5218"/>
    <w:rsid w:val="008A5711"/>
    <w:rsid w:val="008A585E"/>
    <w:rsid w:val="008A591A"/>
    <w:rsid w:val="008A5ADD"/>
    <w:rsid w:val="008A5BD7"/>
    <w:rsid w:val="008A62F2"/>
    <w:rsid w:val="008A634C"/>
    <w:rsid w:val="008A6372"/>
    <w:rsid w:val="008A67AE"/>
    <w:rsid w:val="008A688C"/>
    <w:rsid w:val="008A6DF1"/>
    <w:rsid w:val="008A6E57"/>
    <w:rsid w:val="008A768A"/>
    <w:rsid w:val="008B06FD"/>
    <w:rsid w:val="008B0982"/>
    <w:rsid w:val="008B0D3B"/>
    <w:rsid w:val="008B0F6A"/>
    <w:rsid w:val="008B1A8F"/>
    <w:rsid w:val="008B21FA"/>
    <w:rsid w:val="008B2EC0"/>
    <w:rsid w:val="008B4E21"/>
    <w:rsid w:val="008B7008"/>
    <w:rsid w:val="008B75F2"/>
    <w:rsid w:val="008C07FF"/>
    <w:rsid w:val="008C0CC7"/>
    <w:rsid w:val="008C1155"/>
    <w:rsid w:val="008C28EE"/>
    <w:rsid w:val="008C2E52"/>
    <w:rsid w:val="008C3611"/>
    <w:rsid w:val="008C37C9"/>
    <w:rsid w:val="008C38CA"/>
    <w:rsid w:val="008C3AD5"/>
    <w:rsid w:val="008C3AE8"/>
    <w:rsid w:val="008C4017"/>
    <w:rsid w:val="008C54AE"/>
    <w:rsid w:val="008C5960"/>
    <w:rsid w:val="008C70F3"/>
    <w:rsid w:val="008D07A6"/>
    <w:rsid w:val="008D1513"/>
    <w:rsid w:val="008D1FE4"/>
    <w:rsid w:val="008D235D"/>
    <w:rsid w:val="008D236D"/>
    <w:rsid w:val="008D2400"/>
    <w:rsid w:val="008D3616"/>
    <w:rsid w:val="008D4253"/>
    <w:rsid w:val="008D4B0A"/>
    <w:rsid w:val="008D5050"/>
    <w:rsid w:val="008D5135"/>
    <w:rsid w:val="008D548C"/>
    <w:rsid w:val="008D5524"/>
    <w:rsid w:val="008D5A3F"/>
    <w:rsid w:val="008D5BE0"/>
    <w:rsid w:val="008D5CA0"/>
    <w:rsid w:val="008D60FB"/>
    <w:rsid w:val="008D692E"/>
    <w:rsid w:val="008D743A"/>
    <w:rsid w:val="008D7607"/>
    <w:rsid w:val="008E04B0"/>
    <w:rsid w:val="008E11DB"/>
    <w:rsid w:val="008E1636"/>
    <w:rsid w:val="008E1DCC"/>
    <w:rsid w:val="008E23BC"/>
    <w:rsid w:val="008E29A1"/>
    <w:rsid w:val="008E497E"/>
    <w:rsid w:val="008E4B04"/>
    <w:rsid w:val="008E537B"/>
    <w:rsid w:val="008E691D"/>
    <w:rsid w:val="008F062D"/>
    <w:rsid w:val="008F1094"/>
    <w:rsid w:val="008F12B5"/>
    <w:rsid w:val="008F1564"/>
    <w:rsid w:val="008F18CE"/>
    <w:rsid w:val="008F223A"/>
    <w:rsid w:val="008F28D7"/>
    <w:rsid w:val="008F444F"/>
    <w:rsid w:val="008F5E45"/>
    <w:rsid w:val="008F6065"/>
    <w:rsid w:val="008F6545"/>
    <w:rsid w:val="008F6E59"/>
    <w:rsid w:val="008F6EAD"/>
    <w:rsid w:val="008F72F5"/>
    <w:rsid w:val="008F77FB"/>
    <w:rsid w:val="008F7B18"/>
    <w:rsid w:val="00900586"/>
    <w:rsid w:val="009017DB"/>
    <w:rsid w:val="0090191F"/>
    <w:rsid w:val="00901B25"/>
    <w:rsid w:val="00901F6A"/>
    <w:rsid w:val="00902721"/>
    <w:rsid w:val="00904FA0"/>
    <w:rsid w:val="0090578C"/>
    <w:rsid w:val="00906C8E"/>
    <w:rsid w:val="0090773F"/>
    <w:rsid w:val="00907A3E"/>
    <w:rsid w:val="0091026F"/>
    <w:rsid w:val="009103B5"/>
    <w:rsid w:val="00910435"/>
    <w:rsid w:val="00910C6B"/>
    <w:rsid w:val="009125B4"/>
    <w:rsid w:val="00912D1F"/>
    <w:rsid w:val="009130CE"/>
    <w:rsid w:val="009137CE"/>
    <w:rsid w:val="00914FE6"/>
    <w:rsid w:val="00915D62"/>
    <w:rsid w:val="00916618"/>
    <w:rsid w:val="0091718D"/>
    <w:rsid w:val="009175EA"/>
    <w:rsid w:val="009178FA"/>
    <w:rsid w:val="00917B75"/>
    <w:rsid w:val="00917EFD"/>
    <w:rsid w:val="0092009B"/>
    <w:rsid w:val="009209DD"/>
    <w:rsid w:val="00921848"/>
    <w:rsid w:val="00922197"/>
    <w:rsid w:val="00922CBD"/>
    <w:rsid w:val="009230AA"/>
    <w:rsid w:val="00924117"/>
    <w:rsid w:val="009241FF"/>
    <w:rsid w:val="00924F4D"/>
    <w:rsid w:val="009251D9"/>
    <w:rsid w:val="00925A79"/>
    <w:rsid w:val="00925C8D"/>
    <w:rsid w:val="00926905"/>
    <w:rsid w:val="00926CE2"/>
    <w:rsid w:val="00930E4A"/>
    <w:rsid w:val="00932C11"/>
    <w:rsid w:val="00933069"/>
    <w:rsid w:val="00933696"/>
    <w:rsid w:val="00935355"/>
    <w:rsid w:val="00935AD5"/>
    <w:rsid w:val="0093636E"/>
    <w:rsid w:val="009366C0"/>
    <w:rsid w:val="00936851"/>
    <w:rsid w:val="00936EE5"/>
    <w:rsid w:val="0093759E"/>
    <w:rsid w:val="00937B4D"/>
    <w:rsid w:val="009404A2"/>
    <w:rsid w:val="00940C2D"/>
    <w:rsid w:val="0094129A"/>
    <w:rsid w:val="00941B47"/>
    <w:rsid w:val="00941D85"/>
    <w:rsid w:val="00942AA3"/>
    <w:rsid w:val="00942C88"/>
    <w:rsid w:val="0094354F"/>
    <w:rsid w:val="00944035"/>
    <w:rsid w:val="00944BB6"/>
    <w:rsid w:val="00945672"/>
    <w:rsid w:val="0094699D"/>
    <w:rsid w:val="00947479"/>
    <w:rsid w:val="00947937"/>
    <w:rsid w:val="00947A05"/>
    <w:rsid w:val="00947ECC"/>
    <w:rsid w:val="009502DA"/>
    <w:rsid w:val="00950A35"/>
    <w:rsid w:val="00953288"/>
    <w:rsid w:val="009535D4"/>
    <w:rsid w:val="00953A02"/>
    <w:rsid w:val="00954182"/>
    <w:rsid w:val="00954596"/>
    <w:rsid w:val="00954941"/>
    <w:rsid w:val="00955245"/>
    <w:rsid w:val="009558BC"/>
    <w:rsid w:val="0095616B"/>
    <w:rsid w:val="00956D91"/>
    <w:rsid w:val="00957B18"/>
    <w:rsid w:val="00957C34"/>
    <w:rsid w:val="009607C6"/>
    <w:rsid w:val="009624DD"/>
    <w:rsid w:val="0096267D"/>
    <w:rsid w:val="0096307B"/>
    <w:rsid w:val="00966B32"/>
    <w:rsid w:val="009677FD"/>
    <w:rsid w:val="009704F8"/>
    <w:rsid w:val="00970E02"/>
    <w:rsid w:val="00971063"/>
    <w:rsid w:val="009716AC"/>
    <w:rsid w:val="009726E7"/>
    <w:rsid w:val="00972770"/>
    <w:rsid w:val="009728F2"/>
    <w:rsid w:val="0097324C"/>
    <w:rsid w:val="00974131"/>
    <w:rsid w:val="0097481C"/>
    <w:rsid w:val="00975F04"/>
    <w:rsid w:val="0097619A"/>
    <w:rsid w:val="009769AA"/>
    <w:rsid w:val="00977214"/>
    <w:rsid w:val="0097751A"/>
    <w:rsid w:val="0097794E"/>
    <w:rsid w:val="00977E41"/>
    <w:rsid w:val="00980293"/>
    <w:rsid w:val="00980413"/>
    <w:rsid w:val="00982DDD"/>
    <w:rsid w:val="009839D8"/>
    <w:rsid w:val="009856ED"/>
    <w:rsid w:val="00985E38"/>
    <w:rsid w:val="00985FC4"/>
    <w:rsid w:val="009867B7"/>
    <w:rsid w:val="0099168D"/>
    <w:rsid w:val="00992260"/>
    <w:rsid w:val="00993478"/>
    <w:rsid w:val="00993B6E"/>
    <w:rsid w:val="00993E27"/>
    <w:rsid w:val="00994481"/>
    <w:rsid w:val="00994B52"/>
    <w:rsid w:val="009950AA"/>
    <w:rsid w:val="00995FA8"/>
    <w:rsid w:val="00996124"/>
    <w:rsid w:val="0099691E"/>
    <w:rsid w:val="00996D26"/>
    <w:rsid w:val="00997CF0"/>
    <w:rsid w:val="009A0B48"/>
    <w:rsid w:val="009A15A7"/>
    <w:rsid w:val="009A16D0"/>
    <w:rsid w:val="009A3D4D"/>
    <w:rsid w:val="009A4AC6"/>
    <w:rsid w:val="009A4F65"/>
    <w:rsid w:val="009A5855"/>
    <w:rsid w:val="009A6A7C"/>
    <w:rsid w:val="009A7138"/>
    <w:rsid w:val="009A7B91"/>
    <w:rsid w:val="009B0ADC"/>
    <w:rsid w:val="009B2375"/>
    <w:rsid w:val="009B31A8"/>
    <w:rsid w:val="009B4854"/>
    <w:rsid w:val="009B5FD1"/>
    <w:rsid w:val="009B6222"/>
    <w:rsid w:val="009B7D49"/>
    <w:rsid w:val="009C1937"/>
    <w:rsid w:val="009C19F3"/>
    <w:rsid w:val="009C21D1"/>
    <w:rsid w:val="009C2D60"/>
    <w:rsid w:val="009C3C5C"/>
    <w:rsid w:val="009C4218"/>
    <w:rsid w:val="009C49DA"/>
    <w:rsid w:val="009C4B0C"/>
    <w:rsid w:val="009C60A5"/>
    <w:rsid w:val="009C758B"/>
    <w:rsid w:val="009C7F8A"/>
    <w:rsid w:val="009D1105"/>
    <w:rsid w:val="009D25FC"/>
    <w:rsid w:val="009D3B4D"/>
    <w:rsid w:val="009D3B9D"/>
    <w:rsid w:val="009D3F60"/>
    <w:rsid w:val="009D51F4"/>
    <w:rsid w:val="009D5E65"/>
    <w:rsid w:val="009D79EA"/>
    <w:rsid w:val="009E24F0"/>
    <w:rsid w:val="009E2682"/>
    <w:rsid w:val="009E53CC"/>
    <w:rsid w:val="009E5446"/>
    <w:rsid w:val="009E62CB"/>
    <w:rsid w:val="009E6EA0"/>
    <w:rsid w:val="009E7467"/>
    <w:rsid w:val="009E7981"/>
    <w:rsid w:val="009E7C6B"/>
    <w:rsid w:val="009F1856"/>
    <w:rsid w:val="009F1C63"/>
    <w:rsid w:val="009F1FF6"/>
    <w:rsid w:val="009F20D2"/>
    <w:rsid w:val="009F2864"/>
    <w:rsid w:val="009F398E"/>
    <w:rsid w:val="009F432F"/>
    <w:rsid w:val="009F5663"/>
    <w:rsid w:val="009F5C54"/>
    <w:rsid w:val="009F5FA3"/>
    <w:rsid w:val="009F64CE"/>
    <w:rsid w:val="009F651A"/>
    <w:rsid w:val="009F66F8"/>
    <w:rsid w:val="009F6808"/>
    <w:rsid w:val="00A00B24"/>
    <w:rsid w:val="00A01210"/>
    <w:rsid w:val="00A019EB"/>
    <w:rsid w:val="00A0337A"/>
    <w:rsid w:val="00A03B2D"/>
    <w:rsid w:val="00A03C17"/>
    <w:rsid w:val="00A0654C"/>
    <w:rsid w:val="00A0713D"/>
    <w:rsid w:val="00A07D19"/>
    <w:rsid w:val="00A07D47"/>
    <w:rsid w:val="00A10E01"/>
    <w:rsid w:val="00A11114"/>
    <w:rsid w:val="00A111BC"/>
    <w:rsid w:val="00A11B71"/>
    <w:rsid w:val="00A125BC"/>
    <w:rsid w:val="00A13170"/>
    <w:rsid w:val="00A13A4B"/>
    <w:rsid w:val="00A13D2E"/>
    <w:rsid w:val="00A147B5"/>
    <w:rsid w:val="00A14AE4"/>
    <w:rsid w:val="00A15FA7"/>
    <w:rsid w:val="00A166EA"/>
    <w:rsid w:val="00A17183"/>
    <w:rsid w:val="00A179BB"/>
    <w:rsid w:val="00A179CD"/>
    <w:rsid w:val="00A20700"/>
    <w:rsid w:val="00A20EB2"/>
    <w:rsid w:val="00A2126C"/>
    <w:rsid w:val="00A219A0"/>
    <w:rsid w:val="00A22BEF"/>
    <w:rsid w:val="00A22E36"/>
    <w:rsid w:val="00A23D44"/>
    <w:rsid w:val="00A25743"/>
    <w:rsid w:val="00A25BB1"/>
    <w:rsid w:val="00A26399"/>
    <w:rsid w:val="00A27910"/>
    <w:rsid w:val="00A27D97"/>
    <w:rsid w:val="00A27E89"/>
    <w:rsid w:val="00A302C7"/>
    <w:rsid w:val="00A30D48"/>
    <w:rsid w:val="00A3188B"/>
    <w:rsid w:val="00A31B5A"/>
    <w:rsid w:val="00A31C24"/>
    <w:rsid w:val="00A31DF2"/>
    <w:rsid w:val="00A32D25"/>
    <w:rsid w:val="00A332D2"/>
    <w:rsid w:val="00A34E8D"/>
    <w:rsid w:val="00A35873"/>
    <w:rsid w:val="00A35BFF"/>
    <w:rsid w:val="00A41EF1"/>
    <w:rsid w:val="00A423F8"/>
    <w:rsid w:val="00A42519"/>
    <w:rsid w:val="00A435CF"/>
    <w:rsid w:val="00A4411A"/>
    <w:rsid w:val="00A44684"/>
    <w:rsid w:val="00A446A3"/>
    <w:rsid w:val="00A44CFC"/>
    <w:rsid w:val="00A45201"/>
    <w:rsid w:val="00A45D0C"/>
    <w:rsid w:val="00A4695B"/>
    <w:rsid w:val="00A46A49"/>
    <w:rsid w:val="00A46DE4"/>
    <w:rsid w:val="00A47A4C"/>
    <w:rsid w:val="00A47AAE"/>
    <w:rsid w:val="00A500F9"/>
    <w:rsid w:val="00A5027C"/>
    <w:rsid w:val="00A508F6"/>
    <w:rsid w:val="00A50D12"/>
    <w:rsid w:val="00A51DE9"/>
    <w:rsid w:val="00A53688"/>
    <w:rsid w:val="00A5368C"/>
    <w:rsid w:val="00A53CB3"/>
    <w:rsid w:val="00A55EC0"/>
    <w:rsid w:val="00A5625E"/>
    <w:rsid w:val="00A563DC"/>
    <w:rsid w:val="00A564F5"/>
    <w:rsid w:val="00A56F65"/>
    <w:rsid w:val="00A6059E"/>
    <w:rsid w:val="00A60A04"/>
    <w:rsid w:val="00A61037"/>
    <w:rsid w:val="00A6126C"/>
    <w:rsid w:val="00A613B4"/>
    <w:rsid w:val="00A61531"/>
    <w:rsid w:val="00A61C0D"/>
    <w:rsid w:val="00A62A6F"/>
    <w:rsid w:val="00A62E73"/>
    <w:rsid w:val="00A634D3"/>
    <w:rsid w:val="00A642DD"/>
    <w:rsid w:val="00A643BB"/>
    <w:rsid w:val="00A645CC"/>
    <w:rsid w:val="00A6617B"/>
    <w:rsid w:val="00A6635E"/>
    <w:rsid w:val="00A66A07"/>
    <w:rsid w:val="00A66CB7"/>
    <w:rsid w:val="00A675F2"/>
    <w:rsid w:val="00A7024C"/>
    <w:rsid w:val="00A70BB9"/>
    <w:rsid w:val="00A70BC1"/>
    <w:rsid w:val="00A7137A"/>
    <w:rsid w:val="00A74187"/>
    <w:rsid w:val="00A751CD"/>
    <w:rsid w:val="00A757A9"/>
    <w:rsid w:val="00A75A31"/>
    <w:rsid w:val="00A77452"/>
    <w:rsid w:val="00A77C64"/>
    <w:rsid w:val="00A8068D"/>
    <w:rsid w:val="00A80A7D"/>
    <w:rsid w:val="00A82378"/>
    <w:rsid w:val="00A82BF8"/>
    <w:rsid w:val="00A82D21"/>
    <w:rsid w:val="00A833D5"/>
    <w:rsid w:val="00A8398A"/>
    <w:rsid w:val="00A8401A"/>
    <w:rsid w:val="00A8549E"/>
    <w:rsid w:val="00A86BFB"/>
    <w:rsid w:val="00A87B55"/>
    <w:rsid w:val="00A92367"/>
    <w:rsid w:val="00A92A66"/>
    <w:rsid w:val="00A92E86"/>
    <w:rsid w:val="00A93134"/>
    <w:rsid w:val="00A93700"/>
    <w:rsid w:val="00A949F3"/>
    <w:rsid w:val="00A9587D"/>
    <w:rsid w:val="00A95BA6"/>
    <w:rsid w:val="00A95F57"/>
    <w:rsid w:val="00A963EA"/>
    <w:rsid w:val="00A96C6F"/>
    <w:rsid w:val="00A97ACD"/>
    <w:rsid w:val="00AA0122"/>
    <w:rsid w:val="00AA05A9"/>
    <w:rsid w:val="00AA05E1"/>
    <w:rsid w:val="00AA0FDE"/>
    <w:rsid w:val="00AA202E"/>
    <w:rsid w:val="00AA2E96"/>
    <w:rsid w:val="00AA3581"/>
    <w:rsid w:val="00AA387B"/>
    <w:rsid w:val="00AA3C23"/>
    <w:rsid w:val="00AA40FF"/>
    <w:rsid w:val="00AA48F4"/>
    <w:rsid w:val="00AA4ECF"/>
    <w:rsid w:val="00AA5980"/>
    <w:rsid w:val="00AA6567"/>
    <w:rsid w:val="00AA75C5"/>
    <w:rsid w:val="00AA76E3"/>
    <w:rsid w:val="00AA77D0"/>
    <w:rsid w:val="00AA792E"/>
    <w:rsid w:val="00AA7D1D"/>
    <w:rsid w:val="00AA7DA4"/>
    <w:rsid w:val="00AB01A0"/>
    <w:rsid w:val="00AB1284"/>
    <w:rsid w:val="00AB1D32"/>
    <w:rsid w:val="00AB1EC0"/>
    <w:rsid w:val="00AB2932"/>
    <w:rsid w:val="00AB2CDC"/>
    <w:rsid w:val="00AB2D31"/>
    <w:rsid w:val="00AB2E91"/>
    <w:rsid w:val="00AB30E7"/>
    <w:rsid w:val="00AB386B"/>
    <w:rsid w:val="00AB420C"/>
    <w:rsid w:val="00AB50C2"/>
    <w:rsid w:val="00AB5167"/>
    <w:rsid w:val="00AB6A0C"/>
    <w:rsid w:val="00AC09A3"/>
    <w:rsid w:val="00AC0C80"/>
    <w:rsid w:val="00AC1310"/>
    <w:rsid w:val="00AC2079"/>
    <w:rsid w:val="00AC274C"/>
    <w:rsid w:val="00AC292E"/>
    <w:rsid w:val="00AC2CCA"/>
    <w:rsid w:val="00AC371B"/>
    <w:rsid w:val="00AC3DED"/>
    <w:rsid w:val="00AC3EA8"/>
    <w:rsid w:val="00AC43A8"/>
    <w:rsid w:val="00AC4407"/>
    <w:rsid w:val="00AC4779"/>
    <w:rsid w:val="00AC5A2B"/>
    <w:rsid w:val="00AC606B"/>
    <w:rsid w:val="00AC6399"/>
    <w:rsid w:val="00AC6499"/>
    <w:rsid w:val="00AC650C"/>
    <w:rsid w:val="00AC7AF9"/>
    <w:rsid w:val="00AD0993"/>
    <w:rsid w:val="00AD1431"/>
    <w:rsid w:val="00AD1FFA"/>
    <w:rsid w:val="00AD373C"/>
    <w:rsid w:val="00AD3C82"/>
    <w:rsid w:val="00AD3F79"/>
    <w:rsid w:val="00AD4C5B"/>
    <w:rsid w:val="00AD5816"/>
    <w:rsid w:val="00AD5F7B"/>
    <w:rsid w:val="00AD74BF"/>
    <w:rsid w:val="00AD7928"/>
    <w:rsid w:val="00AD7BBF"/>
    <w:rsid w:val="00AE0C80"/>
    <w:rsid w:val="00AE0F59"/>
    <w:rsid w:val="00AE11FB"/>
    <w:rsid w:val="00AE2524"/>
    <w:rsid w:val="00AE2BB3"/>
    <w:rsid w:val="00AE3D13"/>
    <w:rsid w:val="00AE5155"/>
    <w:rsid w:val="00AE581E"/>
    <w:rsid w:val="00AE6505"/>
    <w:rsid w:val="00AE6644"/>
    <w:rsid w:val="00AE6981"/>
    <w:rsid w:val="00AE79E7"/>
    <w:rsid w:val="00AE7F99"/>
    <w:rsid w:val="00AF03C7"/>
    <w:rsid w:val="00AF04EA"/>
    <w:rsid w:val="00AF0E0D"/>
    <w:rsid w:val="00AF299B"/>
    <w:rsid w:val="00AF45B0"/>
    <w:rsid w:val="00AF4FC7"/>
    <w:rsid w:val="00AF5EFC"/>
    <w:rsid w:val="00AF6E18"/>
    <w:rsid w:val="00B00210"/>
    <w:rsid w:val="00B0052A"/>
    <w:rsid w:val="00B00A01"/>
    <w:rsid w:val="00B02CC2"/>
    <w:rsid w:val="00B03B27"/>
    <w:rsid w:val="00B040A7"/>
    <w:rsid w:val="00B0436E"/>
    <w:rsid w:val="00B05750"/>
    <w:rsid w:val="00B0644C"/>
    <w:rsid w:val="00B104C3"/>
    <w:rsid w:val="00B10F68"/>
    <w:rsid w:val="00B1186C"/>
    <w:rsid w:val="00B12039"/>
    <w:rsid w:val="00B120F9"/>
    <w:rsid w:val="00B13A59"/>
    <w:rsid w:val="00B13DF4"/>
    <w:rsid w:val="00B15520"/>
    <w:rsid w:val="00B15715"/>
    <w:rsid w:val="00B15CCE"/>
    <w:rsid w:val="00B15EA9"/>
    <w:rsid w:val="00B164B6"/>
    <w:rsid w:val="00B16F79"/>
    <w:rsid w:val="00B17924"/>
    <w:rsid w:val="00B20030"/>
    <w:rsid w:val="00B209B4"/>
    <w:rsid w:val="00B22239"/>
    <w:rsid w:val="00B23376"/>
    <w:rsid w:val="00B24105"/>
    <w:rsid w:val="00B24BF7"/>
    <w:rsid w:val="00B25918"/>
    <w:rsid w:val="00B26AF2"/>
    <w:rsid w:val="00B2706F"/>
    <w:rsid w:val="00B278FE"/>
    <w:rsid w:val="00B27EC5"/>
    <w:rsid w:val="00B3091C"/>
    <w:rsid w:val="00B30BB6"/>
    <w:rsid w:val="00B30CC3"/>
    <w:rsid w:val="00B30ED2"/>
    <w:rsid w:val="00B30F84"/>
    <w:rsid w:val="00B311B3"/>
    <w:rsid w:val="00B326C5"/>
    <w:rsid w:val="00B3528D"/>
    <w:rsid w:val="00B3566F"/>
    <w:rsid w:val="00B3584C"/>
    <w:rsid w:val="00B36218"/>
    <w:rsid w:val="00B36593"/>
    <w:rsid w:val="00B36871"/>
    <w:rsid w:val="00B37057"/>
    <w:rsid w:val="00B373D1"/>
    <w:rsid w:val="00B40866"/>
    <w:rsid w:val="00B4309B"/>
    <w:rsid w:val="00B4388D"/>
    <w:rsid w:val="00B44840"/>
    <w:rsid w:val="00B452E4"/>
    <w:rsid w:val="00B453D4"/>
    <w:rsid w:val="00B4554B"/>
    <w:rsid w:val="00B45791"/>
    <w:rsid w:val="00B459D5"/>
    <w:rsid w:val="00B459D7"/>
    <w:rsid w:val="00B45A5F"/>
    <w:rsid w:val="00B46CA9"/>
    <w:rsid w:val="00B47F65"/>
    <w:rsid w:val="00B50863"/>
    <w:rsid w:val="00B50C7C"/>
    <w:rsid w:val="00B516EC"/>
    <w:rsid w:val="00B5286B"/>
    <w:rsid w:val="00B5298C"/>
    <w:rsid w:val="00B536A8"/>
    <w:rsid w:val="00B54023"/>
    <w:rsid w:val="00B54462"/>
    <w:rsid w:val="00B545DC"/>
    <w:rsid w:val="00B547EC"/>
    <w:rsid w:val="00B54B25"/>
    <w:rsid w:val="00B54E92"/>
    <w:rsid w:val="00B552DA"/>
    <w:rsid w:val="00B56A6F"/>
    <w:rsid w:val="00B572C2"/>
    <w:rsid w:val="00B579C3"/>
    <w:rsid w:val="00B6014E"/>
    <w:rsid w:val="00B604D1"/>
    <w:rsid w:val="00B61CE9"/>
    <w:rsid w:val="00B61D37"/>
    <w:rsid w:val="00B62044"/>
    <w:rsid w:val="00B62117"/>
    <w:rsid w:val="00B62319"/>
    <w:rsid w:val="00B626F7"/>
    <w:rsid w:val="00B62936"/>
    <w:rsid w:val="00B63700"/>
    <w:rsid w:val="00B64A29"/>
    <w:rsid w:val="00B64C7B"/>
    <w:rsid w:val="00B650E2"/>
    <w:rsid w:val="00B6532C"/>
    <w:rsid w:val="00B65519"/>
    <w:rsid w:val="00B663C8"/>
    <w:rsid w:val="00B669DF"/>
    <w:rsid w:val="00B66CD9"/>
    <w:rsid w:val="00B7045E"/>
    <w:rsid w:val="00B70A34"/>
    <w:rsid w:val="00B71037"/>
    <w:rsid w:val="00B723A0"/>
    <w:rsid w:val="00B73018"/>
    <w:rsid w:val="00B7354B"/>
    <w:rsid w:val="00B75347"/>
    <w:rsid w:val="00B75E67"/>
    <w:rsid w:val="00B75F29"/>
    <w:rsid w:val="00B761B2"/>
    <w:rsid w:val="00B76984"/>
    <w:rsid w:val="00B77708"/>
    <w:rsid w:val="00B77D74"/>
    <w:rsid w:val="00B8126F"/>
    <w:rsid w:val="00B82492"/>
    <w:rsid w:val="00B82720"/>
    <w:rsid w:val="00B83F39"/>
    <w:rsid w:val="00B84643"/>
    <w:rsid w:val="00B84E8E"/>
    <w:rsid w:val="00B853F8"/>
    <w:rsid w:val="00B860A9"/>
    <w:rsid w:val="00B860F1"/>
    <w:rsid w:val="00B86AE2"/>
    <w:rsid w:val="00B86EA3"/>
    <w:rsid w:val="00B8772E"/>
    <w:rsid w:val="00B900EE"/>
    <w:rsid w:val="00B90E3F"/>
    <w:rsid w:val="00B914C6"/>
    <w:rsid w:val="00B92013"/>
    <w:rsid w:val="00B920F0"/>
    <w:rsid w:val="00B9278B"/>
    <w:rsid w:val="00B92A44"/>
    <w:rsid w:val="00B93946"/>
    <w:rsid w:val="00B93D81"/>
    <w:rsid w:val="00B94A98"/>
    <w:rsid w:val="00B94C3E"/>
    <w:rsid w:val="00B950F7"/>
    <w:rsid w:val="00B956E5"/>
    <w:rsid w:val="00BA08E4"/>
    <w:rsid w:val="00BA0DE3"/>
    <w:rsid w:val="00BA1A7B"/>
    <w:rsid w:val="00BA3F0C"/>
    <w:rsid w:val="00BA403E"/>
    <w:rsid w:val="00BA40A8"/>
    <w:rsid w:val="00BA5276"/>
    <w:rsid w:val="00BA6281"/>
    <w:rsid w:val="00BA63C3"/>
    <w:rsid w:val="00BA63F3"/>
    <w:rsid w:val="00BA6558"/>
    <w:rsid w:val="00BA687D"/>
    <w:rsid w:val="00BA6F5D"/>
    <w:rsid w:val="00BB044E"/>
    <w:rsid w:val="00BB0478"/>
    <w:rsid w:val="00BB0512"/>
    <w:rsid w:val="00BB1055"/>
    <w:rsid w:val="00BB1C1F"/>
    <w:rsid w:val="00BB215E"/>
    <w:rsid w:val="00BB26F4"/>
    <w:rsid w:val="00BB2F01"/>
    <w:rsid w:val="00BB4B98"/>
    <w:rsid w:val="00BB4E41"/>
    <w:rsid w:val="00BB5A5F"/>
    <w:rsid w:val="00BB5D41"/>
    <w:rsid w:val="00BB6137"/>
    <w:rsid w:val="00BB62F7"/>
    <w:rsid w:val="00BB7A14"/>
    <w:rsid w:val="00BC0626"/>
    <w:rsid w:val="00BC1845"/>
    <w:rsid w:val="00BC19E5"/>
    <w:rsid w:val="00BC27EF"/>
    <w:rsid w:val="00BC5E56"/>
    <w:rsid w:val="00BC6D6D"/>
    <w:rsid w:val="00BC79C7"/>
    <w:rsid w:val="00BD0A39"/>
    <w:rsid w:val="00BD126C"/>
    <w:rsid w:val="00BD17A1"/>
    <w:rsid w:val="00BD263D"/>
    <w:rsid w:val="00BD2992"/>
    <w:rsid w:val="00BD2CD6"/>
    <w:rsid w:val="00BD36C7"/>
    <w:rsid w:val="00BD3A74"/>
    <w:rsid w:val="00BD3C72"/>
    <w:rsid w:val="00BD4B41"/>
    <w:rsid w:val="00BD52BC"/>
    <w:rsid w:val="00BD54B6"/>
    <w:rsid w:val="00BD5D4C"/>
    <w:rsid w:val="00BD5F28"/>
    <w:rsid w:val="00BD6182"/>
    <w:rsid w:val="00BD6224"/>
    <w:rsid w:val="00BD6F02"/>
    <w:rsid w:val="00BD72BA"/>
    <w:rsid w:val="00BE0200"/>
    <w:rsid w:val="00BE0BA1"/>
    <w:rsid w:val="00BE1564"/>
    <w:rsid w:val="00BE2807"/>
    <w:rsid w:val="00BE28F5"/>
    <w:rsid w:val="00BE2C58"/>
    <w:rsid w:val="00BE623E"/>
    <w:rsid w:val="00BE7839"/>
    <w:rsid w:val="00BF0A22"/>
    <w:rsid w:val="00BF193A"/>
    <w:rsid w:val="00BF1D54"/>
    <w:rsid w:val="00BF1DDA"/>
    <w:rsid w:val="00BF2D5E"/>
    <w:rsid w:val="00BF34BB"/>
    <w:rsid w:val="00BF3F2D"/>
    <w:rsid w:val="00BF4746"/>
    <w:rsid w:val="00BF50E0"/>
    <w:rsid w:val="00BF5C4C"/>
    <w:rsid w:val="00BF5C7E"/>
    <w:rsid w:val="00BF63A2"/>
    <w:rsid w:val="00BF6C8B"/>
    <w:rsid w:val="00BF7663"/>
    <w:rsid w:val="00BF76F0"/>
    <w:rsid w:val="00BF7FDA"/>
    <w:rsid w:val="00C00A80"/>
    <w:rsid w:val="00C00E2A"/>
    <w:rsid w:val="00C00F7D"/>
    <w:rsid w:val="00C01DCF"/>
    <w:rsid w:val="00C02288"/>
    <w:rsid w:val="00C025D4"/>
    <w:rsid w:val="00C02920"/>
    <w:rsid w:val="00C03439"/>
    <w:rsid w:val="00C06305"/>
    <w:rsid w:val="00C063B5"/>
    <w:rsid w:val="00C0789C"/>
    <w:rsid w:val="00C07FF5"/>
    <w:rsid w:val="00C10250"/>
    <w:rsid w:val="00C106CE"/>
    <w:rsid w:val="00C107E5"/>
    <w:rsid w:val="00C109B7"/>
    <w:rsid w:val="00C10BA3"/>
    <w:rsid w:val="00C10C3B"/>
    <w:rsid w:val="00C1100E"/>
    <w:rsid w:val="00C1183C"/>
    <w:rsid w:val="00C12C25"/>
    <w:rsid w:val="00C1349A"/>
    <w:rsid w:val="00C13E85"/>
    <w:rsid w:val="00C13FB7"/>
    <w:rsid w:val="00C145B6"/>
    <w:rsid w:val="00C14C8C"/>
    <w:rsid w:val="00C157D2"/>
    <w:rsid w:val="00C15DDD"/>
    <w:rsid w:val="00C1636F"/>
    <w:rsid w:val="00C16BA0"/>
    <w:rsid w:val="00C170BD"/>
    <w:rsid w:val="00C1745F"/>
    <w:rsid w:val="00C217E6"/>
    <w:rsid w:val="00C21A32"/>
    <w:rsid w:val="00C22468"/>
    <w:rsid w:val="00C23E07"/>
    <w:rsid w:val="00C248BE"/>
    <w:rsid w:val="00C24E74"/>
    <w:rsid w:val="00C25662"/>
    <w:rsid w:val="00C257A1"/>
    <w:rsid w:val="00C263D0"/>
    <w:rsid w:val="00C26835"/>
    <w:rsid w:val="00C27292"/>
    <w:rsid w:val="00C274F3"/>
    <w:rsid w:val="00C27C4D"/>
    <w:rsid w:val="00C27F70"/>
    <w:rsid w:val="00C308A0"/>
    <w:rsid w:val="00C314D5"/>
    <w:rsid w:val="00C318B0"/>
    <w:rsid w:val="00C31FD5"/>
    <w:rsid w:val="00C32074"/>
    <w:rsid w:val="00C32189"/>
    <w:rsid w:val="00C324DA"/>
    <w:rsid w:val="00C32EF7"/>
    <w:rsid w:val="00C3306E"/>
    <w:rsid w:val="00C336DD"/>
    <w:rsid w:val="00C339D9"/>
    <w:rsid w:val="00C33D30"/>
    <w:rsid w:val="00C354D6"/>
    <w:rsid w:val="00C369A2"/>
    <w:rsid w:val="00C36DA2"/>
    <w:rsid w:val="00C37549"/>
    <w:rsid w:val="00C37EA7"/>
    <w:rsid w:val="00C40281"/>
    <w:rsid w:val="00C40377"/>
    <w:rsid w:val="00C40CEF"/>
    <w:rsid w:val="00C40D1B"/>
    <w:rsid w:val="00C41FE0"/>
    <w:rsid w:val="00C45455"/>
    <w:rsid w:val="00C46111"/>
    <w:rsid w:val="00C47150"/>
    <w:rsid w:val="00C47583"/>
    <w:rsid w:val="00C47803"/>
    <w:rsid w:val="00C47D63"/>
    <w:rsid w:val="00C5091C"/>
    <w:rsid w:val="00C5125F"/>
    <w:rsid w:val="00C51483"/>
    <w:rsid w:val="00C516E5"/>
    <w:rsid w:val="00C5336D"/>
    <w:rsid w:val="00C53675"/>
    <w:rsid w:val="00C53815"/>
    <w:rsid w:val="00C541D0"/>
    <w:rsid w:val="00C54686"/>
    <w:rsid w:val="00C5574C"/>
    <w:rsid w:val="00C557F4"/>
    <w:rsid w:val="00C559BE"/>
    <w:rsid w:val="00C5607E"/>
    <w:rsid w:val="00C56115"/>
    <w:rsid w:val="00C5629F"/>
    <w:rsid w:val="00C56A53"/>
    <w:rsid w:val="00C56B99"/>
    <w:rsid w:val="00C60F33"/>
    <w:rsid w:val="00C61B0A"/>
    <w:rsid w:val="00C61CCA"/>
    <w:rsid w:val="00C61FB8"/>
    <w:rsid w:val="00C621FF"/>
    <w:rsid w:val="00C62470"/>
    <w:rsid w:val="00C6340A"/>
    <w:rsid w:val="00C641F3"/>
    <w:rsid w:val="00C644D5"/>
    <w:rsid w:val="00C645B7"/>
    <w:rsid w:val="00C64AFE"/>
    <w:rsid w:val="00C64DF5"/>
    <w:rsid w:val="00C659FC"/>
    <w:rsid w:val="00C65E9B"/>
    <w:rsid w:val="00C67D6E"/>
    <w:rsid w:val="00C71728"/>
    <w:rsid w:val="00C724D3"/>
    <w:rsid w:val="00C727CD"/>
    <w:rsid w:val="00C747FB"/>
    <w:rsid w:val="00C7519C"/>
    <w:rsid w:val="00C7569F"/>
    <w:rsid w:val="00C7584A"/>
    <w:rsid w:val="00C759D4"/>
    <w:rsid w:val="00C76006"/>
    <w:rsid w:val="00C76455"/>
    <w:rsid w:val="00C7652B"/>
    <w:rsid w:val="00C77364"/>
    <w:rsid w:val="00C817D3"/>
    <w:rsid w:val="00C81831"/>
    <w:rsid w:val="00C81AA4"/>
    <w:rsid w:val="00C81FB3"/>
    <w:rsid w:val="00C82699"/>
    <w:rsid w:val="00C83572"/>
    <w:rsid w:val="00C8499A"/>
    <w:rsid w:val="00C858D4"/>
    <w:rsid w:val="00C86844"/>
    <w:rsid w:val="00C87D2D"/>
    <w:rsid w:val="00C87DB5"/>
    <w:rsid w:val="00C900C2"/>
    <w:rsid w:val="00C90871"/>
    <w:rsid w:val="00C90F66"/>
    <w:rsid w:val="00C9191B"/>
    <w:rsid w:val="00C91D15"/>
    <w:rsid w:val="00C921EE"/>
    <w:rsid w:val="00C923EE"/>
    <w:rsid w:val="00C93994"/>
    <w:rsid w:val="00C9504E"/>
    <w:rsid w:val="00C95567"/>
    <w:rsid w:val="00C957B2"/>
    <w:rsid w:val="00C965AD"/>
    <w:rsid w:val="00C9689B"/>
    <w:rsid w:val="00C96C87"/>
    <w:rsid w:val="00C96D6E"/>
    <w:rsid w:val="00C9733B"/>
    <w:rsid w:val="00C977DC"/>
    <w:rsid w:val="00CA2DD4"/>
    <w:rsid w:val="00CA3355"/>
    <w:rsid w:val="00CA4BAE"/>
    <w:rsid w:val="00CB0597"/>
    <w:rsid w:val="00CB0693"/>
    <w:rsid w:val="00CB0AA9"/>
    <w:rsid w:val="00CB0B8D"/>
    <w:rsid w:val="00CB18BE"/>
    <w:rsid w:val="00CB2826"/>
    <w:rsid w:val="00CB315F"/>
    <w:rsid w:val="00CB34F4"/>
    <w:rsid w:val="00CB4609"/>
    <w:rsid w:val="00CB63DC"/>
    <w:rsid w:val="00CB64B1"/>
    <w:rsid w:val="00CB6A46"/>
    <w:rsid w:val="00CB7496"/>
    <w:rsid w:val="00CB7818"/>
    <w:rsid w:val="00CB7B70"/>
    <w:rsid w:val="00CC0D7A"/>
    <w:rsid w:val="00CC1B0B"/>
    <w:rsid w:val="00CC1B77"/>
    <w:rsid w:val="00CC1E4B"/>
    <w:rsid w:val="00CC2259"/>
    <w:rsid w:val="00CC34BE"/>
    <w:rsid w:val="00CC36E6"/>
    <w:rsid w:val="00CC464D"/>
    <w:rsid w:val="00CC4D1C"/>
    <w:rsid w:val="00CC5973"/>
    <w:rsid w:val="00CC5E69"/>
    <w:rsid w:val="00CC6BA6"/>
    <w:rsid w:val="00CC6E45"/>
    <w:rsid w:val="00CC7495"/>
    <w:rsid w:val="00CD0396"/>
    <w:rsid w:val="00CD1306"/>
    <w:rsid w:val="00CD1471"/>
    <w:rsid w:val="00CD1ABC"/>
    <w:rsid w:val="00CD25D3"/>
    <w:rsid w:val="00CD2DA3"/>
    <w:rsid w:val="00CD37C7"/>
    <w:rsid w:val="00CD3AC5"/>
    <w:rsid w:val="00CD4129"/>
    <w:rsid w:val="00CD41C0"/>
    <w:rsid w:val="00CD5A3C"/>
    <w:rsid w:val="00CD7AE3"/>
    <w:rsid w:val="00CE068B"/>
    <w:rsid w:val="00CE2990"/>
    <w:rsid w:val="00CE4890"/>
    <w:rsid w:val="00CE5D60"/>
    <w:rsid w:val="00CE6497"/>
    <w:rsid w:val="00CE6BBD"/>
    <w:rsid w:val="00CE6E6C"/>
    <w:rsid w:val="00CF0683"/>
    <w:rsid w:val="00CF0766"/>
    <w:rsid w:val="00CF0E0E"/>
    <w:rsid w:val="00CF1022"/>
    <w:rsid w:val="00CF1214"/>
    <w:rsid w:val="00CF179F"/>
    <w:rsid w:val="00CF196F"/>
    <w:rsid w:val="00CF242A"/>
    <w:rsid w:val="00CF2DED"/>
    <w:rsid w:val="00CF3975"/>
    <w:rsid w:val="00CF45C1"/>
    <w:rsid w:val="00CF49AE"/>
    <w:rsid w:val="00CF4B1D"/>
    <w:rsid w:val="00CF4FEE"/>
    <w:rsid w:val="00CF54EF"/>
    <w:rsid w:val="00CF5775"/>
    <w:rsid w:val="00CF5A99"/>
    <w:rsid w:val="00CF5C59"/>
    <w:rsid w:val="00CF624A"/>
    <w:rsid w:val="00CF626B"/>
    <w:rsid w:val="00CF67A8"/>
    <w:rsid w:val="00CF67C0"/>
    <w:rsid w:val="00CF6BA3"/>
    <w:rsid w:val="00CF6BFB"/>
    <w:rsid w:val="00CF7DA4"/>
    <w:rsid w:val="00CF7F5A"/>
    <w:rsid w:val="00D039B1"/>
    <w:rsid w:val="00D04C2A"/>
    <w:rsid w:val="00D051EA"/>
    <w:rsid w:val="00D052D6"/>
    <w:rsid w:val="00D052E7"/>
    <w:rsid w:val="00D05865"/>
    <w:rsid w:val="00D05A6E"/>
    <w:rsid w:val="00D05D65"/>
    <w:rsid w:val="00D06184"/>
    <w:rsid w:val="00D0672D"/>
    <w:rsid w:val="00D078B3"/>
    <w:rsid w:val="00D1060F"/>
    <w:rsid w:val="00D108AC"/>
    <w:rsid w:val="00D11302"/>
    <w:rsid w:val="00D11391"/>
    <w:rsid w:val="00D1290E"/>
    <w:rsid w:val="00D13247"/>
    <w:rsid w:val="00D135E3"/>
    <w:rsid w:val="00D146D4"/>
    <w:rsid w:val="00D14870"/>
    <w:rsid w:val="00D157AD"/>
    <w:rsid w:val="00D1718F"/>
    <w:rsid w:val="00D177FD"/>
    <w:rsid w:val="00D17A74"/>
    <w:rsid w:val="00D17BB3"/>
    <w:rsid w:val="00D17C19"/>
    <w:rsid w:val="00D20947"/>
    <w:rsid w:val="00D21546"/>
    <w:rsid w:val="00D215EB"/>
    <w:rsid w:val="00D232E9"/>
    <w:rsid w:val="00D236E0"/>
    <w:rsid w:val="00D23B44"/>
    <w:rsid w:val="00D243B7"/>
    <w:rsid w:val="00D249C6"/>
    <w:rsid w:val="00D2561E"/>
    <w:rsid w:val="00D256AA"/>
    <w:rsid w:val="00D2587C"/>
    <w:rsid w:val="00D26F6B"/>
    <w:rsid w:val="00D27D7F"/>
    <w:rsid w:val="00D30334"/>
    <w:rsid w:val="00D30536"/>
    <w:rsid w:val="00D307E2"/>
    <w:rsid w:val="00D30AE9"/>
    <w:rsid w:val="00D3109E"/>
    <w:rsid w:val="00D31A4A"/>
    <w:rsid w:val="00D325B5"/>
    <w:rsid w:val="00D3290F"/>
    <w:rsid w:val="00D32BB0"/>
    <w:rsid w:val="00D32CA6"/>
    <w:rsid w:val="00D32EA7"/>
    <w:rsid w:val="00D33677"/>
    <w:rsid w:val="00D33944"/>
    <w:rsid w:val="00D352DC"/>
    <w:rsid w:val="00D365C0"/>
    <w:rsid w:val="00D36989"/>
    <w:rsid w:val="00D36CB7"/>
    <w:rsid w:val="00D37BEA"/>
    <w:rsid w:val="00D37F5D"/>
    <w:rsid w:val="00D40158"/>
    <w:rsid w:val="00D40327"/>
    <w:rsid w:val="00D40E58"/>
    <w:rsid w:val="00D426B6"/>
    <w:rsid w:val="00D429FB"/>
    <w:rsid w:val="00D43A85"/>
    <w:rsid w:val="00D43D80"/>
    <w:rsid w:val="00D4453C"/>
    <w:rsid w:val="00D44B35"/>
    <w:rsid w:val="00D44B7E"/>
    <w:rsid w:val="00D44BBD"/>
    <w:rsid w:val="00D45DFD"/>
    <w:rsid w:val="00D4640C"/>
    <w:rsid w:val="00D46E38"/>
    <w:rsid w:val="00D470B6"/>
    <w:rsid w:val="00D5015E"/>
    <w:rsid w:val="00D50628"/>
    <w:rsid w:val="00D510CF"/>
    <w:rsid w:val="00D51B06"/>
    <w:rsid w:val="00D52202"/>
    <w:rsid w:val="00D54E90"/>
    <w:rsid w:val="00D54E98"/>
    <w:rsid w:val="00D553AC"/>
    <w:rsid w:val="00D57216"/>
    <w:rsid w:val="00D574CE"/>
    <w:rsid w:val="00D5764E"/>
    <w:rsid w:val="00D57FC4"/>
    <w:rsid w:val="00D602A9"/>
    <w:rsid w:val="00D605E8"/>
    <w:rsid w:val="00D60F30"/>
    <w:rsid w:val="00D60F3A"/>
    <w:rsid w:val="00D61137"/>
    <w:rsid w:val="00D61ADC"/>
    <w:rsid w:val="00D61E0D"/>
    <w:rsid w:val="00D621E2"/>
    <w:rsid w:val="00D623E2"/>
    <w:rsid w:val="00D6518E"/>
    <w:rsid w:val="00D65CEA"/>
    <w:rsid w:val="00D66605"/>
    <w:rsid w:val="00D66650"/>
    <w:rsid w:val="00D669F3"/>
    <w:rsid w:val="00D67649"/>
    <w:rsid w:val="00D67B7B"/>
    <w:rsid w:val="00D7030D"/>
    <w:rsid w:val="00D703B9"/>
    <w:rsid w:val="00D70675"/>
    <w:rsid w:val="00D70DFA"/>
    <w:rsid w:val="00D71515"/>
    <w:rsid w:val="00D718A9"/>
    <w:rsid w:val="00D71C6A"/>
    <w:rsid w:val="00D72CEC"/>
    <w:rsid w:val="00D756B8"/>
    <w:rsid w:val="00D76887"/>
    <w:rsid w:val="00D76C50"/>
    <w:rsid w:val="00D7723E"/>
    <w:rsid w:val="00D77669"/>
    <w:rsid w:val="00D77A70"/>
    <w:rsid w:val="00D801B6"/>
    <w:rsid w:val="00D80A4D"/>
    <w:rsid w:val="00D81586"/>
    <w:rsid w:val="00D81722"/>
    <w:rsid w:val="00D817E0"/>
    <w:rsid w:val="00D81D23"/>
    <w:rsid w:val="00D81EF9"/>
    <w:rsid w:val="00D834F5"/>
    <w:rsid w:val="00D8463C"/>
    <w:rsid w:val="00D85174"/>
    <w:rsid w:val="00D85387"/>
    <w:rsid w:val="00D854C2"/>
    <w:rsid w:val="00D861CA"/>
    <w:rsid w:val="00D86938"/>
    <w:rsid w:val="00D87A3A"/>
    <w:rsid w:val="00D87DF6"/>
    <w:rsid w:val="00D90A9A"/>
    <w:rsid w:val="00D90C0E"/>
    <w:rsid w:val="00D910F0"/>
    <w:rsid w:val="00D91592"/>
    <w:rsid w:val="00D920EC"/>
    <w:rsid w:val="00D9245F"/>
    <w:rsid w:val="00D92A52"/>
    <w:rsid w:val="00D92CCB"/>
    <w:rsid w:val="00D93F82"/>
    <w:rsid w:val="00D953DD"/>
    <w:rsid w:val="00D962FA"/>
    <w:rsid w:val="00D96617"/>
    <w:rsid w:val="00D96DCB"/>
    <w:rsid w:val="00D9770C"/>
    <w:rsid w:val="00DA04D9"/>
    <w:rsid w:val="00DA0544"/>
    <w:rsid w:val="00DA1B33"/>
    <w:rsid w:val="00DA2016"/>
    <w:rsid w:val="00DA515D"/>
    <w:rsid w:val="00DA5D33"/>
    <w:rsid w:val="00DA60E7"/>
    <w:rsid w:val="00DA66AE"/>
    <w:rsid w:val="00DA6861"/>
    <w:rsid w:val="00DA6DCC"/>
    <w:rsid w:val="00DA711E"/>
    <w:rsid w:val="00DA71D6"/>
    <w:rsid w:val="00DA742F"/>
    <w:rsid w:val="00DB0806"/>
    <w:rsid w:val="00DB104F"/>
    <w:rsid w:val="00DB2729"/>
    <w:rsid w:val="00DB29BA"/>
    <w:rsid w:val="00DB3C57"/>
    <w:rsid w:val="00DB4664"/>
    <w:rsid w:val="00DB466B"/>
    <w:rsid w:val="00DB5C1C"/>
    <w:rsid w:val="00DB63E8"/>
    <w:rsid w:val="00DB691E"/>
    <w:rsid w:val="00DB6D28"/>
    <w:rsid w:val="00DB7360"/>
    <w:rsid w:val="00DB7A8E"/>
    <w:rsid w:val="00DB7BA5"/>
    <w:rsid w:val="00DB7E2B"/>
    <w:rsid w:val="00DC017D"/>
    <w:rsid w:val="00DC150F"/>
    <w:rsid w:val="00DC1869"/>
    <w:rsid w:val="00DC1D26"/>
    <w:rsid w:val="00DC1FF5"/>
    <w:rsid w:val="00DC3241"/>
    <w:rsid w:val="00DC4A85"/>
    <w:rsid w:val="00DC5194"/>
    <w:rsid w:val="00DC5230"/>
    <w:rsid w:val="00DC535B"/>
    <w:rsid w:val="00DC5B1D"/>
    <w:rsid w:val="00DC6612"/>
    <w:rsid w:val="00DD071E"/>
    <w:rsid w:val="00DD23CA"/>
    <w:rsid w:val="00DD2BB7"/>
    <w:rsid w:val="00DD3F10"/>
    <w:rsid w:val="00DD4008"/>
    <w:rsid w:val="00DD4610"/>
    <w:rsid w:val="00DD505D"/>
    <w:rsid w:val="00DD5B6F"/>
    <w:rsid w:val="00DD5F44"/>
    <w:rsid w:val="00DD602E"/>
    <w:rsid w:val="00DD636A"/>
    <w:rsid w:val="00DD6EFC"/>
    <w:rsid w:val="00DD7874"/>
    <w:rsid w:val="00DD792F"/>
    <w:rsid w:val="00DE121F"/>
    <w:rsid w:val="00DE12E2"/>
    <w:rsid w:val="00DE323D"/>
    <w:rsid w:val="00DE32EA"/>
    <w:rsid w:val="00DE44F8"/>
    <w:rsid w:val="00DE45B3"/>
    <w:rsid w:val="00DE4FA8"/>
    <w:rsid w:val="00DE66FE"/>
    <w:rsid w:val="00DE7474"/>
    <w:rsid w:val="00DF02F4"/>
    <w:rsid w:val="00DF0781"/>
    <w:rsid w:val="00DF0A42"/>
    <w:rsid w:val="00DF13F1"/>
    <w:rsid w:val="00DF259F"/>
    <w:rsid w:val="00DF294D"/>
    <w:rsid w:val="00DF3B02"/>
    <w:rsid w:val="00DF3DCC"/>
    <w:rsid w:val="00DF4182"/>
    <w:rsid w:val="00DF4671"/>
    <w:rsid w:val="00DF53EC"/>
    <w:rsid w:val="00DF5A4C"/>
    <w:rsid w:val="00DF5CAE"/>
    <w:rsid w:val="00DF7A77"/>
    <w:rsid w:val="00DF7E00"/>
    <w:rsid w:val="00E00044"/>
    <w:rsid w:val="00E00210"/>
    <w:rsid w:val="00E0064E"/>
    <w:rsid w:val="00E02A7B"/>
    <w:rsid w:val="00E02CBD"/>
    <w:rsid w:val="00E04B17"/>
    <w:rsid w:val="00E06AF6"/>
    <w:rsid w:val="00E075D4"/>
    <w:rsid w:val="00E07FCC"/>
    <w:rsid w:val="00E11998"/>
    <w:rsid w:val="00E11ACE"/>
    <w:rsid w:val="00E12394"/>
    <w:rsid w:val="00E12CCD"/>
    <w:rsid w:val="00E12DD5"/>
    <w:rsid w:val="00E12F84"/>
    <w:rsid w:val="00E138DB"/>
    <w:rsid w:val="00E151D2"/>
    <w:rsid w:val="00E1539E"/>
    <w:rsid w:val="00E1555D"/>
    <w:rsid w:val="00E160FE"/>
    <w:rsid w:val="00E161E0"/>
    <w:rsid w:val="00E163A3"/>
    <w:rsid w:val="00E16E8C"/>
    <w:rsid w:val="00E17AB8"/>
    <w:rsid w:val="00E17EA7"/>
    <w:rsid w:val="00E2122C"/>
    <w:rsid w:val="00E21AA7"/>
    <w:rsid w:val="00E21E5E"/>
    <w:rsid w:val="00E22764"/>
    <w:rsid w:val="00E234B2"/>
    <w:rsid w:val="00E24952"/>
    <w:rsid w:val="00E24CDD"/>
    <w:rsid w:val="00E24D5B"/>
    <w:rsid w:val="00E258CB"/>
    <w:rsid w:val="00E2665D"/>
    <w:rsid w:val="00E266FD"/>
    <w:rsid w:val="00E26E64"/>
    <w:rsid w:val="00E26F91"/>
    <w:rsid w:val="00E26FCE"/>
    <w:rsid w:val="00E27347"/>
    <w:rsid w:val="00E2766E"/>
    <w:rsid w:val="00E302CE"/>
    <w:rsid w:val="00E3093A"/>
    <w:rsid w:val="00E309A1"/>
    <w:rsid w:val="00E32D4B"/>
    <w:rsid w:val="00E340EC"/>
    <w:rsid w:val="00E35D82"/>
    <w:rsid w:val="00E35E3F"/>
    <w:rsid w:val="00E3678F"/>
    <w:rsid w:val="00E36C77"/>
    <w:rsid w:val="00E36E53"/>
    <w:rsid w:val="00E370A7"/>
    <w:rsid w:val="00E37914"/>
    <w:rsid w:val="00E41202"/>
    <w:rsid w:val="00E412BC"/>
    <w:rsid w:val="00E42290"/>
    <w:rsid w:val="00E42990"/>
    <w:rsid w:val="00E42A11"/>
    <w:rsid w:val="00E42C1B"/>
    <w:rsid w:val="00E43973"/>
    <w:rsid w:val="00E44180"/>
    <w:rsid w:val="00E44678"/>
    <w:rsid w:val="00E4489F"/>
    <w:rsid w:val="00E475DA"/>
    <w:rsid w:val="00E47632"/>
    <w:rsid w:val="00E4769E"/>
    <w:rsid w:val="00E50490"/>
    <w:rsid w:val="00E50498"/>
    <w:rsid w:val="00E508BB"/>
    <w:rsid w:val="00E509DA"/>
    <w:rsid w:val="00E5129F"/>
    <w:rsid w:val="00E5132A"/>
    <w:rsid w:val="00E5219C"/>
    <w:rsid w:val="00E552D4"/>
    <w:rsid w:val="00E55584"/>
    <w:rsid w:val="00E5569C"/>
    <w:rsid w:val="00E56DC6"/>
    <w:rsid w:val="00E573B9"/>
    <w:rsid w:val="00E57D8B"/>
    <w:rsid w:val="00E57D9F"/>
    <w:rsid w:val="00E602E3"/>
    <w:rsid w:val="00E60BE5"/>
    <w:rsid w:val="00E611F7"/>
    <w:rsid w:val="00E61217"/>
    <w:rsid w:val="00E61710"/>
    <w:rsid w:val="00E625B7"/>
    <w:rsid w:val="00E6333B"/>
    <w:rsid w:val="00E63F73"/>
    <w:rsid w:val="00E64863"/>
    <w:rsid w:val="00E64A0C"/>
    <w:rsid w:val="00E64A50"/>
    <w:rsid w:val="00E65531"/>
    <w:rsid w:val="00E66ACD"/>
    <w:rsid w:val="00E66D2B"/>
    <w:rsid w:val="00E66E37"/>
    <w:rsid w:val="00E70514"/>
    <w:rsid w:val="00E707AC"/>
    <w:rsid w:val="00E7084C"/>
    <w:rsid w:val="00E71578"/>
    <w:rsid w:val="00E72529"/>
    <w:rsid w:val="00E745CB"/>
    <w:rsid w:val="00E748AB"/>
    <w:rsid w:val="00E75499"/>
    <w:rsid w:val="00E77D96"/>
    <w:rsid w:val="00E81216"/>
    <w:rsid w:val="00E8183B"/>
    <w:rsid w:val="00E81EFD"/>
    <w:rsid w:val="00E823C3"/>
    <w:rsid w:val="00E82A73"/>
    <w:rsid w:val="00E83C59"/>
    <w:rsid w:val="00E83DF1"/>
    <w:rsid w:val="00E8404E"/>
    <w:rsid w:val="00E8409C"/>
    <w:rsid w:val="00E84751"/>
    <w:rsid w:val="00E8479D"/>
    <w:rsid w:val="00E85013"/>
    <w:rsid w:val="00E86792"/>
    <w:rsid w:val="00E86910"/>
    <w:rsid w:val="00E87595"/>
    <w:rsid w:val="00E90946"/>
    <w:rsid w:val="00E91517"/>
    <w:rsid w:val="00E920EE"/>
    <w:rsid w:val="00E930A2"/>
    <w:rsid w:val="00E93E33"/>
    <w:rsid w:val="00E945E1"/>
    <w:rsid w:val="00E9515E"/>
    <w:rsid w:val="00E95D03"/>
    <w:rsid w:val="00E96203"/>
    <w:rsid w:val="00E96923"/>
    <w:rsid w:val="00E97FA5"/>
    <w:rsid w:val="00EA14C3"/>
    <w:rsid w:val="00EA3BAA"/>
    <w:rsid w:val="00EA4B77"/>
    <w:rsid w:val="00EA5565"/>
    <w:rsid w:val="00EA59DC"/>
    <w:rsid w:val="00EA667B"/>
    <w:rsid w:val="00EA70FA"/>
    <w:rsid w:val="00EA726A"/>
    <w:rsid w:val="00EB04AA"/>
    <w:rsid w:val="00EB05DB"/>
    <w:rsid w:val="00EB072C"/>
    <w:rsid w:val="00EB0A49"/>
    <w:rsid w:val="00EB0FF8"/>
    <w:rsid w:val="00EB182B"/>
    <w:rsid w:val="00EB3BE9"/>
    <w:rsid w:val="00EB3C07"/>
    <w:rsid w:val="00EB3E5A"/>
    <w:rsid w:val="00EB3FF4"/>
    <w:rsid w:val="00EB4126"/>
    <w:rsid w:val="00EB4AA9"/>
    <w:rsid w:val="00EB55C3"/>
    <w:rsid w:val="00EB5B78"/>
    <w:rsid w:val="00EB5D66"/>
    <w:rsid w:val="00EB6967"/>
    <w:rsid w:val="00EB6BBB"/>
    <w:rsid w:val="00EB6BFE"/>
    <w:rsid w:val="00EB6CFF"/>
    <w:rsid w:val="00EB7027"/>
    <w:rsid w:val="00EB748D"/>
    <w:rsid w:val="00EC0F1A"/>
    <w:rsid w:val="00EC101D"/>
    <w:rsid w:val="00EC14A6"/>
    <w:rsid w:val="00EC16AA"/>
    <w:rsid w:val="00EC1E0B"/>
    <w:rsid w:val="00EC1E33"/>
    <w:rsid w:val="00EC2374"/>
    <w:rsid w:val="00EC238F"/>
    <w:rsid w:val="00EC241D"/>
    <w:rsid w:val="00EC2450"/>
    <w:rsid w:val="00EC257F"/>
    <w:rsid w:val="00EC2A06"/>
    <w:rsid w:val="00EC36B8"/>
    <w:rsid w:val="00EC41F5"/>
    <w:rsid w:val="00EC565F"/>
    <w:rsid w:val="00ED035F"/>
    <w:rsid w:val="00ED0F4A"/>
    <w:rsid w:val="00ED12B0"/>
    <w:rsid w:val="00ED1EC5"/>
    <w:rsid w:val="00ED2134"/>
    <w:rsid w:val="00ED23C2"/>
    <w:rsid w:val="00ED3336"/>
    <w:rsid w:val="00ED3CF8"/>
    <w:rsid w:val="00ED450B"/>
    <w:rsid w:val="00ED53FC"/>
    <w:rsid w:val="00ED6B2F"/>
    <w:rsid w:val="00ED7A01"/>
    <w:rsid w:val="00EE0889"/>
    <w:rsid w:val="00EE1469"/>
    <w:rsid w:val="00EE1EAD"/>
    <w:rsid w:val="00EE2023"/>
    <w:rsid w:val="00EE268D"/>
    <w:rsid w:val="00EE293C"/>
    <w:rsid w:val="00EE3D29"/>
    <w:rsid w:val="00EE40F1"/>
    <w:rsid w:val="00EE5419"/>
    <w:rsid w:val="00EE55D5"/>
    <w:rsid w:val="00EE5718"/>
    <w:rsid w:val="00EE5B14"/>
    <w:rsid w:val="00EE5F31"/>
    <w:rsid w:val="00EE7FEB"/>
    <w:rsid w:val="00EF05F2"/>
    <w:rsid w:val="00EF07CB"/>
    <w:rsid w:val="00EF17BB"/>
    <w:rsid w:val="00EF1D40"/>
    <w:rsid w:val="00EF222C"/>
    <w:rsid w:val="00EF3E75"/>
    <w:rsid w:val="00EF3E87"/>
    <w:rsid w:val="00EF5D59"/>
    <w:rsid w:val="00EF6D04"/>
    <w:rsid w:val="00EF750A"/>
    <w:rsid w:val="00F0061E"/>
    <w:rsid w:val="00F016C5"/>
    <w:rsid w:val="00F01747"/>
    <w:rsid w:val="00F02712"/>
    <w:rsid w:val="00F028C0"/>
    <w:rsid w:val="00F02EC9"/>
    <w:rsid w:val="00F02F49"/>
    <w:rsid w:val="00F03742"/>
    <w:rsid w:val="00F03B60"/>
    <w:rsid w:val="00F03C68"/>
    <w:rsid w:val="00F042BA"/>
    <w:rsid w:val="00F06985"/>
    <w:rsid w:val="00F06E5C"/>
    <w:rsid w:val="00F07FBC"/>
    <w:rsid w:val="00F1115D"/>
    <w:rsid w:val="00F116BD"/>
    <w:rsid w:val="00F11E9F"/>
    <w:rsid w:val="00F12A72"/>
    <w:rsid w:val="00F140CA"/>
    <w:rsid w:val="00F1436A"/>
    <w:rsid w:val="00F14B6C"/>
    <w:rsid w:val="00F153D0"/>
    <w:rsid w:val="00F1559D"/>
    <w:rsid w:val="00F15676"/>
    <w:rsid w:val="00F15EBB"/>
    <w:rsid w:val="00F16DB1"/>
    <w:rsid w:val="00F16F1F"/>
    <w:rsid w:val="00F174F8"/>
    <w:rsid w:val="00F17848"/>
    <w:rsid w:val="00F179DC"/>
    <w:rsid w:val="00F17B81"/>
    <w:rsid w:val="00F17C23"/>
    <w:rsid w:val="00F20511"/>
    <w:rsid w:val="00F20573"/>
    <w:rsid w:val="00F212A3"/>
    <w:rsid w:val="00F21EDB"/>
    <w:rsid w:val="00F22230"/>
    <w:rsid w:val="00F22932"/>
    <w:rsid w:val="00F23133"/>
    <w:rsid w:val="00F23379"/>
    <w:rsid w:val="00F2384A"/>
    <w:rsid w:val="00F23AF6"/>
    <w:rsid w:val="00F24B5C"/>
    <w:rsid w:val="00F251A3"/>
    <w:rsid w:val="00F25BE1"/>
    <w:rsid w:val="00F2629D"/>
    <w:rsid w:val="00F26C74"/>
    <w:rsid w:val="00F271FD"/>
    <w:rsid w:val="00F27280"/>
    <w:rsid w:val="00F279B3"/>
    <w:rsid w:val="00F27C5C"/>
    <w:rsid w:val="00F30139"/>
    <w:rsid w:val="00F30687"/>
    <w:rsid w:val="00F3094D"/>
    <w:rsid w:val="00F30C7C"/>
    <w:rsid w:val="00F311BB"/>
    <w:rsid w:val="00F31A21"/>
    <w:rsid w:val="00F31C8C"/>
    <w:rsid w:val="00F322DB"/>
    <w:rsid w:val="00F32584"/>
    <w:rsid w:val="00F33297"/>
    <w:rsid w:val="00F33CC5"/>
    <w:rsid w:val="00F3416D"/>
    <w:rsid w:val="00F35FE8"/>
    <w:rsid w:val="00F37132"/>
    <w:rsid w:val="00F37A4E"/>
    <w:rsid w:val="00F37CCA"/>
    <w:rsid w:val="00F40D3E"/>
    <w:rsid w:val="00F41E74"/>
    <w:rsid w:val="00F41F2C"/>
    <w:rsid w:val="00F42A28"/>
    <w:rsid w:val="00F431B4"/>
    <w:rsid w:val="00F432FB"/>
    <w:rsid w:val="00F440A2"/>
    <w:rsid w:val="00F441BF"/>
    <w:rsid w:val="00F45671"/>
    <w:rsid w:val="00F458EC"/>
    <w:rsid w:val="00F461D0"/>
    <w:rsid w:val="00F46231"/>
    <w:rsid w:val="00F46BCB"/>
    <w:rsid w:val="00F4746B"/>
    <w:rsid w:val="00F503A3"/>
    <w:rsid w:val="00F50734"/>
    <w:rsid w:val="00F52789"/>
    <w:rsid w:val="00F52C4E"/>
    <w:rsid w:val="00F52C59"/>
    <w:rsid w:val="00F53454"/>
    <w:rsid w:val="00F544B8"/>
    <w:rsid w:val="00F55EA8"/>
    <w:rsid w:val="00F561BE"/>
    <w:rsid w:val="00F56644"/>
    <w:rsid w:val="00F56F76"/>
    <w:rsid w:val="00F571DA"/>
    <w:rsid w:val="00F577E4"/>
    <w:rsid w:val="00F57B07"/>
    <w:rsid w:val="00F6052E"/>
    <w:rsid w:val="00F607B6"/>
    <w:rsid w:val="00F60D5F"/>
    <w:rsid w:val="00F61238"/>
    <w:rsid w:val="00F6218C"/>
    <w:rsid w:val="00F627F8"/>
    <w:rsid w:val="00F629CA"/>
    <w:rsid w:val="00F62E54"/>
    <w:rsid w:val="00F62EED"/>
    <w:rsid w:val="00F63133"/>
    <w:rsid w:val="00F632EE"/>
    <w:rsid w:val="00F6415E"/>
    <w:rsid w:val="00F65E2D"/>
    <w:rsid w:val="00F661D0"/>
    <w:rsid w:val="00F66A6D"/>
    <w:rsid w:val="00F701AA"/>
    <w:rsid w:val="00F708F9"/>
    <w:rsid w:val="00F70BAA"/>
    <w:rsid w:val="00F711B5"/>
    <w:rsid w:val="00F72C89"/>
    <w:rsid w:val="00F73147"/>
    <w:rsid w:val="00F733C7"/>
    <w:rsid w:val="00F739E6"/>
    <w:rsid w:val="00F74088"/>
    <w:rsid w:val="00F7409E"/>
    <w:rsid w:val="00F74C66"/>
    <w:rsid w:val="00F75389"/>
    <w:rsid w:val="00F75653"/>
    <w:rsid w:val="00F77378"/>
    <w:rsid w:val="00F779AC"/>
    <w:rsid w:val="00F77AEC"/>
    <w:rsid w:val="00F77CAE"/>
    <w:rsid w:val="00F8047E"/>
    <w:rsid w:val="00F8065A"/>
    <w:rsid w:val="00F80EF5"/>
    <w:rsid w:val="00F81122"/>
    <w:rsid w:val="00F813A6"/>
    <w:rsid w:val="00F8142C"/>
    <w:rsid w:val="00F8151D"/>
    <w:rsid w:val="00F81832"/>
    <w:rsid w:val="00F81ED1"/>
    <w:rsid w:val="00F8204F"/>
    <w:rsid w:val="00F82E47"/>
    <w:rsid w:val="00F82F8F"/>
    <w:rsid w:val="00F83ED5"/>
    <w:rsid w:val="00F8413C"/>
    <w:rsid w:val="00F84ED4"/>
    <w:rsid w:val="00F8555D"/>
    <w:rsid w:val="00F8561F"/>
    <w:rsid w:val="00F85934"/>
    <w:rsid w:val="00F85E2D"/>
    <w:rsid w:val="00F86F3B"/>
    <w:rsid w:val="00F92AF0"/>
    <w:rsid w:val="00F92F63"/>
    <w:rsid w:val="00F9348D"/>
    <w:rsid w:val="00F9363A"/>
    <w:rsid w:val="00F94E39"/>
    <w:rsid w:val="00F954A5"/>
    <w:rsid w:val="00F962F8"/>
    <w:rsid w:val="00F96487"/>
    <w:rsid w:val="00F97939"/>
    <w:rsid w:val="00FA00B7"/>
    <w:rsid w:val="00FA01C2"/>
    <w:rsid w:val="00FA0E05"/>
    <w:rsid w:val="00FA2655"/>
    <w:rsid w:val="00FA2EF2"/>
    <w:rsid w:val="00FA4004"/>
    <w:rsid w:val="00FA4147"/>
    <w:rsid w:val="00FA4B1F"/>
    <w:rsid w:val="00FA5CCC"/>
    <w:rsid w:val="00FA68AE"/>
    <w:rsid w:val="00FA6AB0"/>
    <w:rsid w:val="00FA7B4F"/>
    <w:rsid w:val="00FB0775"/>
    <w:rsid w:val="00FB079A"/>
    <w:rsid w:val="00FB1A98"/>
    <w:rsid w:val="00FB2B0C"/>
    <w:rsid w:val="00FB2B7E"/>
    <w:rsid w:val="00FB2DDC"/>
    <w:rsid w:val="00FB2EBD"/>
    <w:rsid w:val="00FB326B"/>
    <w:rsid w:val="00FB4198"/>
    <w:rsid w:val="00FB5864"/>
    <w:rsid w:val="00FB5D4D"/>
    <w:rsid w:val="00FB64E9"/>
    <w:rsid w:val="00FB68AB"/>
    <w:rsid w:val="00FB6ECF"/>
    <w:rsid w:val="00FB7F5C"/>
    <w:rsid w:val="00FC095F"/>
    <w:rsid w:val="00FC1BBC"/>
    <w:rsid w:val="00FC304D"/>
    <w:rsid w:val="00FC46BF"/>
    <w:rsid w:val="00FC4723"/>
    <w:rsid w:val="00FC521B"/>
    <w:rsid w:val="00FC5906"/>
    <w:rsid w:val="00FC674E"/>
    <w:rsid w:val="00FC6C79"/>
    <w:rsid w:val="00FC7464"/>
    <w:rsid w:val="00FC79A3"/>
    <w:rsid w:val="00FD0A5A"/>
    <w:rsid w:val="00FD12FB"/>
    <w:rsid w:val="00FD1321"/>
    <w:rsid w:val="00FD14B1"/>
    <w:rsid w:val="00FD2CDA"/>
    <w:rsid w:val="00FD3732"/>
    <w:rsid w:val="00FD4227"/>
    <w:rsid w:val="00FD4F49"/>
    <w:rsid w:val="00FD54B2"/>
    <w:rsid w:val="00FD57FB"/>
    <w:rsid w:val="00FD6B05"/>
    <w:rsid w:val="00FD721E"/>
    <w:rsid w:val="00FD75A1"/>
    <w:rsid w:val="00FD765E"/>
    <w:rsid w:val="00FE08BC"/>
    <w:rsid w:val="00FE0F84"/>
    <w:rsid w:val="00FE1025"/>
    <w:rsid w:val="00FE2C59"/>
    <w:rsid w:val="00FE311F"/>
    <w:rsid w:val="00FE31CF"/>
    <w:rsid w:val="00FE39C1"/>
    <w:rsid w:val="00FE4485"/>
    <w:rsid w:val="00FE4778"/>
    <w:rsid w:val="00FE4B3D"/>
    <w:rsid w:val="00FE5302"/>
    <w:rsid w:val="00FE6DFF"/>
    <w:rsid w:val="00FE6F43"/>
    <w:rsid w:val="00FE7E73"/>
    <w:rsid w:val="00FF06D0"/>
    <w:rsid w:val="00FF0D10"/>
    <w:rsid w:val="00FF133C"/>
    <w:rsid w:val="00FF1A6C"/>
    <w:rsid w:val="00FF1D4A"/>
    <w:rsid w:val="00FF239A"/>
    <w:rsid w:val="00FF27F2"/>
    <w:rsid w:val="00FF2AD4"/>
    <w:rsid w:val="00FF323F"/>
    <w:rsid w:val="00FF3389"/>
    <w:rsid w:val="00FF4282"/>
    <w:rsid w:val="00FF4E1A"/>
    <w:rsid w:val="00FF5A54"/>
    <w:rsid w:val="00FF5EE5"/>
    <w:rsid w:val="00FF610A"/>
    <w:rsid w:val="00FF6C0B"/>
    <w:rsid w:val="00FF6ECF"/>
    <w:rsid w:val="00FF79EF"/>
    <w:rsid w:val="00FF7F3C"/>
    <w:rsid w:val="00FF7FF8"/>
    <w:rsid w:val="0AE9D4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96356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9A1"/>
  </w:style>
  <w:style w:type="paragraph" w:styleId="Heading1">
    <w:name w:val="heading 1"/>
    <w:basedOn w:val="ListParagraph"/>
    <w:next w:val="Normal"/>
    <w:link w:val="Heading1Char"/>
    <w:uiPriority w:val="9"/>
    <w:qFormat/>
    <w:rsid w:val="000975FC"/>
    <w:pPr>
      <w:spacing w:before="360" w:after="240" w:line="240" w:lineRule="auto"/>
      <w:ind w:left="0"/>
      <w:outlineLvl w:val="0"/>
    </w:pPr>
    <w:rPr>
      <w:rFonts w:ascii="Times New Roman" w:eastAsia="Calibri" w:hAnsi="Times New Roman" w:cs="Times New Roman"/>
      <w:b/>
      <w:bCs/>
      <w:sz w:val="28"/>
      <w:szCs w:val="24"/>
    </w:rPr>
  </w:style>
  <w:style w:type="paragraph" w:styleId="Heading2">
    <w:name w:val="heading 2"/>
    <w:basedOn w:val="Corps"/>
    <w:next w:val="Normal"/>
    <w:link w:val="Heading2Char"/>
    <w:uiPriority w:val="9"/>
    <w:unhideWhenUsed/>
    <w:qFormat/>
    <w:pPr>
      <w:numPr>
        <w:ilvl w:val="1"/>
        <w:numId w:val="5"/>
      </w:numPr>
      <w:spacing w:before="240"/>
      <w:outlineLvl w:val="1"/>
    </w:pPr>
    <w:rPr>
      <w:b/>
      <w:bCs/>
    </w:rPr>
  </w:style>
  <w:style w:type="paragraph" w:styleId="Heading3">
    <w:name w:val="heading 3"/>
    <w:basedOn w:val="Normal"/>
    <w:link w:val="Heading3Char"/>
    <w:uiPriority w:val="9"/>
    <w:qFormat/>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hr-H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hr-HR"/>
    </w:rPr>
  </w:style>
  <w:style w:type="paragraph" w:customStyle="1" w:styleId="Pagedecouverture">
    <w:name w:val="Page de couverture"/>
    <w:basedOn w:val="Normal"/>
    <w:next w:val="Normal"/>
    <w:link w:val="PagedecouvertureChar"/>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PagedecouvertureChar">
    <w:name w:val="Page de couverture Char"/>
    <w:basedOn w:val="DefaultParagraphFont"/>
    <w:link w:val="Pagedecouverture"/>
    <w:rPr>
      <w:rFonts w:ascii="Times New Roman" w:hAnsi="Times New Roman" w:cs="Times New Roman"/>
      <w:sz w:val="24"/>
      <w:lang w:val="hr-HR"/>
    </w:rPr>
  </w:style>
  <w:style w:type="character" w:customStyle="1" w:styleId="FooterCoverPageChar">
    <w:name w:val="Footer Cover Page Char"/>
    <w:basedOn w:val="PagedecouvertureChar"/>
    <w:link w:val="FooterCoverPage"/>
    <w:rPr>
      <w:rFonts w:ascii="Times New Roman" w:hAnsi="Times New Roman" w:cs="Times New Roman"/>
      <w:sz w:val="24"/>
      <w:lang w:val="hr-H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agedecouvertureChar"/>
    <w:link w:val="FooterSensitivity"/>
    <w:rPr>
      <w:rFonts w:ascii="Times New Roman" w:hAnsi="Times New Roman" w:cs="Times New Roman"/>
      <w:b/>
      <w:sz w:val="32"/>
      <w:lang w:val="hr-H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PagedecouvertureChar"/>
    <w:link w:val="HeaderCoverPage"/>
    <w:rPr>
      <w:rFonts w:ascii="Times New Roman" w:hAnsi="Times New Roman" w:cs="Times New Roman"/>
      <w:sz w:val="24"/>
      <w:lang w:val="hr-H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agedecouvertureChar"/>
    <w:link w:val="HeaderSensitivity"/>
    <w:rPr>
      <w:rFonts w:ascii="Times New Roman" w:hAnsi="Times New Roman" w:cs="Times New Roman"/>
      <w:b/>
      <w:sz w:val="32"/>
      <w:lang w:val="hr-HR"/>
    </w:rPr>
  </w:style>
  <w:style w:type="paragraph" w:customStyle="1" w:styleId="HeaderSensitivityRight">
    <w:name w:val="Header Sensitivity Right"/>
    <w:basedOn w:val="Normal"/>
    <w:link w:val="HeaderSensitivityRightChar"/>
    <w:rsid w:val="009535D4"/>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agedecouvertureChar"/>
    <w:link w:val="HeaderSensitivityRight"/>
    <w:rPr>
      <w:rFonts w:ascii="Times New Roman" w:hAnsi="Times New Roman" w:cs="Times New Roman"/>
      <w:sz w:val="28"/>
      <w:lang w:val="hr-HR"/>
    </w:rPr>
  </w:style>
  <w:style w:type="paragraph" w:styleId="ListParagraph">
    <w:name w:val="List Paragraph"/>
    <w:basedOn w:val="Normal"/>
    <w:uiPriority w:val="34"/>
    <w:qFormat/>
    <w:pPr>
      <w:ind w:left="720"/>
      <w:contextualSpacing/>
    </w:pPr>
  </w:style>
  <w:style w:type="paragraph" w:styleId="FootnoteText">
    <w:name w:val="footnote text"/>
    <w:aliases w:val="Footnote,Fußnote,Schriftart: 9 pt,Schriftart: 10 pt,Schriftart: 8 pt,WB-Fußnotentext,WB-Fußnotentext Char Char,WB-Fußnotentext Char,stile 1,Footnote1,Footnote2,Footnote3,Footnote4,Footnote5,Footnote6,Footnote7,Footnote8,Footnote9,Referenc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Schriftart: 9 pt Char,Schriftart: 10 pt Char,Schriftart: 8 pt Char,WB-Fußnotentext Char1,WB-Fußnotentext Char Char Char,WB-Fußnotentext Char Char1,stile 1 Char,Footnote1 Char,Footnote2 Char,Footnote3 Char"/>
    <w:basedOn w:val="DefaultParagraphFont"/>
    <w:link w:val="FootnoteText"/>
    <w:uiPriority w:val="99"/>
    <w:qFormat/>
    <w:rPr>
      <w:sz w:val="20"/>
      <w:szCs w:val="20"/>
    </w:rPr>
  </w:style>
  <w:style w:type="character" w:styleId="FootnoteReference">
    <w:name w:val="footnote reference"/>
    <w:aliases w:val="Footnote Reference Number,Footnote symbol,stylish,Footnote Refernece,BVI fnr,Fußnotenzeichen_Raxen,callout,Footnote Reference Superscript,Footnote Reference_LVL6,Footnote Reference_LVL61,Footnote Reference_LVL62,EN Footnote Referenc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jc w:val="both"/>
    </w:pPr>
    <w:rPr>
      <w:vertAlign w:val="superscript"/>
    </w:rPr>
  </w:style>
  <w:style w:type="character" w:customStyle="1" w:styleId="Heading1Char">
    <w:name w:val="Heading 1 Char"/>
    <w:basedOn w:val="DefaultParagraphFont"/>
    <w:link w:val="Heading1"/>
    <w:uiPriority w:val="9"/>
    <w:rsid w:val="000975FC"/>
    <w:rPr>
      <w:rFonts w:ascii="Times New Roman" w:eastAsia="Calibri" w:hAnsi="Times New Roman" w:cs="Times New Roman"/>
      <w:b/>
      <w:bCs/>
      <w:sz w:val="28"/>
      <w:szCs w:val="24"/>
      <w:lang w:val="hr-HR"/>
    </w:rPr>
  </w:style>
  <w:style w:type="character" w:customStyle="1" w:styleId="Heading2Char">
    <w:name w:val="Heading 2 Char"/>
    <w:basedOn w:val="DefaultParagraphFont"/>
    <w:link w:val="Heading2"/>
    <w:uiPriority w:val="9"/>
    <w:rPr>
      <w:rFonts w:ascii="Times New Roman" w:eastAsia="Times New Roman" w:hAnsi="Times New Roman" w:cs="Times New Roman"/>
      <w:b/>
      <w:bCs/>
      <w:color w:val="000000"/>
      <w:sz w:val="24"/>
      <w:szCs w:val="24"/>
      <w:u w:color="000000"/>
      <w:bdr w:val="nil"/>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Corps">
    <w:name w:val="Corps"/>
    <w:pPr>
      <w:pBdr>
        <w:top w:val="nil"/>
        <w:left w:val="nil"/>
        <w:bottom w:val="nil"/>
        <w:right w:val="nil"/>
        <w:between w:val="nil"/>
        <w:bar w:val="nil"/>
      </w:pBdr>
      <w:spacing w:after="240" w:line="240" w:lineRule="auto"/>
      <w:jc w:val="both"/>
    </w:pP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hr-H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hr-HR"/>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styleId="Revision">
    <w:name w:val="Revision"/>
    <w:hidden/>
    <w:uiPriority w:val="99"/>
    <w:semiHidden/>
    <w:pPr>
      <w:spacing w:after="0" w:line="240" w:lineRule="auto"/>
    </w:pPr>
  </w:style>
  <w:style w:type="character" w:customStyle="1" w:styleId="superscript">
    <w:name w:val="superscript"/>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0">
    <w:name w:val="Unresolved Mention1"/>
    <w:basedOn w:val="DefaultParagraphFont"/>
    <w:uiPriority w:val="99"/>
    <w:semiHidden/>
    <w:unhideWhenUsed/>
    <w:rPr>
      <w:color w:val="605E5C"/>
      <w:shd w:val="clear" w:color="auto" w:fill="E1DFDD"/>
    </w:rPr>
  </w:style>
  <w:style w:type="paragraph" w:customStyle="1" w:styleId="ecl-paragraph">
    <w:name w:val="ecl-paragraph"/>
    <w:basedOn w:val="Normal"/>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r-HR"/>
    </w:rPr>
  </w:style>
  <w:style w:type="character" w:customStyle="1" w:styleId="Mention1">
    <w:name w:val="Mention1"/>
    <w:basedOn w:val="DefaultParagraphFont"/>
    <w:uiPriority w:val="99"/>
    <w:unhideWhenUsed/>
    <w:rPr>
      <w:color w:val="2B579A"/>
      <w:shd w:val="clear" w:color="auto" w:fill="E1DFDD"/>
    </w:rPr>
  </w:style>
  <w:style w:type="paragraph" w:styleId="NoSpacing">
    <w:name w:val="No Spacing"/>
    <w:uiPriority w:val="1"/>
    <w:qFormat/>
    <w:pPr>
      <w:spacing w:after="0" w:line="240" w:lineRule="auto"/>
    </w:pPr>
  </w:style>
  <w:style w:type="table" w:styleId="TableGrid">
    <w:name w:val="Table Grid"/>
    <w:basedOn w:val="TableNormal"/>
    <w:uiPriority w:val="39"/>
    <w:rsid w:val="00BA6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5258"/>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isclaimer">
    <w:name w:val="Disclaimer"/>
    <w:basedOn w:val="Normal"/>
    <w:rsid w:val="000D1A9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9535D4"/>
    <w:pPr>
      <w:spacing w:after="0" w:line="276" w:lineRule="auto"/>
      <w:ind w:left="5103"/>
    </w:pPr>
    <w:rPr>
      <w:rFonts w:ascii="Times New Roman" w:hAnsi="Times New Roman" w:cs="Times New Roman"/>
      <w:sz w:val="28"/>
    </w:rPr>
  </w:style>
  <w:style w:type="paragraph" w:customStyle="1" w:styleId="DateMarking">
    <w:name w:val="DateMarking"/>
    <w:basedOn w:val="Normal"/>
    <w:rsid w:val="009535D4"/>
    <w:pPr>
      <w:spacing w:after="0" w:line="276" w:lineRule="auto"/>
      <w:ind w:left="5103"/>
    </w:pPr>
    <w:rPr>
      <w:rFonts w:ascii="Times New Roman" w:hAnsi="Times New Roman" w:cs="Times New Roman"/>
      <w:i/>
      <w:sz w:val="28"/>
    </w:rPr>
  </w:style>
  <w:style w:type="paragraph" w:customStyle="1" w:styleId="ReleasableTo">
    <w:name w:val="ReleasableTo"/>
    <w:basedOn w:val="Normal"/>
    <w:rsid w:val="009535D4"/>
    <w:pPr>
      <w:spacing w:after="0" w:line="276" w:lineRule="auto"/>
      <w:ind w:left="5103"/>
    </w:pPr>
    <w:rPr>
      <w:rFonts w:ascii="Times New Roman" w:hAnsi="Times New Roman" w:cs="Times New Roman"/>
      <w:i/>
      <w:sz w:val="28"/>
    </w:rPr>
  </w:style>
  <w:style w:type="paragraph" w:styleId="TOCHeading">
    <w:name w:val="TOC Heading"/>
    <w:basedOn w:val="Heading1"/>
    <w:next w:val="Normal"/>
    <w:uiPriority w:val="39"/>
    <w:unhideWhenUsed/>
    <w:qFormat/>
    <w:rsid w:val="00C41FE0"/>
    <w:pPr>
      <w:keepNext/>
      <w:keepLines/>
      <w:spacing w:before="240" w:after="0" w:line="259" w:lineRule="auto"/>
      <w:contextualSpacing w:val="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C41FE0"/>
    <w:pPr>
      <w:spacing w:after="100"/>
    </w:pPr>
  </w:style>
  <w:style w:type="paragraph" w:styleId="TOC2">
    <w:name w:val="toc 2"/>
    <w:basedOn w:val="Normal"/>
    <w:next w:val="Normal"/>
    <w:autoRedefine/>
    <w:uiPriority w:val="39"/>
    <w:unhideWhenUsed/>
    <w:rsid w:val="00C41FE0"/>
    <w:pPr>
      <w:spacing w:after="100"/>
      <w:ind w:left="220"/>
    </w:pPr>
  </w:style>
  <w:style w:type="character" w:customStyle="1" w:styleId="cf01">
    <w:name w:val="cf01"/>
    <w:basedOn w:val="DefaultParagraphFont"/>
    <w:rsid w:val="00451846"/>
    <w:rPr>
      <w:rFonts w:ascii="Segoe UI" w:hAnsi="Segoe UI" w:cs="Segoe UI" w:hint="default"/>
      <w:sz w:val="18"/>
      <w:szCs w:val="18"/>
    </w:rPr>
  </w:style>
  <w:style w:type="character" w:customStyle="1" w:styleId="cf11">
    <w:name w:val="cf11"/>
    <w:basedOn w:val="DefaultParagraphFont"/>
    <w:rsid w:val="00940C2D"/>
    <w:rPr>
      <w:rFonts w:ascii="Segoe UI" w:hAnsi="Segoe UI" w:cs="Segoe UI" w:hint="default"/>
      <w:sz w:val="18"/>
      <w:szCs w:val="18"/>
      <w:u w:val="single"/>
    </w:rPr>
  </w:style>
  <w:style w:type="character" w:customStyle="1" w:styleId="ui-provider">
    <w:name w:val="ui-provider"/>
    <w:basedOn w:val="DefaultParagraphFont"/>
    <w:rsid w:val="00EF222C"/>
  </w:style>
  <w:style w:type="character" w:customStyle="1" w:styleId="UnresolvedMention">
    <w:name w:val="Unresolved Mention"/>
    <w:basedOn w:val="DefaultParagraphFont"/>
    <w:uiPriority w:val="99"/>
    <w:semiHidden/>
    <w:unhideWhenUsed/>
    <w:rsid w:val="00D96617"/>
    <w:rPr>
      <w:color w:val="605E5C"/>
      <w:shd w:val="clear" w:color="auto" w:fill="E1DFDD"/>
    </w:rPr>
  </w:style>
  <w:style w:type="paragraph" w:customStyle="1" w:styleId="pf0">
    <w:name w:val="pf0"/>
    <w:basedOn w:val="Normal"/>
    <w:rsid w:val="00C32189"/>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1828">
      <w:bodyDiv w:val="1"/>
      <w:marLeft w:val="0"/>
      <w:marRight w:val="0"/>
      <w:marTop w:val="0"/>
      <w:marBottom w:val="0"/>
      <w:divBdr>
        <w:top w:val="none" w:sz="0" w:space="0" w:color="auto"/>
        <w:left w:val="none" w:sz="0" w:space="0" w:color="auto"/>
        <w:bottom w:val="none" w:sz="0" w:space="0" w:color="auto"/>
        <w:right w:val="none" w:sz="0" w:space="0" w:color="auto"/>
      </w:divBdr>
      <w:divsChild>
        <w:div w:id="175968724">
          <w:marLeft w:val="0"/>
          <w:marRight w:val="0"/>
          <w:marTop w:val="0"/>
          <w:marBottom w:val="0"/>
          <w:divBdr>
            <w:top w:val="none" w:sz="0" w:space="0" w:color="auto"/>
            <w:left w:val="none" w:sz="0" w:space="0" w:color="auto"/>
            <w:bottom w:val="none" w:sz="0" w:space="0" w:color="auto"/>
            <w:right w:val="none" w:sz="0" w:space="0" w:color="auto"/>
          </w:divBdr>
        </w:div>
        <w:div w:id="576405378">
          <w:marLeft w:val="0"/>
          <w:marRight w:val="0"/>
          <w:marTop w:val="0"/>
          <w:marBottom w:val="0"/>
          <w:divBdr>
            <w:top w:val="none" w:sz="0" w:space="0" w:color="auto"/>
            <w:left w:val="none" w:sz="0" w:space="0" w:color="auto"/>
            <w:bottom w:val="none" w:sz="0" w:space="0" w:color="auto"/>
            <w:right w:val="none" w:sz="0" w:space="0" w:color="auto"/>
          </w:divBdr>
        </w:div>
        <w:div w:id="2041934938">
          <w:marLeft w:val="0"/>
          <w:marRight w:val="0"/>
          <w:marTop w:val="0"/>
          <w:marBottom w:val="0"/>
          <w:divBdr>
            <w:top w:val="none" w:sz="0" w:space="0" w:color="auto"/>
            <w:left w:val="none" w:sz="0" w:space="0" w:color="auto"/>
            <w:bottom w:val="none" w:sz="0" w:space="0" w:color="auto"/>
            <w:right w:val="none" w:sz="0" w:space="0" w:color="auto"/>
          </w:divBdr>
        </w:div>
      </w:divsChild>
    </w:div>
    <w:div w:id="80413870">
      <w:bodyDiv w:val="1"/>
      <w:marLeft w:val="0"/>
      <w:marRight w:val="0"/>
      <w:marTop w:val="0"/>
      <w:marBottom w:val="0"/>
      <w:divBdr>
        <w:top w:val="none" w:sz="0" w:space="0" w:color="auto"/>
        <w:left w:val="none" w:sz="0" w:space="0" w:color="auto"/>
        <w:bottom w:val="none" w:sz="0" w:space="0" w:color="auto"/>
        <w:right w:val="none" w:sz="0" w:space="0" w:color="auto"/>
      </w:divBdr>
    </w:div>
    <w:div w:id="133186353">
      <w:bodyDiv w:val="1"/>
      <w:marLeft w:val="0"/>
      <w:marRight w:val="0"/>
      <w:marTop w:val="0"/>
      <w:marBottom w:val="0"/>
      <w:divBdr>
        <w:top w:val="none" w:sz="0" w:space="0" w:color="auto"/>
        <w:left w:val="none" w:sz="0" w:space="0" w:color="auto"/>
        <w:bottom w:val="none" w:sz="0" w:space="0" w:color="auto"/>
        <w:right w:val="none" w:sz="0" w:space="0" w:color="auto"/>
      </w:divBdr>
      <w:divsChild>
        <w:div w:id="255476966">
          <w:marLeft w:val="0"/>
          <w:marRight w:val="0"/>
          <w:marTop w:val="0"/>
          <w:marBottom w:val="0"/>
          <w:divBdr>
            <w:top w:val="none" w:sz="0" w:space="0" w:color="auto"/>
            <w:left w:val="none" w:sz="0" w:space="0" w:color="auto"/>
            <w:bottom w:val="none" w:sz="0" w:space="0" w:color="auto"/>
            <w:right w:val="none" w:sz="0" w:space="0" w:color="auto"/>
          </w:divBdr>
        </w:div>
        <w:div w:id="340621315">
          <w:marLeft w:val="0"/>
          <w:marRight w:val="0"/>
          <w:marTop w:val="0"/>
          <w:marBottom w:val="0"/>
          <w:divBdr>
            <w:top w:val="none" w:sz="0" w:space="0" w:color="auto"/>
            <w:left w:val="none" w:sz="0" w:space="0" w:color="auto"/>
            <w:bottom w:val="none" w:sz="0" w:space="0" w:color="auto"/>
            <w:right w:val="none" w:sz="0" w:space="0" w:color="auto"/>
          </w:divBdr>
        </w:div>
        <w:div w:id="488403950">
          <w:marLeft w:val="0"/>
          <w:marRight w:val="0"/>
          <w:marTop w:val="0"/>
          <w:marBottom w:val="0"/>
          <w:divBdr>
            <w:top w:val="none" w:sz="0" w:space="0" w:color="auto"/>
            <w:left w:val="none" w:sz="0" w:space="0" w:color="auto"/>
            <w:bottom w:val="none" w:sz="0" w:space="0" w:color="auto"/>
            <w:right w:val="none" w:sz="0" w:space="0" w:color="auto"/>
          </w:divBdr>
          <w:divsChild>
            <w:div w:id="533884654">
              <w:marLeft w:val="0"/>
              <w:marRight w:val="0"/>
              <w:marTop w:val="0"/>
              <w:marBottom w:val="0"/>
              <w:divBdr>
                <w:top w:val="none" w:sz="0" w:space="0" w:color="auto"/>
                <w:left w:val="none" w:sz="0" w:space="0" w:color="auto"/>
                <w:bottom w:val="none" w:sz="0" w:space="0" w:color="auto"/>
                <w:right w:val="none" w:sz="0" w:space="0" w:color="auto"/>
              </w:divBdr>
            </w:div>
            <w:div w:id="971979520">
              <w:marLeft w:val="0"/>
              <w:marRight w:val="0"/>
              <w:marTop w:val="0"/>
              <w:marBottom w:val="0"/>
              <w:divBdr>
                <w:top w:val="none" w:sz="0" w:space="0" w:color="auto"/>
                <w:left w:val="none" w:sz="0" w:space="0" w:color="auto"/>
                <w:bottom w:val="none" w:sz="0" w:space="0" w:color="auto"/>
                <w:right w:val="none" w:sz="0" w:space="0" w:color="auto"/>
              </w:divBdr>
            </w:div>
            <w:div w:id="1141263385">
              <w:marLeft w:val="0"/>
              <w:marRight w:val="0"/>
              <w:marTop w:val="0"/>
              <w:marBottom w:val="0"/>
              <w:divBdr>
                <w:top w:val="none" w:sz="0" w:space="0" w:color="auto"/>
                <w:left w:val="none" w:sz="0" w:space="0" w:color="auto"/>
                <w:bottom w:val="none" w:sz="0" w:space="0" w:color="auto"/>
                <w:right w:val="none" w:sz="0" w:space="0" w:color="auto"/>
              </w:divBdr>
            </w:div>
            <w:div w:id="1961183118">
              <w:marLeft w:val="0"/>
              <w:marRight w:val="0"/>
              <w:marTop w:val="0"/>
              <w:marBottom w:val="0"/>
              <w:divBdr>
                <w:top w:val="none" w:sz="0" w:space="0" w:color="auto"/>
                <w:left w:val="none" w:sz="0" w:space="0" w:color="auto"/>
                <w:bottom w:val="none" w:sz="0" w:space="0" w:color="auto"/>
                <w:right w:val="none" w:sz="0" w:space="0" w:color="auto"/>
              </w:divBdr>
            </w:div>
            <w:div w:id="2073649576">
              <w:marLeft w:val="0"/>
              <w:marRight w:val="0"/>
              <w:marTop w:val="0"/>
              <w:marBottom w:val="0"/>
              <w:divBdr>
                <w:top w:val="none" w:sz="0" w:space="0" w:color="auto"/>
                <w:left w:val="none" w:sz="0" w:space="0" w:color="auto"/>
                <w:bottom w:val="none" w:sz="0" w:space="0" w:color="auto"/>
                <w:right w:val="none" w:sz="0" w:space="0" w:color="auto"/>
              </w:divBdr>
            </w:div>
          </w:divsChild>
        </w:div>
        <w:div w:id="803041536">
          <w:marLeft w:val="0"/>
          <w:marRight w:val="0"/>
          <w:marTop w:val="0"/>
          <w:marBottom w:val="0"/>
          <w:divBdr>
            <w:top w:val="none" w:sz="0" w:space="0" w:color="auto"/>
            <w:left w:val="none" w:sz="0" w:space="0" w:color="auto"/>
            <w:bottom w:val="none" w:sz="0" w:space="0" w:color="auto"/>
            <w:right w:val="none" w:sz="0" w:space="0" w:color="auto"/>
          </w:divBdr>
        </w:div>
        <w:div w:id="810827348">
          <w:marLeft w:val="0"/>
          <w:marRight w:val="0"/>
          <w:marTop w:val="0"/>
          <w:marBottom w:val="0"/>
          <w:divBdr>
            <w:top w:val="none" w:sz="0" w:space="0" w:color="auto"/>
            <w:left w:val="none" w:sz="0" w:space="0" w:color="auto"/>
            <w:bottom w:val="none" w:sz="0" w:space="0" w:color="auto"/>
            <w:right w:val="none" w:sz="0" w:space="0" w:color="auto"/>
          </w:divBdr>
        </w:div>
        <w:div w:id="842748359">
          <w:marLeft w:val="0"/>
          <w:marRight w:val="0"/>
          <w:marTop w:val="0"/>
          <w:marBottom w:val="0"/>
          <w:divBdr>
            <w:top w:val="none" w:sz="0" w:space="0" w:color="auto"/>
            <w:left w:val="none" w:sz="0" w:space="0" w:color="auto"/>
            <w:bottom w:val="none" w:sz="0" w:space="0" w:color="auto"/>
            <w:right w:val="none" w:sz="0" w:space="0" w:color="auto"/>
          </w:divBdr>
          <w:divsChild>
            <w:div w:id="404180906">
              <w:marLeft w:val="0"/>
              <w:marRight w:val="0"/>
              <w:marTop w:val="0"/>
              <w:marBottom w:val="0"/>
              <w:divBdr>
                <w:top w:val="none" w:sz="0" w:space="0" w:color="auto"/>
                <w:left w:val="none" w:sz="0" w:space="0" w:color="auto"/>
                <w:bottom w:val="none" w:sz="0" w:space="0" w:color="auto"/>
                <w:right w:val="none" w:sz="0" w:space="0" w:color="auto"/>
              </w:divBdr>
            </w:div>
            <w:div w:id="635261860">
              <w:marLeft w:val="0"/>
              <w:marRight w:val="0"/>
              <w:marTop w:val="0"/>
              <w:marBottom w:val="0"/>
              <w:divBdr>
                <w:top w:val="none" w:sz="0" w:space="0" w:color="auto"/>
                <w:left w:val="none" w:sz="0" w:space="0" w:color="auto"/>
                <w:bottom w:val="none" w:sz="0" w:space="0" w:color="auto"/>
                <w:right w:val="none" w:sz="0" w:space="0" w:color="auto"/>
              </w:divBdr>
            </w:div>
            <w:div w:id="684483412">
              <w:marLeft w:val="0"/>
              <w:marRight w:val="0"/>
              <w:marTop w:val="0"/>
              <w:marBottom w:val="0"/>
              <w:divBdr>
                <w:top w:val="none" w:sz="0" w:space="0" w:color="auto"/>
                <w:left w:val="none" w:sz="0" w:space="0" w:color="auto"/>
                <w:bottom w:val="none" w:sz="0" w:space="0" w:color="auto"/>
                <w:right w:val="none" w:sz="0" w:space="0" w:color="auto"/>
              </w:divBdr>
            </w:div>
            <w:div w:id="1251542847">
              <w:marLeft w:val="0"/>
              <w:marRight w:val="0"/>
              <w:marTop w:val="0"/>
              <w:marBottom w:val="0"/>
              <w:divBdr>
                <w:top w:val="none" w:sz="0" w:space="0" w:color="auto"/>
                <w:left w:val="none" w:sz="0" w:space="0" w:color="auto"/>
                <w:bottom w:val="none" w:sz="0" w:space="0" w:color="auto"/>
                <w:right w:val="none" w:sz="0" w:space="0" w:color="auto"/>
              </w:divBdr>
            </w:div>
            <w:div w:id="1390377281">
              <w:marLeft w:val="0"/>
              <w:marRight w:val="0"/>
              <w:marTop w:val="0"/>
              <w:marBottom w:val="0"/>
              <w:divBdr>
                <w:top w:val="none" w:sz="0" w:space="0" w:color="auto"/>
                <w:left w:val="none" w:sz="0" w:space="0" w:color="auto"/>
                <w:bottom w:val="none" w:sz="0" w:space="0" w:color="auto"/>
                <w:right w:val="none" w:sz="0" w:space="0" w:color="auto"/>
              </w:divBdr>
            </w:div>
          </w:divsChild>
        </w:div>
        <w:div w:id="1086420956">
          <w:marLeft w:val="0"/>
          <w:marRight w:val="0"/>
          <w:marTop w:val="0"/>
          <w:marBottom w:val="0"/>
          <w:divBdr>
            <w:top w:val="none" w:sz="0" w:space="0" w:color="auto"/>
            <w:left w:val="none" w:sz="0" w:space="0" w:color="auto"/>
            <w:bottom w:val="none" w:sz="0" w:space="0" w:color="auto"/>
            <w:right w:val="none" w:sz="0" w:space="0" w:color="auto"/>
          </w:divBdr>
        </w:div>
        <w:div w:id="1124735245">
          <w:marLeft w:val="0"/>
          <w:marRight w:val="0"/>
          <w:marTop w:val="0"/>
          <w:marBottom w:val="0"/>
          <w:divBdr>
            <w:top w:val="none" w:sz="0" w:space="0" w:color="auto"/>
            <w:left w:val="none" w:sz="0" w:space="0" w:color="auto"/>
            <w:bottom w:val="none" w:sz="0" w:space="0" w:color="auto"/>
            <w:right w:val="none" w:sz="0" w:space="0" w:color="auto"/>
          </w:divBdr>
        </w:div>
        <w:div w:id="1155224920">
          <w:marLeft w:val="0"/>
          <w:marRight w:val="0"/>
          <w:marTop w:val="0"/>
          <w:marBottom w:val="0"/>
          <w:divBdr>
            <w:top w:val="none" w:sz="0" w:space="0" w:color="auto"/>
            <w:left w:val="none" w:sz="0" w:space="0" w:color="auto"/>
            <w:bottom w:val="none" w:sz="0" w:space="0" w:color="auto"/>
            <w:right w:val="none" w:sz="0" w:space="0" w:color="auto"/>
          </w:divBdr>
        </w:div>
        <w:div w:id="1196381580">
          <w:marLeft w:val="0"/>
          <w:marRight w:val="0"/>
          <w:marTop w:val="0"/>
          <w:marBottom w:val="0"/>
          <w:divBdr>
            <w:top w:val="none" w:sz="0" w:space="0" w:color="auto"/>
            <w:left w:val="none" w:sz="0" w:space="0" w:color="auto"/>
            <w:bottom w:val="none" w:sz="0" w:space="0" w:color="auto"/>
            <w:right w:val="none" w:sz="0" w:space="0" w:color="auto"/>
          </w:divBdr>
        </w:div>
        <w:div w:id="1823083436">
          <w:marLeft w:val="0"/>
          <w:marRight w:val="0"/>
          <w:marTop w:val="0"/>
          <w:marBottom w:val="0"/>
          <w:divBdr>
            <w:top w:val="none" w:sz="0" w:space="0" w:color="auto"/>
            <w:left w:val="none" w:sz="0" w:space="0" w:color="auto"/>
            <w:bottom w:val="none" w:sz="0" w:space="0" w:color="auto"/>
            <w:right w:val="none" w:sz="0" w:space="0" w:color="auto"/>
          </w:divBdr>
        </w:div>
        <w:div w:id="1867907186">
          <w:marLeft w:val="0"/>
          <w:marRight w:val="0"/>
          <w:marTop w:val="0"/>
          <w:marBottom w:val="0"/>
          <w:divBdr>
            <w:top w:val="none" w:sz="0" w:space="0" w:color="auto"/>
            <w:left w:val="none" w:sz="0" w:space="0" w:color="auto"/>
            <w:bottom w:val="none" w:sz="0" w:space="0" w:color="auto"/>
            <w:right w:val="none" w:sz="0" w:space="0" w:color="auto"/>
          </w:divBdr>
        </w:div>
      </w:divsChild>
    </w:div>
    <w:div w:id="160388275">
      <w:bodyDiv w:val="1"/>
      <w:marLeft w:val="0"/>
      <w:marRight w:val="0"/>
      <w:marTop w:val="0"/>
      <w:marBottom w:val="0"/>
      <w:divBdr>
        <w:top w:val="none" w:sz="0" w:space="0" w:color="auto"/>
        <w:left w:val="none" w:sz="0" w:space="0" w:color="auto"/>
        <w:bottom w:val="none" w:sz="0" w:space="0" w:color="auto"/>
        <w:right w:val="none" w:sz="0" w:space="0" w:color="auto"/>
      </w:divBdr>
    </w:div>
    <w:div w:id="284436228">
      <w:bodyDiv w:val="1"/>
      <w:marLeft w:val="0"/>
      <w:marRight w:val="0"/>
      <w:marTop w:val="0"/>
      <w:marBottom w:val="0"/>
      <w:divBdr>
        <w:top w:val="none" w:sz="0" w:space="0" w:color="auto"/>
        <w:left w:val="none" w:sz="0" w:space="0" w:color="auto"/>
        <w:bottom w:val="none" w:sz="0" w:space="0" w:color="auto"/>
        <w:right w:val="none" w:sz="0" w:space="0" w:color="auto"/>
      </w:divBdr>
    </w:div>
    <w:div w:id="297345514">
      <w:bodyDiv w:val="1"/>
      <w:marLeft w:val="0"/>
      <w:marRight w:val="0"/>
      <w:marTop w:val="0"/>
      <w:marBottom w:val="0"/>
      <w:divBdr>
        <w:top w:val="none" w:sz="0" w:space="0" w:color="auto"/>
        <w:left w:val="none" w:sz="0" w:space="0" w:color="auto"/>
        <w:bottom w:val="none" w:sz="0" w:space="0" w:color="auto"/>
        <w:right w:val="none" w:sz="0" w:space="0" w:color="auto"/>
      </w:divBdr>
    </w:div>
    <w:div w:id="640885872">
      <w:bodyDiv w:val="1"/>
      <w:marLeft w:val="0"/>
      <w:marRight w:val="0"/>
      <w:marTop w:val="0"/>
      <w:marBottom w:val="0"/>
      <w:divBdr>
        <w:top w:val="none" w:sz="0" w:space="0" w:color="auto"/>
        <w:left w:val="none" w:sz="0" w:space="0" w:color="auto"/>
        <w:bottom w:val="none" w:sz="0" w:space="0" w:color="auto"/>
        <w:right w:val="none" w:sz="0" w:space="0" w:color="auto"/>
      </w:divBdr>
      <w:divsChild>
        <w:div w:id="626013489">
          <w:marLeft w:val="0"/>
          <w:marRight w:val="0"/>
          <w:marTop w:val="0"/>
          <w:marBottom w:val="0"/>
          <w:divBdr>
            <w:top w:val="none" w:sz="0" w:space="0" w:color="auto"/>
            <w:left w:val="none" w:sz="0" w:space="0" w:color="auto"/>
            <w:bottom w:val="none" w:sz="0" w:space="0" w:color="auto"/>
            <w:right w:val="none" w:sz="0" w:space="0" w:color="auto"/>
          </w:divBdr>
        </w:div>
        <w:div w:id="1040670738">
          <w:marLeft w:val="0"/>
          <w:marRight w:val="0"/>
          <w:marTop w:val="0"/>
          <w:marBottom w:val="0"/>
          <w:divBdr>
            <w:top w:val="none" w:sz="0" w:space="0" w:color="auto"/>
            <w:left w:val="none" w:sz="0" w:space="0" w:color="auto"/>
            <w:bottom w:val="none" w:sz="0" w:space="0" w:color="auto"/>
            <w:right w:val="none" w:sz="0" w:space="0" w:color="auto"/>
          </w:divBdr>
        </w:div>
      </w:divsChild>
    </w:div>
    <w:div w:id="675621339">
      <w:bodyDiv w:val="1"/>
      <w:marLeft w:val="0"/>
      <w:marRight w:val="0"/>
      <w:marTop w:val="0"/>
      <w:marBottom w:val="0"/>
      <w:divBdr>
        <w:top w:val="none" w:sz="0" w:space="0" w:color="auto"/>
        <w:left w:val="none" w:sz="0" w:space="0" w:color="auto"/>
        <w:bottom w:val="none" w:sz="0" w:space="0" w:color="auto"/>
        <w:right w:val="none" w:sz="0" w:space="0" w:color="auto"/>
      </w:divBdr>
    </w:div>
    <w:div w:id="766584708">
      <w:bodyDiv w:val="1"/>
      <w:marLeft w:val="0"/>
      <w:marRight w:val="0"/>
      <w:marTop w:val="0"/>
      <w:marBottom w:val="0"/>
      <w:divBdr>
        <w:top w:val="none" w:sz="0" w:space="0" w:color="auto"/>
        <w:left w:val="none" w:sz="0" w:space="0" w:color="auto"/>
        <w:bottom w:val="none" w:sz="0" w:space="0" w:color="auto"/>
        <w:right w:val="none" w:sz="0" w:space="0" w:color="auto"/>
      </w:divBdr>
    </w:div>
    <w:div w:id="975450860">
      <w:bodyDiv w:val="1"/>
      <w:marLeft w:val="0"/>
      <w:marRight w:val="0"/>
      <w:marTop w:val="0"/>
      <w:marBottom w:val="0"/>
      <w:divBdr>
        <w:top w:val="none" w:sz="0" w:space="0" w:color="auto"/>
        <w:left w:val="none" w:sz="0" w:space="0" w:color="auto"/>
        <w:bottom w:val="none" w:sz="0" w:space="0" w:color="auto"/>
        <w:right w:val="none" w:sz="0" w:space="0" w:color="auto"/>
      </w:divBdr>
    </w:div>
    <w:div w:id="977956113">
      <w:bodyDiv w:val="1"/>
      <w:marLeft w:val="0"/>
      <w:marRight w:val="0"/>
      <w:marTop w:val="0"/>
      <w:marBottom w:val="0"/>
      <w:divBdr>
        <w:top w:val="none" w:sz="0" w:space="0" w:color="auto"/>
        <w:left w:val="none" w:sz="0" w:space="0" w:color="auto"/>
        <w:bottom w:val="none" w:sz="0" w:space="0" w:color="auto"/>
        <w:right w:val="none" w:sz="0" w:space="0" w:color="auto"/>
      </w:divBdr>
    </w:div>
    <w:div w:id="1026440284">
      <w:bodyDiv w:val="1"/>
      <w:marLeft w:val="0"/>
      <w:marRight w:val="0"/>
      <w:marTop w:val="0"/>
      <w:marBottom w:val="0"/>
      <w:divBdr>
        <w:top w:val="none" w:sz="0" w:space="0" w:color="auto"/>
        <w:left w:val="none" w:sz="0" w:space="0" w:color="auto"/>
        <w:bottom w:val="none" w:sz="0" w:space="0" w:color="auto"/>
        <w:right w:val="none" w:sz="0" w:space="0" w:color="auto"/>
      </w:divBdr>
    </w:div>
    <w:div w:id="1035274709">
      <w:bodyDiv w:val="1"/>
      <w:marLeft w:val="0"/>
      <w:marRight w:val="0"/>
      <w:marTop w:val="0"/>
      <w:marBottom w:val="0"/>
      <w:divBdr>
        <w:top w:val="none" w:sz="0" w:space="0" w:color="auto"/>
        <w:left w:val="none" w:sz="0" w:space="0" w:color="auto"/>
        <w:bottom w:val="none" w:sz="0" w:space="0" w:color="auto"/>
        <w:right w:val="none" w:sz="0" w:space="0" w:color="auto"/>
      </w:divBdr>
    </w:div>
    <w:div w:id="1057775216">
      <w:bodyDiv w:val="1"/>
      <w:marLeft w:val="0"/>
      <w:marRight w:val="0"/>
      <w:marTop w:val="0"/>
      <w:marBottom w:val="0"/>
      <w:divBdr>
        <w:top w:val="none" w:sz="0" w:space="0" w:color="auto"/>
        <w:left w:val="none" w:sz="0" w:space="0" w:color="auto"/>
        <w:bottom w:val="none" w:sz="0" w:space="0" w:color="auto"/>
        <w:right w:val="none" w:sz="0" w:space="0" w:color="auto"/>
      </w:divBdr>
    </w:div>
    <w:div w:id="1065840987">
      <w:bodyDiv w:val="1"/>
      <w:marLeft w:val="0"/>
      <w:marRight w:val="0"/>
      <w:marTop w:val="0"/>
      <w:marBottom w:val="0"/>
      <w:divBdr>
        <w:top w:val="none" w:sz="0" w:space="0" w:color="auto"/>
        <w:left w:val="none" w:sz="0" w:space="0" w:color="auto"/>
        <w:bottom w:val="none" w:sz="0" w:space="0" w:color="auto"/>
        <w:right w:val="none" w:sz="0" w:space="0" w:color="auto"/>
      </w:divBdr>
      <w:divsChild>
        <w:div w:id="1991250070">
          <w:marLeft w:val="0"/>
          <w:marRight w:val="0"/>
          <w:marTop w:val="0"/>
          <w:marBottom w:val="0"/>
          <w:divBdr>
            <w:top w:val="none" w:sz="0" w:space="0" w:color="auto"/>
            <w:left w:val="none" w:sz="0" w:space="0" w:color="auto"/>
            <w:bottom w:val="none" w:sz="0" w:space="0" w:color="auto"/>
            <w:right w:val="none" w:sz="0" w:space="0" w:color="auto"/>
          </w:divBdr>
          <w:divsChild>
            <w:div w:id="661006388">
              <w:marLeft w:val="0"/>
              <w:marRight w:val="0"/>
              <w:marTop w:val="0"/>
              <w:marBottom w:val="0"/>
              <w:divBdr>
                <w:top w:val="none" w:sz="0" w:space="0" w:color="auto"/>
                <w:left w:val="none" w:sz="0" w:space="0" w:color="auto"/>
                <w:bottom w:val="none" w:sz="0" w:space="0" w:color="auto"/>
                <w:right w:val="none" w:sz="0" w:space="0" w:color="auto"/>
              </w:divBdr>
              <w:divsChild>
                <w:div w:id="1400515444">
                  <w:marLeft w:val="0"/>
                  <w:marRight w:val="0"/>
                  <w:marTop w:val="0"/>
                  <w:marBottom w:val="0"/>
                  <w:divBdr>
                    <w:top w:val="none" w:sz="0" w:space="0" w:color="auto"/>
                    <w:left w:val="none" w:sz="0" w:space="0" w:color="auto"/>
                    <w:bottom w:val="none" w:sz="0" w:space="0" w:color="auto"/>
                    <w:right w:val="none" w:sz="0" w:space="0" w:color="auto"/>
                  </w:divBdr>
                  <w:divsChild>
                    <w:div w:id="1045132128">
                      <w:marLeft w:val="0"/>
                      <w:marRight w:val="0"/>
                      <w:marTop w:val="0"/>
                      <w:marBottom w:val="375"/>
                      <w:divBdr>
                        <w:top w:val="none" w:sz="0" w:space="0" w:color="auto"/>
                        <w:left w:val="none" w:sz="0" w:space="0" w:color="auto"/>
                        <w:bottom w:val="none" w:sz="0" w:space="0" w:color="auto"/>
                        <w:right w:val="none" w:sz="0" w:space="0" w:color="auto"/>
                      </w:divBdr>
                      <w:divsChild>
                        <w:div w:id="13738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800323">
      <w:bodyDiv w:val="1"/>
      <w:marLeft w:val="0"/>
      <w:marRight w:val="0"/>
      <w:marTop w:val="0"/>
      <w:marBottom w:val="0"/>
      <w:divBdr>
        <w:top w:val="none" w:sz="0" w:space="0" w:color="auto"/>
        <w:left w:val="none" w:sz="0" w:space="0" w:color="auto"/>
        <w:bottom w:val="none" w:sz="0" w:space="0" w:color="auto"/>
        <w:right w:val="none" w:sz="0" w:space="0" w:color="auto"/>
      </w:divBdr>
    </w:div>
    <w:div w:id="1237201674">
      <w:bodyDiv w:val="1"/>
      <w:marLeft w:val="0"/>
      <w:marRight w:val="0"/>
      <w:marTop w:val="0"/>
      <w:marBottom w:val="0"/>
      <w:divBdr>
        <w:top w:val="none" w:sz="0" w:space="0" w:color="auto"/>
        <w:left w:val="none" w:sz="0" w:space="0" w:color="auto"/>
        <w:bottom w:val="none" w:sz="0" w:space="0" w:color="auto"/>
        <w:right w:val="none" w:sz="0" w:space="0" w:color="auto"/>
      </w:divBdr>
    </w:div>
    <w:div w:id="1252928906">
      <w:bodyDiv w:val="1"/>
      <w:marLeft w:val="0"/>
      <w:marRight w:val="0"/>
      <w:marTop w:val="0"/>
      <w:marBottom w:val="0"/>
      <w:divBdr>
        <w:top w:val="none" w:sz="0" w:space="0" w:color="auto"/>
        <w:left w:val="none" w:sz="0" w:space="0" w:color="auto"/>
        <w:bottom w:val="none" w:sz="0" w:space="0" w:color="auto"/>
        <w:right w:val="none" w:sz="0" w:space="0" w:color="auto"/>
      </w:divBdr>
      <w:divsChild>
        <w:div w:id="445657537">
          <w:marLeft w:val="0"/>
          <w:marRight w:val="0"/>
          <w:marTop w:val="0"/>
          <w:marBottom w:val="0"/>
          <w:divBdr>
            <w:top w:val="none" w:sz="0" w:space="0" w:color="auto"/>
            <w:left w:val="none" w:sz="0" w:space="0" w:color="auto"/>
            <w:bottom w:val="none" w:sz="0" w:space="0" w:color="auto"/>
            <w:right w:val="none" w:sz="0" w:space="0" w:color="auto"/>
          </w:divBdr>
        </w:div>
        <w:div w:id="1667199578">
          <w:marLeft w:val="0"/>
          <w:marRight w:val="0"/>
          <w:marTop w:val="0"/>
          <w:marBottom w:val="0"/>
          <w:divBdr>
            <w:top w:val="none" w:sz="0" w:space="0" w:color="auto"/>
            <w:left w:val="none" w:sz="0" w:space="0" w:color="auto"/>
            <w:bottom w:val="none" w:sz="0" w:space="0" w:color="auto"/>
            <w:right w:val="none" w:sz="0" w:space="0" w:color="auto"/>
          </w:divBdr>
        </w:div>
      </w:divsChild>
    </w:div>
    <w:div w:id="1272085465">
      <w:bodyDiv w:val="1"/>
      <w:marLeft w:val="0"/>
      <w:marRight w:val="0"/>
      <w:marTop w:val="0"/>
      <w:marBottom w:val="0"/>
      <w:divBdr>
        <w:top w:val="none" w:sz="0" w:space="0" w:color="auto"/>
        <w:left w:val="none" w:sz="0" w:space="0" w:color="auto"/>
        <w:bottom w:val="none" w:sz="0" w:space="0" w:color="auto"/>
        <w:right w:val="none" w:sz="0" w:space="0" w:color="auto"/>
      </w:divBdr>
    </w:div>
    <w:div w:id="1318798624">
      <w:bodyDiv w:val="1"/>
      <w:marLeft w:val="0"/>
      <w:marRight w:val="0"/>
      <w:marTop w:val="0"/>
      <w:marBottom w:val="0"/>
      <w:divBdr>
        <w:top w:val="none" w:sz="0" w:space="0" w:color="auto"/>
        <w:left w:val="none" w:sz="0" w:space="0" w:color="auto"/>
        <w:bottom w:val="none" w:sz="0" w:space="0" w:color="auto"/>
        <w:right w:val="none" w:sz="0" w:space="0" w:color="auto"/>
      </w:divBdr>
    </w:div>
    <w:div w:id="1401447001">
      <w:bodyDiv w:val="1"/>
      <w:marLeft w:val="0"/>
      <w:marRight w:val="0"/>
      <w:marTop w:val="0"/>
      <w:marBottom w:val="0"/>
      <w:divBdr>
        <w:top w:val="none" w:sz="0" w:space="0" w:color="auto"/>
        <w:left w:val="none" w:sz="0" w:space="0" w:color="auto"/>
        <w:bottom w:val="none" w:sz="0" w:space="0" w:color="auto"/>
        <w:right w:val="none" w:sz="0" w:space="0" w:color="auto"/>
      </w:divBdr>
      <w:divsChild>
        <w:div w:id="618685419">
          <w:marLeft w:val="0"/>
          <w:marRight w:val="0"/>
          <w:marTop w:val="0"/>
          <w:marBottom w:val="0"/>
          <w:divBdr>
            <w:top w:val="none" w:sz="0" w:space="0" w:color="auto"/>
            <w:left w:val="none" w:sz="0" w:space="0" w:color="auto"/>
            <w:bottom w:val="none" w:sz="0" w:space="0" w:color="auto"/>
            <w:right w:val="none" w:sz="0" w:space="0" w:color="auto"/>
          </w:divBdr>
        </w:div>
        <w:div w:id="1362778858">
          <w:marLeft w:val="0"/>
          <w:marRight w:val="0"/>
          <w:marTop w:val="0"/>
          <w:marBottom w:val="0"/>
          <w:divBdr>
            <w:top w:val="none" w:sz="0" w:space="0" w:color="auto"/>
            <w:left w:val="none" w:sz="0" w:space="0" w:color="auto"/>
            <w:bottom w:val="none" w:sz="0" w:space="0" w:color="auto"/>
            <w:right w:val="none" w:sz="0" w:space="0" w:color="auto"/>
          </w:divBdr>
        </w:div>
      </w:divsChild>
    </w:div>
    <w:div w:id="1496727888">
      <w:bodyDiv w:val="1"/>
      <w:marLeft w:val="0"/>
      <w:marRight w:val="0"/>
      <w:marTop w:val="0"/>
      <w:marBottom w:val="0"/>
      <w:divBdr>
        <w:top w:val="none" w:sz="0" w:space="0" w:color="auto"/>
        <w:left w:val="none" w:sz="0" w:space="0" w:color="auto"/>
        <w:bottom w:val="none" w:sz="0" w:space="0" w:color="auto"/>
        <w:right w:val="none" w:sz="0" w:space="0" w:color="auto"/>
      </w:divBdr>
      <w:divsChild>
        <w:div w:id="176582556">
          <w:marLeft w:val="0"/>
          <w:marRight w:val="0"/>
          <w:marTop w:val="0"/>
          <w:marBottom w:val="0"/>
          <w:divBdr>
            <w:top w:val="none" w:sz="0" w:space="0" w:color="auto"/>
            <w:left w:val="none" w:sz="0" w:space="0" w:color="auto"/>
            <w:bottom w:val="none" w:sz="0" w:space="0" w:color="auto"/>
            <w:right w:val="none" w:sz="0" w:space="0" w:color="auto"/>
          </w:divBdr>
        </w:div>
        <w:div w:id="1455559053">
          <w:marLeft w:val="0"/>
          <w:marRight w:val="0"/>
          <w:marTop w:val="0"/>
          <w:marBottom w:val="0"/>
          <w:divBdr>
            <w:top w:val="none" w:sz="0" w:space="0" w:color="auto"/>
            <w:left w:val="none" w:sz="0" w:space="0" w:color="auto"/>
            <w:bottom w:val="none" w:sz="0" w:space="0" w:color="auto"/>
            <w:right w:val="none" w:sz="0" w:space="0" w:color="auto"/>
          </w:divBdr>
        </w:div>
        <w:div w:id="1731297062">
          <w:marLeft w:val="0"/>
          <w:marRight w:val="0"/>
          <w:marTop w:val="0"/>
          <w:marBottom w:val="0"/>
          <w:divBdr>
            <w:top w:val="none" w:sz="0" w:space="0" w:color="auto"/>
            <w:left w:val="none" w:sz="0" w:space="0" w:color="auto"/>
            <w:bottom w:val="none" w:sz="0" w:space="0" w:color="auto"/>
            <w:right w:val="none" w:sz="0" w:space="0" w:color="auto"/>
          </w:divBdr>
        </w:div>
      </w:divsChild>
    </w:div>
    <w:div w:id="1518544746">
      <w:bodyDiv w:val="1"/>
      <w:marLeft w:val="0"/>
      <w:marRight w:val="0"/>
      <w:marTop w:val="0"/>
      <w:marBottom w:val="0"/>
      <w:divBdr>
        <w:top w:val="none" w:sz="0" w:space="0" w:color="auto"/>
        <w:left w:val="none" w:sz="0" w:space="0" w:color="auto"/>
        <w:bottom w:val="none" w:sz="0" w:space="0" w:color="auto"/>
        <w:right w:val="none" w:sz="0" w:space="0" w:color="auto"/>
      </w:divBdr>
    </w:div>
    <w:div w:id="1540168899">
      <w:bodyDiv w:val="1"/>
      <w:marLeft w:val="0"/>
      <w:marRight w:val="0"/>
      <w:marTop w:val="0"/>
      <w:marBottom w:val="0"/>
      <w:divBdr>
        <w:top w:val="none" w:sz="0" w:space="0" w:color="auto"/>
        <w:left w:val="none" w:sz="0" w:space="0" w:color="auto"/>
        <w:bottom w:val="none" w:sz="0" w:space="0" w:color="auto"/>
        <w:right w:val="none" w:sz="0" w:space="0" w:color="auto"/>
      </w:divBdr>
    </w:div>
    <w:div w:id="1577933009">
      <w:bodyDiv w:val="1"/>
      <w:marLeft w:val="0"/>
      <w:marRight w:val="0"/>
      <w:marTop w:val="0"/>
      <w:marBottom w:val="0"/>
      <w:divBdr>
        <w:top w:val="none" w:sz="0" w:space="0" w:color="auto"/>
        <w:left w:val="none" w:sz="0" w:space="0" w:color="auto"/>
        <w:bottom w:val="none" w:sz="0" w:space="0" w:color="auto"/>
        <w:right w:val="none" w:sz="0" w:space="0" w:color="auto"/>
      </w:divBdr>
      <w:divsChild>
        <w:div w:id="2099596516">
          <w:marLeft w:val="0"/>
          <w:marRight w:val="0"/>
          <w:marTop w:val="0"/>
          <w:marBottom w:val="0"/>
          <w:divBdr>
            <w:top w:val="none" w:sz="0" w:space="0" w:color="auto"/>
            <w:left w:val="none" w:sz="0" w:space="0" w:color="auto"/>
            <w:bottom w:val="none" w:sz="0" w:space="0" w:color="auto"/>
            <w:right w:val="none" w:sz="0" w:space="0" w:color="auto"/>
          </w:divBdr>
        </w:div>
      </w:divsChild>
    </w:div>
    <w:div w:id="1601988125">
      <w:bodyDiv w:val="1"/>
      <w:marLeft w:val="0"/>
      <w:marRight w:val="0"/>
      <w:marTop w:val="0"/>
      <w:marBottom w:val="0"/>
      <w:divBdr>
        <w:top w:val="none" w:sz="0" w:space="0" w:color="auto"/>
        <w:left w:val="none" w:sz="0" w:space="0" w:color="auto"/>
        <w:bottom w:val="none" w:sz="0" w:space="0" w:color="auto"/>
        <w:right w:val="none" w:sz="0" w:space="0" w:color="auto"/>
      </w:divBdr>
      <w:divsChild>
        <w:div w:id="508107767">
          <w:marLeft w:val="0"/>
          <w:marRight w:val="0"/>
          <w:marTop w:val="0"/>
          <w:marBottom w:val="0"/>
          <w:divBdr>
            <w:top w:val="none" w:sz="0" w:space="0" w:color="auto"/>
            <w:left w:val="none" w:sz="0" w:space="0" w:color="auto"/>
            <w:bottom w:val="none" w:sz="0" w:space="0" w:color="auto"/>
            <w:right w:val="none" w:sz="0" w:space="0" w:color="auto"/>
          </w:divBdr>
        </w:div>
        <w:div w:id="1614552756">
          <w:marLeft w:val="0"/>
          <w:marRight w:val="0"/>
          <w:marTop w:val="0"/>
          <w:marBottom w:val="0"/>
          <w:divBdr>
            <w:top w:val="none" w:sz="0" w:space="0" w:color="auto"/>
            <w:left w:val="none" w:sz="0" w:space="0" w:color="auto"/>
            <w:bottom w:val="none" w:sz="0" w:space="0" w:color="auto"/>
            <w:right w:val="none" w:sz="0" w:space="0" w:color="auto"/>
          </w:divBdr>
        </w:div>
      </w:divsChild>
    </w:div>
    <w:div w:id="1634209157">
      <w:bodyDiv w:val="1"/>
      <w:marLeft w:val="0"/>
      <w:marRight w:val="0"/>
      <w:marTop w:val="0"/>
      <w:marBottom w:val="0"/>
      <w:divBdr>
        <w:top w:val="none" w:sz="0" w:space="0" w:color="auto"/>
        <w:left w:val="none" w:sz="0" w:space="0" w:color="auto"/>
        <w:bottom w:val="none" w:sz="0" w:space="0" w:color="auto"/>
        <w:right w:val="none" w:sz="0" w:space="0" w:color="auto"/>
      </w:divBdr>
    </w:div>
    <w:div w:id="1670864249">
      <w:bodyDiv w:val="1"/>
      <w:marLeft w:val="0"/>
      <w:marRight w:val="0"/>
      <w:marTop w:val="0"/>
      <w:marBottom w:val="0"/>
      <w:divBdr>
        <w:top w:val="none" w:sz="0" w:space="0" w:color="auto"/>
        <w:left w:val="none" w:sz="0" w:space="0" w:color="auto"/>
        <w:bottom w:val="none" w:sz="0" w:space="0" w:color="auto"/>
        <w:right w:val="none" w:sz="0" w:space="0" w:color="auto"/>
      </w:divBdr>
      <w:divsChild>
        <w:div w:id="359862364">
          <w:marLeft w:val="0"/>
          <w:marRight w:val="0"/>
          <w:marTop w:val="0"/>
          <w:marBottom w:val="0"/>
          <w:divBdr>
            <w:top w:val="none" w:sz="0" w:space="0" w:color="auto"/>
            <w:left w:val="none" w:sz="0" w:space="0" w:color="auto"/>
            <w:bottom w:val="none" w:sz="0" w:space="0" w:color="auto"/>
            <w:right w:val="none" w:sz="0" w:space="0" w:color="auto"/>
          </w:divBdr>
        </w:div>
        <w:div w:id="484592992">
          <w:marLeft w:val="0"/>
          <w:marRight w:val="0"/>
          <w:marTop w:val="0"/>
          <w:marBottom w:val="0"/>
          <w:divBdr>
            <w:top w:val="none" w:sz="0" w:space="0" w:color="auto"/>
            <w:left w:val="none" w:sz="0" w:space="0" w:color="auto"/>
            <w:bottom w:val="none" w:sz="0" w:space="0" w:color="auto"/>
            <w:right w:val="none" w:sz="0" w:space="0" w:color="auto"/>
          </w:divBdr>
        </w:div>
        <w:div w:id="517499578">
          <w:marLeft w:val="0"/>
          <w:marRight w:val="0"/>
          <w:marTop w:val="0"/>
          <w:marBottom w:val="0"/>
          <w:divBdr>
            <w:top w:val="none" w:sz="0" w:space="0" w:color="auto"/>
            <w:left w:val="none" w:sz="0" w:space="0" w:color="auto"/>
            <w:bottom w:val="none" w:sz="0" w:space="0" w:color="auto"/>
            <w:right w:val="none" w:sz="0" w:space="0" w:color="auto"/>
          </w:divBdr>
        </w:div>
        <w:div w:id="740522453">
          <w:marLeft w:val="0"/>
          <w:marRight w:val="0"/>
          <w:marTop w:val="0"/>
          <w:marBottom w:val="0"/>
          <w:divBdr>
            <w:top w:val="none" w:sz="0" w:space="0" w:color="auto"/>
            <w:left w:val="none" w:sz="0" w:space="0" w:color="auto"/>
            <w:bottom w:val="none" w:sz="0" w:space="0" w:color="auto"/>
            <w:right w:val="none" w:sz="0" w:space="0" w:color="auto"/>
          </w:divBdr>
        </w:div>
        <w:div w:id="1095249010">
          <w:marLeft w:val="0"/>
          <w:marRight w:val="0"/>
          <w:marTop w:val="0"/>
          <w:marBottom w:val="0"/>
          <w:divBdr>
            <w:top w:val="none" w:sz="0" w:space="0" w:color="auto"/>
            <w:left w:val="none" w:sz="0" w:space="0" w:color="auto"/>
            <w:bottom w:val="none" w:sz="0" w:space="0" w:color="auto"/>
            <w:right w:val="none" w:sz="0" w:space="0" w:color="auto"/>
          </w:divBdr>
        </w:div>
        <w:div w:id="1891501309">
          <w:marLeft w:val="0"/>
          <w:marRight w:val="0"/>
          <w:marTop w:val="0"/>
          <w:marBottom w:val="0"/>
          <w:divBdr>
            <w:top w:val="none" w:sz="0" w:space="0" w:color="auto"/>
            <w:left w:val="none" w:sz="0" w:space="0" w:color="auto"/>
            <w:bottom w:val="none" w:sz="0" w:space="0" w:color="auto"/>
            <w:right w:val="none" w:sz="0" w:space="0" w:color="auto"/>
          </w:divBdr>
        </w:div>
        <w:div w:id="2132747837">
          <w:marLeft w:val="0"/>
          <w:marRight w:val="0"/>
          <w:marTop w:val="0"/>
          <w:marBottom w:val="0"/>
          <w:divBdr>
            <w:top w:val="none" w:sz="0" w:space="0" w:color="auto"/>
            <w:left w:val="none" w:sz="0" w:space="0" w:color="auto"/>
            <w:bottom w:val="none" w:sz="0" w:space="0" w:color="auto"/>
            <w:right w:val="none" w:sz="0" w:space="0" w:color="auto"/>
          </w:divBdr>
        </w:div>
        <w:div w:id="2134325389">
          <w:marLeft w:val="0"/>
          <w:marRight w:val="0"/>
          <w:marTop w:val="0"/>
          <w:marBottom w:val="0"/>
          <w:divBdr>
            <w:top w:val="none" w:sz="0" w:space="0" w:color="auto"/>
            <w:left w:val="none" w:sz="0" w:space="0" w:color="auto"/>
            <w:bottom w:val="none" w:sz="0" w:space="0" w:color="auto"/>
            <w:right w:val="none" w:sz="0" w:space="0" w:color="auto"/>
          </w:divBdr>
        </w:div>
      </w:divsChild>
    </w:div>
    <w:div w:id="1711564349">
      <w:bodyDiv w:val="1"/>
      <w:marLeft w:val="0"/>
      <w:marRight w:val="0"/>
      <w:marTop w:val="0"/>
      <w:marBottom w:val="0"/>
      <w:divBdr>
        <w:top w:val="none" w:sz="0" w:space="0" w:color="auto"/>
        <w:left w:val="none" w:sz="0" w:space="0" w:color="auto"/>
        <w:bottom w:val="none" w:sz="0" w:space="0" w:color="auto"/>
        <w:right w:val="none" w:sz="0" w:space="0" w:color="auto"/>
      </w:divBdr>
    </w:div>
    <w:div w:id="1728720597">
      <w:bodyDiv w:val="1"/>
      <w:marLeft w:val="0"/>
      <w:marRight w:val="0"/>
      <w:marTop w:val="0"/>
      <w:marBottom w:val="0"/>
      <w:divBdr>
        <w:top w:val="none" w:sz="0" w:space="0" w:color="auto"/>
        <w:left w:val="none" w:sz="0" w:space="0" w:color="auto"/>
        <w:bottom w:val="none" w:sz="0" w:space="0" w:color="auto"/>
        <w:right w:val="none" w:sz="0" w:space="0" w:color="auto"/>
      </w:divBdr>
    </w:div>
    <w:div w:id="1744178441">
      <w:bodyDiv w:val="1"/>
      <w:marLeft w:val="0"/>
      <w:marRight w:val="0"/>
      <w:marTop w:val="0"/>
      <w:marBottom w:val="0"/>
      <w:divBdr>
        <w:top w:val="none" w:sz="0" w:space="0" w:color="auto"/>
        <w:left w:val="none" w:sz="0" w:space="0" w:color="auto"/>
        <w:bottom w:val="none" w:sz="0" w:space="0" w:color="auto"/>
        <w:right w:val="none" w:sz="0" w:space="0" w:color="auto"/>
      </w:divBdr>
      <w:divsChild>
        <w:div w:id="775247358">
          <w:marLeft w:val="0"/>
          <w:marRight w:val="0"/>
          <w:marTop w:val="0"/>
          <w:marBottom w:val="0"/>
          <w:divBdr>
            <w:top w:val="none" w:sz="0" w:space="0" w:color="auto"/>
            <w:left w:val="none" w:sz="0" w:space="0" w:color="auto"/>
            <w:bottom w:val="none" w:sz="0" w:space="0" w:color="auto"/>
            <w:right w:val="none" w:sz="0" w:space="0" w:color="auto"/>
          </w:divBdr>
        </w:div>
        <w:div w:id="1096052562">
          <w:marLeft w:val="0"/>
          <w:marRight w:val="0"/>
          <w:marTop w:val="0"/>
          <w:marBottom w:val="0"/>
          <w:divBdr>
            <w:top w:val="none" w:sz="0" w:space="0" w:color="auto"/>
            <w:left w:val="none" w:sz="0" w:space="0" w:color="auto"/>
            <w:bottom w:val="none" w:sz="0" w:space="0" w:color="auto"/>
            <w:right w:val="none" w:sz="0" w:space="0" w:color="auto"/>
          </w:divBdr>
        </w:div>
        <w:div w:id="2136019205">
          <w:marLeft w:val="0"/>
          <w:marRight w:val="0"/>
          <w:marTop w:val="0"/>
          <w:marBottom w:val="0"/>
          <w:divBdr>
            <w:top w:val="none" w:sz="0" w:space="0" w:color="auto"/>
            <w:left w:val="none" w:sz="0" w:space="0" w:color="auto"/>
            <w:bottom w:val="none" w:sz="0" w:space="0" w:color="auto"/>
            <w:right w:val="none" w:sz="0" w:space="0" w:color="auto"/>
          </w:divBdr>
        </w:div>
      </w:divsChild>
    </w:div>
    <w:div w:id="1765834158">
      <w:bodyDiv w:val="1"/>
      <w:marLeft w:val="0"/>
      <w:marRight w:val="0"/>
      <w:marTop w:val="0"/>
      <w:marBottom w:val="0"/>
      <w:divBdr>
        <w:top w:val="none" w:sz="0" w:space="0" w:color="auto"/>
        <w:left w:val="none" w:sz="0" w:space="0" w:color="auto"/>
        <w:bottom w:val="none" w:sz="0" w:space="0" w:color="auto"/>
        <w:right w:val="none" w:sz="0" w:space="0" w:color="auto"/>
      </w:divBdr>
    </w:div>
    <w:div w:id="1858350213">
      <w:bodyDiv w:val="1"/>
      <w:marLeft w:val="0"/>
      <w:marRight w:val="0"/>
      <w:marTop w:val="0"/>
      <w:marBottom w:val="0"/>
      <w:divBdr>
        <w:top w:val="none" w:sz="0" w:space="0" w:color="auto"/>
        <w:left w:val="none" w:sz="0" w:space="0" w:color="auto"/>
        <w:bottom w:val="none" w:sz="0" w:space="0" w:color="auto"/>
        <w:right w:val="none" w:sz="0" w:space="0" w:color="auto"/>
      </w:divBdr>
    </w:div>
    <w:div w:id="1861311031">
      <w:bodyDiv w:val="1"/>
      <w:marLeft w:val="0"/>
      <w:marRight w:val="0"/>
      <w:marTop w:val="0"/>
      <w:marBottom w:val="0"/>
      <w:divBdr>
        <w:top w:val="none" w:sz="0" w:space="0" w:color="auto"/>
        <w:left w:val="none" w:sz="0" w:space="0" w:color="auto"/>
        <w:bottom w:val="none" w:sz="0" w:space="0" w:color="auto"/>
        <w:right w:val="none" w:sz="0" w:space="0" w:color="auto"/>
      </w:divBdr>
    </w:div>
    <w:div w:id="1863780703">
      <w:bodyDiv w:val="1"/>
      <w:marLeft w:val="0"/>
      <w:marRight w:val="0"/>
      <w:marTop w:val="0"/>
      <w:marBottom w:val="0"/>
      <w:divBdr>
        <w:top w:val="none" w:sz="0" w:space="0" w:color="auto"/>
        <w:left w:val="none" w:sz="0" w:space="0" w:color="auto"/>
        <w:bottom w:val="none" w:sz="0" w:space="0" w:color="auto"/>
        <w:right w:val="none" w:sz="0" w:space="0" w:color="auto"/>
      </w:divBdr>
    </w:div>
    <w:div w:id="1900744024">
      <w:bodyDiv w:val="1"/>
      <w:marLeft w:val="0"/>
      <w:marRight w:val="0"/>
      <w:marTop w:val="0"/>
      <w:marBottom w:val="0"/>
      <w:divBdr>
        <w:top w:val="none" w:sz="0" w:space="0" w:color="auto"/>
        <w:left w:val="none" w:sz="0" w:space="0" w:color="auto"/>
        <w:bottom w:val="none" w:sz="0" w:space="0" w:color="auto"/>
        <w:right w:val="none" w:sz="0" w:space="0" w:color="auto"/>
      </w:divBdr>
      <w:divsChild>
        <w:div w:id="572815298">
          <w:marLeft w:val="0"/>
          <w:marRight w:val="0"/>
          <w:marTop w:val="0"/>
          <w:marBottom w:val="0"/>
          <w:divBdr>
            <w:top w:val="none" w:sz="0" w:space="0" w:color="auto"/>
            <w:left w:val="none" w:sz="0" w:space="0" w:color="auto"/>
            <w:bottom w:val="none" w:sz="0" w:space="0" w:color="auto"/>
            <w:right w:val="none" w:sz="0" w:space="0" w:color="auto"/>
          </w:divBdr>
        </w:div>
        <w:div w:id="595947479">
          <w:marLeft w:val="0"/>
          <w:marRight w:val="0"/>
          <w:marTop w:val="0"/>
          <w:marBottom w:val="0"/>
          <w:divBdr>
            <w:top w:val="none" w:sz="0" w:space="0" w:color="auto"/>
            <w:left w:val="none" w:sz="0" w:space="0" w:color="auto"/>
            <w:bottom w:val="none" w:sz="0" w:space="0" w:color="auto"/>
            <w:right w:val="none" w:sz="0" w:space="0" w:color="auto"/>
          </w:divBdr>
        </w:div>
        <w:div w:id="1471315904">
          <w:marLeft w:val="0"/>
          <w:marRight w:val="0"/>
          <w:marTop w:val="0"/>
          <w:marBottom w:val="0"/>
          <w:divBdr>
            <w:top w:val="none" w:sz="0" w:space="0" w:color="auto"/>
            <w:left w:val="none" w:sz="0" w:space="0" w:color="auto"/>
            <w:bottom w:val="none" w:sz="0" w:space="0" w:color="auto"/>
            <w:right w:val="none" w:sz="0" w:space="0" w:color="auto"/>
          </w:divBdr>
        </w:div>
        <w:div w:id="1583105254">
          <w:marLeft w:val="0"/>
          <w:marRight w:val="0"/>
          <w:marTop w:val="0"/>
          <w:marBottom w:val="0"/>
          <w:divBdr>
            <w:top w:val="none" w:sz="0" w:space="0" w:color="auto"/>
            <w:left w:val="none" w:sz="0" w:space="0" w:color="auto"/>
            <w:bottom w:val="none" w:sz="0" w:space="0" w:color="auto"/>
            <w:right w:val="none" w:sz="0" w:space="0" w:color="auto"/>
          </w:divBdr>
        </w:div>
        <w:div w:id="1899169565">
          <w:marLeft w:val="0"/>
          <w:marRight w:val="0"/>
          <w:marTop w:val="0"/>
          <w:marBottom w:val="0"/>
          <w:divBdr>
            <w:top w:val="none" w:sz="0" w:space="0" w:color="auto"/>
            <w:left w:val="none" w:sz="0" w:space="0" w:color="auto"/>
            <w:bottom w:val="none" w:sz="0" w:space="0" w:color="auto"/>
            <w:right w:val="none" w:sz="0" w:space="0" w:color="auto"/>
          </w:divBdr>
        </w:div>
      </w:divsChild>
    </w:div>
    <w:div w:id="1924794709">
      <w:bodyDiv w:val="1"/>
      <w:marLeft w:val="0"/>
      <w:marRight w:val="0"/>
      <w:marTop w:val="0"/>
      <w:marBottom w:val="0"/>
      <w:divBdr>
        <w:top w:val="none" w:sz="0" w:space="0" w:color="auto"/>
        <w:left w:val="none" w:sz="0" w:space="0" w:color="auto"/>
        <w:bottom w:val="none" w:sz="0" w:space="0" w:color="auto"/>
        <w:right w:val="none" w:sz="0" w:space="0" w:color="auto"/>
      </w:divBdr>
      <w:divsChild>
        <w:div w:id="57367153">
          <w:marLeft w:val="0"/>
          <w:marRight w:val="0"/>
          <w:marTop w:val="0"/>
          <w:marBottom w:val="0"/>
          <w:divBdr>
            <w:top w:val="none" w:sz="0" w:space="0" w:color="auto"/>
            <w:left w:val="none" w:sz="0" w:space="0" w:color="auto"/>
            <w:bottom w:val="none" w:sz="0" w:space="0" w:color="auto"/>
            <w:right w:val="none" w:sz="0" w:space="0" w:color="auto"/>
          </w:divBdr>
        </w:div>
        <w:div w:id="868956948">
          <w:marLeft w:val="0"/>
          <w:marRight w:val="0"/>
          <w:marTop w:val="0"/>
          <w:marBottom w:val="0"/>
          <w:divBdr>
            <w:top w:val="none" w:sz="0" w:space="0" w:color="auto"/>
            <w:left w:val="none" w:sz="0" w:space="0" w:color="auto"/>
            <w:bottom w:val="none" w:sz="0" w:space="0" w:color="auto"/>
            <w:right w:val="none" w:sz="0" w:space="0" w:color="auto"/>
          </w:divBdr>
        </w:div>
        <w:div w:id="1632782064">
          <w:marLeft w:val="0"/>
          <w:marRight w:val="0"/>
          <w:marTop w:val="0"/>
          <w:marBottom w:val="0"/>
          <w:divBdr>
            <w:top w:val="none" w:sz="0" w:space="0" w:color="auto"/>
            <w:left w:val="none" w:sz="0" w:space="0" w:color="auto"/>
            <w:bottom w:val="none" w:sz="0" w:space="0" w:color="auto"/>
            <w:right w:val="none" w:sz="0" w:space="0" w:color="auto"/>
          </w:divBdr>
        </w:div>
        <w:div w:id="1931039502">
          <w:marLeft w:val="0"/>
          <w:marRight w:val="0"/>
          <w:marTop w:val="0"/>
          <w:marBottom w:val="0"/>
          <w:divBdr>
            <w:top w:val="none" w:sz="0" w:space="0" w:color="auto"/>
            <w:left w:val="none" w:sz="0" w:space="0" w:color="auto"/>
            <w:bottom w:val="none" w:sz="0" w:space="0" w:color="auto"/>
            <w:right w:val="none" w:sz="0" w:space="0" w:color="auto"/>
          </w:divBdr>
        </w:div>
        <w:div w:id="2073771415">
          <w:marLeft w:val="0"/>
          <w:marRight w:val="0"/>
          <w:marTop w:val="0"/>
          <w:marBottom w:val="0"/>
          <w:divBdr>
            <w:top w:val="none" w:sz="0" w:space="0" w:color="auto"/>
            <w:left w:val="none" w:sz="0" w:space="0" w:color="auto"/>
            <w:bottom w:val="none" w:sz="0" w:space="0" w:color="auto"/>
            <w:right w:val="none" w:sz="0" w:space="0" w:color="auto"/>
          </w:divBdr>
        </w:div>
      </w:divsChild>
    </w:div>
    <w:div w:id="1985770292">
      <w:bodyDiv w:val="1"/>
      <w:marLeft w:val="0"/>
      <w:marRight w:val="0"/>
      <w:marTop w:val="0"/>
      <w:marBottom w:val="0"/>
      <w:divBdr>
        <w:top w:val="none" w:sz="0" w:space="0" w:color="auto"/>
        <w:left w:val="none" w:sz="0" w:space="0" w:color="auto"/>
        <w:bottom w:val="none" w:sz="0" w:space="0" w:color="auto"/>
        <w:right w:val="none" w:sz="0" w:space="0" w:color="auto"/>
      </w:divBdr>
      <w:divsChild>
        <w:div w:id="158810957">
          <w:marLeft w:val="0"/>
          <w:marRight w:val="0"/>
          <w:marTop w:val="0"/>
          <w:marBottom w:val="0"/>
          <w:divBdr>
            <w:top w:val="none" w:sz="0" w:space="0" w:color="auto"/>
            <w:left w:val="none" w:sz="0" w:space="0" w:color="auto"/>
            <w:bottom w:val="none" w:sz="0" w:space="0" w:color="auto"/>
            <w:right w:val="none" w:sz="0" w:space="0" w:color="auto"/>
          </w:divBdr>
        </w:div>
        <w:div w:id="708070034">
          <w:marLeft w:val="0"/>
          <w:marRight w:val="0"/>
          <w:marTop w:val="0"/>
          <w:marBottom w:val="0"/>
          <w:divBdr>
            <w:top w:val="none" w:sz="0" w:space="0" w:color="auto"/>
            <w:left w:val="none" w:sz="0" w:space="0" w:color="auto"/>
            <w:bottom w:val="none" w:sz="0" w:space="0" w:color="auto"/>
            <w:right w:val="none" w:sz="0" w:space="0" w:color="auto"/>
          </w:divBdr>
        </w:div>
      </w:divsChild>
    </w:div>
    <w:div w:id="2082365110">
      <w:bodyDiv w:val="1"/>
      <w:marLeft w:val="0"/>
      <w:marRight w:val="0"/>
      <w:marTop w:val="0"/>
      <w:marBottom w:val="0"/>
      <w:divBdr>
        <w:top w:val="none" w:sz="0" w:space="0" w:color="auto"/>
        <w:left w:val="none" w:sz="0" w:space="0" w:color="auto"/>
        <w:bottom w:val="none" w:sz="0" w:space="0" w:color="auto"/>
        <w:right w:val="none" w:sz="0" w:space="0" w:color="auto"/>
      </w:divBdr>
    </w:div>
    <w:div w:id="2135250885">
      <w:bodyDiv w:val="1"/>
      <w:marLeft w:val="0"/>
      <w:marRight w:val="0"/>
      <w:marTop w:val="0"/>
      <w:marBottom w:val="0"/>
      <w:divBdr>
        <w:top w:val="none" w:sz="0" w:space="0" w:color="auto"/>
        <w:left w:val="none" w:sz="0" w:space="0" w:color="auto"/>
        <w:bottom w:val="none" w:sz="0" w:space="0" w:color="auto"/>
        <w:right w:val="none" w:sz="0" w:space="0" w:color="auto"/>
      </w:divBdr>
      <w:divsChild>
        <w:div w:id="917595413">
          <w:marLeft w:val="0"/>
          <w:marRight w:val="0"/>
          <w:marTop w:val="0"/>
          <w:marBottom w:val="0"/>
          <w:divBdr>
            <w:top w:val="none" w:sz="0" w:space="0" w:color="auto"/>
            <w:left w:val="none" w:sz="0" w:space="0" w:color="auto"/>
            <w:bottom w:val="none" w:sz="0" w:space="0" w:color="auto"/>
            <w:right w:val="none" w:sz="0" w:space="0" w:color="auto"/>
          </w:divBdr>
        </w:div>
        <w:div w:id="947006489">
          <w:marLeft w:val="0"/>
          <w:marRight w:val="0"/>
          <w:marTop w:val="0"/>
          <w:marBottom w:val="0"/>
          <w:divBdr>
            <w:top w:val="none" w:sz="0" w:space="0" w:color="auto"/>
            <w:left w:val="none" w:sz="0" w:space="0" w:color="auto"/>
            <w:bottom w:val="none" w:sz="0" w:space="0" w:color="auto"/>
            <w:right w:val="none" w:sz="0" w:space="0" w:color="auto"/>
          </w:divBdr>
        </w:div>
        <w:div w:id="1645696079">
          <w:marLeft w:val="0"/>
          <w:marRight w:val="0"/>
          <w:marTop w:val="0"/>
          <w:marBottom w:val="0"/>
          <w:divBdr>
            <w:top w:val="none" w:sz="0" w:space="0" w:color="auto"/>
            <w:left w:val="none" w:sz="0" w:space="0" w:color="auto"/>
            <w:bottom w:val="none" w:sz="0" w:space="0" w:color="auto"/>
            <w:right w:val="none" w:sz="0" w:space="0" w:color="auto"/>
          </w:divBdr>
        </w:div>
        <w:div w:id="2021157395">
          <w:marLeft w:val="0"/>
          <w:marRight w:val="0"/>
          <w:marTop w:val="0"/>
          <w:marBottom w:val="0"/>
          <w:divBdr>
            <w:top w:val="none" w:sz="0" w:space="0" w:color="auto"/>
            <w:left w:val="none" w:sz="0" w:space="0" w:color="auto"/>
            <w:bottom w:val="none" w:sz="0" w:space="0" w:color="auto"/>
            <w:right w:val="none" w:sz="0" w:space="0" w:color="auto"/>
          </w:divBdr>
        </w:div>
        <w:div w:id="2073037859">
          <w:marLeft w:val="0"/>
          <w:marRight w:val="0"/>
          <w:marTop w:val="0"/>
          <w:marBottom w:val="0"/>
          <w:divBdr>
            <w:top w:val="none" w:sz="0" w:space="0" w:color="auto"/>
            <w:left w:val="none" w:sz="0" w:space="0" w:color="auto"/>
            <w:bottom w:val="none" w:sz="0" w:space="0" w:color="auto"/>
            <w:right w:val="none" w:sz="0" w:space="0" w:color="auto"/>
          </w:divBdr>
        </w:div>
        <w:div w:id="2140295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knowledge4policy.ec.europa.eu/visualisation/competence-framework-innovative-policymaking_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single-market-economy.ec.europa.eu/single-market/single-digital-gateway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neighbourhood-enlargement.ec.europa.eu/funding-and-technical-assistance/taiex_en" TargetMode="External"/><Relationship Id="rId21" Type="http://schemas.openxmlformats.org/officeDocument/2006/relationships/hyperlink" Target="https://europa.eu/!jK33jF" TargetMode="External"/><Relationship Id="rId34" Type="http://schemas.openxmlformats.org/officeDocument/2006/relationships/hyperlink" Target="https://commission.europa.eu/publications/european-commission-digital-strategy_hr" TargetMode="External"/><Relationship Id="rId42" Type="http://schemas.openxmlformats.org/officeDocument/2006/relationships/hyperlink" Target="https://ec.europa.eu/social/main.jsp?langId=hr&amp;catId=89&amp;furtherNews=yes&amp;newsId=10299" TargetMode="External"/><Relationship Id="rId47" Type="http://schemas.openxmlformats.org/officeDocument/2006/relationships/hyperlink" Target="https://european-digital-innovation-hubs.ec.europa.eu/knowledge-hub/thematic-groups/public-administration-main-focus-artificial-intelligence" TargetMode="External"/><Relationship Id="rId50" Type="http://schemas.openxmlformats.org/officeDocument/2006/relationships/hyperlink" Target="https://reform-support.ec.europa.eu/pace-public-administration-cooperation-exchange_en" TargetMode="External"/><Relationship Id="rId55" Type="http://schemas.openxmlformats.org/officeDocument/2006/relationships/hyperlink" Target="https://www.eib.org/en/publications/20230043-eib-municipalities-survey-2022" TargetMode="External"/><Relationship Id="rId63" Type="http://schemas.openxmlformats.org/officeDocument/2006/relationships/hyperlink" Target="https://pm2.europa.eu/index_en" TargetMode="External"/><Relationship Id="rId68" Type="http://schemas.openxmlformats.org/officeDocument/2006/relationships/hyperlink" Target="https://eur-lex.europa.eu/eli/reg_impl/2022/1463/oj" TargetMode="External"/><Relationship Id="rId76" Type="http://schemas.openxmlformats.org/officeDocument/2006/relationships/hyperlink" Target="https://eur-lex.europa.eu/legal-content/HR/TXT/?uri=uriserv:OJ.L_.2022.265.01.0001.01.HRV" TargetMode="External"/><Relationship Id="rId84" Type="http://schemas.openxmlformats.org/officeDocument/2006/relationships/hyperlink" Target="https://joint-research-centre.ec.europa.eu/jrc-news-and-updates/next-generation-virtual-worlds-opportunities-challenges-and-policy-implications-2023-07-03_en" TargetMode="External"/><Relationship Id="rId89" Type="http://schemas.openxmlformats.org/officeDocument/2006/relationships/hyperlink" Target="https://single-market-economy.ec.europa.eu/single-market/public-procurement/digital-procurement/public-procurement-data-space-ppds_en" TargetMode="External"/><Relationship Id="rId97" Type="http://schemas.openxmlformats.org/officeDocument/2006/relationships/hyperlink" Target="https://eu-mayors.ec.europa.eu/en/home" TargetMode="External"/><Relationship Id="rId7" Type="http://schemas.openxmlformats.org/officeDocument/2006/relationships/hyperlink" Target="https://ec.europa.eu/eurostat/web/products-eurostat-news/-/ddn-20220106-1" TargetMode="External"/><Relationship Id="rId71" Type="http://schemas.openxmlformats.org/officeDocument/2006/relationships/hyperlink" Target="https://eur-lex.europa.eu/eli/dir/2019/1024/oj" TargetMode="External"/><Relationship Id="rId92" Type="http://schemas.openxmlformats.org/officeDocument/2006/relationships/hyperlink" Target="https://digital-strategy.ec.europa.eu/hr/library/staff-working-document-data-spaces" TargetMode="External"/><Relationship Id="rId2" Type="http://schemas.openxmlformats.org/officeDocument/2006/relationships/hyperlink" Target="https://eur-lex.europa.eu/legal-content/HR/TXT/?uri=CELEX%3A52023DC0168" TargetMode="External"/><Relationship Id="rId16" Type="http://schemas.openxmlformats.org/officeDocument/2006/relationships/hyperlink" Target="https://oecd-opsi.org/" TargetMode="External"/><Relationship Id="rId29" Type="http://schemas.openxmlformats.org/officeDocument/2006/relationships/hyperlink" Target="https://www.eupan.eu/wp-content/uploads/2021/07/EUPAN_Portuguese_Presidency_Final_Report.pdf" TargetMode="External"/><Relationship Id="rId11" Type="http://schemas.openxmlformats.org/officeDocument/2006/relationships/hyperlink" Target="https://commission.europa.eu/strategy-and-policy/priorities-2019-2024/new-push-european-democracy/european-democracy-action-plan_hr" TargetMode="External"/><Relationship Id="rId24" Type="http://schemas.openxmlformats.org/officeDocument/2006/relationships/hyperlink" Target="https://eur-lex.europa.eu/eli/reg/2021/240" TargetMode="External"/><Relationship Id="rId32" Type="http://schemas.openxmlformats.org/officeDocument/2006/relationships/hyperlink" Target="https://www.sigmaweb.org/" TargetMode="External"/><Relationship Id="rId37" Type="http://schemas.openxmlformats.org/officeDocument/2006/relationships/hyperlink" Target="https://eur-lex.europa.eu/legal-content/HR/TXT/?uri=CELEX%3A52019IR2043" TargetMode="External"/><Relationship Id="rId40" Type="http://schemas.openxmlformats.org/officeDocument/2006/relationships/hyperlink" Target="https://europa.eu/!KJ38CJ" TargetMode="External"/><Relationship Id="rId45" Type="http://schemas.openxmlformats.org/officeDocument/2006/relationships/hyperlink" Target="https://ec.europa.eu/regional_policy/policy/how/improving-investment/regio-peer-2-peer_en" TargetMode="External"/><Relationship Id="rId53" Type="http://schemas.openxmlformats.org/officeDocument/2006/relationships/hyperlink" Target="https://academy.europa.eu" TargetMode="External"/><Relationship Id="rId58" Type="http://schemas.openxmlformats.org/officeDocument/2006/relationships/hyperlink" Target="https://ec.europa.eu/regional_policy/en/information/publications/studies/2016/eu-competency-framework-for-the-management-and-implementation-of-the-erdf-and-the-cohesion-fund" TargetMode="External"/><Relationship Id="rId66" Type="http://schemas.openxmlformats.org/officeDocument/2006/relationships/hyperlink" Target="https://joint-research-centre.ec.europa.eu/greencomp-european-sustainability-competence-framework_en" TargetMode="External"/><Relationship Id="rId74" Type="http://schemas.openxmlformats.org/officeDocument/2006/relationships/hyperlink" Target="https://eur-lex.europa.eu/legal-content/HR/TXT/?uri=celex:52021PC0206" TargetMode="External"/><Relationship Id="rId79" Type="http://schemas.openxmlformats.org/officeDocument/2006/relationships/hyperlink" Target="https://eur-lex.europa.eu/eli/dir/2022/2555" TargetMode="External"/><Relationship Id="rId87" Type="http://schemas.openxmlformats.org/officeDocument/2006/relationships/hyperlink" Target="https://joinup.ec.europa.eu" TargetMode="External"/><Relationship Id="rId102" Type="http://schemas.openxmlformats.org/officeDocument/2006/relationships/hyperlink" Target="https://eur-lex.europa.eu/legal-content/HR/TXT/?uri=uriserv%3AOJ.L_.2018.328.01.0001.01.HRV" TargetMode="External"/><Relationship Id="rId5" Type="http://schemas.openxmlformats.org/officeDocument/2006/relationships/hyperlink" Target="https://ec.europa.eu/eurostat/statistics-explained/index.php?title=Government_expenditure_by_function_%E2%80%93_COFOG" TargetMode="External"/><Relationship Id="rId61" Type="http://schemas.openxmlformats.org/officeDocument/2006/relationships/hyperlink" Target="https://customs-taxation.learning.europa.eu/local/mvpdgtaxud/pages/competencyframework.php" TargetMode="External"/><Relationship Id="rId82" Type="http://schemas.openxmlformats.org/officeDocument/2006/relationships/hyperlink" Target="https://publications.jrc.ec.europa.eu/repository/handle/JRC131202" TargetMode="External"/><Relationship Id="rId90" Type="http://schemas.openxmlformats.org/officeDocument/2006/relationships/hyperlink" Target="https://eur-lex.europa.eu/legal-content/HR/TXT/?uri=COM%3A2023%3A501%3AFIN&amp;qid=1694108608084" TargetMode="External"/><Relationship Id="rId95" Type="http://schemas.openxmlformats.org/officeDocument/2006/relationships/hyperlink" Target="https://research-and-innovation.ec.europa.eu/funding/funding-opportunities/funding-programmes-and-open-calls/horizon-europe/eu-missions-horizon-europe/climate-neutral-and-smart-cities_en" TargetMode="External"/><Relationship Id="rId19" Type="http://schemas.openxmlformats.org/officeDocument/2006/relationships/hyperlink" Target="https://www.oecd-ilibrary.org/governance/strengthening-the-attractiveness-of-the-public-service-in-france_ab9ebe85-en" TargetMode="External"/><Relationship Id="rId14" Type="http://schemas.openxmlformats.org/officeDocument/2006/relationships/hyperlink" Target="https://reform-support.ec.europa.eu/publications-0/more-resilient-public-administrations-after-covid-19_hr" TargetMode="External"/><Relationship Id="rId22" Type="http://schemas.openxmlformats.org/officeDocument/2006/relationships/hyperlink" Target="https://europa.eu/!jK33jF" TargetMode="External"/><Relationship Id="rId27" Type="http://schemas.openxmlformats.org/officeDocument/2006/relationships/hyperlink" Target="https://ec.europa.eu/transparency/expert-groups-register/screen/expert-groups/consult?lang=hr&amp;groupID=3831" TargetMode="External"/><Relationship Id="rId30" Type="http://schemas.openxmlformats.org/officeDocument/2006/relationships/hyperlink" Target="https://www.transformation.gouv.fr/files/presse/Declaration_common_values_challenges_european%20public_administrations_1.pdf" TargetMode="External"/><Relationship Id="rId35" Type="http://schemas.openxmlformats.org/officeDocument/2006/relationships/hyperlink" Target="https://commission.europa.eu/document/24c26f7d-2c51-4f69-8b06-2d5be859c7fc_hr" TargetMode="External"/><Relationship Id="rId43" Type="http://schemas.openxmlformats.org/officeDocument/2006/relationships/hyperlink" Target="https://customs-taxation.learning.europa.eu/local/mvpdgtaxud/pages/news/view.php?key=27" TargetMode="External"/><Relationship Id="rId48" Type="http://schemas.openxmlformats.org/officeDocument/2006/relationships/hyperlink" Target="https://ec.europa.eu/research-and-innovation/en/statistics/policy-support-facility/psf-challenge" TargetMode="External"/><Relationship Id="rId56" Type="http://schemas.openxmlformats.org/officeDocument/2006/relationships/hyperlink" Target="https://reform-support.ec.europa.eu/tsi-2024-flagship-overcoming-barriers-regional-development_en" TargetMode="External"/><Relationship Id="rId64" Type="http://schemas.openxmlformats.org/officeDocument/2006/relationships/hyperlink" Target="https://joint-research-centre.ec.europa.eu/digcomp/digcomp-framework_en" TargetMode="External"/><Relationship Id="rId69" Type="http://schemas.openxmlformats.org/officeDocument/2006/relationships/hyperlink" Target="https://commission.europa.eu/system/files/2022-11/swd_2022_721_f1_impact_assesment_en_v3_p1_2253149.pdf" TargetMode="External"/><Relationship Id="rId77" Type="http://schemas.openxmlformats.org/officeDocument/2006/relationships/hyperlink" Target="https://eur-lex.europa.eu/legal-content/HR/TXT/?uri=celex%3A32022R2065" TargetMode="External"/><Relationship Id="rId100" Type="http://schemas.openxmlformats.org/officeDocument/2006/relationships/hyperlink" Target="https://environment.ec.europa.eu/law-and-governance/environmental-implementation-review_en" TargetMode="External"/><Relationship Id="rId8" Type="http://schemas.openxmlformats.org/officeDocument/2006/relationships/hyperlink" Target="https://simap.ted.europa.eu/hr_HR/web/simap/european-public-procurement." TargetMode="External"/><Relationship Id="rId51" Type="http://schemas.openxmlformats.org/officeDocument/2006/relationships/hyperlink" Target="https://civil-protection-humanitarian-aid.ec.europa.eu/what/civil-protection/eu-civil-protection-knowledge-network_en" TargetMode="External"/><Relationship Id="rId72" Type="http://schemas.openxmlformats.org/officeDocument/2006/relationships/hyperlink" Target="https://eur-lex.europa.eu/legal-content/HR/TXT/?uri=uriserv:OJ.L_.2023.019.01.0043.01.HRV" TargetMode="External"/><Relationship Id="rId80" Type="http://schemas.openxmlformats.org/officeDocument/2006/relationships/hyperlink" Target="https://ai-watch.ec.europa.eu/publications/ai-watch-european-landscape-use-artificial-intelligence-public-sector_en" TargetMode="External"/><Relationship Id="rId85" Type="http://schemas.openxmlformats.org/officeDocument/2006/relationships/hyperlink" Target="https://joinup.ec.europa.eu/" TargetMode="External"/><Relationship Id="rId93" Type="http://schemas.openxmlformats.org/officeDocument/2006/relationships/hyperlink" Target="https://eur-lex.europa.eu/legal-content/HR/TXT/?uri=celex%3A32018R1724" TargetMode="External"/><Relationship Id="rId98" Type="http://schemas.openxmlformats.org/officeDocument/2006/relationships/hyperlink" Target="https://energy-cities.eu/project/life-necplatform/" TargetMode="External"/><Relationship Id="rId3" Type="http://schemas.openxmlformats.org/officeDocument/2006/relationships/hyperlink" Target="https://eur-lex.europa.eu/legal-content/HR/TXT/?uri=CELEX%3A52023DC0168" TargetMode="External"/><Relationship Id="rId12" Type="http://schemas.openxmlformats.org/officeDocument/2006/relationships/hyperlink" Target="https://ec.europa.eu/commission/presscorner/detail/hr/ip_23_2516" TargetMode="External"/><Relationship Id="rId17" Type="http://schemas.openxmlformats.org/officeDocument/2006/relationships/hyperlink" Target="https://knowledge4policy.ec.europa.eu/file/staff-working-document-supporting-connecting-policymaking-member-states-scientific-research_en" TargetMode="External"/><Relationship Id="rId25" Type="http://schemas.openxmlformats.org/officeDocument/2006/relationships/hyperlink" Target="https://commission.europa.eu/about-european-commission/departments-and-executive-agencies/structural-reform-support/supporting-public-administrations-eu-member-states-deliver-reforms-and-prepare-future_en" TargetMode="External"/><Relationship Id="rId33" Type="http://schemas.openxmlformats.org/officeDocument/2006/relationships/hyperlink" Target="https://commission.europa.eu/document/3d1dc4df-7995-44b8-bf08-396930fb8c9d_hr" TargetMode="External"/><Relationship Id="rId38" Type="http://schemas.openxmlformats.org/officeDocument/2006/relationships/hyperlink" Target="https://commission.europa.eu/publications/communication-demographic-change-europe-toolbox-action_hr" TargetMode="External"/><Relationship Id="rId46" Type="http://schemas.openxmlformats.org/officeDocument/2006/relationships/hyperlink" Target="https://ec.europa.eu/internal_market/imi-net/index_hr.htm" TargetMode="External"/><Relationship Id="rId59" Type="http://schemas.openxmlformats.org/officeDocument/2006/relationships/hyperlink" Target="https://commission.europa.eu/funding-tenders/tools-public-buyers/professionalisation-public-buyers/procurcompeu-european-competency-framework-public-procurement-professionals_hr" TargetMode="External"/><Relationship Id="rId67" Type="http://schemas.openxmlformats.org/officeDocument/2006/relationships/hyperlink" Target="https://ec.europa.eu/social/main.jsp?catId=738&amp;langId=hr&amp;pubId=8055&amp;type=2&amp;furtherPubs=no" TargetMode="External"/><Relationship Id="rId20" Type="http://schemas.openxmlformats.org/officeDocument/2006/relationships/hyperlink" Target="https://eur-lex.europa.eu/legal-content/HR/ALL/?uri=CELEX%3A32021G0226%2801%29" TargetMode="External"/><Relationship Id="rId41" Type="http://schemas.openxmlformats.org/officeDocument/2006/relationships/hyperlink" Target="https://joinup.ec.europa.eu/collection/govtechconnect/about" TargetMode="External"/><Relationship Id="rId54" Type="http://schemas.openxmlformats.org/officeDocument/2006/relationships/hyperlink" Target="https://eur-lex.europa.eu/legal-content/HR/TXT/?uri=uriserv:OJ.C_.2020.079.01.0001.01.HRV" TargetMode="External"/><Relationship Id="rId62" Type="http://schemas.openxmlformats.org/officeDocument/2006/relationships/hyperlink" Target="https://op.europa.eu/hr/publication-detail/-/publication/4e07a84f-abbf-11eb-927e-01aa75ed71a1/language-en" TargetMode="External"/><Relationship Id="rId70" Type="http://schemas.openxmlformats.org/officeDocument/2006/relationships/hyperlink" Target="https://eur-lex.europa.eu/legal-content/HR/TXT/?uri=COM:2022:68:FIN" TargetMode="External"/><Relationship Id="rId75" Type="http://schemas.openxmlformats.org/officeDocument/2006/relationships/hyperlink" Target="https://eur-lex.europa.eu/legal-content/HR/TXT/?uri=CELEX:52022PC0720" TargetMode="External"/><Relationship Id="rId83" Type="http://schemas.openxmlformats.org/officeDocument/2006/relationships/hyperlink" Target="https://joint-research-centre.ec.europa.eu/jrc-news-and-updates/next-generation-virtual-worlds-opportunities-challenges-and-policy-implications-2023-07-03_en" TargetMode="External"/><Relationship Id="rId88" Type="http://schemas.openxmlformats.org/officeDocument/2006/relationships/hyperlink" Target="https://taxation-customs.ec.europa.eu/eu-single-window-environment-customs_en" TargetMode="External"/><Relationship Id="rId91" Type="http://schemas.openxmlformats.org/officeDocument/2006/relationships/hyperlink" Target="https://eur-lex.europa.eu/legal-content/HR/TXT/?uri=COM%3A2023%3A501%3AFIN&amp;qid=1694108608084" TargetMode="External"/><Relationship Id="rId96" Type="http://schemas.openxmlformats.org/officeDocument/2006/relationships/hyperlink" Target="https://research-and-innovation.ec.europa.eu/funding/funding-opportunities/funding-programmes-and-open-calls/horizon-europe/eu-missions-horizon-europe/climate-neutral-and-smart-cities_en" TargetMode="External"/><Relationship Id="rId1" Type="http://schemas.openxmlformats.org/officeDocument/2006/relationships/hyperlink" Target="https://commission.europa.eu/strategy-and-policy/strategic-planning/strategic-foresight/2021-strategic-foresight-report_hr" TargetMode="External"/><Relationship Id="rId6" Type="http://schemas.openxmlformats.org/officeDocument/2006/relationships/hyperlink" Target="https://europa.eu/!cnDxNM" TargetMode="External"/><Relationship Id="rId15" Type="http://schemas.openxmlformats.org/officeDocument/2006/relationships/hyperlink" Target="https://europa.eu/eurobarometer/surveys/detail/3054" TargetMode="External"/><Relationship Id="rId23" Type="http://schemas.openxmlformats.org/officeDocument/2006/relationships/hyperlink" Target="https://ec.europa.eu/economy_finance/recovery-and-resilience-scoreboard/thematic_analysis.html?lang=en" TargetMode="External"/><Relationship Id="rId28" Type="http://schemas.openxmlformats.org/officeDocument/2006/relationships/hyperlink" Target="https://www.eupan.eu/" TargetMode="External"/><Relationship Id="rId36" Type="http://schemas.openxmlformats.org/officeDocument/2006/relationships/hyperlink" Target="https://www.europarl.europa.eu/doceo/document/TA-8-2019-0012_HR.html" TargetMode="External"/><Relationship Id="rId49" Type="http://schemas.openxmlformats.org/officeDocument/2006/relationships/hyperlink" Target="https://op.europa.eu/en/web/forum" TargetMode="External"/><Relationship Id="rId57" Type="http://schemas.openxmlformats.org/officeDocument/2006/relationships/hyperlink" Target="https://knowledge4policy.ec.europa.eu/projects-activities/competence-frameworks-policymakers-researchers_en" TargetMode="External"/><Relationship Id="rId10" Type="http://schemas.openxmlformats.org/officeDocument/2006/relationships/hyperlink" Target="https://eur-lex.europa.eu/legal-content/HR/TXT/?uri=CELEX%3A52023DC0032" TargetMode="External"/><Relationship Id="rId31" Type="http://schemas.openxmlformats.org/officeDocument/2006/relationships/hyperlink" Target="https://www.statskontoret.se/in-english/publications/2023/good-administration-in-european-countries" TargetMode="External"/><Relationship Id="rId44" Type="http://schemas.openxmlformats.org/officeDocument/2006/relationships/hyperlink" Target="https://ec.europa.eu/social/main.jsp?catId=1100&amp;langId=hr" TargetMode="External"/><Relationship Id="rId52" Type="http://schemas.openxmlformats.org/officeDocument/2006/relationships/hyperlink" Target="https://public-buyers-community.ec.europa.eu/" TargetMode="External"/><Relationship Id="rId60" Type="http://schemas.openxmlformats.org/officeDocument/2006/relationships/hyperlink" Target="https://taxation-customs.ec.europa.eu/taxation-1/eu-training/taxcompeu-eu-competency-framework-taxation_en" TargetMode="External"/><Relationship Id="rId65" Type="http://schemas.openxmlformats.org/officeDocument/2006/relationships/hyperlink" Target="https://ec.europa.eu/social/main.jsp?catId=1317&amp;langId=hr" TargetMode="External"/><Relationship Id="rId73" Type="http://schemas.openxmlformats.org/officeDocument/2006/relationships/hyperlink" Target="https://eur-lex.europa.eu/legal-content/HR/TXT/?uri=celex:52020PC0767" TargetMode="External"/><Relationship Id="rId78" Type="http://schemas.openxmlformats.org/officeDocument/2006/relationships/hyperlink" Target="https://eur-lex.europa.eu/legal-content/HR/TXT/?uri=COM:2022:710:FIN" TargetMode="External"/><Relationship Id="rId81" Type="http://schemas.openxmlformats.org/officeDocument/2006/relationships/hyperlink" Target="https://ai-watch.ec.europa.eu/publications/ai-watch-european-landscape-use-artificial-intelligence-public-sector_en" TargetMode="External"/><Relationship Id="rId86" Type="http://schemas.openxmlformats.org/officeDocument/2006/relationships/hyperlink" Target="https://digital-strategy.ec.europa.eu/en/news/berlin-declaration-digital-society-and-value-based-digital-government" TargetMode="External"/><Relationship Id="rId94" Type="http://schemas.openxmlformats.org/officeDocument/2006/relationships/hyperlink" Target="https://climate-adapt.eea.europa.eu/?set_language=en" TargetMode="External"/><Relationship Id="rId99" Type="http://schemas.openxmlformats.org/officeDocument/2006/relationships/hyperlink" Target="https://climate.ec.europa.eu/system/files/2023-07/Guidelines%20on%20MS%20adaptation%20strategies%20and%20plans.pdf" TargetMode="External"/><Relationship Id="rId101" Type="http://schemas.openxmlformats.org/officeDocument/2006/relationships/hyperlink" Target="https://commission.europa.eu/about-european-commission/organisational-structure/people-first-modernising-european-commission/people-first-greening-european-commission_hr" TargetMode="External"/><Relationship Id="rId4" Type="http://schemas.openxmlformats.org/officeDocument/2006/relationships/hyperlink" Target="https://eur-lex.europa.eu/legal-content/HR/TXT/?uri=CELEX:52020DC0274" TargetMode="External"/><Relationship Id="rId9" Type="http://schemas.openxmlformats.org/officeDocument/2006/relationships/hyperlink" Target="https://ec.europa.eu/regional_policy/hr/information/publications/reports/2022/eighth-report-on-economic-social-and-territorial-cohesion" TargetMode="External"/><Relationship Id="rId13" Type="http://schemas.openxmlformats.org/officeDocument/2006/relationships/hyperlink" Target="https://eur-lex.europa.eu/legal-content/HR/TXT/?uri=CELEX%3A52023DC0062" TargetMode="External"/><Relationship Id="rId18" Type="http://schemas.openxmlformats.org/officeDocument/2006/relationships/hyperlink" Target="https://www.oecd-ilibrary.org/governance/strengthening-the-attractiveness-of-the-public-service-in-france_ab9ebe85-en" TargetMode="External"/><Relationship Id="rId39" Type="http://schemas.openxmlformats.org/officeDocument/2006/relationships/hyperlink" Target="https://commission.europa.eu/publications/communication-demographic-change-europe-toolbox-action_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aa54b14-608b-44ba-8621-4287d9574b27" xsi:nil="true"/>
    <lcf76f155ced4ddcb4097134ff3c332f xmlns="33e07890-6196-4e26-9dd2-53178dae8e4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9" ma:contentTypeDescription="Create a new document." ma:contentTypeScope="" ma:versionID="cc090c3857d789b67f5918e6e13efd22">
  <xsd:schema xmlns:xsd="http://www.w3.org/2001/XMLSchema" xmlns:xs="http://www.w3.org/2001/XMLSchema" xmlns:p="http://schemas.microsoft.com/office/2006/metadata/properties" xmlns:ns1="http://schemas.microsoft.com/sharepoint/v3" xmlns:ns2="33e07890-6196-4e26-9dd2-53178dae8e48" xmlns:ns3="faa54b14-608b-44ba-8621-4287d9574b27" targetNamespace="http://schemas.microsoft.com/office/2006/metadata/properties" ma:root="true" ma:fieldsID="857c8b8599e7d4dd0f32086feed92a6b" ns1:_="" ns2:_="" ns3:_="">
    <xsd:import namespace="http://schemas.microsoft.com/sharepoint/v3"/>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f1531-bbbc-4241-84c6-e44cd566c758}" ma:internalName="TaxCatchAll" ma:showField="CatchAllData" ma:web="faa54b14-608b-44ba-8621-4287d9574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2D864-8671-4187-B3B6-3FC0E5BE6ACE}">
  <ds:schemaRefs>
    <ds:schemaRef ds:uri="http://schemas.microsoft.com/office/2006/metadata/properties"/>
    <ds:schemaRef ds:uri="http://schemas.microsoft.com/office/infopath/2007/PartnerControls"/>
    <ds:schemaRef ds:uri="http://schemas.microsoft.com/sharepoint/v3"/>
    <ds:schemaRef ds:uri="faa54b14-608b-44ba-8621-4287d9574b27"/>
    <ds:schemaRef ds:uri="33e07890-6196-4e26-9dd2-53178dae8e48"/>
  </ds:schemaRefs>
</ds:datastoreItem>
</file>

<file path=customXml/itemProps2.xml><?xml version="1.0" encoding="utf-8"?>
<ds:datastoreItem xmlns:ds="http://schemas.openxmlformats.org/officeDocument/2006/customXml" ds:itemID="{38BC5566-2FCE-400D-A000-DC949E460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3EA3A-6C5A-4BF4-BC7E-3FA8E7C351CC}">
  <ds:schemaRefs>
    <ds:schemaRef ds:uri="http://schemas.microsoft.com/sharepoint/v3/contenttype/forms"/>
  </ds:schemaRefs>
</ds:datastoreItem>
</file>

<file path=customXml/itemProps4.xml><?xml version="1.0" encoding="utf-8"?>
<ds:datastoreItem xmlns:ds="http://schemas.openxmlformats.org/officeDocument/2006/customXml" ds:itemID="{3D122E09-A72E-4E86-B246-DE13EC74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7042</Words>
  <Characters>45215</Characters>
  <Application>Microsoft Office Word</Application>
  <DocSecurity>0</DocSecurity>
  <Lines>636</Lines>
  <Paragraphs>152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52105</CharactersWithSpaces>
  <SharedDoc>false</SharedDoc>
  <HLinks>
    <vt:vector size="372" baseType="variant">
      <vt:variant>
        <vt:i4>5898290</vt:i4>
      </vt:variant>
      <vt:variant>
        <vt:i4>3</vt:i4>
      </vt:variant>
      <vt:variant>
        <vt:i4>0</vt:i4>
      </vt:variant>
      <vt:variant>
        <vt:i4>5</vt:i4>
      </vt:variant>
      <vt:variant>
        <vt:lpwstr>https://single-market-economy.ec.europa.eu/single-market/single-digital-gateway_en</vt:lpwstr>
      </vt:variant>
      <vt:variant>
        <vt:lpwstr/>
      </vt:variant>
      <vt:variant>
        <vt:i4>2162719</vt:i4>
      </vt:variant>
      <vt:variant>
        <vt:i4>0</vt:i4>
      </vt:variant>
      <vt:variant>
        <vt:i4>0</vt:i4>
      </vt:variant>
      <vt:variant>
        <vt:i4>5</vt:i4>
      </vt:variant>
      <vt:variant>
        <vt:lpwstr>https://knowledge4policy.ec.europa.eu/visualisation/competence-framework-innovative-policymaking_en</vt:lpwstr>
      </vt:variant>
      <vt:variant>
        <vt:lpwstr/>
      </vt:variant>
      <vt:variant>
        <vt:i4>6094947</vt:i4>
      </vt:variant>
      <vt:variant>
        <vt:i4>177</vt:i4>
      </vt:variant>
      <vt:variant>
        <vt:i4>0</vt:i4>
      </vt:variant>
      <vt:variant>
        <vt:i4>5</vt:i4>
      </vt:variant>
      <vt:variant>
        <vt:lpwstr>https://energy.ec.europa.eu/topics/energy-efficiency/energy-efficiency-targets-directive-and-rules/energy-efficiency-directive_en</vt:lpwstr>
      </vt:variant>
      <vt:variant>
        <vt:lpwstr/>
      </vt:variant>
      <vt:variant>
        <vt:i4>3342436</vt:i4>
      </vt:variant>
      <vt:variant>
        <vt:i4>174</vt:i4>
      </vt:variant>
      <vt:variant>
        <vt:i4>0</vt:i4>
      </vt:variant>
      <vt:variant>
        <vt:i4>5</vt:i4>
      </vt:variant>
      <vt:variant>
        <vt:lpwstr>https://eu-mayors.ec.europa.eu/en/home</vt:lpwstr>
      </vt:variant>
      <vt:variant>
        <vt:lpwstr/>
      </vt:variant>
      <vt:variant>
        <vt:i4>3932264</vt:i4>
      </vt:variant>
      <vt:variant>
        <vt:i4>171</vt:i4>
      </vt:variant>
      <vt:variant>
        <vt:i4>0</vt:i4>
      </vt:variant>
      <vt:variant>
        <vt:i4>5</vt:i4>
      </vt:variant>
      <vt:variant>
        <vt:lpwstr>https://ec.europa.eu/regional_policy/funding/just-transition-fund/just-transition-platform_en</vt:lpwstr>
      </vt:variant>
      <vt:variant>
        <vt:lpwstr/>
      </vt:variant>
      <vt:variant>
        <vt:i4>393312</vt:i4>
      </vt:variant>
      <vt:variant>
        <vt:i4>168</vt:i4>
      </vt:variant>
      <vt:variant>
        <vt:i4>0</vt:i4>
      </vt:variant>
      <vt:variant>
        <vt:i4>5</vt:i4>
      </vt:variant>
      <vt:variant>
        <vt:lpwstr>https://research-and-innovation.ec.europa.eu/funding/funding-opportunities/funding-programmes-and-open-calls/horizon-europe/eu-missions-horizon-europe/climate-neutral-and-smart-cities_en</vt:lpwstr>
      </vt:variant>
      <vt:variant>
        <vt:lpwstr/>
      </vt:variant>
      <vt:variant>
        <vt:i4>5046368</vt:i4>
      </vt:variant>
      <vt:variant>
        <vt:i4>165</vt:i4>
      </vt:variant>
      <vt:variant>
        <vt:i4>0</vt:i4>
      </vt:variant>
      <vt:variant>
        <vt:i4>5</vt:i4>
      </vt:variant>
      <vt:variant>
        <vt:lpwstr>https://climate-adapt.eea.europa.eu/?set_language=en</vt:lpwstr>
      </vt:variant>
      <vt:variant>
        <vt:lpwstr/>
      </vt:variant>
      <vt:variant>
        <vt:i4>7798889</vt:i4>
      </vt:variant>
      <vt:variant>
        <vt:i4>162</vt:i4>
      </vt:variant>
      <vt:variant>
        <vt:i4>0</vt:i4>
      </vt:variant>
      <vt:variant>
        <vt:i4>5</vt:i4>
      </vt:variant>
      <vt:variant>
        <vt:lpwstr>https://digital-strategy.ec.europa.eu/en/library/staff-working-document-data-spaces</vt:lpwstr>
      </vt:variant>
      <vt:variant>
        <vt:lpwstr/>
      </vt:variant>
      <vt:variant>
        <vt:i4>1704007</vt:i4>
      </vt:variant>
      <vt:variant>
        <vt:i4>159</vt:i4>
      </vt:variant>
      <vt:variant>
        <vt:i4>0</vt:i4>
      </vt:variant>
      <vt:variant>
        <vt:i4>5</vt:i4>
      </vt:variant>
      <vt:variant>
        <vt:lpwstr>https://joinup.ec.europa.eu/</vt:lpwstr>
      </vt:variant>
      <vt:variant>
        <vt:lpwstr/>
      </vt:variant>
      <vt:variant>
        <vt:i4>7471216</vt:i4>
      </vt:variant>
      <vt:variant>
        <vt:i4>156</vt:i4>
      </vt:variant>
      <vt:variant>
        <vt:i4>0</vt:i4>
      </vt:variant>
      <vt:variant>
        <vt:i4>5</vt:i4>
      </vt:variant>
      <vt:variant>
        <vt:lpwstr>https://digital-strategy.ec.europa.eu/en/news/berlin-declaration-digital-society-and-value-based-digital-government</vt:lpwstr>
      </vt:variant>
      <vt:variant>
        <vt:lpwstr/>
      </vt:variant>
      <vt:variant>
        <vt:i4>7012383</vt:i4>
      </vt:variant>
      <vt:variant>
        <vt:i4>153</vt:i4>
      </vt:variant>
      <vt:variant>
        <vt:i4>0</vt:i4>
      </vt:variant>
      <vt:variant>
        <vt:i4>5</vt:i4>
      </vt:variant>
      <vt:variant>
        <vt:lpwstr>https://ai-watch.ec.europa.eu/publications/ai-watch-european-landscape-use-artificial-intelligence-public-sector_en</vt:lpwstr>
      </vt:variant>
      <vt:variant>
        <vt:lpwstr/>
      </vt:variant>
      <vt:variant>
        <vt:i4>7143540</vt:i4>
      </vt:variant>
      <vt:variant>
        <vt:i4>150</vt:i4>
      </vt:variant>
      <vt:variant>
        <vt:i4>0</vt:i4>
      </vt:variant>
      <vt:variant>
        <vt:i4>5</vt:i4>
      </vt:variant>
      <vt:variant>
        <vt:lpwstr>https://eur-lex.europa.eu/legal-content/EN/TXT/?uri=celex%3A32022R2065</vt:lpwstr>
      </vt:variant>
      <vt:variant>
        <vt:lpwstr/>
      </vt:variant>
      <vt:variant>
        <vt:i4>2818138</vt:i4>
      </vt:variant>
      <vt:variant>
        <vt:i4>147</vt:i4>
      </vt:variant>
      <vt:variant>
        <vt:i4>0</vt:i4>
      </vt:variant>
      <vt:variant>
        <vt:i4>5</vt:i4>
      </vt:variant>
      <vt:variant>
        <vt:lpwstr>https://eur-lex.europa.eu/legal-content/EN/TXT/?uri=uriserv%3AOJ.L_.2022.265.01.0001.01.ENG</vt:lpwstr>
      </vt:variant>
      <vt:variant>
        <vt:lpwstr/>
      </vt:variant>
      <vt:variant>
        <vt:i4>1441809</vt:i4>
      </vt:variant>
      <vt:variant>
        <vt:i4>144</vt:i4>
      </vt:variant>
      <vt:variant>
        <vt:i4>0</vt:i4>
      </vt:variant>
      <vt:variant>
        <vt:i4>5</vt:i4>
      </vt:variant>
      <vt:variant>
        <vt:lpwstr>https://eur-lex.europa.eu/legal-content/EN/TXT/?uri=CELEX:52022PC0720</vt:lpwstr>
      </vt:variant>
      <vt:variant>
        <vt:lpwstr/>
      </vt:variant>
      <vt:variant>
        <vt:i4>1310743</vt:i4>
      </vt:variant>
      <vt:variant>
        <vt:i4>141</vt:i4>
      </vt:variant>
      <vt:variant>
        <vt:i4>0</vt:i4>
      </vt:variant>
      <vt:variant>
        <vt:i4>5</vt:i4>
      </vt:variant>
      <vt:variant>
        <vt:lpwstr>https://eur-lex.europa.eu/legal-content/EN/TXT/?uri=celex:52021PC0206</vt:lpwstr>
      </vt:variant>
      <vt:variant>
        <vt:lpwstr/>
      </vt:variant>
      <vt:variant>
        <vt:i4>1179667</vt:i4>
      </vt:variant>
      <vt:variant>
        <vt:i4>138</vt:i4>
      </vt:variant>
      <vt:variant>
        <vt:i4>0</vt:i4>
      </vt:variant>
      <vt:variant>
        <vt:i4>5</vt:i4>
      </vt:variant>
      <vt:variant>
        <vt:lpwstr>https://eur-lex.europa.eu/legal-content/EN/TXT/?uri=celex:52020PC0767</vt:lpwstr>
      </vt:variant>
      <vt:variant>
        <vt:lpwstr/>
      </vt:variant>
      <vt:variant>
        <vt:i4>5767274</vt:i4>
      </vt:variant>
      <vt:variant>
        <vt:i4>135</vt:i4>
      </vt:variant>
      <vt:variant>
        <vt:i4>0</vt:i4>
      </vt:variant>
      <vt:variant>
        <vt:i4>5</vt:i4>
      </vt:variant>
      <vt:variant>
        <vt:lpwstr>https://eur-lex.europa.eu/legal-content/EN/TXT/?uri=uriserv:OJ.L_.2023.019.01.0043.01.ENG</vt:lpwstr>
      </vt:variant>
      <vt:variant>
        <vt:lpwstr/>
      </vt:variant>
      <vt:variant>
        <vt:i4>7929890</vt:i4>
      </vt:variant>
      <vt:variant>
        <vt:i4>132</vt:i4>
      </vt:variant>
      <vt:variant>
        <vt:i4>0</vt:i4>
      </vt:variant>
      <vt:variant>
        <vt:i4>5</vt:i4>
      </vt:variant>
      <vt:variant>
        <vt:lpwstr>https://eur-lex.europa.eu/eli/dir/2019/1024/oj</vt:lpwstr>
      </vt:variant>
      <vt:variant>
        <vt:lpwstr/>
      </vt:variant>
      <vt:variant>
        <vt:i4>7077999</vt:i4>
      </vt:variant>
      <vt:variant>
        <vt:i4>129</vt:i4>
      </vt:variant>
      <vt:variant>
        <vt:i4>0</vt:i4>
      </vt:variant>
      <vt:variant>
        <vt:i4>5</vt:i4>
      </vt:variant>
      <vt:variant>
        <vt:lpwstr>https://eur-lex.europa.eu/legal-content/EN/TXT/?uri=COM:2022:68:FIN</vt:lpwstr>
      </vt:variant>
      <vt:variant>
        <vt:lpwstr/>
      </vt:variant>
      <vt:variant>
        <vt:i4>5505095</vt:i4>
      </vt:variant>
      <vt:variant>
        <vt:i4>126</vt:i4>
      </vt:variant>
      <vt:variant>
        <vt:i4>0</vt:i4>
      </vt:variant>
      <vt:variant>
        <vt:i4>5</vt:i4>
      </vt:variant>
      <vt:variant>
        <vt:lpwstr>https://ec.europa.eu/social/main.jsp?catId=738&amp;langId=en&amp;pubId=8055&amp;type=2&amp;furtherPubs=no</vt:lpwstr>
      </vt:variant>
      <vt:variant>
        <vt:lpwstr/>
      </vt:variant>
      <vt:variant>
        <vt:i4>6946825</vt:i4>
      </vt:variant>
      <vt:variant>
        <vt:i4>123</vt:i4>
      </vt:variant>
      <vt:variant>
        <vt:i4>0</vt:i4>
      </vt:variant>
      <vt:variant>
        <vt:i4>5</vt:i4>
      </vt:variant>
      <vt:variant>
        <vt:lpwstr>https://joint-research-centre.ec.europa.eu/greencomp-european-sustainability-competence-framework_en</vt:lpwstr>
      </vt:variant>
      <vt:variant>
        <vt:lpwstr/>
      </vt:variant>
      <vt:variant>
        <vt:i4>5701713</vt:i4>
      </vt:variant>
      <vt:variant>
        <vt:i4>120</vt:i4>
      </vt:variant>
      <vt:variant>
        <vt:i4>0</vt:i4>
      </vt:variant>
      <vt:variant>
        <vt:i4>5</vt:i4>
      </vt:variant>
      <vt:variant>
        <vt:lpwstr>https://ec.europa.eu/social/main.jsp?catId=1317&amp;langId=en</vt:lpwstr>
      </vt:variant>
      <vt:variant>
        <vt:lpwstr/>
      </vt:variant>
      <vt:variant>
        <vt:i4>2949126</vt:i4>
      </vt:variant>
      <vt:variant>
        <vt:i4>117</vt:i4>
      </vt:variant>
      <vt:variant>
        <vt:i4>0</vt:i4>
      </vt:variant>
      <vt:variant>
        <vt:i4>5</vt:i4>
      </vt:variant>
      <vt:variant>
        <vt:lpwstr>https://joint-research-centre.ec.europa.eu/digcomp/digcomp-framework_en</vt:lpwstr>
      </vt:variant>
      <vt:variant>
        <vt:lpwstr>:~:text=The%20DigComp%20framework%20identifies%20the,the%20source%20and%20its%20content.</vt:lpwstr>
      </vt:variant>
      <vt:variant>
        <vt:i4>5832750</vt:i4>
      </vt:variant>
      <vt:variant>
        <vt:i4>114</vt:i4>
      </vt:variant>
      <vt:variant>
        <vt:i4>0</vt:i4>
      </vt:variant>
      <vt:variant>
        <vt:i4>5</vt:i4>
      </vt:variant>
      <vt:variant>
        <vt:lpwstr>https://pm2.europa.eu/index_en</vt:lpwstr>
      </vt:variant>
      <vt:variant>
        <vt:lpwstr/>
      </vt:variant>
      <vt:variant>
        <vt:i4>4718618</vt:i4>
      </vt:variant>
      <vt:variant>
        <vt:i4>111</vt:i4>
      </vt:variant>
      <vt:variant>
        <vt:i4>0</vt:i4>
      </vt:variant>
      <vt:variant>
        <vt:i4>5</vt:i4>
      </vt:variant>
      <vt:variant>
        <vt:lpwstr>https://op.europa.eu/en/publication-detail/-/publication/4e07a84f-abbf-11eb-927e-01aa75ed71a1/language-en</vt:lpwstr>
      </vt:variant>
      <vt:variant>
        <vt:lpwstr/>
      </vt:variant>
      <vt:variant>
        <vt:i4>5308417</vt:i4>
      </vt:variant>
      <vt:variant>
        <vt:i4>108</vt:i4>
      </vt:variant>
      <vt:variant>
        <vt:i4>0</vt:i4>
      </vt:variant>
      <vt:variant>
        <vt:i4>5</vt:i4>
      </vt:variant>
      <vt:variant>
        <vt:lpwstr>https://customs-taxation.learning.europa.eu/local/mvpdgtaxud/pages/competencyframework.php</vt:lpwstr>
      </vt:variant>
      <vt:variant>
        <vt:lpwstr>customs-tab</vt:lpwstr>
      </vt:variant>
      <vt:variant>
        <vt:i4>1638522</vt:i4>
      </vt:variant>
      <vt:variant>
        <vt:i4>105</vt:i4>
      </vt:variant>
      <vt:variant>
        <vt:i4>0</vt:i4>
      </vt:variant>
      <vt:variant>
        <vt:i4>5</vt:i4>
      </vt:variant>
      <vt:variant>
        <vt:lpwstr>https://taxation-customs.ec.europa.eu/taxation-1/eu-training/taxcompeu-eu-competency-framework-taxation_en</vt:lpwstr>
      </vt:variant>
      <vt:variant>
        <vt:lpwstr/>
      </vt:variant>
      <vt:variant>
        <vt:i4>917565</vt:i4>
      </vt:variant>
      <vt:variant>
        <vt:i4>102</vt:i4>
      </vt:variant>
      <vt:variant>
        <vt:i4>0</vt:i4>
      </vt:variant>
      <vt:variant>
        <vt:i4>5</vt:i4>
      </vt:variant>
      <vt:variant>
        <vt:lpwstr>https://commission.europa.eu/funding-tenders/tools-public-buyers/professionalisation-public-buyers/procurcompeu-european-competency-framework-public-procurement-professionals_en</vt:lpwstr>
      </vt:variant>
      <vt:variant>
        <vt:lpwstr/>
      </vt:variant>
      <vt:variant>
        <vt:i4>3276813</vt:i4>
      </vt:variant>
      <vt:variant>
        <vt:i4>99</vt:i4>
      </vt:variant>
      <vt:variant>
        <vt:i4>0</vt:i4>
      </vt:variant>
      <vt:variant>
        <vt:i4>5</vt:i4>
      </vt:variant>
      <vt:variant>
        <vt:lpwstr>https://ec.europa.eu/regional_policy/en/information/publications/studies/2016/eu-competency-framework-for-the-management-and-implementation-of-the-erdf-and-the-cohesion-fund</vt:lpwstr>
      </vt:variant>
      <vt:variant>
        <vt:lpwstr/>
      </vt:variant>
      <vt:variant>
        <vt:i4>3997765</vt:i4>
      </vt:variant>
      <vt:variant>
        <vt:i4>96</vt:i4>
      </vt:variant>
      <vt:variant>
        <vt:i4>0</vt:i4>
      </vt:variant>
      <vt:variant>
        <vt:i4>5</vt:i4>
      </vt:variant>
      <vt:variant>
        <vt:lpwstr>https://knowledge4policy.ec.europa.eu/projects-activities/competence-frameworks-policymakers-researchers_en</vt:lpwstr>
      </vt:variant>
      <vt:variant>
        <vt:lpwstr/>
      </vt:variant>
      <vt:variant>
        <vt:i4>6553696</vt:i4>
      </vt:variant>
      <vt:variant>
        <vt:i4>93</vt:i4>
      </vt:variant>
      <vt:variant>
        <vt:i4>0</vt:i4>
      </vt:variant>
      <vt:variant>
        <vt:i4>5</vt:i4>
      </vt:variant>
      <vt:variant>
        <vt:lpwstr>https://academy.europa.eu/</vt:lpwstr>
      </vt:variant>
      <vt:variant>
        <vt:lpwstr/>
      </vt:variant>
      <vt:variant>
        <vt:i4>4587595</vt:i4>
      </vt:variant>
      <vt:variant>
        <vt:i4>90</vt:i4>
      </vt:variant>
      <vt:variant>
        <vt:i4>0</vt:i4>
      </vt:variant>
      <vt:variant>
        <vt:i4>5</vt:i4>
      </vt:variant>
      <vt:variant>
        <vt:lpwstr>https://public-buyers-community.ec.europa.eu/</vt:lpwstr>
      </vt:variant>
      <vt:variant>
        <vt:lpwstr/>
      </vt:variant>
      <vt:variant>
        <vt:i4>262259</vt:i4>
      </vt:variant>
      <vt:variant>
        <vt:i4>87</vt:i4>
      </vt:variant>
      <vt:variant>
        <vt:i4>0</vt:i4>
      </vt:variant>
      <vt:variant>
        <vt:i4>5</vt:i4>
      </vt:variant>
      <vt:variant>
        <vt:lpwstr>https://civil-protection-humanitarian-aid.ec.europa.eu/what/civil-protection/eu-civil-protection-knowledge-network_en</vt:lpwstr>
      </vt:variant>
      <vt:variant>
        <vt:lpwstr/>
      </vt:variant>
      <vt:variant>
        <vt:i4>917561</vt:i4>
      </vt:variant>
      <vt:variant>
        <vt:i4>84</vt:i4>
      </vt:variant>
      <vt:variant>
        <vt:i4>0</vt:i4>
      </vt:variant>
      <vt:variant>
        <vt:i4>5</vt:i4>
      </vt:variant>
      <vt:variant>
        <vt:lpwstr>https://reform-support.ec.europa.eu/pace-public-administration-cooperation-exchange_en</vt:lpwstr>
      </vt:variant>
      <vt:variant>
        <vt:lpwstr/>
      </vt:variant>
      <vt:variant>
        <vt:i4>4653151</vt:i4>
      </vt:variant>
      <vt:variant>
        <vt:i4>81</vt:i4>
      </vt:variant>
      <vt:variant>
        <vt:i4>0</vt:i4>
      </vt:variant>
      <vt:variant>
        <vt:i4>5</vt:i4>
      </vt:variant>
      <vt:variant>
        <vt:lpwstr>https://op.europa.eu/en/web/forum</vt:lpwstr>
      </vt:variant>
      <vt:variant>
        <vt:lpwstr/>
      </vt:variant>
      <vt:variant>
        <vt:i4>262208</vt:i4>
      </vt:variant>
      <vt:variant>
        <vt:i4>78</vt:i4>
      </vt:variant>
      <vt:variant>
        <vt:i4>0</vt:i4>
      </vt:variant>
      <vt:variant>
        <vt:i4>5</vt:i4>
      </vt:variant>
      <vt:variant>
        <vt:lpwstr>https://ec.europa.eu/research-and-innovation/en/statistics/policy-support-facility/psf-challenge</vt:lpwstr>
      </vt:variant>
      <vt:variant>
        <vt:lpwstr/>
      </vt:variant>
      <vt:variant>
        <vt:i4>524367</vt:i4>
      </vt:variant>
      <vt:variant>
        <vt:i4>75</vt:i4>
      </vt:variant>
      <vt:variant>
        <vt:i4>0</vt:i4>
      </vt:variant>
      <vt:variant>
        <vt:i4>5</vt:i4>
      </vt:variant>
      <vt:variant>
        <vt:lpwstr>https://european-digital-innovation-hubs.ec.europa.eu/knowledge-hub/thematic-groups/public-administration-main-focus-artificial-intelligence</vt:lpwstr>
      </vt:variant>
      <vt:variant>
        <vt:lpwstr/>
      </vt:variant>
      <vt:variant>
        <vt:i4>3211326</vt:i4>
      </vt:variant>
      <vt:variant>
        <vt:i4>72</vt:i4>
      </vt:variant>
      <vt:variant>
        <vt:i4>0</vt:i4>
      </vt:variant>
      <vt:variant>
        <vt:i4>5</vt:i4>
      </vt:variant>
      <vt:variant>
        <vt:lpwstr>https://ec.europa.eu/internal_market/imi-net/index_en.htm</vt:lpwstr>
      </vt:variant>
      <vt:variant>
        <vt:lpwstr/>
      </vt:variant>
      <vt:variant>
        <vt:i4>3932274</vt:i4>
      </vt:variant>
      <vt:variant>
        <vt:i4>69</vt:i4>
      </vt:variant>
      <vt:variant>
        <vt:i4>0</vt:i4>
      </vt:variant>
      <vt:variant>
        <vt:i4>5</vt:i4>
      </vt:variant>
      <vt:variant>
        <vt:lpwstr>https://ec.europa.eu/regional_policy/policy/how/improving-investment/regio-peer-2-peer_en</vt:lpwstr>
      </vt:variant>
      <vt:variant>
        <vt:lpwstr/>
      </vt:variant>
      <vt:variant>
        <vt:i4>5636180</vt:i4>
      </vt:variant>
      <vt:variant>
        <vt:i4>66</vt:i4>
      </vt:variant>
      <vt:variant>
        <vt:i4>0</vt:i4>
      </vt:variant>
      <vt:variant>
        <vt:i4>5</vt:i4>
      </vt:variant>
      <vt:variant>
        <vt:lpwstr>https://ec.europa.eu/social/main.jsp?catId=1100&amp;langId=en</vt:lpwstr>
      </vt:variant>
      <vt:variant>
        <vt:lpwstr/>
      </vt:variant>
      <vt:variant>
        <vt:i4>7471229</vt:i4>
      </vt:variant>
      <vt:variant>
        <vt:i4>63</vt:i4>
      </vt:variant>
      <vt:variant>
        <vt:i4>0</vt:i4>
      </vt:variant>
      <vt:variant>
        <vt:i4>5</vt:i4>
      </vt:variant>
      <vt:variant>
        <vt:lpwstr>https://customs-taxation.learning.europa.eu/local/mvpdgtaxud/pages/news/view.php?key=27</vt:lpwstr>
      </vt:variant>
      <vt:variant>
        <vt:lpwstr/>
      </vt:variant>
      <vt:variant>
        <vt:i4>3866739</vt:i4>
      </vt:variant>
      <vt:variant>
        <vt:i4>60</vt:i4>
      </vt:variant>
      <vt:variant>
        <vt:i4>0</vt:i4>
      </vt:variant>
      <vt:variant>
        <vt:i4>5</vt:i4>
      </vt:variant>
      <vt:variant>
        <vt:lpwstr>https://joinup.ec.europa.eu/collection/govtechconnect/about</vt:lpwstr>
      </vt:variant>
      <vt:variant>
        <vt:lpwstr/>
      </vt:variant>
      <vt:variant>
        <vt:i4>1769487</vt:i4>
      </vt:variant>
      <vt:variant>
        <vt:i4>57</vt:i4>
      </vt:variant>
      <vt:variant>
        <vt:i4>0</vt:i4>
      </vt:variant>
      <vt:variant>
        <vt:i4>5</vt:i4>
      </vt:variant>
      <vt:variant>
        <vt:lpwstr>https://europa.eu/!KJ38CJ</vt:lpwstr>
      </vt:variant>
      <vt:variant>
        <vt:lpwstr/>
      </vt:variant>
      <vt:variant>
        <vt:i4>4587585</vt:i4>
      </vt:variant>
      <vt:variant>
        <vt:i4>54</vt:i4>
      </vt:variant>
      <vt:variant>
        <vt:i4>0</vt:i4>
      </vt:variant>
      <vt:variant>
        <vt:i4>5</vt:i4>
      </vt:variant>
      <vt:variant>
        <vt:lpwstr>https://europa.eu/!cJrvwv</vt:lpwstr>
      </vt:variant>
      <vt:variant>
        <vt:lpwstr/>
      </vt:variant>
      <vt:variant>
        <vt:i4>393260</vt:i4>
      </vt:variant>
      <vt:variant>
        <vt:i4>51</vt:i4>
      </vt:variant>
      <vt:variant>
        <vt:i4>0</vt:i4>
      </vt:variant>
      <vt:variant>
        <vt:i4>5</vt:i4>
      </vt:variant>
      <vt:variant>
        <vt:lpwstr>https://www.europarl.europa.eu/doceo/document/TA-8-2019-0012_EN.html</vt:lpwstr>
      </vt:variant>
      <vt:variant>
        <vt:lpwstr/>
      </vt:variant>
      <vt:variant>
        <vt:i4>3014707</vt:i4>
      </vt:variant>
      <vt:variant>
        <vt:i4>48</vt:i4>
      </vt:variant>
      <vt:variant>
        <vt:i4>0</vt:i4>
      </vt:variant>
      <vt:variant>
        <vt:i4>5</vt:i4>
      </vt:variant>
      <vt:variant>
        <vt:lpwstr>https://www.transformation.gouv.fr/files/presse/Declaration_common_values_challenges_european public_administrations_1.pdf</vt:lpwstr>
      </vt:variant>
      <vt:variant>
        <vt:lpwstr/>
      </vt:variant>
      <vt:variant>
        <vt:i4>5308428</vt:i4>
      </vt:variant>
      <vt:variant>
        <vt:i4>45</vt:i4>
      </vt:variant>
      <vt:variant>
        <vt:i4>0</vt:i4>
      </vt:variant>
      <vt:variant>
        <vt:i4>5</vt:i4>
      </vt:variant>
      <vt:variant>
        <vt:lpwstr>https://www.sigmaweb.org/</vt:lpwstr>
      </vt:variant>
      <vt:variant>
        <vt:lpwstr/>
      </vt:variant>
      <vt:variant>
        <vt:i4>2490417</vt:i4>
      </vt:variant>
      <vt:variant>
        <vt:i4>42</vt:i4>
      </vt:variant>
      <vt:variant>
        <vt:i4>0</vt:i4>
      </vt:variant>
      <vt:variant>
        <vt:i4>5</vt:i4>
      </vt:variant>
      <vt:variant>
        <vt:lpwstr>https://www.statskontoret.se/in-english/publications/2023/good-administration-in-european-countries</vt:lpwstr>
      </vt:variant>
      <vt:variant>
        <vt:lpwstr/>
      </vt:variant>
      <vt:variant>
        <vt:i4>4456455</vt:i4>
      </vt:variant>
      <vt:variant>
        <vt:i4>39</vt:i4>
      </vt:variant>
      <vt:variant>
        <vt:i4>0</vt:i4>
      </vt:variant>
      <vt:variant>
        <vt:i4>5</vt:i4>
      </vt:variant>
      <vt:variant>
        <vt:lpwstr>https://europa.eu/!T8FbvW</vt:lpwstr>
      </vt:variant>
      <vt:variant>
        <vt:lpwstr/>
      </vt:variant>
      <vt:variant>
        <vt:i4>6946943</vt:i4>
      </vt:variant>
      <vt:variant>
        <vt:i4>36</vt:i4>
      </vt:variant>
      <vt:variant>
        <vt:i4>0</vt:i4>
      </vt:variant>
      <vt:variant>
        <vt:i4>5</vt:i4>
      </vt:variant>
      <vt:variant>
        <vt:lpwstr>https://ec.europa.eu/economy_finance/recovery-and-resilience-scoreboard/thematic_analysis.html?lang=en</vt:lpwstr>
      </vt:variant>
      <vt:variant>
        <vt:lpwstr/>
      </vt:variant>
      <vt:variant>
        <vt:i4>1245189</vt:i4>
      </vt:variant>
      <vt:variant>
        <vt:i4>33</vt:i4>
      </vt:variant>
      <vt:variant>
        <vt:i4>0</vt:i4>
      </vt:variant>
      <vt:variant>
        <vt:i4>5</vt:i4>
      </vt:variant>
      <vt:variant>
        <vt:lpwstr>https://europa.eu/!jK33jF</vt:lpwstr>
      </vt:variant>
      <vt:variant>
        <vt:lpwstr/>
      </vt:variant>
      <vt:variant>
        <vt:i4>6881370</vt:i4>
      </vt:variant>
      <vt:variant>
        <vt:i4>30</vt:i4>
      </vt:variant>
      <vt:variant>
        <vt:i4>0</vt:i4>
      </vt:variant>
      <vt:variant>
        <vt:i4>5</vt:i4>
      </vt:variant>
      <vt:variant>
        <vt:lpwstr>https://www.oecd-ilibrary.org/governance/strengthening-the-attractiveness-of-the-public-service-in-france_ab9ebe85-en</vt:lpwstr>
      </vt:variant>
      <vt:variant>
        <vt:lpwstr/>
      </vt:variant>
      <vt:variant>
        <vt:i4>4849784</vt:i4>
      </vt:variant>
      <vt:variant>
        <vt:i4>27</vt:i4>
      </vt:variant>
      <vt:variant>
        <vt:i4>0</vt:i4>
      </vt:variant>
      <vt:variant>
        <vt:i4>5</vt:i4>
      </vt:variant>
      <vt:variant>
        <vt:lpwstr>https://knowledge4policy.ec.europa.eu/file/staff-working-document-supporting-connecting-policymaking-member-states-scientific-research_en</vt:lpwstr>
      </vt:variant>
      <vt:variant>
        <vt:lpwstr/>
      </vt:variant>
      <vt:variant>
        <vt:i4>2097249</vt:i4>
      </vt:variant>
      <vt:variant>
        <vt:i4>24</vt:i4>
      </vt:variant>
      <vt:variant>
        <vt:i4>0</vt:i4>
      </vt:variant>
      <vt:variant>
        <vt:i4>5</vt:i4>
      </vt:variant>
      <vt:variant>
        <vt:lpwstr>https://europa.eu/eurobarometer/surveys/detail/3054</vt:lpwstr>
      </vt:variant>
      <vt:variant>
        <vt:lpwstr/>
      </vt:variant>
      <vt:variant>
        <vt:i4>4522032</vt:i4>
      </vt:variant>
      <vt:variant>
        <vt:i4>21</vt:i4>
      </vt:variant>
      <vt:variant>
        <vt:i4>0</vt:i4>
      </vt:variant>
      <vt:variant>
        <vt:i4>5</vt:i4>
      </vt:variant>
      <vt:variant>
        <vt:lpwstr>https://reform-support.ec.europa.eu/publications-0/more-resilient-public-administrations-after-covid-19_en</vt:lpwstr>
      </vt:variant>
      <vt:variant>
        <vt:lpwstr/>
      </vt:variant>
      <vt:variant>
        <vt:i4>8126567</vt:i4>
      </vt:variant>
      <vt:variant>
        <vt:i4>18</vt:i4>
      </vt:variant>
      <vt:variant>
        <vt:i4>0</vt:i4>
      </vt:variant>
      <vt:variant>
        <vt:i4>5</vt:i4>
      </vt:variant>
      <vt:variant>
        <vt:lpwstr>https://ec.europa.eu/commission/presscorner/detail/en/ip_23_2516</vt:lpwstr>
      </vt:variant>
      <vt:variant>
        <vt:lpwstr/>
      </vt:variant>
      <vt:variant>
        <vt:i4>3145823</vt:i4>
      </vt:variant>
      <vt:variant>
        <vt:i4>15</vt:i4>
      </vt:variant>
      <vt:variant>
        <vt:i4>0</vt:i4>
      </vt:variant>
      <vt:variant>
        <vt:i4>5</vt:i4>
      </vt:variant>
      <vt:variant>
        <vt:lpwstr>https://commission.europa.eu/strategy-and-policy/priorities-2019-2024/new-push-european-democracy/european-democracy-action-plan_en</vt:lpwstr>
      </vt:variant>
      <vt:variant>
        <vt:lpwstr/>
      </vt:variant>
      <vt:variant>
        <vt:i4>2162714</vt:i4>
      </vt:variant>
      <vt:variant>
        <vt:i4>12</vt:i4>
      </vt:variant>
      <vt:variant>
        <vt:i4>0</vt:i4>
      </vt:variant>
      <vt:variant>
        <vt:i4>5</vt:i4>
      </vt:variant>
      <vt:variant>
        <vt:lpwstr>https://simap.ted.europa.eu/en_GB/web/simap/european-public-procurement</vt:lpwstr>
      </vt:variant>
      <vt:variant>
        <vt:lpwstr/>
      </vt:variant>
      <vt:variant>
        <vt:i4>1835081</vt:i4>
      </vt:variant>
      <vt:variant>
        <vt:i4>9</vt:i4>
      </vt:variant>
      <vt:variant>
        <vt:i4>0</vt:i4>
      </vt:variant>
      <vt:variant>
        <vt:i4>5</vt:i4>
      </vt:variant>
      <vt:variant>
        <vt:lpwstr>https://ec.europa.eu/eurostat/web/products-eurostat-news/-/ddn-20220106-1</vt:lpwstr>
      </vt:variant>
      <vt:variant>
        <vt:lpwstr/>
      </vt:variant>
      <vt:variant>
        <vt:i4>4784203</vt:i4>
      </vt:variant>
      <vt:variant>
        <vt:i4>6</vt:i4>
      </vt:variant>
      <vt:variant>
        <vt:i4>0</vt:i4>
      </vt:variant>
      <vt:variant>
        <vt:i4>5</vt:i4>
      </vt:variant>
      <vt:variant>
        <vt:lpwstr>https://europa.eu/!cnDxNM</vt:lpwstr>
      </vt:variant>
      <vt:variant>
        <vt:lpwstr/>
      </vt:variant>
      <vt:variant>
        <vt:i4>3801113</vt:i4>
      </vt:variant>
      <vt:variant>
        <vt:i4>3</vt:i4>
      </vt:variant>
      <vt:variant>
        <vt:i4>0</vt:i4>
      </vt:variant>
      <vt:variant>
        <vt:i4>5</vt:i4>
      </vt:variant>
      <vt:variant>
        <vt:lpwstr>https://ec.europa.eu/eurostat/statistics-explained/index.php?title=Government_expenditure_by_function_%E2%80%93_COFOG</vt:lpwstr>
      </vt:variant>
      <vt:variant>
        <vt:lpwstr>General_government_expenditure_by_function</vt:lpwstr>
      </vt:variant>
      <vt:variant>
        <vt:i4>4325473</vt:i4>
      </vt:variant>
      <vt:variant>
        <vt:i4>0</vt:i4>
      </vt:variant>
      <vt:variant>
        <vt:i4>0</vt:i4>
      </vt:variant>
      <vt:variant>
        <vt:i4>5</vt:i4>
      </vt:variant>
      <vt:variant>
        <vt:lpwstr>https://commission.europa.eu/strategy-and-policy/strategic-planning/strategic-foresight/2021-strategic-foresight-report_en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2023-10-27T12:55:00Z</dcterms:created>
  <dcterms:modified xsi:type="dcterms:W3CDTF">2023-10-30T14:21:00Z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2023-10-05T12:44:03Z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529c9b11-cfa6-4e2e-aee9-d10186ec779f</vt:lpwstr>
  </property>
  <property fmtid="{D5CDD505-2E9C-101B-9397-08002B2CF9AE}" pid="8" name="MSIP_Label_6bd9ddd1-4d20-43f6-abfa-fc3c07406f94_ContentBits">
    <vt:lpwstr>0</vt:lpwstr>
  </property>
  <property fmtid="{D5CDD505-2E9C-101B-9397-08002B2CF9AE}" pid="9" name="ContentTypeId">
    <vt:lpwstr>0x010100ECFDF3D715AA394A9B15E0E0FAA07E37</vt:lpwstr>
  </property>
  <property fmtid="{D5CDD505-2E9C-101B-9397-08002B2CF9AE}" pid="10" name="Level of sensitivity">
    <vt:lpwstr>Standard treatment</vt:lpwstr>
  </property>
  <property fmtid="{D5CDD505-2E9C-101B-9397-08002B2CF9AE}" pid="11" name="DocStatus">
    <vt:lpwstr>Green</vt:lpwstr>
  </property>
  <property fmtid="{D5CDD505-2E9C-101B-9397-08002B2CF9AE}" pid="12" name="Last edited using">
    <vt:lpwstr>LW 9.0, Build 20230317</vt:lpwstr>
  </property>
  <property fmtid="{D5CDD505-2E9C-101B-9397-08002B2CF9AE}" pid="13" name="MediaServiceImageTags">
    <vt:lpwstr/>
  </property>
  <property fmtid="{D5CDD505-2E9C-101B-9397-08002B2CF9AE}" pid="14" name="Part">
    <vt:lpwstr>1</vt:lpwstr>
  </property>
  <property fmtid="{D5CDD505-2E9C-101B-9397-08002B2CF9AE}" pid="15" name="Total parts">
    <vt:lpwstr>1</vt:lpwstr>
  </property>
  <property fmtid="{D5CDD505-2E9C-101B-9397-08002B2CF9AE}" pid="16" name="CPTemplateID">
    <vt:lpwstr>CP-014</vt:lpwstr>
  </property>
</Properties>
</file>