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565C" w14:textId="40AA867B" w:rsidR="00902721" w:rsidRPr="00B459D5" w:rsidRDefault="001174D3" w:rsidP="001174D3">
      <w:pPr>
        <w:pStyle w:val="Pagedecouverture"/>
        <w:rPr>
          <w:noProof/>
        </w:rPr>
      </w:pPr>
      <w:bookmarkStart w:id="0" w:name="LW_BM_COVERPAGE"/>
      <w:r>
        <w:rPr>
          <w:noProof/>
        </w:rPr>
        <w:pict w14:anchorId="6D88F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4FAF02C-16BF-4B7C-B429-4B0ED65F8722" style="width:455.25pt;height:336.75pt">
            <v:imagedata r:id="rId11" o:title=""/>
          </v:shape>
        </w:pict>
      </w:r>
    </w:p>
    <w:bookmarkEnd w:id="0"/>
    <w:p w14:paraId="0963565D" w14:textId="77777777" w:rsidR="00902721" w:rsidRPr="00B459D5" w:rsidRDefault="00902721" w:rsidP="003E5AD4">
      <w:pPr>
        <w:spacing w:line="240" w:lineRule="auto"/>
        <w:rPr>
          <w:rFonts w:ascii="Times New Roman" w:hAnsi="Times New Roman" w:cs="Times New Roman"/>
          <w:noProof/>
          <w:sz w:val="24"/>
        </w:rPr>
        <w:sectPr w:rsidR="00902721" w:rsidRPr="00B459D5" w:rsidSect="001174D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5C084C0" w14:textId="123AEF46" w:rsidR="00112DF4" w:rsidRPr="00B459D5" w:rsidRDefault="00055DA4" w:rsidP="003E5AD4">
      <w:pPr>
        <w:spacing w:before="120" w:after="120" w:line="240" w:lineRule="auto"/>
        <w:jc w:val="both"/>
        <w:rPr>
          <w:rFonts w:ascii="Times New Roman" w:eastAsia="Times New Roman" w:hAnsi="Times New Roman" w:cs="Times New Roman"/>
          <w:noProof/>
          <w:sz w:val="24"/>
          <w:szCs w:val="24"/>
        </w:rPr>
      </w:pPr>
      <w:bookmarkStart w:id="1" w:name="_GoBack"/>
      <w:bookmarkEnd w:id="1"/>
      <w:r w:rsidRPr="00D54BBD">
        <w:rPr>
          <w:rFonts w:ascii="Times New Roman" w:hAnsi="Times New Roman"/>
          <w:b/>
          <w:noProof/>
          <w:sz w:val="24"/>
        </w:rPr>
        <w:lastRenderedPageBreak/>
        <w:t>Într-o lume care evoluează rapid și care se confruntă cu schimbări economice, sociale, tehnologice și de mediu complexe, precum și cu numeroase tranziții, existența unor administrații publice de înaltă calitate este esențială</w:t>
      </w:r>
      <w:r w:rsidRPr="00D54BBD">
        <w:rPr>
          <w:rStyle w:val="FootnoteReference"/>
          <w:rFonts w:ascii="Times New Roman" w:eastAsia="Calibri" w:hAnsi="Times New Roman" w:cs="Times New Roman"/>
          <w:b/>
          <w:bCs/>
          <w:noProof/>
          <w:sz w:val="24"/>
          <w:szCs w:val="24"/>
        </w:rPr>
        <w:footnoteReference w:id="2"/>
      </w:r>
      <w:r w:rsidRPr="00D54BBD">
        <w:rPr>
          <w:rFonts w:ascii="Times New Roman" w:hAnsi="Times New Roman"/>
          <w:b/>
          <w:noProof/>
          <w:sz w:val="24"/>
        </w:rPr>
        <w:t xml:space="preserve"> pentru buna guvernanță și pentru eficacitatea acțiunilor UE și ale statelor membre.</w:t>
      </w:r>
      <w:r>
        <w:rPr>
          <w:rFonts w:ascii="Times New Roman" w:hAnsi="Times New Roman"/>
          <w:noProof/>
          <w:sz w:val="24"/>
        </w:rPr>
        <w:t xml:space="preserve"> Sectorul public trebuie să fie orientat către acțiune, să abordeze provocările emergente și să consolideze totodată încrederea publicului. Pe lângă confruntarea cu șocurile externe grave, cum ar fi pandemia de COVID-</w:t>
      </w:r>
      <w:r w:rsidRPr="00D54BBD">
        <w:rPr>
          <w:rFonts w:ascii="Times New Roman" w:hAnsi="Times New Roman"/>
          <w:noProof/>
          <w:sz w:val="24"/>
        </w:rPr>
        <w:t>19</w:t>
      </w:r>
      <w:r>
        <w:rPr>
          <w:rFonts w:ascii="Times New Roman" w:hAnsi="Times New Roman"/>
          <w:noProof/>
          <w:sz w:val="24"/>
        </w:rPr>
        <w:t xml:space="preserve"> și agresiunea Rusiei împotriva Ucrainei, este extrem de important ca UE să continue să răspundă provocărilor climatice și de mediu, să construiască economii reziliente și durabile și societăți echitabile, să stimuleze competitivitatea pe termen lung a economiei UE</w:t>
      </w:r>
      <w:r>
        <w:rPr>
          <w:rStyle w:val="FootnoteReference"/>
          <w:rFonts w:ascii="Times New Roman" w:eastAsia="Calibri" w:hAnsi="Times New Roman" w:cs="Times New Roman"/>
          <w:noProof/>
          <w:sz w:val="24"/>
          <w:szCs w:val="24"/>
        </w:rPr>
        <w:footnoteReference w:id="3"/>
      </w:r>
      <w:r>
        <w:rPr>
          <w:rFonts w:ascii="Times New Roman" w:hAnsi="Times New Roman"/>
          <w:noProof/>
          <w:sz w:val="24"/>
        </w:rPr>
        <w:t>, să modeleze transformarea digitală a serviciilor și a mediului de lucru, să promoveze democrația și să joace un rol important în lume.</w:t>
      </w:r>
    </w:p>
    <w:p w14:paraId="0963565E" w14:textId="1966FE80" w:rsidR="00902721" w:rsidRPr="00B459D5" w:rsidRDefault="004F57FE"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Realizarea acestei agende politice se bazează pe existența, în statele membre, la toate nivelurile, a unor administrații publice de înaltă calitate, competente, inovatoare și reziliente.</w:t>
      </w:r>
      <w:r>
        <w:rPr>
          <w:rFonts w:ascii="Times New Roman" w:hAnsi="Times New Roman"/>
          <w:noProof/>
          <w:sz w:val="24"/>
        </w:rPr>
        <w:t xml:space="preserve"> Administrațiile publice transpun politicile și legislația UE în acțiuni naționale bine concepute, bazate pe realitatea locului și pe dovezi și adaptate mediului digital și exigențelor viitorului. Acestea concep și pun în aplicare politici esențiale pentru realizarea neutralității climatice și a obiectivelor Agendei </w:t>
      </w:r>
      <w:r w:rsidRPr="00D54BBD">
        <w:rPr>
          <w:rFonts w:ascii="Times New Roman" w:hAnsi="Times New Roman"/>
          <w:noProof/>
          <w:sz w:val="24"/>
        </w:rPr>
        <w:t>2030</w:t>
      </w:r>
      <w:r>
        <w:rPr>
          <w:rFonts w:ascii="Times New Roman" w:hAnsi="Times New Roman"/>
          <w:noProof/>
          <w:sz w:val="24"/>
        </w:rPr>
        <w:t xml:space="preserve"> pentru dezvoltare durabilă. Ele au un rol esențial în pregătirea UE pentru era digitală prin asigurarea unor servicii publice digitale fără întreruperi, securizate și interoperabile pentru o piață unică pe deplin funcțională, prin asigurarea asimilării competențelor digitale în întreaga societate, prin încurajarea adoptării tehnologiilor emergente și prin consolidarea răspunderii și a supravegherii publice în contextul utilizării acestora. Administrația publică, sectorul privat, partenerii sociali și instituțiile de învățământ conturează competitivitatea forței de muncă și a mediului de afaceri prin promovarea competențelor viitorului</w:t>
      </w:r>
      <w:r>
        <w:rPr>
          <w:rStyle w:val="FootnoteReference"/>
          <w:rFonts w:ascii="Times New Roman" w:eastAsia="Calibri" w:hAnsi="Times New Roman" w:cs="Times New Roman"/>
          <w:noProof/>
          <w:sz w:val="24"/>
          <w:szCs w:val="24"/>
        </w:rPr>
        <w:footnoteReference w:id="4"/>
      </w:r>
      <w:r>
        <w:rPr>
          <w:rFonts w:ascii="Times New Roman" w:hAnsi="Times New Roman"/>
          <w:noProof/>
          <w:sz w:val="24"/>
        </w:rPr>
        <w:t>.</w:t>
      </w:r>
    </w:p>
    <w:p w14:paraId="09635660" w14:textId="49DBD0A6" w:rsidR="00902721"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 xml:space="preserve">Administrațiile publice de la nivel central, regional și local sunt responsabile de asigurarea gestionării solide și durabile a bugetelor UE și naționale. </w:t>
      </w:r>
      <w:r>
        <w:rPr>
          <w:rFonts w:ascii="Times New Roman" w:hAnsi="Times New Roman"/>
          <w:noProof/>
          <w:sz w:val="24"/>
        </w:rPr>
        <w:t xml:space="preserve">Acestea colectează fonduri și venituri publice și execută direct aproximativ o treime din bugetul UE, </w:t>
      </w:r>
      <w:r>
        <w:rPr>
          <w:rStyle w:val="cf01"/>
          <w:rFonts w:ascii="Times New Roman" w:hAnsi="Times New Roman"/>
          <w:noProof/>
          <w:sz w:val="24"/>
        </w:rPr>
        <w:t xml:space="preserve">inclusiv fondurile de coeziune, NextGenerationEU și </w:t>
      </w:r>
      <w:r>
        <w:rPr>
          <w:rStyle w:val="cf11"/>
          <w:rFonts w:ascii="Times New Roman" w:hAnsi="Times New Roman"/>
          <w:noProof/>
          <w:sz w:val="24"/>
          <w:u w:val="none"/>
        </w:rPr>
        <w:t>elementul central al acestuia, Mecanismul de redresare și reziliență (MRR). Administrațiile publice</w:t>
      </w:r>
      <w:r>
        <w:rPr>
          <w:rFonts w:ascii="Times New Roman" w:hAnsi="Times New Roman"/>
          <w:noProof/>
          <w:sz w:val="24"/>
        </w:rPr>
        <w:t xml:space="preserve"> sunt esențiale pentru conceperea și punerea în aplicare a reformelor și a investițiilor în cadrul planurilor naționale de redresare și reziliență (PNRR), precum și a strategiilor de dezvoltare regională care stau la baza unei utilizări eficace a fondurilor de coeziune. Administrațiile publice gestionează sectorul public, care este responsabil pentru </w:t>
      </w:r>
      <w:r w:rsidRPr="00D54BBD">
        <w:rPr>
          <w:rFonts w:ascii="Times New Roman" w:hAnsi="Times New Roman"/>
          <w:noProof/>
          <w:sz w:val="24"/>
        </w:rPr>
        <w:t>51</w:t>
      </w:r>
      <w:r>
        <w:rPr>
          <w:rFonts w:ascii="Times New Roman" w:hAnsi="Times New Roman"/>
          <w:noProof/>
          <w:sz w:val="24"/>
        </w:rPr>
        <w:t>,</w:t>
      </w:r>
      <w:r w:rsidRPr="00D54BBD">
        <w:rPr>
          <w:rFonts w:ascii="Times New Roman" w:hAnsi="Times New Roman"/>
          <w:noProof/>
          <w:sz w:val="24"/>
        </w:rPr>
        <w:t>5</w:t>
      </w:r>
      <w:r>
        <w:rPr>
          <w:rFonts w:ascii="Times New Roman" w:hAnsi="Times New Roman"/>
          <w:noProof/>
          <w:sz w:val="24"/>
        </w:rPr>
        <w:t> % din PIB</w:t>
      </w:r>
      <w:r w:rsidR="00D54BBD">
        <w:rPr>
          <w:rFonts w:ascii="Times New Roman" w:hAnsi="Times New Roman" w:cs="Times New Roman"/>
          <w:noProof/>
          <w:sz w:val="24"/>
        </w:rPr>
        <w:t>­</w:t>
      </w:r>
      <w:r>
        <w:rPr>
          <w:rFonts w:ascii="Times New Roman" w:hAnsi="Times New Roman"/>
          <w:noProof/>
          <w:sz w:val="24"/>
        </w:rPr>
        <w:t>ul UE</w:t>
      </w:r>
      <w:r>
        <w:rPr>
          <w:rStyle w:val="FootnoteReference"/>
          <w:rFonts w:ascii="Times New Roman" w:eastAsia="Calibri" w:hAnsi="Times New Roman" w:cs="Times New Roman"/>
          <w:noProof/>
          <w:sz w:val="24"/>
          <w:szCs w:val="24"/>
        </w:rPr>
        <w:footnoteReference w:id="5"/>
      </w:r>
      <w:r>
        <w:rPr>
          <w:rFonts w:ascii="Times New Roman" w:hAnsi="Times New Roman"/>
          <w:noProof/>
          <w:sz w:val="24"/>
        </w:rPr>
        <w:t xml:space="preserve">, asigură locuri de muncă pentru aproximativ </w:t>
      </w:r>
      <w:r w:rsidRPr="00D54BBD">
        <w:rPr>
          <w:rFonts w:ascii="Times New Roman" w:hAnsi="Times New Roman"/>
          <w:noProof/>
          <w:sz w:val="24"/>
        </w:rPr>
        <w:t>21</w:t>
      </w:r>
      <w:r>
        <w:rPr>
          <w:rFonts w:ascii="Times New Roman" w:hAnsi="Times New Roman"/>
          <w:noProof/>
          <w:sz w:val="24"/>
        </w:rPr>
        <w:t> % din forța de muncă din UE</w:t>
      </w:r>
      <w:r>
        <w:rPr>
          <w:rStyle w:val="FootnoteReference"/>
          <w:rFonts w:ascii="Times New Roman" w:eastAsia="Calibri" w:hAnsi="Times New Roman" w:cs="Times New Roman"/>
          <w:noProof/>
          <w:sz w:val="24"/>
          <w:szCs w:val="24"/>
        </w:rPr>
        <w:footnoteReference w:id="6"/>
      </w:r>
      <w:r>
        <w:rPr>
          <w:rFonts w:ascii="Times New Roman" w:hAnsi="Times New Roman"/>
          <w:noProof/>
          <w:sz w:val="24"/>
        </w:rPr>
        <w:t xml:space="preserve">, reprezintă </w:t>
      </w:r>
      <w:r w:rsidRPr="00D54BBD">
        <w:rPr>
          <w:rFonts w:ascii="Times New Roman" w:hAnsi="Times New Roman"/>
          <w:noProof/>
          <w:sz w:val="24"/>
        </w:rPr>
        <w:t>19</w:t>
      </w:r>
      <w:r>
        <w:rPr>
          <w:rFonts w:ascii="Times New Roman" w:hAnsi="Times New Roman"/>
          <w:noProof/>
          <w:sz w:val="24"/>
        </w:rPr>
        <w:t>,</w:t>
      </w:r>
      <w:r w:rsidRPr="00D54BBD">
        <w:rPr>
          <w:rFonts w:ascii="Times New Roman" w:hAnsi="Times New Roman"/>
          <w:noProof/>
          <w:sz w:val="24"/>
        </w:rPr>
        <w:t>8</w:t>
      </w:r>
      <w:r>
        <w:rPr>
          <w:rFonts w:ascii="Times New Roman" w:hAnsi="Times New Roman"/>
          <w:noProof/>
          <w:sz w:val="24"/>
        </w:rPr>
        <w:t> % din valoarea adăugată brută totală a UE</w:t>
      </w:r>
      <w:r>
        <w:rPr>
          <w:rStyle w:val="FootnoteReference"/>
          <w:rFonts w:ascii="Times New Roman" w:eastAsia="Calibri" w:hAnsi="Times New Roman" w:cs="Times New Roman"/>
          <w:noProof/>
          <w:sz w:val="24"/>
          <w:szCs w:val="24"/>
        </w:rPr>
        <w:footnoteReference w:id="7"/>
      </w:r>
      <w:r>
        <w:rPr>
          <w:rFonts w:ascii="Times New Roman" w:hAnsi="Times New Roman"/>
          <w:noProof/>
          <w:sz w:val="24"/>
        </w:rPr>
        <w:t xml:space="preserve"> și creează în fiecare an o piață în valoare de aproximativ </w:t>
      </w:r>
      <w:r w:rsidRPr="00D54BBD">
        <w:rPr>
          <w:rFonts w:ascii="Times New Roman" w:hAnsi="Times New Roman"/>
          <w:noProof/>
          <w:sz w:val="24"/>
        </w:rPr>
        <w:t>670</w:t>
      </w:r>
      <w:r>
        <w:rPr>
          <w:rFonts w:ascii="Times New Roman" w:hAnsi="Times New Roman"/>
          <w:noProof/>
          <w:sz w:val="24"/>
        </w:rPr>
        <w:t xml:space="preserve"> de miliarde EUR prin contracte de achiziții publice de lucrări și de bunuri</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w:t>
      </w:r>
    </w:p>
    <w:p w14:paraId="205F986F" w14:textId="09C4BF51" w:rsidR="00936851" w:rsidRPr="00B459D5" w:rsidRDefault="00936851" w:rsidP="00936851">
      <w:pPr>
        <w:spacing w:before="120" w:after="120" w:line="240" w:lineRule="auto"/>
        <w:jc w:val="both"/>
        <w:rPr>
          <w:rFonts w:ascii="Times New Roman" w:eastAsia="Calibri" w:hAnsi="Times New Roman" w:cs="Times New Roman"/>
          <w:noProof/>
        </w:rPr>
      </w:pPr>
      <w:r w:rsidRPr="00D54BBD">
        <w:rPr>
          <w:rFonts w:ascii="Times New Roman" w:hAnsi="Times New Roman"/>
          <w:b/>
          <w:noProof/>
          <w:sz w:val="24"/>
        </w:rPr>
        <w:t>Administrațiile publice joacă un rol esențial în promovarea dezvoltării tuturor regiunilor</w:t>
      </w:r>
      <w:r>
        <w:rPr>
          <w:rStyle w:val="FootnoteReference"/>
          <w:rFonts w:ascii="Times New Roman" w:eastAsia="Calibri" w:hAnsi="Times New Roman" w:cs="Times New Roman"/>
          <w:noProof/>
          <w:sz w:val="24"/>
          <w:szCs w:val="24"/>
        </w:rPr>
        <w:footnoteReference w:id="9"/>
      </w:r>
      <w:r>
        <w:rPr>
          <w:rFonts w:ascii="Times New Roman" w:hAnsi="Times New Roman"/>
          <w:noProof/>
          <w:sz w:val="24"/>
        </w:rPr>
        <w:t>. Calitatea instituțiilor publice de la nivel regional și local este o condiție prealabilă pentru politicile bazate pe realitatea locului, competitivitatea regională și atractivitatea pentru investiții</w:t>
      </w:r>
      <w:r>
        <w:rPr>
          <w:rStyle w:val="FootnoteReference"/>
          <w:rFonts w:ascii="Times New Roman" w:eastAsia="Calibri" w:hAnsi="Times New Roman" w:cs="Times New Roman"/>
          <w:noProof/>
          <w:sz w:val="24"/>
          <w:szCs w:val="24"/>
        </w:rPr>
        <w:footnoteReference w:id="10"/>
      </w:r>
      <w:r>
        <w:rPr>
          <w:rFonts w:ascii="Times New Roman" w:hAnsi="Times New Roman"/>
          <w:noProof/>
          <w:sz w:val="24"/>
        </w:rPr>
        <w:t xml:space="preserve">. Acest aspect este important pentru a se evita capcanele dezvoltării, în special în regiunile mai puțin dezvoltate și în regiunile de tranziție. </w:t>
      </w:r>
    </w:p>
    <w:p w14:paraId="09635661" w14:textId="53F705C6" w:rsidR="00902721"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Administrațiile publice sunt esențiale pentru o guvernanță democratică și pentru respectarea statului de drept.</w:t>
      </w:r>
      <w:r>
        <w:rPr>
          <w:rFonts w:ascii="Times New Roman" w:hAnsi="Times New Roman"/>
          <w:noProof/>
        </w:rPr>
        <w:t xml:space="preserve"> </w:t>
      </w:r>
      <w:r>
        <w:rPr>
          <w:rFonts w:ascii="Times New Roman" w:hAnsi="Times New Roman"/>
          <w:noProof/>
          <w:sz w:val="24"/>
        </w:rPr>
        <w:t>Administrațiile publice trebuie să mențină și să îmbunătățească încrederea publicului și să susțină democrația</w:t>
      </w:r>
      <w:r>
        <w:rPr>
          <w:rStyle w:val="FootnoteReference"/>
          <w:rFonts w:ascii="Times New Roman" w:eastAsia="Calibri" w:hAnsi="Times New Roman" w:cs="Times New Roman"/>
          <w:noProof/>
          <w:sz w:val="24"/>
          <w:szCs w:val="24"/>
        </w:rPr>
        <w:footnoteReference w:id="11"/>
      </w:r>
      <w:r w:rsidRPr="00D54BBD">
        <w:rPr>
          <w:rFonts w:ascii="Times New Roman" w:hAnsi="Times New Roman"/>
          <w:b/>
          <w:noProof/>
          <w:sz w:val="24"/>
        </w:rPr>
        <w:t xml:space="preserve"> </w:t>
      </w:r>
      <w:r>
        <w:rPr>
          <w:rFonts w:ascii="Times New Roman" w:hAnsi="Times New Roman"/>
          <w:noProof/>
          <w:sz w:val="24"/>
        </w:rPr>
        <w:t>prin standarde înalte de integritate, de transparență, de responsabilitate și de prevenire și combatere a corupției</w:t>
      </w:r>
      <w:r>
        <w:rPr>
          <w:rStyle w:val="FootnoteReference"/>
          <w:rFonts w:ascii="Times New Roman" w:eastAsia="Calibri" w:hAnsi="Times New Roman" w:cs="Times New Roman"/>
          <w:noProof/>
          <w:sz w:val="24"/>
          <w:szCs w:val="24"/>
        </w:rPr>
        <w:footnoteReference w:id="12"/>
      </w:r>
      <w:r>
        <w:rPr>
          <w:rFonts w:ascii="Times New Roman" w:hAnsi="Times New Roman"/>
          <w:noProof/>
          <w:sz w:val="24"/>
        </w:rPr>
        <w:t>. Ele asigură un proces participativ de elaborare a politicilor și calitatea, incluziunea și proximitatea serviciilor</w:t>
      </w:r>
      <w:r>
        <w:rPr>
          <w:rStyle w:val="FootnoteReference"/>
          <w:rFonts w:ascii="Times New Roman" w:eastAsia="Calibri" w:hAnsi="Times New Roman" w:cs="Times New Roman"/>
          <w:noProof/>
          <w:sz w:val="24"/>
          <w:szCs w:val="24"/>
        </w:rPr>
        <w:footnoteReference w:id="13"/>
      </w:r>
      <w:r>
        <w:rPr>
          <w:rFonts w:ascii="Times New Roman" w:hAnsi="Times New Roman"/>
          <w:noProof/>
          <w:sz w:val="24"/>
        </w:rPr>
        <w:t>, cadre de reglementare corespunzătoare prin utilizarea celor mai bune cunoștințe și dovezi științifice disponibile, inclusiv prin utilizarea etică a IA și a altor tehnologii digitale, și prin protejarea sustenabilității finanțelor publice. Administrațiile publice care funcționează bine răspund nevoilor cetățenilor, acordând o atenție deosebită persoanelor celor mai vulnerabile, precum și nevoilor întreprinderilor, prin eliminarea barierelor rămase, prin reducerea sarcinii administrative și prin intensificarea funcționării pieței unice și aplicarea celor patru libertăți fundamentale ale acesteia.</w:t>
      </w:r>
    </w:p>
    <w:p w14:paraId="09635663" w14:textId="5871A480" w:rsidR="00902721"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Standardele de calitate ale administrațiilor publice ale statelor membre reprezintă, de asemenea, un punct de referință pentru țările implicate în procesul de aderare</w:t>
      </w:r>
      <w:r>
        <w:rPr>
          <w:rFonts w:ascii="Times New Roman" w:hAnsi="Times New Roman"/>
          <w:noProof/>
          <w:sz w:val="24"/>
        </w:rPr>
        <w:t>, care își</w:t>
      </w:r>
      <w:r w:rsidRPr="00D54BBD">
        <w:rPr>
          <w:rFonts w:ascii="Times New Roman" w:hAnsi="Times New Roman"/>
          <w:b/>
          <w:noProof/>
          <w:sz w:val="24"/>
        </w:rPr>
        <w:t xml:space="preserve"> </w:t>
      </w:r>
      <w:r>
        <w:rPr>
          <w:rFonts w:ascii="Times New Roman" w:hAnsi="Times New Roman"/>
          <w:noProof/>
          <w:sz w:val="24"/>
        </w:rPr>
        <w:t xml:space="preserve">aliniază legislațiile și practicile la cele ale UE și care se confruntă cu provocări similare, cum ar fi dubla tranziție și schimbările demografice. O administrație publică de calitate este deja o cerință fundamentală pentru aderare, la fel ca și statul de drept. </w:t>
      </w:r>
    </w:p>
    <w:p w14:paraId="09635664" w14:textId="7E163748" w:rsidR="00902721"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Eficacitatea autorităților publice din întreaga UE ar trebui îmbunătățită</w:t>
      </w:r>
      <w:r>
        <w:rPr>
          <w:rStyle w:val="FootnoteReference"/>
          <w:rFonts w:ascii="Times New Roman" w:eastAsia="Calibri" w:hAnsi="Times New Roman" w:cs="Times New Roman"/>
          <w:noProof/>
          <w:sz w:val="24"/>
          <w:szCs w:val="24"/>
        </w:rPr>
        <w:footnoteReference w:id="14"/>
      </w:r>
      <w:r>
        <w:rPr>
          <w:rFonts w:ascii="Times New Roman" w:hAnsi="Times New Roman"/>
          <w:noProof/>
          <w:sz w:val="24"/>
        </w:rPr>
        <w:t>. Administrațiile publice au reușit, în general, să își mențină funcțiile critice pe parcursul crizei provocate de pandemia de COVID-</w:t>
      </w:r>
      <w:r w:rsidRPr="00D54BBD">
        <w:rPr>
          <w:rFonts w:ascii="Times New Roman" w:hAnsi="Times New Roman"/>
          <w:noProof/>
          <w:sz w:val="24"/>
        </w:rPr>
        <w:t>19</w:t>
      </w:r>
      <w:r>
        <w:rPr>
          <w:rStyle w:val="FootnoteReference"/>
          <w:rFonts w:ascii="Times New Roman" w:eastAsia="Calibri" w:hAnsi="Times New Roman" w:cs="Times New Roman"/>
          <w:noProof/>
          <w:sz w:val="24"/>
          <w:szCs w:val="24"/>
        </w:rPr>
        <w:footnoteReference w:id="15"/>
      </w:r>
      <w:r>
        <w:rPr>
          <w:rFonts w:ascii="Times New Roman" w:hAnsi="Times New Roman"/>
          <w:noProof/>
          <w:sz w:val="24"/>
        </w:rPr>
        <w:t>, însă aceasta din urmă a amplificat lacunele în ceea ce privește pregătirea digitală, inconsecvențele în ceea ce privește capacitățile de planificare strategică și de gestionare a crizelor. Există în continuare diferențe importante între statele membre în ceea ce privește calitatea serviciilor și procesul de elaborare a politicilor</w:t>
      </w:r>
      <w:r>
        <w:rPr>
          <w:rStyle w:val="FootnoteReference"/>
          <w:rFonts w:ascii="Times New Roman" w:eastAsia="Calibri" w:hAnsi="Times New Roman" w:cs="Times New Roman"/>
          <w:noProof/>
          <w:sz w:val="24"/>
          <w:szCs w:val="24"/>
        </w:rPr>
        <w:footnoteReference w:id="16"/>
      </w:r>
      <w:r>
        <w:rPr>
          <w:rFonts w:ascii="Times New Roman" w:hAnsi="Times New Roman"/>
          <w:noProof/>
          <w:sz w:val="24"/>
        </w:rPr>
        <w:t xml:space="preserve">. Prin intermediul semestrului european, în special în anexa dedicată administrației publice din rapoartele de țară, Comisia și-a concentrat din ce în ce mai mult atenția asupra calității administrației publice. </w:t>
      </w:r>
    </w:p>
    <w:p w14:paraId="09635665" w14:textId="696E07C3" w:rsidR="00902721" w:rsidRPr="00B459D5" w:rsidRDefault="00291065"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Dacă punerea în aplicare a politicilor UE și performanța administrativă ar fi îmbunătățite, contribuabilii și întreprinderile din UE ar putea economisi anual miliarde de euro</w:t>
      </w:r>
      <w:r>
        <w:rPr>
          <w:rFonts w:ascii="Times New Roman" w:hAnsi="Times New Roman"/>
          <w:noProof/>
          <w:sz w:val="24"/>
        </w:rPr>
        <w:t xml:space="preserve">. Statele membre ar putea economisi </w:t>
      </w:r>
      <w:r w:rsidRPr="00D54BBD">
        <w:rPr>
          <w:rFonts w:ascii="Times New Roman" w:hAnsi="Times New Roman"/>
          <w:noProof/>
          <w:sz w:val="24"/>
        </w:rPr>
        <w:t>64</w:t>
      </w:r>
      <w:r>
        <w:rPr>
          <w:rFonts w:ascii="Times New Roman" w:hAnsi="Times New Roman"/>
          <w:noProof/>
          <w:sz w:val="24"/>
        </w:rPr>
        <w:t>,</w:t>
      </w:r>
      <w:r w:rsidRPr="00D54BBD">
        <w:rPr>
          <w:rFonts w:ascii="Times New Roman" w:hAnsi="Times New Roman"/>
          <w:noProof/>
          <w:sz w:val="24"/>
        </w:rPr>
        <w:t>2</w:t>
      </w:r>
      <w:r>
        <w:rPr>
          <w:rFonts w:ascii="Times New Roman" w:hAnsi="Times New Roman"/>
          <w:noProof/>
          <w:sz w:val="24"/>
        </w:rPr>
        <w:t xml:space="preserve"> miliarde EUR anual prin îmbunătățirea performanței lor administrative. Întreprinderile ar putea economisi </w:t>
      </w:r>
      <w:r w:rsidRPr="00D54BBD">
        <w:rPr>
          <w:rFonts w:ascii="Times New Roman" w:hAnsi="Times New Roman"/>
          <w:noProof/>
          <w:sz w:val="24"/>
        </w:rPr>
        <w:t>2</w:t>
      </w:r>
      <w:r>
        <w:rPr>
          <w:rFonts w:ascii="Times New Roman" w:hAnsi="Times New Roman"/>
          <w:noProof/>
          <w:sz w:val="24"/>
        </w:rPr>
        <w:t>,</w:t>
      </w:r>
      <w:r w:rsidRPr="00D54BBD">
        <w:rPr>
          <w:rFonts w:ascii="Times New Roman" w:hAnsi="Times New Roman"/>
          <w:noProof/>
          <w:sz w:val="24"/>
        </w:rPr>
        <w:t>2</w:t>
      </w:r>
      <w:r>
        <w:rPr>
          <w:rFonts w:ascii="Times New Roman" w:hAnsi="Times New Roman"/>
          <w:noProof/>
          <w:sz w:val="24"/>
        </w:rPr>
        <w:t xml:space="preserve"> miliarde EUR anual la nivelul UE dacă procedurile administrative și costurile de înființare a unei întreprinderi ar fi aliniate la cele ale statelor membre cu cele mai bune rezultate</w:t>
      </w:r>
      <w:r>
        <w:rPr>
          <w:rStyle w:val="FootnoteReference"/>
          <w:rFonts w:ascii="Times New Roman" w:eastAsia="Calibri" w:hAnsi="Times New Roman" w:cs="Times New Roman"/>
          <w:noProof/>
          <w:sz w:val="24"/>
          <w:szCs w:val="24"/>
        </w:rPr>
        <w:footnoteReference w:id="17"/>
      </w:r>
      <w:r>
        <w:rPr>
          <w:rFonts w:ascii="Times New Roman" w:hAnsi="Times New Roman"/>
          <w:noProof/>
          <w:sz w:val="24"/>
        </w:rPr>
        <w:t>. Într-un sondaj Eurobarometru recent</w:t>
      </w:r>
      <w:r>
        <w:rPr>
          <w:rStyle w:val="FootnoteReference"/>
          <w:rFonts w:ascii="Times New Roman" w:eastAsia="Calibri" w:hAnsi="Times New Roman" w:cs="Times New Roman"/>
          <w:noProof/>
          <w:sz w:val="24"/>
          <w:szCs w:val="24"/>
        </w:rPr>
        <w:footnoteReference w:id="18"/>
      </w:r>
      <w:r>
        <w:rPr>
          <w:rFonts w:ascii="Times New Roman" w:hAnsi="Times New Roman"/>
          <w:noProof/>
          <w:sz w:val="24"/>
        </w:rPr>
        <w:t>, europenii și</w:t>
      </w:r>
      <w:r w:rsidR="005235E0">
        <w:rPr>
          <w:rFonts w:ascii="Times New Roman" w:hAnsi="Times New Roman" w:cs="Times New Roman"/>
          <w:noProof/>
          <w:sz w:val="24"/>
        </w:rPr>
        <w:t>­</w:t>
      </w:r>
      <w:r>
        <w:rPr>
          <w:rFonts w:ascii="Times New Roman" w:hAnsi="Times New Roman"/>
          <w:noProof/>
          <w:sz w:val="24"/>
        </w:rPr>
        <w:t>au exprimat așteptarea ca administrațiile publice să devină mai puțin birocratice (</w:t>
      </w:r>
      <w:r w:rsidRPr="00D54BBD">
        <w:rPr>
          <w:rFonts w:ascii="Times New Roman" w:hAnsi="Times New Roman"/>
          <w:noProof/>
          <w:sz w:val="24"/>
        </w:rPr>
        <w:t>48</w:t>
      </w:r>
      <w:r>
        <w:rPr>
          <w:rFonts w:ascii="Times New Roman" w:hAnsi="Times New Roman"/>
          <w:noProof/>
          <w:sz w:val="24"/>
        </w:rPr>
        <w:t> %), mai rapide în furnizarea de servicii (</w:t>
      </w:r>
      <w:r w:rsidRPr="00D54BBD">
        <w:rPr>
          <w:rFonts w:ascii="Times New Roman" w:hAnsi="Times New Roman"/>
          <w:noProof/>
          <w:sz w:val="24"/>
        </w:rPr>
        <w:t>47</w:t>
      </w:r>
      <w:r>
        <w:rPr>
          <w:rFonts w:ascii="Times New Roman" w:hAnsi="Times New Roman"/>
          <w:noProof/>
          <w:sz w:val="24"/>
        </w:rPr>
        <w:t> %), mai transparente și mai apropiate de cetățeni. De asemenea, în opinia lor, Comisia face posibilă o mai bună reacție la crize și este un important facilitator al cooperării și al schimbului de cunoștințe cu scopul ca administrațiile publice să devină mai eficiente și mai eficace.</w:t>
      </w:r>
    </w:p>
    <w:p w14:paraId="37A393FF" w14:textId="24081C89" w:rsidR="008A62F2" w:rsidRPr="00B459D5" w:rsidRDefault="00055DA4" w:rsidP="004D403F">
      <w:pPr>
        <w:spacing w:line="240" w:lineRule="auto"/>
        <w:jc w:val="both"/>
        <w:rPr>
          <w:noProof/>
        </w:rPr>
      </w:pPr>
      <w:r w:rsidRPr="00D54BBD">
        <w:rPr>
          <w:rFonts w:ascii="Times New Roman" w:hAnsi="Times New Roman"/>
          <w:b/>
          <w:noProof/>
          <w:sz w:val="24"/>
        </w:rPr>
        <w:t>Administrațiile publice trebuie să anticipeze schimbările, nu doar să răspundă la acestea</w:t>
      </w:r>
      <w:r>
        <w:rPr>
          <w:rStyle w:val="FootnoteReference"/>
          <w:rFonts w:ascii="Times New Roman" w:eastAsia="Calibri" w:hAnsi="Times New Roman" w:cs="Times New Roman"/>
          <w:noProof/>
          <w:sz w:val="24"/>
          <w:szCs w:val="24"/>
        </w:rPr>
        <w:footnoteReference w:id="19"/>
      </w:r>
      <w:r>
        <w:rPr>
          <w:rFonts w:ascii="Times New Roman" w:hAnsi="Times New Roman"/>
          <w:noProof/>
          <w:sz w:val="24"/>
        </w:rPr>
        <w:t>. În acest scop, ele trebuie să își consolideze capacitatea de planificare la nivelul întregii administrații, să își adapteze metodele de lucru la schimbările tehnologice rapide și să asigure în permanență revizuirea și inovarea în ceea ce privește procesul de elaborare a politicilor</w:t>
      </w:r>
      <w:r>
        <w:rPr>
          <w:rStyle w:val="FootnoteReference"/>
          <w:rFonts w:ascii="Times New Roman" w:eastAsia="Calibri" w:hAnsi="Times New Roman" w:cs="Times New Roman"/>
          <w:noProof/>
          <w:sz w:val="24"/>
          <w:szCs w:val="24"/>
        </w:rPr>
        <w:footnoteReference w:id="20"/>
      </w:r>
      <w:r>
        <w:rPr>
          <w:rFonts w:ascii="Times New Roman" w:hAnsi="Times New Roman"/>
          <w:noProof/>
          <w:sz w:val="24"/>
        </w:rPr>
        <w:t xml:space="preserve"> și furnizarea de servicii orientate către cetățeni. În același timp, pe lângă planificarea strategică în desfășurare în cadrul exercițiului bugetar multianual sau al programării fondurilor structurale și de coeziune ale UE, administrațiile publice ar trebui să promoveze activități și capacități orientate spre viitor, cum ar fi analiza prospectivă strategică în cooperare cu mediul academic, cercetători și grupuri de reflecție specializate.</w:t>
      </w:r>
    </w:p>
    <w:p w14:paraId="09635667" w14:textId="43F0D216" w:rsidR="00902721"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Administrațiile publice se confruntă cu dificultăți din ce în ce mai mari în ceea ce privește asigurarea unei forțe de muncă profesioniste și stabile</w:t>
      </w:r>
      <w:r>
        <w:rPr>
          <w:rStyle w:val="FootnoteReference"/>
          <w:rFonts w:ascii="Times New Roman" w:eastAsia="Calibri" w:hAnsi="Times New Roman" w:cs="Times New Roman"/>
          <w:noProof/>
          <w:sz w:val="24"/>
          <w:szCs w:val="24"/>
        </w:rPr>
        <w:footnoteReference w:id="21"/>
      </w:r>
      <w:r w:rsidRPr="00D54BBD">
        <w:rPr>
          <w:rFonts w:ascii="Times New Roman" w:hAnsi="Times New Roman"/>
          <w:b/>
          <w:noProof/>
          <w:sz w:val="24"/>
        </w:rPr>
        <w:t xml:space="preserve">. </w:t>
      </w:r>
      <w:r>
        <w:rPr>
          <w:rFonts w:ascii="Times New Roman" w:hAnsi="Times New Roman"/>
          <w:noProof/>
          <w:sz w:val="24"/>
        </w:rPr>
        <w:t>Doar unul din șapte europeni</w:t>
      </w:r>
      <w:r>
        <w:rPr>
          <w:rFonts w:ascii="Times New Roman" w:hAnsi="Times New Roman"/>
          <w:noProof/>
        </w:rPr>
        <w:t xml:space="preserve"> </w:t>
      </w:r>
      <w:r>
        <w:rPr>
          <w:rFonts w:ascii="Times New Roman" w:hAnsi="Times New Roman"/>
          <w:noProof/>
          <w:sz w:val="24"/>
        </w:rPr>
        <w:t>consideră că administrațiile publice sunt un angajator atractiv</w:t>
      </w:r>
      <w:r>
        <w:rPr>
          <w:rStyle w:val="FootnoteReference"/>
          <w:rFonts w:ascii="Times New Roman" w:eastAsia="Calibri" w:hAnsi="Times New Roman" w:cs="Times New Roman"/>
          <w:noProof/>
          <w:sz w:val="24"/>
          <w:szCs w:val="24"/>
        </w:rPr>
        <w:footnoteReference w:id="22"/>
      </w:r>
      <w:r>
        <w:rPr>
          <w:rFonts w:ascii="Times New Roman" w:hAnsi="Times New Roman"/>
          <w:noProof/>
          <w:sz w:val="24"/>
        </w:rPr>
        <w:t xml:space="preserve">. Administrațiile regionale și locale mai puțin dezvoltate și populate se confruntă cu și mai multe obstacole în ceea ce privește atragerea talentelor. Datele demografice arată că îmbătrânirea populației în mai multe state membre va cauza, în următorii </w:t>
      </w:r>
      <w:r w:rsidRPr="00D54BBD">
        <w:rPr>
          <w:rFonts w:ascii="Times New Roman" w:hAnsi="Times New Roman"/>
          <w:noProof/>
          <w:sz w:val="24"/>
        </w:rPr>
        <w:t>10</w:t>
      </w:r>
      <w:r>
        <w:rPr>
          <w:rFonts w:ascii="Times New Roman" w:hAnsi="Times New Roman"/>
          <w:noProof/>
          <w:sz w:val="24"/>
        </w:rPr>
        <w:t xml:space="preserve"> ani, valuri mari de pensionări în administrațiile publice ale acestora. Având în vedere cerințele specifice și perioadele lungi de recrutare, administrațiile publice sunt expuse unor riscuri grave în ceea ce privește asigurarea continuității, stabilității, adaptabilității și bunei performanțe. Învățarea în rândul adulților are un nivel scăzut în unele state membre, fiind astfel limitată rezerva de competențe de care pot beneficia administrațiile</w:t>
      </w:r>
      <w:r>
        <w:rPr>
          <w:rStyle w:val="FootnoteReference"/>
          <w:rFonts w:ascii="Times New Roman" w:eastAsia="Calibri" w:hAnsi="Times New Roman" w:cs="Times New Roman"/>
          <w:noProof/>
          <w:sz w:val="24"/>
          <w:szCs w:val="24"/>
        </w:rPr>
        <w:footnoteReference w:id="23"/>
      </w:r>
      <w:r>
        <w:rPr>
          <w:rFonts w:ascii="Times New Roman" w:hAnsi="Times New Roman"/>
          <w:noProof/>
          <w:sz w:val="24"/>
        </w:rPr>
        <w:t>. În plus, externalizarea expertizei tinde să diminueze capacitatea administrațiilor publice de a învăța și de a acumula experiență pentru gestionarea unor sarcini mai complexe.</w:t>
      </w:r>
    </w:p>
    <w:p w14:paraId="68467B77" w14:textId="79023052" w:rsidR="00D72CEC"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Recunoscând provocările de mai sus, Comisia a instituit o serie de instrumente pentru a sprijini transformarea administrativă a statelor membre</w:t>
      </w:r>
      <w:r>
        <w:rPr>
          <w:rStyle w:val="FootnoteReference"/>
          <w:rFonts w:ascii="Times New Roman" w:eastAsia="Calibri" w:hAnsi="Times New Roman" w:cs="Times New Roman"/>
          <w:noProof/>
          <w:sz w:val="24"/>
          <w:szCs w:val="24"/>
        </w:rPr>
        <w:footnoteReference w:id="24"/>
      </w:r>
      <w:r>
        <w:rPr>
          <w:rFonts w:ascii="Times New Roman" w:hAnsi="Times New Roman"/>
          <w:noProof/>
          <w:sz w:val="24"/>
        </w:rPr>
        <w:t>. MRR sprijină o serie de reforme și de investiții pentru îmbunătățirea calității și accesibilității serviciilor publice de la toate nivelurile</w:t>
      </w:r>
      <w:r>
        <w:rPr>
          <w:rStyle w:val="FootnoteReference"/>
          <w:rFonts w:ascii="Times New Roman" w:hAnsi="Times New Roman" w:cs="Times New Roman"/>
          <w:noProof/>
          <w:sz w:val="24"/>
          <w:szCs w:val="24"/>
        </w:rPr>
        <w:footnoteReference w:id="25"/>
      </w:r>
      <w:r>
        <w:rPr>
          <w:rFonts w:ascii="Times New Roman" w:hAnsi="Times New Roman"/>
          <w:noProof/>
          <w:sz w:val="24"/>
        </w:rPr>
        <w:t>.</w:t>
      </w:r>
      <w:r w:rsidRPr="00D54BBD">
        <w:rPr>
          <w:rFonts w:ascii="Times New Roman" w:hAnsi="Times New Roman"/>
          <w:b/>
          <w:noProof/>
          <w:sz w:val="24"/>
        </w:rPr>
        <w:t xml:space="preserve"> </w:t>
      </w:r>
      <w:r>
        <w:rPr>
          <w:rFonts w:ascii="Times New Roman" w:hAnsi="Times New Roman"/>
          <w:noProof/>
          <w:sz w:val="24"/>
        </w:rPr>
        <w:t>Instrumentul de sprijin tehnic</w:t>
      </w:r>
      <w:r>
        <w:rPr>
          <w:rFonts w:ascii="Times New Roman" w:hAnsi="Times New Roman"/>
          <w:noProof/>
          <w:color w:val="000000"/>
          <w:sz w:val="24"/>
          <w:u w:color="000000"/>
          <w:bdr w:val="nil"/>
          <w14:textOutline w14:w="0" w14:cap="flat" w14:cmpd="sng" w14:algn="ctr">
            <w14:noFill/>
            <w14:prstDash w14:val="solid"/>
            <w14:bevel/>
          </w14:textOutline>
        </w:rPr>
        <w:t xml:space="preserve"> </w:t>
      </w:r>
      <w:r>
        <w:rPr>
          <w:rFonts w:ascii="Times New Roman" w:hAnsi="Times New Roman"/>
          <w:noProof/>
          <w:sz w:val="24"/>
        </w:rPr>
        <w:t>(IST)</w:t>
      </w:r>
      <w:r>
        <w:rPr>
          <w:rFonts w:ascii="Times New Roman" w:eastAsia="Times New Roman" w:hAnsi="Times New Roman" w:cs="Times New Roman"/>
          <w:noProof/>
          <w:color w:val="000000"/>
          <w:sz w:val="24"/>
          <w:szCs w:val="24"/>
          <w:u w:color="000000"/>
          <w:bdr w:val="nil"/>
          <w:vertAlign w:val="superscript"/>
        </w:rPr>
        <w:footnoteReference w:id="26"/>
      </w:r>
      <w:r>
        <w:rPr>
          <w:rFonts w:ascii="Times New Roman" w:hAnsi="Times New Roman"/>
          <w:noProof/>
          <w:sz w:val="24"/>
        </w:rPr>
        <w:t xml:space="preserve"> furnizează expertiză pentru elaborarea și implementarea unei game largi de reforme. În plus, Comisia ajută statele membre prin analize tematice și de țară, prin consolidarea capacităților, prin orientări și prin facilitarea schimburilor </w:t>
      </w:r>
      <w:r w:rsidRPr="00D54BBD">
        <w:rPr>
          <w:rFonts w:ascii="Times New Roman" w:hAnsi="Times New Roman"/>
          <w:i/>
          <w:noProof/>
          <w:sz w:val="24"/>
        </w:rPr>
        <w:t>inter pares</w:t>
      </w:r>
      <w:r>
        <w:rPr>
          <w:rStyle w:val="FootnoteReference"/>
          <w:rFonts w:ascii="Times New Roman" w:hAnsi="Times New Roman" w:cs="Times New Roman"/>
          <w:noProof/>
          <w:sz w:val="24"/>
          <w:szCs w:val="24"/>
        </w:rPr>
        <w:footnoteReference w:id="27"/>
      </w:r>
      <w:r>
        <w:rPr>
          <w:rFonts w:ascii="Times New Roman" w:hAnsi="Times New Roman"/>
          <w:noProof/>
          <w:sz w:val="24"/>
        </w:rPr>
        <w:t>. Instrumentul de asistență tehnică și schimb de informații al Comisiei Europene</w:t>
      </w:r>
      <w:r>
        <w:rPr>
          <w:rStyle w:val="FootnoteReference"/>
          <w:rFonts w:ascii="Times New Roman" w:eastAsia="Calibri" w:hAnsi="Times New Roman" w:cs="Times New Roman"/>
          <w:noProof/>
          <w:sz w:val="24"/>
          <w:szCs w:val="24"/>
        </w:rPr>
        <w:footnoteReference w:id="28"/>
      </w:r>
      <w:r>
        <w:rPr>
          <w:rFonts w:ascii="Times New Roman" w:hAnsi="Times New Roman"/>
          <w:noProof/>
          <w:sz w:val="24"/>
        </w:rPr>
        <w:t xml:space="preserve"> și</w:t>
      </w:r>
      <w:r w:rsidR="005235E0">
        <w:rPr>
          <w:rFonts w:ascii="Times New Roman" w:hAnsi="Times New Roman" w:cs="Times New Roman"/>
          <w:noProof/>
          <w:sz w:val="24"/>
        </w:rPr>
        <w:t>­</w:t>
      </w:r>
      <w:r>
        <w:rPr>
          <w:rFonts w:ascii="Times New Roman" w:hAnsi="Times New Roman"/>
          <w:noProof/>
          <w:sz w:val="24"/>
        </w:rPr>
        <w:t xml:space="preserve">a extins sprijinul la administrațiile publice din statele membre pentru aplicarea și asigurarea respectării legislației UE, precum și pentru schimbul de bune practici. </w:t>
      </w:r>
    </w:p>
    <w:p w14:paraId="7403AD26" w14:textId="46239F91" w:rsidR="00910435" w:rsidRPr="00B459D5" w:rsidRDefault="00134027" w:rsidP="003E5AD4">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Comisia are o </w:t>
      </w:r>
      <w:r w:rsidRPr="00D54BBD">
        <w:rPr>
          <w:rFonts w:ascii="Times New Roman" w:hAnsi="Times New Roman"/>
          <w:b/>
          <w:noProof/>
          <w:sz w:val="24"/>
        </w:rPr>
        <w:t>colaborare îndelungată cu administrațiile omoloage</w:t>
      </w:r>
      <w:r>
        <w:rPr>
          <w:rFonts w:ascii="Times New Roman" w:hAnsi="Times New Roman"/>
          <w:noProof/>
          <w:sz w:val="24"/>
        </w:rPr>
        <w:t>, în special prin intermediul a două rețele complementare, Grupul de experți privind administrația publică</w:t>
      </w:r>
      <w:r>
        <w:rPr>
          <w:rFonts w:ascii="Times New Roman" w:eastAsia="Calibri" w:hAnsi="Times New Roman" w:cs="Times New Roman"/>
          <w:noProof/>
          <w:sz w:val="24"/>
          <w:szCs w:val="24"/>
          <w:vertAlign w:val="superscript"/>
          <w:lang w:val="en-IE"/>
        </w:rPr>
        <w:footnoteReference w:id="29"/>
      </w:r>
      <w:r>
        <w:rPr>
          <w:rFonts w:ascii="Times New Roman" w:hAnsi="Times New Roman"/>
          <w:noProof/>
          <w:sz w:val="24"/>
        </w:rPr>
        <w:t xml:space="preserve"> și Rețeaua administrațiilor publice europene guvernanța (EUPAN)</w:t>
      </w:r>
      <w:r>
        <w:rPr>
          <w:rStyle w:val="FootnoteReference"/>
          <w:rFonts w:ascii="Times New Roman" w:eastAsia="Calibri" w:hAnsi="Times New Roman" w:cs="Times New Roman"/>
          <w:noProof/>
          <w:sz w:val="24"/>
          <w:szCs w:val="24"/>
        </w:rPr>
        <w:footnoteReference w:id="30"/>
      </w:r>
      <w:r>
        <w:rPr>
          <w:rFonts w:ascii="Times New Roman" w:hAnsi="Times New Roman"/>
          <w:noProof/>
          <w:sz w:val="24"/>
        </w:rPr>
        <w:t xml:space="preserve">, care vizează </w:t>
      </w:r>
      <w:r w:rsidRPr="00D54BBD">
        <w:rPr>
          <w:rFonts w:ascii="Times New Roman" w:hAnsi="Times New Roman"/>
          <w:b/>
          <w:noProof/>
          <w:sz w:val="24"/>
        </w:rPr>
        <w:t>schimbul de cunoștințe și de practici</w:t>
      </w:r>
      <w:r>
        <w:rPr>
          <w:rFonts w:ascii="Times New Roman" w:hAnsi="Times New Roman"/>
          <w:noProof/>
          <w:sz w:val="24"/>
        </w:rPr>
        <w:t>. Această colaborare a fost consolidată prin intermediul unor reuniuni periodice ale grupului de experți și al unor reuniuni ministeriale informale mai frecvente, care au condus la concluzii cu privire la provocările comune cu care se confruntă administrațiile publice, în special Concluziile reuniunii ministeriale informale de la Lisabona</w:t>
      </w:r>
      <w:r>
        <w:rPr>
          <w:rFonts w:ascii="Times New Roman" w:eastAsia="Calibri" w:hAnsi="Times New Roman" w:cs="Times New Roman"/>
          <w:noProof/>
          <w:sz w:val="24"/>
          <w:szCs w:val="24"/>
          <w:vertAlign w:val="superscript"/>
        </w:rPr>
        <w:footnoteReference w:id="31"/>
      </w:r>
      <w:r>
        <w:rPr>
          <w:rFonts w:ascii="Times New Roman" w:hAnsi="Times New Roman"/>
          <w:noProof/>
          <w:sz w:val="24"/>
        </w:rPr>
        <w:t xml:space="preserve"> și Declarația de la Strasbourg</w:t>
      </w:r>
      <w:r>
        <w:rPr>
          <w:rFonts w:ascii="Times New Roman" w:eastAsia="Calibri" w:hAnsi="Times New Roman" w:cs="Times New Roman"/>
          <w:noProof/>
          <w:sz w:val="24"/>
          <w:szCs w:val="24"/>
          <w:vertAlign w:val="superscript"/>
        </w:rPr>
        <w:footnoteReference w:id="32"/>
      </w:r>
      <w:r>
        <w:rPr>
          <w:rFonts w:ascii="Times New Roman" w:hAnsi="Times New Roman"/>
          <w:noProof/>
          <w:sz w:val="24"/>
        </w:rPr>
        <w:t>. Schimburile abordează numeroase domenii-cheie, cum ar fi sporirea gradului de atractivitate al administrațiilor publice în general și transformarea acestora în angajatori moderni, dubla transformare digitală și verde, dezvoltarea capacității administrației publice la toate nivelurile sau promovarea sinergiilor între proiectele puse în aplicare în cadrul IST, al MRR și al altor programe finanțate de UE sau la nivel național.</w:t>
      </w:r>
      <w:r w:rsidRPr="00D54BBD">
        <w:rPr>
          <w:rFonts w:ascii="Times New Roman" w:hAnsi="Times New Roman"/>
          <w:b/>
          <w:noProof/>
          <w:sz w:val="24"/>
        </w:rPr>
        <w:t xml:space="preserve"> </w:t>
      </w:r>
    </w:p>
    <w:tbl>
      <w:tblPr>
        <w:tblStyle w:val="TableGrid"/>
        <w:tblpPr w:leftFromText="180" w:rightFromText="180" w:vertAnchor="text" w:horzAnchor="margin" w:tblpY="82"/>
        <w:tblW w:w="0" w:type="auto"/>
        <w:tblLook w:val="04A0" w:firstRow="1" w:lastRow="0" w:firstColumn="1" w:lastColumn="0" w:noHBand="0" w:noVBand="1"/>
      </w:tblPr>
      <w:tblGrid>
        <w:gridCol w:w="9350"/>
      </w:tblGrid>
      <w:tr w:rsidR="00A563DC" w:rsidRPr="00B459D5" w14:paraId="0D6EA0FB" w14:textId="77777777" w:rsidTr="00E171A3">
        <w:tc>
          <w:tcPr>
            <w:tcW w:w="9350" w:type="dxa"/>
          </w:tcPr>
          <w:p w14:paraId="1A8D2546" w14:textId="06678B47" w:rsidR="00A563DC" w:rsidRPr="00D54BBD" w:rsidRDefault="0071067E" w:rsidP="00E171A3">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noProof/>
                <w:sz w:val="22"/>
                <w:szCs w:val="22"/>
              </w:rPr>
            </w:pPr>
            <w:r w:rsidRPr="00D54BBD">
              <w:rPr>
                <w:b/>
                <w:noProof/>
                <w:sz w:val="22"/>
              </w:rPr>
              <w:t xml:space="preserve">Sprijinul MRR pentru reforme și investiții în administrațiile publice </w:t>
            </w:r>
          </w:p>
          <w:p w14:paraId="33DBAC52" w14:textId="700A030F" w:rsidR="006449EB" w:rsidRPr="00B459D5" w:rsidRDefault="00E66D2B" w:rsidP="00E171A3">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noProof/>
                <w:sz w:val="22"/>
                <w:szCs w:val="22"/>
              </w:rPr>
            </w:pPr>
            <w:r>
              <w:rPr>
                <w:noProof/>
                <w:sz w:val="22"/>
              </w:rPr>
              <w:t xml:space="preserve">Modernizarea administrațiilor publice ocupă un loc important în cadrul mai multor PNRR-uri, cu un buget estimat de </w:t>
            </w:r>
            <w:r w:rsidRPr="00D54BBD">
              <w:rPr>
                <w:noProof/>
                <w:sz w:val="22"/>
              </w:rPr>
              <w:t>1</w:t>
            </w:r>
            <w:r>
              <w:rPr>
                <w:noProof/>
                <w:sz w:val="22"/>
              </w:rPr>
              <w:t>,</w:t>
            </w:r>
            <w:r w:rsidRPr="00D54BBD">
              <w:rPr>
                <w:noProof/>
                <w:sz w:val="22"/>
              </w:rPr>
              <w:t>8</w:t>
            </w:r>
            <w:r>
              <w:rPr>
                <w:noProof/>
                <w:sz w:val="22"/>
              </w:rPr>
              <w:t xml:space="preserve"> miliarde EUR. Reformele și investițiile emblematice vizează, printre altele, digitalizarea administrației publice, securitatea cibernetică (Bulgaria, Cehia, Spania, Franța, Grecia, Italia, Lituania, Polonia, România, Slovenia, Slovacia), sistemele de justiție și calitatea procesului legislativ (Bulgaria, Grecia, Spania, Cipru, Cehia, Croația, Letonia, Italia, Malta, Slovacia, România, Slovenia), combaterea corupției și protecția avertizorilor de integritate (Estonia, Grecia, Cipru, Croația, Spania, Finlanda, Luxemburg, Letonia, România, Slovacia).</w:t>
            </w:r>
          </w:p>
        </w:tc>
      </w:tr>
    </w:tbl>
    <w:p w14:paraId="09635668" w14:textId="3CB59E1E" w:rsidR="00902721" w:rsidRPr="00D54BBD" w:rsidRDefault="00055DA4" w:rsidP="004661E9">
      <w:pPr>
        <w:spacing w:before="240" w:after="120" w:line="240" w:lineRule="auto"/>
        <w:jc w:val="both"/>
        <w:rPr>
          <w:rFonts w:ascii="Times New Roman" w:eastAsia="Calibri" w:hAnsi="Times New Roman" w:cs="Times New Roman"/>
          <w:b/>
          <w:bCs/>
          <w:noProof/>
          <w:sz w:val="24"/>
          <w:szCs w:val="24"/>
        </w:rPr>
      </w:pPr>
      <w:r w:rsidRPr="00D54BBD">
        <w:rPr>
          <w:rFonts w:ascii="Times New Roman" w:hAnsi="Times New Roman"/>
          <w:b/>
          <w:noProof/>
          <w:sz w:val="24"/>
        </w:rPr>
        <w:t>Experiența dobândită în cadrul programelor UE, inclusiv IST, precum și concluziile reuniunilor ministeriale informale ale EUPAN, menționate anterior, indică interesul statelor membre pentru o cooperare mai amplă și mai aprofundată între ele și cu Comisia. Prin urmare, în prezenta comunicare, Comisia descrie un set de acțiuni (denumit în continuare „ComPAct”) pentru a oferi o mai bună asistență administrațiilor statelor membre în pregătirea pentru nevoile actuale în materie de reforme și în anticiparea tendințelor viitoare, pe baza unui set comun de principii ale administrației publice.</w:t>
      </w:r>
    </w:p>
    <w:p w14:paraId="09635669" w14:textId="03A0DB9C" w:rsidR="00902721" w:rsidRPr="00D54BBD" w:rsidRDefault="00055DA4" w:rsidP="003E5AD4">
      <w:pPr>
        <w:pStyle w:val="Heading1"/>
        <w:rPr>
          <w:noProof/>
        </w:rPr>
      </w:pPr>
      <w:r w:rsidRPr="00D54BBD">
        <w:rPr>
          <w:noProof/>
        </w:rPr>
        <w:t>Consolidarea spațiului administrativ european</w:t>
      </w:r>
    </w:p>
    <w:p w14:paraId="2EEBFEC7" w14:textId="12FD0CDC" w:rsidR="00E86792" w:rsidRPr="00B459D5" w:rsidRDefault="006F305A" w:rsidP="00441CF8">
      <w:pPr>
        <w:widowControl w:val="0"/>
        <w:spacing w:before="120" w:after="120" w:line="240" w:lineRule="auto"/>
        <w:jc w:val="both"/>
        <w:rPr>
          <w:rFonts w:ascii="Times New Roman" w:hAnsi="Times New Roman" w:cs="Times New Roman"/>
          <w:noProof/>
          <w:sz w:val="24"/>
          <w:szCs w:val="24"/>
        </w:rPr>
      </w:pPr>
      <w:r>
        <w:rPr>
          <w:rFonts w:ascii="Times New Roman" w:hAnsi="Times New Roman"/>
          <w:noProof/>
          <w:sz w:val="24"/>
        </w:rPr>
        <w:t>În pofida unei mari varietăți de structuri instituționale și tradiții juridice, administrațiile publice ale statelor membre împărtășesc un set de valori, sarcini și înțelegerea bunei administrări</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formând un </w:t>
      </w:r>
      <w:r w:rsidRPr="00D54BBD">
        <w:rPr>
          <w:rFonts w:ascii="Times New Roman" w:hAnsi="Times New Roman"/>
          <w:b/>
          <w:noProof/>
          <w:sz w:val="24"/>
        </w:rPr>
        <w:t>spațiu administrativ european</w:t>
      </w:r>
      <w:r>
        <w:rPr>
          <w:rStyle w:val="FootnoteReference"/>
          <w:rFonts w:ascii="Times New Roman" w:eastAsia="Calibri" w:hAnsi="Times New Roman" w:cs="Times New Roman"/>
          <w:noProof/>
          <w:sz w:val="24"/>
          <w:szCs w:val="24"/>
        </w:rPr>
        <w:footnoteReference w:id="34"/>
      </w:r>
      <w:r>
        <w:rPr>
          <w:rFonts w:ascii="Times New Roman" w:hAnsi="Times New Roman"/>
          <w:noProof/>
          <w:sz w:val="24"/>
        </w:rPr>
        <w:t xml:space="preserve">. </w:t>
      </w:r>
    </w:p>
    <w:p w14:paraId="0963566A" w14:textId="26BB6B4A" w:rsidR="00902721" w:rsidRPr="00D54BBD" w:rsidRDefault="0055012C" w:rsidP="003E5AD4">
      <w:pPr>
        <w:spacing w:before="120" w:after="120" w:line="240" w:lineRule="auto"/>
        <w:jc w:val="both"/>
        <w:rPr>
          <w:rFonts w:ascii="Times New Roman" w:hAnsi="Times New Roman" w:cs="Times New Roman"/>
          <w:b/>
          <w:bCs/>
          <w:noProof/>
          <w:sz w:val="24"/>
          <w:szCs w:val="24"/>
        </w:rPr>
      </w:pPr>
      <w:r>
        <w:rPr>
          <w:rFonts w:ascii="Times New Roman" w:hAnsi="Times New Roman"/>
          <w:noProof/>
          <w:sz w:val="24"/>
        </w:rPr>
        <w:t xml:space="preserve">Calitatea administrației publice se bazează pe </w:t>
      </w:r>
      <w:r w:rsidRPr="00D54BBD">
        <w:rPr>
          <w:rFonts w:ascii="Times New Roman" w:hAnsi="Times New Roman"/>
          <w:b/>
          <w:noProof/>
          <w:sz w:val="24"/>
        </w:rPr>
        <w:t>un set comun de principii generale</w:t>
      </w:r>
      <w:r w:rsidRPr="00D54BBD">
        <w:rPr>
          <w:rStyle w:val="FootnoteReference"/>
          <w:rFonts w:ascii="Times New Roman" w:hAnsi="Times New Roman" w:cs="Times New Roman"/>
          <w:b/>
          <w:bCs/>
          <w:noProof/>
          <w:sz w:val="24"/>
          <w:szCs w:val="24"/>
        </w:rPr>
        <w:footnoteReference w:id="35"/>
      </w:r>
      <w:r>
        <w:rPr>
          <w:rFonts w:ascii="Times New Roman" w:hAnsi="Times New Roman"/>
          <w:noProof/>
          <w:sz w:val="24"/>
        </w:rPr>
        <w:t>:</w:t>
      </w:r>
      <w:r w:rsidRPr="00D54BBD">
        <w:rPr>
          <w:rFonts w:ascii="Times New Roman" w:hAnsi="Times New Roman"/>
          <w:b/>
          <w:noProof/>
          <w:sz w:val="24"/>
        </w:rPr>
        <w:t xml:space="preserve"> </w:t>
      </w:r>
    </w:p>
    <w:p w14:paraId="0963566B" w14:textId="663F709B" w:rsidR="00902721" w:rsidRPr="00B459D5" w:rsidRDefault="00055DA4" w:rsidP="00310E23">
      <w:pPr>
        <w:numPr>
          <w:ilvl w:val="0"/>
          <w:numId w:val="2"/>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o viziune și o conducere strategice care asigură capacitatea, reziliența și încrederea susținută a publicului;</w:t>
      </w:r>
    </w:p>
    <w:p w14:paraId="0963566C" w14:textId="139EBFEA" w:rsidR="00902721" w:rsidRPr="00B459D5" w:rsidRDefault="00055DA4" w:rsidP="00310E23">
      <w:pPr>
        <w:numPr>
          <w:ilvl w:val="0"/>
          <w:numId w:val="2"/>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un proces de elaborare a politicilor coerent, anticipativ, bazat pe dovezi, participativ, adaptat mediului digital și favorabil incluziunii;</w:t>
      </w:r>
    </w:p>
    <w:p w14:paraId="0963566D" w14:textId="77777777" w:rsidR="00902721" w:rsidRPr="00B459D5" w:rsidRDefault="00055DA4" w:rsidP="00310E23">
      <w:pPr>
        <w:numPr>
          <w:ilvl w:val="0"/>
          <w:numId w:val="2"/>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o funcție publică imparțială, profesionistă, bazată pe merite, cooperantă și eficace, care funcționează în condiții de muncă bune;</w:t>
      </w:r>
    </w:p>
    <w:p w14:paraId="0963566E" w14:textId="330D09CB" w:rsidR="00902721" w:rsidRPr="00B459D5" w:rsidRDefault="00055DA4" w:rsidP="00310E23">
      <w:pPr>
        <w:numPr>
          <w:ilvl w:val="0"/>
          <w:numId w:val="2"/>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servicii publice de înaltă calitate, inovatoare, centrate pe factorul uman și accesibile; </w:t>
      </w:r>
    </w:p>
    <w:p w14:paraId="0963566F" w14:textId="4C353E56" w:rsidR="00902721" w:rsidRPr="00B459D5" w:rsidRDefault="00055DA4" w:rsidP="00310E23">
      <w:pPr>
        <w:numPr>
          <w:ilvl w:val="0"/>
          <w:numId w:val="2"/>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subsidiaritatea, coordonarea, responsabilitatea, transparența administrației publice, integritatea și supravegherea proceselor administrative;</w:t>
      </w:r>
    </w:p>
    <w:p w14:paraId="09635670" w14:textId="6C7F9E2D" w:rsidR="00902721" w:rsidRPr="00D54BBD" w:rsidRDefault="00055DA4" w:rsidP="00310E23">
      <w:pPr>
        <w:numPr>
          <w:ilvl w:val="0"/>
          <w:numId w:val="2"/>
        </w:numPr>
        <w:spacing w:before="120" w:after="120" w:line="240" w:lineRule="auto"/>
        <w:ind w:left="714" w:hanging="357"/>
        <w:jc w:val="both"/>
        <w:rPr>
          <w:rFonts w:ascii="Times New Roman" w:hAnsi="Times New Roman" w:cs="Times New Roman"/>
          <w:b/>
          <w:bCs/>
          <w:noProof/>
          <w:sz w:val="24"/>
          <w:szCs w:val="24"/>
        </w:rPr>
      </w:pPr>
      <w:r>
        <w:rPr>
          <w:rFonts w:ascii="Times New Roman" w:hAnsi="Times New Roman"/>
          <w:noProof/>
          <w:sz w:val="24"/>
        </w:rPr>
        <w:t>finanțe publice solide și sustenabile, susținute de sisteme de contabilitate publică integrate și cuprinzătoare, pe bază de angajamente.</w:t>
      </w:r>
    </w:p>
    <w:p w14:paraId="5968B6E5" w14:textId="0E22B613" w:rsidR="00151632"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 xml:space="preserve">Prin intermediul ComPAct, Comisia urmărește să consolideze spațiul administrativ european prin promovarea acestor principii și prin consolidarea sprijinului său pentru modernizarea administrativă a statelor membre. </w:t>
      </w:r>
      <w:r>
        <w:rPr>
          <w:rFonts w:ascii="Times New Roman" w:hAnsi="Times New Roman"/>
          <w:noProof/>
          <w:sz w:val="24"/>
        </w:rPr>
        <w:t>ComPAct respectă și nu afectează competența și caracteristicile specifice ale statelor membre. Acțiunile vor fi finanțate în cadrul mecanismelor de finanțare existente ale UE și prin intermediul rețelelor de cooperare existente. ComPAct va utiliza în mod optim experiența deja dobândită prin intermediul programelor UE, inclusiv al IST, precum și prin intermediul schimburilor existente în cadrul Grupului de experți al Comisiei privind administrație publică și guvernanța și al EUPAN, și va oferi administrațiilor de la toate nivelurile din statele membre oportunități noi și sporite de a coopera și de a învăța unele de la altele. ComPAct înglobează, de asemenea, experiența dobândită de Comisie prin punerea în aplicare a strategiilor sale în materie de resurse umane, digitalizare și înverzire</w:t>
      </w:r>
      <w:r>
        <w:rPr>
          <w:rStyle w:val="FootnoteReference"/>
          <w:rFonts w:ascii="Times New Roman" w:eastAsia="Calibri" w:hAnsi="Times New Roman" w:cs="Times New Roman"/>
          <w:noProof/>
          <w:sz w:val="24"/>
          <w:szCs w:val="24"/>
        </w:rPr>
        <w:footnoteReference w:id="36"/>
      </w:r>
      <w:r>
        <w:rPr>
          <w:rFonts w:ascii="Times New Roman" w:hAnsi="Times New Roman"/>
          <w:noProof/>
          <w:sz w:val="24"/>
        </w:rPr>
        <w:t>.</w:t>
      </w:r>
    </w:p>
    <w:p w14:paraId="23BA1BC8" w14:textId="1E7FC8C8" w:rsidR="00006BAB" w:rsidRPr="00B459D5" w:rsidRDefault="00151632"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ComPAct este un răspuns la solicitările adresate Comisiei de către statele membre</w:t>
      </w:r>
      <w:r w:rsidRPr="00D54BBD">
        <w:rPr>
          <w:rStyle w:val="FootnoteReference"/>
          <w:rFonts w:ascii="Times New Roman" w:eastAsia="Calibri" w:hAnsi="Times New Roman" w:cs="Times New Roman"/>
          <w:b/>
          <w:bCs/>
          <w:noProof/>
          <w:sz w:val="24"/>
          <w:szCs w:val="24"/>
        </w:rPr>
        <w:footnoteReference w:id="37"/>
      </w:r>
      <w:r w:rsidRPr="00D54BBD">
        <w:rPr>
          <w:rFonts w:ascii="Times New Roman" w:hAnsi="Times New Roman"/>
          <w:b/>
          <w:noProof/>
          <w:sz w:val="24"/>
        </w:rPr>
        <w:t>, Parlamentul European</w:t>
      </w:r>
      <w:r w:rsidRPr="00D54BBD">
        <w:rPr>
          <w:rStyle w:val="FootnoteReference"/>
          <w:rFonts w:ascii="Times New Roman" w:eastAsia="Calibri" w:hAnsi="Times New Roman" w:cs="Times New Roman"/>
          <w:b/>
          <w:bCs/>
          <w:noProof/>
          <w:sz w:val="24"/>
          <w:szCs w:val="24"/>
        </w:rPr>
        <w:footnoteReference w:id="38"/>
      </w:r>
      <w:r w:rsidRPr="00D54BBD">
        <w:rPr>
          <w:rFonts w:ascii="Times New Roman" w:hAnsi="Times New Roman"/>
          <w:b/>
          <w:noProof/>
          <w:sz w:val="24"/>
        </w:rPr>
        <w:t xml:space="preserve"> și Comitetul Regiunilor</w:t>
      </w:r>
      <w:r w:rsidRPr="00D54BBD">
        <w:rPr>
          <w:rStyle w:val="FootnoteReference"/>
          <w:rFonts w:ascii="Times New Roman" w:eastAsia="Calibri" w:hAnsi="Times New Roman" w:cs="Times New Roman"/>
          <w:b/>
          <w:bCs/>
          <w:noProof/>
          <w:sz w:val="24"/>
          <w:szCs w:val="24"/>
        </w:rPr>
        <w:footnoteReference w:id="39"/>
      </w:r>
      <w:r w:rsidRPr="00D54BBD">
        <w:rPr>
          <w:rFonts w:ascii="Times New Roman" w:hAnsi="Times New Roman"/>
          <w:b/>
          <w:noProof/>
          <w:sz w:val="24"/>
        </w:rPr>
        <w:t xml:space="preserve"> </w:t>
      </w:r>
      <w:r>
        <w:rPr>
          <w:rFonts w:ascii="Times New Roman" w:hAnsi="Times New Roman"/>
          <w:noProof/>
          <w:sz w:val="24"/>
        </w:rPr>
        <w:t>de a încuraja cooperarea și dialogul în materie de politici, precum și de a contribui la îmbunătățirea capacității și calității administrațiilor publice de la nivel central, regional și local din Europa.</w:t>
      </w:r>
    </w:p>
    <w:p w14:paraId="4D82DC53" w14:textId="22797E0E" w:rsidR="00673316" w:rsidRPr="00B459D5" w:rsidRDefault="0089370D" w:rsidP="003E5AD4">
      <w:pPr>
        <w:spacing w:before="120" w:after="120" w:line="240" w:lineRule="auto"/>
        <w:jc w:val="both"/>
        <w:rPr>
          <w:rFonts w:ascii="Times New Roman" w:hAnsi="Times New Roman" w:cs="Times New Roman"/>
          <w:noProof/>
        </w:rPr>
      </w:pPr>
      <w:r w:rsidRPr="00D54BBD">
        <w:rPr>
          <w:rFonts w:ascii="Times New Roman" w:hAnsi="Times New Roman"/>
          <w:b/>
          <w:noProof/>
          <w:sz w:val="24"/>
        </w:rPr>
        <w:t>De asemenea, ComPAct va ajuta țările implicate în procesul de aderare la UE în eforturile lor de construire a unor administrații publice mai bune</w:t>
      </w:r>
      <w:r>
        <w:rPr>
          <w:rFonts w:ascii="Times New Roman" w:hAnsi="Times New Roman"/>
          <w:noProof/>
          <w:sz w:val="24"/>
        </w:rPr>
        <w:t xml:space="preserve">, oferindu-le oportunități de a-și spori implicarea în schimburile și învățarea </w:t>
      </w:r>
      <w:r w:rsidRPr="00D54BBD">
        <w:rPr>
          <w:rFonts w:ascii="Times New Roman" w:hAnsi="Times New Roman"/>
          <w:i/>
          <w:noProof/>
          <w:sz w:val="24"/>
        </w:rPr>
        <w:t>inter pares</w:t>
      </w:r>
      <w:r>
        <w:rPr>
          <w:rFonts w:ascii="Times New Roman" w:hAnsi="Times New Roman"/>
          <w:noProof/>
          <w:sz w:val="24"/>
        </w:rPr>
        <w:t>. Acest ajutor poate consta și în facilitarea accesului la IST pentru țările implicate în procesul de aderare.</w:t>
      </w:r>
      <w:r>
        <w:rPr>
          <w:rFonts w:ascii="Times New Roman" w:hAnsi="Times New Roman"/>
          <w:noProof/>
        </w:rPr>
        <w:t xml:space="preserve"> </w:t>
      </w:r>
    </w:p>
    <w:tbl>
      <w:tblPr>
        <w:tblStyle w:val="TableGrid"/>
        <w:tblpPr w:leftFromText="180" w:rightFromText="180" w:vertAnchor="text" w:horzAnchor="margin" w:tblpY="82"/>
        <w:tblW w:w="0" w:type="auto"/>
        <w:tblLook w:val="04A0" w:firstRow="1" w:lastRow="0" w:firstColumn="1" w:lastColumn="0" w:noHBand="0" w:noVBand="1"/>
      </w:tblPr>
      <w:tblGrid>
        <w:gridCol w:w="9350"/>
      </w:tblGrid>
      <w:tr w:rsidR="00600047" w:rsidRPr="00B459D5" w14:paraId="3B0D2ABC" w14:textId="77777777" w:rsidTr="00600047">
        <w:tc>
          <w:tcPr>
            <w:tcW w:w="9350" w:type="dxa"/>
          </w:tcPr>
          <w:p w14:paraId="3512D755" w14:textId="77777777" w:rsidR="00600047" w:rsidRPr="00D54BBD" w:rsidRDefault="00600047" w:rsidP="00600047">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noProof/>
                <w:sz w:val="22"/>
                <w:szCs w:val="22"/>
              </w:rPr>
            </w:pPr>
            <w:r w:rsidRPr="00D54BBD">
              <w:rPr>
                <w:b/>
                <w:noProof/>
                <w:sz w:val="22"/>
              </w:rPr>
              <w:t>Integrarea accelerată: participarea țărilor implicate în procesul de aderare la proiectele IST în calitate de observatori</w:t>
            </w:r>
          </w:p>
          <w:p w14:paraId="2EDBA31C" w14:textId="50D1459E" w:rsidR="00600047" w:rsidRPr="00B459D5" w:rsidRDefault="00600047" w:rsidP="00600047">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noProof/>
                <w:sz w:val="22"/>
                <w:szCs w:val="22"/>
              </w:rPr>
            </w:pPr>
            <w:r>
              <w:rPr>
                <w:noProof/>
                <w:sz w:val="22"/>
              </w:rPr>
              <w:t xml:space="preserve">Dezvoltarea unei administrații publice profesioniste și performante este una dintre „condițiile fundamentale” pentru aderarea la UE. În contextul unei inițiative privind „integrarea accelerată”, țările candidate pentru aderarea la UE pot participa acum la mai multe proiecte ale statelor membre, abordând împreună probleme comune. De exemplu, Albania participă în calitate de observator la un proiect cu Portugalia, Spania și Țările de Jos privind o mai bună gestionare a </w:t>
            </w:r>
            <w:r w:rsidRPr="00D54BBD">
              <w:rPr>
                <w:b/>
                <w:i/>
                <w:noProof/>
                <w:sz w:val="22"/>
              </w:rPr>
              <w:t>implicării civice și a tehnologiilor emergente</w:t>
            </w:r>
            <w:r>
              <w:rPr>
                <w:noProof/>
                <w:sz w:val="22"/>
              </w:rPr>
              <w:t>.</w:t>
            </w:r>
            <w:r w:rsidRPr="00D54BBD">
              <w:rPr>
                <w:b/>
                <w:i/>
                <w:noProof/>
                <w:sz w:val="22"/>
              </w:rPr>
              <w:t xml:space="preserve"> </w:t>
            </w:r>
            <w:r>
              <w:rPr>
                <w:noProof/>
                <w:sz w:val="22"/>
              </w:rPr>
              <w:t>Bosnia și Herțegovina și Moldova</w:t>
            </w:r>
            <w:r w:rsidRPr="00D54BBD">
              <w:rPr>
                <w:b/>
                <w:i/>
                <w:noProof/>
                <w:sz w:val="22"/>
              </w:rPr>
              <w:t xml:space="preserve"> </w:t>
            </w:r>
            <w:r>
              <w:rPr>
                <w:noProof/>
                <w:sz w:val="22"/>
              </w:rPr>
              <w:t xml:space="preserve">sunt observatori în cadrul unui proiect cu Estonia privind </w:t>
            </w:r>
            <w:r w:rsidRPr="00D54BBD">
              <w:rPr>
                <w:b/>
                <w:i/>
                <w:noProof/>
                <w:sz w:val="22"/>
              </w:rPr>
              <w:t>o politică strategică și durabilă în domeniul achizițiilor publice</w:t>
            </w:r>
            <w:r>
              <w:rPr>
                <w:noProof/>
                <w:sz w:val="22"/>
              </w:rPr>
              <w:t>.</w:t>
            </w:r>
          </w:p>
        </w:tc>
      </w:tr>
    </w:tbl>
    <w:p w14:paraId="09635672" w14:textId="34B707DD" w:rsidR="00902721" w:rsidRPr="00B459D5" w:rsidRDefault="00055DA4" w:rsidP="00DD3F10">
      <w:pPr>
        <w:spacing w:before="240" w:after="120" w:line="240" w:lineRule="auto"/>
        <w:jc w:val="both"/>
        <w:rPr>
          <w:rFonts w:ascii="Times New Roman" w:hAnsi="Times New Roman" w:cs="Times New Roman"/>
          <w:noProof/>
          <w:sz w:val="24"/>
          <w:szCs w:val="24"/>
        </w:rPr>
      </w:pPr>
      <w:r w:rsidRPr="00D54BBD">
        <w:rPr>
          <w:rFonts w:ascii="Times New Roman" w:hAnsi="Times New Roman"/>
          <w:b/>
          <w:noProof/>
          <w:sz w:val="24"/>
        </w:rPr>
        <w:t>ComPAct cuprinde trei piloni</w:t>
      </w:r>
      <w:r>
        <w:rPr>
          <w:rFonts w:ascii="Times New Roman" w:hAnsi="Times New Roman"/>
          <w:noProof/>
          <w:sz w:val="24"/>
        </w:rPr>
        <w:t>:</w:t>
      </w:r>
    </w:p>
    <w:p w14:paraId="228C3343" w14:textId="14FAD156" w:rsidR="0072628C" w:rsidRPr="00B459D5" w:rsidRDefault="00800647" w:rsidP="00310E23">
      <w:pPr>
        <w:numPr>
          <w:ilvl w:val="0"/>
          <w:numId w:val="2"/>
        </w:numPr>
        <w:spacing w:before="120" w:after="120" w:line="240" w:lineRule="auto"/>
        <w:ind w:left="714" w:hanging="357"/>
        <w:jc w:val="both"/>
        <w:rPr>
          <w:rFonts w:ascii="Times New Roman" w:eastAsia="Calibri" w:hAnsi="Times New Roman" w:cs="Times New Roman"/>
          <w:noProof/>
          <w:sz w:val="24"/>
          <w:szCs w:val="24"/>
        </w:rPr>
      </w:pPr>
      <w:r w:rsidRPr="00D54BBD">
        <w:rPr>
          <w:rFonts w:ascii="Times New Roman" w:hAnsi="Times New Roman"/>
          <w:b/>
          <w:noProof/>
          <w:sz w:val="24"/>
        </w:rPr>
        <w:t>Pilonul 1. Agenda pentru competențe în domeniul administrației publice</w:t>
      </w:r>
      <w:r>
        <w:rPr>
          <w:rFonts w:ascii="Times New Roman" w:hAnsi="Times New Roman"/>
          <w:noProof/>
          <w:sz w:val="24"/>
        </w:rPr>
        <w:t xml:space="preserve"> </w:t>
      </w:r>
    </w:p>
    <w:p w14:paraId="09635674" w14:textId="1468D1A2" w:rsidR="00902721" w:rsidRPr="00B459D5" w:rsidRDefault="00055DA4" w:rsidP="003E5AD4">
      <w:pPr>
        <w:spacing w:before="120" w:after="120" w:line="240" w:lineRule="auto"/>
        <w:ind w:left="714"/>
        <w:jc w:val="both"/>
        <w:rPr>
          <w:rFonts w:ascii="Times New Roman" w:eastAsia="Calibri" w:hAnsi="Times New Roman" w:cs="Times New Roman"/>
          <w:noProof/>
          <w:sz w:val="24"/>
          <w:szCs w:val="24"/>
        </w:rPr>
      </w:pPr>
      <w:r>
        <w:rPr>
          <w:rFonts w:ascii="Times New Roman" w:hAnsi="Times New Roman"/>
          <w:noProof/>
          <w:sz w:val="24"/>
        </w:rPr>
        <w:t>Încurajarea cooperării administrative între administrațiile publice de la toate nivelurile pentru a contribui la dezvoltarea forței de muncă a acestora pentru provocările actuale și viitoare.</w:t>
      </w:r>
    </w:p>
    <w:p w14:paraId="01D8D05C" w14:textId="14B80281" w:rsidR="0072628C" w:rsidRPr="00B459D5" w:rsidRDefault="00800647" w:rsidP="00310E23">
      <w:pPr>
        <w:numPr>
          <w:ilvl w:val="0"/>
          <w:numId w:val="2"/>
        </w:numPr>
        <w:spacing w:before="120" w:after="120" w:line="240" w:lineRule="auto"/>
        <w:ind w:left="714" w:hanging="357"/>
        <w:jc w:val="both"/>
        <w:rPr>
          <w:rFonts w:ascii="Times New Roman" w:hAnsi="Times New Roman" w:cs="Times New Roman"/>
          <w:noProof/>
          <w:sz w:val="24"/>
          <w:szCs w:val="24"/>
        </w:rPr>
      </w:pPr>
      <w:r w:rsidRPr="00D54BBD">
        <w:rPr>
          <w:rFonts w:ascii="Times New Roman" w:hAnsi="Times New Roman"/>
          <w:b/>
          <w:noProof/>
          <w:sz w:val="24"/>
        </w:rPr>
        <w:t>Pilonul 2. Capacitatea pentru deceniul digital al Europei</w:t>
      </w:r>
    </w:p>
    <w:p w14:paraId="09635675" w14:textId="77974902" w:rsidR="00902721" w:rsidRPr="00B459D5" w:rsidRDefault="00055DA4" w:rsidP="003E5AD4">
      <w:pPr>
        <w:spacing w:before="120" w:after="120" w:line="240" w:lineRule="auto"/>
        <w:ind w:left="714"/>
        <w:jc w:val="both"/>
        <w:rPr>
          <w:rFonts w:ascii="Times New Roman" w:hAnsi="Times New Roman" w:cs="Times New Roman"/>
          <w:noProof/>
          <w:sz w:val="24"/>
          <w:szCs w:val="24"/>
        </w:rPr>
      </w:pPr>
      <w:r>
        <w:rPr>
          <w:rFonts w:ascii="Times New Roman" w:hAnsi="Times New Roman"/>
          <w:noProof/>
          <w:sz w:val="24"/>
        </w:rPr>
        <w:t xml:space="preserve">Consolidarea capacității administrațiilor publice pentru transformarea digitală a acestora. </w:t>
      </w:r>
    </w:p>
    <w:p w14:paraId="16DF26C9" w14:textId="5A582C0E" w:rsidR="0072628C" w:rsidRPr="00B459D5" w:rsidRDefault="00800647" w:rsidP="00310E23">
      <w:pPr>
        <w:numPr>
          <w:ilvl w:val="0"/>
          <w:numId w:val="2"/>
        </w:numPr>
        <w:spacing w:before="120" w:after="120" w:line="240" w:lineRule="auto"/>
        <w:ind w:left="714" w:hanging="357"/>
        <w:jc w:val="both"/>
        <w:rPr>
          <w:rFonts w:ascii="Times New Roman" w:hAnsi="Times New Roman" w:cs="Times New Roman"/>
          <w:noProof/>
          <w:sz w:val="24"/>
          <w:szCs w:val="24"/>
        </w:rPr>
      </w:pPr>
      <w:r w:rsidRPr="00D54BBD">
        <w:rPr>
          <w:rFonts w:ascii="Times New Roman" w:hAnsi="Times New Roman"/>
          <w:b/>
          <w:noProof/>
          <w:sz w:val="24"/>
        </w:rPr>
        <w:t>Pilonul 3. Capacitatea de a conduce tranziția verde</w:t>
      </w:r>
    </w:p>
    <w:p w14:paraId="6B308DDA" w14:textId="143EFDE2" w:rsidR="00253103" w:rsidRPr="00B459D5" w:rsidRDefault="00055DA4" w:rsidP="00A61C0D">
      <w:pPr>
        <w:spacing w:before="120" w:after="120" w:line="240" w:lineRule="auto"/>
        <w:ind w:left="714"/>
        <w:jc w:val="both"/>
        <w:rPr>
          <w:rFonts w:ascii="Times New Roman" w:hAnsi="Times New Roman" w:cs="Times New Roman"/>
          <w:noProof/>
          <w:sz w:val="24"/>
          <w:szCs w:val="24"/>
        </w:rPr>
      </w:pPr>
      <w:r>
        <w:rPr>
          <w:rFonts w:ascii="Times New Roman" w:hAnsi="Times New Roman"/>
          <w:noProof/>
          <w:sz w:val="24"/>
        </w:rPr>
        <w:t>Consolidarea capacității administrațiilor publice de a conduce tranziția verde și de a-și spori reziliența.</w:t>
      </w:r>
    </w:p>
    <w:p w14:paraId="7BE1B4CE" w14:textId="77777777" w:rsidR="00B77D74" w:rsidRPr="00D54BBD" w:rsidRDefault="00B77D74" w:rsidP="006D5FC5">
      <w:pPr>
        <w:pStyle w:val="Heading1"/>
        <w:keepNext/>
        <w:rPr>
          <w:noProof/>
        </w:rPr>
      </w:pPr>
    </w:p>
    <w:p w14:paraId="36173078" w14:textId="4FC2B68A" w:rsidR="00162284" w:rsidRPr="00D54BBD" w:rsidRDefault="00612037" w:rsidP="006D5FC5">
      <w:pPr>
        <w:pStyle w:val="Heading1"/>
        <w:keepNext/>
        <w:rPr>
          <w:noProof/>
        </w:rPr>
      </w:pPr>
      <w:r w:rsidRPr="00D54BBD">
        <w:rPr>
          <w:noProof/>
        </w:rPr>
        <w:t>Pilonul 1. Agenda pentru competențe în domeniul administrației publice</w:t>
      </w:r>
    </w:p>
    <w:p w14:paraId="6EAB99CE" w14:textId="7759C71B" w:rsidR="00271C34" w:rsidRPr="00B459D5" w:rsidRDefault="00271C34" w:rsidP="003E5AD4">
      <w:pPr>
        <w:pStyle w:val="Corps"/>
        <w:spacing w:before="120" w:after="120"/>
        <w:rPr>
          <w:noProof/>
        </w:rPr>
      </w:pPr>
      <w:r w:rsidRPr="00D54BBD">
        <w:rPr>
          <w:b/>
          <w:noProof/>
        </w:rPr>
        <w:t>Piețele muncii trec prin transformări structurale, în special ca urmare a schimbărilor demografice</w:t>
      </w:r>
      <w:r w:rsidRPr="00D54BBD">
        <w:rPr>
          <w:rStyle w:val="FootnoteReference"/>
          <w:b/>
          <w:bCs/>
          <w:noProof/>
          <w:lang w:val="en-GB"/>
        </w:rPr>
        <w:footnoteReference w:id="40"/>
      </w:r>
      <w:r w:rsidRPr="00D54BBD">
        <w:rPr>
          <w:b/>
          <w:noProof/>
        </w:rPr>
        <w:t xml:space="preserve"> și a dublei tranziții.</w:t>
      </w:r>
      <w:r>
        <w:rPr>
          <w:noProof/>
        </w:rPr>
        <w:t xml:space="preserve"> În acest context,</w:t>
      </w:r>
      <w:r w:rsidRPr="00D54BBD">
        <w:rPr>
          <w:b/>
          <w:noProof/>
        </w:rPr>
        <w:t xml:space="preserve"> administrațiile publice se confruntă cu o concurență puternică în ceea ce privește talentele, în special în domenii în care sunt necesare noi seturi de abilități, cunoștințe și competențe.</w:t>
      </w:r>
      <w:r>
        <w:rPr>
          <w:noProof/>
        </w:rPr>
        <w:t xml:space="preserve"> Transformarea digitală impune, de asemenea, o creștere substanțială a participării funcționarilor publici la activități de învățare în rândul adulților</w:t>
      </w:r>
      <w:r>
        <w:rPr>
          <w:rStyle w:val="FootnoteReference"/>
          <w:noProof/>
          <w:lang w:val="en-GB"/>
        </w:rPr>
        <w:footnoteReference w:id="41"/>
      </w:r>
      <w:r>
        <w:rPr>
          <w:noProof/>
        </w:rPr>
        <w:t>, precum și regândirea proceselor de lucru pentru a se valorifica potențialul automatizării, al datelor și al interoperabilității. Această transformare ar trebui să conducă la luarea în considerare a unor noi modalități de cooperare cu sectorul privat, în special cu întreprinderile nou-înființate și cu IMM-urile</w:t>
      </w:r>
      <w:r>
        <w:rPr>
          <w:rStyle w:val="FootnoteReference"/>
          <w:noProof/>
          <w:lang w:val="en-GB"/>
        </w:rPr>
        <w:footnoteReference w:id="42"/>
      </w:r>
      <w:r>
        <w:rPr>
          <w:noProof/>
        </w:rPr>
        <w:t>. Conducerea tranziției verzi necesită o abordare multidisciplinară a procesului de elaborare a politicilor, capacități solide de coordonare și planificare la toate nivelurile administrației publice și abilități de comunicare solide. Aceste nevoi și cerințe în schimbare privind forța de muncă, precum și evoluția locurilor de muncă impun acțiuni specifice pentru crearea unui mediu de lucru atractiv. Dialogul cu partenerii sociali, atât la nivel central, cât și la nivel regional, contribuie la crearea unui mediu favorabil pentru abordarea acestor provocări diverse.</w:t>
      </w:r>
    </w:p>
    <w:p w14:paraId="3CCFE460" w14:textId="2400EF00" w:rsidR="00543B5A" w:rsidRPr="00B459D5" w:rsidRDefault="00233370" w:rsidP="00A125BC">
      <w:pPr>
        <w:pStyle w:val="Corps"/>
        <w:spacing w:before="120" w:after="120"/>
        <w:rPr>
          <w:noProof/>
        </w:rPr>
      </w:pPr>
      <w:r w:rsidRPr="00D54BBD">
        <w:rPr>
          <w:b/>
          <w:noProof/>
        </w:rPr>
        <w:t>Agenda pentru competențe în domeniul administrației publice va sprijini statele membre în eforturile lor de a construi administrații publice reziliente, atractive, transparente și foarte performante,</w:t>
      </w:r>
      <w:r>
        <w:rPr>
          <w:noProof/>
        </w:rPr>
        <w:t xml:space="preserve"> oferindu-le o gamă largă de instrumente pentru perfecționarea și recalificarea forței lor de muncă. Agenda va completa măsurile puse în aplicare în temeiul PNRR-urilor, în cadrul cărora digitalizarea serviciilor publice este adesea însoțită de perfecționarea digitală, inclusiv pentru îmbunătățirea competențelor legate de analiza datelor, de IA și de securitatea cibernetică. Unele PNRR-uri conțin reforme menite să înființeze centre de competențe pentru funcționarii publici și să îmbunătățească managementul resurselor umane în administrațiile publice.</w:t>
      </w:r>
    </w:p>
    <w:p w14:paraId="16F5009F" w14:textId="6587E187" w:rsidR="00440532" w:rsidRDefault="00A77452" w:rsidP="00A125BC">
      <w:pPr>
        <w:pStyle w:val="Corps"/>
        <w:spacing w:before="120" w:after="120"/>
        <w:rPr>
          <w:noProof/>
        </w:rPr>
      </w:pPr>
      <w:r w:rsidRPr="00D54BBD">
        <w:rPr>
          <w:b/>
          <w:noProof/>
        </w:rPr>
        <w:t>Acțiunile din cadrul acestui pilon vor îndeplini obiectivele Agendei UE pentru competențe și ale acțiunilor din cadrul Anului european al competențelor și vor fi coerente cu acestea.</w:t>
      </w:r>
      <w:r>
        <w:rPr>
          <w:noProof/>
        </w:rPr>
        <w:t xml:space="preserve"> Ele pot contribui la atingerea obiectivului principal al UE pentru </w:t>
      </w:r>
      <w:r w:rsidRPr="00D54BBD">
        <w:rPr>
          <w:noProof/>
        </w:rPr>
        <w:t>2030</w:t>
      </w:r>
      <w:r>
        <w:rPr>
          <w:noProof/>
        </w:rPr>
        <w:t xml:space="preserve"> ca </w:t>
      </w:r>
      <w:r>
        <w:rPr>
          <w:rStyle w:val="Strong"/>
          <w:b w:val="0"/>
          <w:noProof/>
        </w:rPr>
        <w:t>cel puțin</w:t>
      </w:r>
      <w:r w:rsidRPr="00D54BBD">
        <w:rPr>
          <w:rStyle w:val="Strong"/>
          <w:noProof/>
        </w:rPr>
        <w:t xml:space="preserve"> </w:t>
      </w:r>
      <w:r w:rsidRPr="00D54BBD">
        <w:rPr>
          <w:rStyle w:val="Strong"/>
          <w:b w:val="0"/>
          <w:noProof/>
        </w:rPr>
        <w:t>60</w:t>
      </w:r>
      <w:r>
        <w:rPr>
          <w:rStyle w:val="Strong"/>
          <w:b w:val="0"/>
          <w:noProof/>
        </w:rPr>
        <w:t> %</w:t>
      </w:r>
      <w:r>
        <w:rPr>
          <w:noProof/>
        </w:rPr>
        <w:t xml:space="preserve"> dintre toate persoanele adulte să participe în fiecare an la activități de formare profesională, precum și la atingerea obiectivelor naționale</w:t>
      </w:r>
      <w:r>
        <w:rPr>
          <w:rStyle w:val="FootnoteReference"/>
          <w:noProof/>
          <w:lang w:val="en-GB"/>
        </w:rPr>
        <w:footnoteReference w:id="43"/>
      </w:r>
      <w:r>
        <w:rPr>
          <w:noProof/>
        </w:rPr>
        <w:t>. Acțiunile din cadrul acestui pilon vor fi puse în aplicare în principal prin intermediul IST. De asemenea, Comisia își va stimula cooperarea cu administrațiile omoloage din cadrul Grupului de experți privind administrația publică și guvernanța și al rețelei EUPAN, al Rețelei Directorilor Institutelor și Școlilor de Administrație Publică (</w:t>
      </w:r>
      <w:r w:rsidRPr="00D54BBD">
        <w:rPr>
          <w:i/>
          <w:iCs/>
          <w:noProof/>
        </w:rPr>
        <w:t>Network of Directors of Institutes and Schools of Public Administration</w:t>
      </w:r>
      <w:r>
        <w:rPr>
          <w:noProof/>
        </w:rPr>
        <w:t xml:space="preserve"> – DISPA) și al Școlii Europene de Administrație. Vor fi asociate și alte rețele și organisme relevante ale UE și internaționale. </w:t>
      </w:r>
    </w:p>
    <w:p w14:paraId="1D03E76B" w14:textId="77777777" w:rsidR="0080358A" w:rsidRPr="00AC34CC" w:rsidRDefault="0080358A" w:rsidP="00A125BC">
      <w:pPr>
        <w:pStyle w:val="Corps"/>
        <w:spacing w:before="120" w:after="120"/>
        <w:rPr>
          <w:noProof/>
          <w:lang w:val="fr-FR"/>
        </w:rPr>
      </w:pPr>
    </w:p>
    <w:p w14:paraId="3334FE9D" w14:textId="77777777" w:rsidR="0080358A" w:rsidRPr="00AC34CC" w:rsidRDefault="0080358A" w:rsidP="00A125BC">
      <w:pPr>
        <w:pStyle w:val="Corps"/>
        <w:spacing w:before="120" w:after="120"/>
        <w:rPr>
          <w:noProof/>
          <w:lang w:val="fr-FR"/>
        </w:rPr>
      </w:pPr>
    </w:p>
    <w:p w14:paraId="6B304F13" w14:textId="77777777" w:rsidR="0080358A" w:rsidRPr="00AC34CC" w:rsidRDefault="0080358A" w:rsidP="00A125BC">
      <w:pPr>
        <w:pStyle w:val="Corps"/>
        <w:spacing w:before="120" w:after="120"/>
        <w:rPr>
          <w:noProof/>
          <w:lang w:val="fr-FR"/>
        </w:rPr>
      </w:pPr>
    </w:p>
    <w:p w14:paraId="09635680" w14:textId="63A61430" w:rsidR="00902721" w:rsidRPr="00D54BBD" w:rsidRDefault="00055DA4" w:rsidP="003523D8">
      <w:pPr>
        <w:pStyle w:val="Heading2"/>
        <w:numPr>
          <w:ilvl w:val="0"/>
          <w:numId w:val="15"/>
        </w:numPr>
        <w:rPr>
          <w:noProof/>
        </w:rPr>
      </w:pPr>
      <w:r w:rsidRPr="00D54BBD">
        <w:rPr>
          <w:noProof/>
        </w:rPr>
        <w:t>Schimbul de cooperare în domeniul administrației publice (</w:t>
      </w:r>
      <w:r w:rsidRPr="00D54BBD">
        <w:rPr>
          <w:i/>
          <w:noProof/>
        </w:rPr>
        <w:t>Public Administration Cooperation Exchange</w:t>
      </w:r>
      <w:r w:rsidRPr="00D54BBD">
        <w:rPr>
          <w:noProof/>
        </w:rPr>
        <w:t xml:space="preserve"> – PACE)</w:t>
      </w:r>
    </w:p>
    <w:p w14:paraId="0B382651" w14:textId="7773C3D1" w:rsidR="00C90871" w:rsidRPr="00B459D5" w:rsidRDefault="005837A6" w:rsidP="00F8142C">
      <w:pPr>
        <w:pStyle w:val="ListParagraph"/>
        <w:pBdr>
          <w:top w:val="nil"/>
          <w:left w:val="nil"/>
          <w:bottom w:val="nil"/>
          <w:right w:val="nil"/>
          <w:between w:val="nil"/>
          <w:bar w:val="nil"/>
        </w:pBdr>
        <w:spacing w:before="120" w:after="120" w:line="240" w:lineRule="auto"/>
        <w:ind w:left="0"/>
        <w:jc w:val="both"/>
        <w:rPr>
          <w:rFonts w:ascii="Times New Roman" w:eastAsia="Times New Roman" w:hAnsi="Times New Roman" w:cs="Times New Roman"/>
          <w:noProof/>
          <w:color w:val="000000" w:themeColor="text1"/>
          <w:sz w:val="24"/>
          <w:szCs w:val="24"/>
          <w:u w:color="000000"/>
          <w:bdr w:val="nil"/>
          <w14:textOutline w14:w="0" w14:cap="flat" w14:cmpd="sng" w14:algn="ctr">
            <w14:noFill/>
            <w14:prstDash w14:val="solid"/>
            <w14:bevel/>
          </w14:textOutline>
        </w:rPr>
      </w:pPr>
      <w:r>
        <w:rPr>
          <w:rFonts w:ascii="Times New Roman" w:hAnsi="Times New Roman"/>
          <w:noProof/>
          <w:color w:val="000000" w:themeColor="text1"/>
          <w:sz w:val="24"/>
          <w:u w:color="000000"/>
          <w:bdr w:val="nil"/>
          <w14:textOutline w14:w="0" w14:cap="flat" w14:cmpd="sng" w14:algn="ctr">
            <w14:noFill/>
            <w14:prstDash w14:val="solid"/>
            <w14:bevel/>
          </w14:textOutline>
        </w:rPr>
        <w:t>Statele membre au solicitat „consolidarea mobilității lucrătorilor din sectorul public din Europa”</w:t>
      </w:r>
      <w:r>
        <w:rPr>
          <w:rFonts w:ascii="Times New Roman" w:hAnsi="Times New Roman" w:cs="Times New Roman"/>
          <w:noProof/>
          <w:color w:val="000000" w:themeColor="text1"/>
          <w:sz w:val="24"/>
          <w:szCs w:val="24"/>
          <w:u w:color="000000"/>
          <w:bdr w:val="nil"/>
          <w:vertAlign w:val="superscript"/>
        </w:rPr>
        <w:footnoteReference w:id="44"/>
      </w:r>
      <w:r>
        <w:rPr>
          <w:rFonts w:ascii="Times New Roman" w:hAnsi="Times New Roman"/>
          <w:noProof/>
          <w:color w:val="000000" w:themeColor="text1"/>
          <w:sz w:val="24"/>
          <w:u w:color="000000"/>
          <w:bdr w:val="nil"/>
          <w14:textOutline w14:w="0" w14:cap="flat" w14:cmpd="sng" w14:algn="ctr">
            <w14:noFill/>
            <w14:prstDash w14:val="solid"/>
            <w14:bevel/>
          </w14:textOutline>
        </w:rPr>
        <w:t>, încurajând cooperarea dintre administrații și crearea de comunități de practică</w:t>
      </w:r>
      <w:r>
        <w:rPr>
          <w:rFonts w:ascii="Times New Roman" w:hAnsi="Times New Roman"/>
          <w:noProof/>
          <w:color w:val="000000"/>
          <w:sz w:val="24"/>
          <w:u w:color="000000"/>
          <w:bdr w:val="nil"/>
          <w14:textOutline w14:w="0" w14:cap="flat" w14:cmpd="sng" w14:algn="ctr">
            <w14:noFill/>
            <w14:prstDash w14:val="solid"/>
            <w14:bevel/>
          </w14:textOutline>
        </w:rPr>
        <w:t xml:space="preserve">. </w:t>
      </w:r>
      <w:r>
        <w:rPr>
          <w:rFonts w:ascii="Times New Roman" w:hAnsi="Times New Roman"/>
          <w:noProof/>
          <w:color w:val="000000" w:themeColor="text1"/>
          <w:sz w:val="24"/>
          <w:u w:color="000000"/>
          <w:bdr w:val="nil"/>
          <w14:textOutline w14:w="0" w14:cap="flat" w14:cmpd="sng" w14:algn="ctr">
            <w14:noFill/>
            <w14:prstDash w14:val="solid"/>
            <w14:bevel/>
          </w14:textOutline>
        </w:rPr>
        <w:t>Mai multe instrumente ale UE sprijină deja schimburile de experiență sectoriale și învățarea reciprocă</w:t>
      </w:r>
      <w:r>
        <w:rPr>
          <w:rStyle w:val="FootnoteReference"/>
          <w:rFonts w:ascii="Times New Roman" w:eastAsia="Times New Roman" w:hAnsi="Times New Roman" w:cs="Times New Roman"/>
          <w:noProof/>
          <w:color w:val="000000" w:themeColor="text1"/>
          <w:sz w:val="24"/>
          <w:szCs w:val="24"/>
          <w:u w:color="000000"/>
          <w:bdr w:val="nil"/>
        </w:rPr>
        <w:footnoteReference w:id="45"/>
      </w:r>
      <w:r>
        <w:rPr>
          <w:rFonts w:ascii="Times New Roman" w:hAnsi="Times New Roman"/>
          <w:noProof/>
          <w:color w:val="000000" w:themeColor="text1"/>
          <w:sz w:val="24"/>
          <w:u w:color="000000"/>
          <w:bdr w:val="nil"/>
          <w14:textOutline w14:w="0" w14:cap="flat" w14:cmpd="sng" w14:algn="ctr">
            <w14:noFill/>
            <w14:prstDash w14:val="solid"/>
            <w14:bevel/>
          </w14:textOutline>
        </w:rPr>
        <w:t>.</w:t>
      </w:r>
    </w:p>
    <w:p w14:paraId="0D0AFB23" w14:textId="78E7B0C9" w:rsidR="00A87B55" w:rsidRPr="00B459D5" w:rsidRDefault="00A87B55" w:rsidP="00A87B55">
      <w:pPr>
        <w:spacing w:before="120" w:after="120" w:line="240" w:lineRule="auto"/>
        <w:jc w:val="both"/>
        <w:rPr>
          <w:rFonts w:ascii="Times New Roman" w:eastAsia="Times New Roman" w:hAnsi="Times New Roman" w:cs="Times New Roman"/>
          <w:noProof/>
          <w:color w:val="000000"/>
          <w:sz w:val="24"/>
          <w:szCs w:val="24"/>
          <w:u w:color="000000"/>
          <w:bdr w:val="nil"/>
          <w14:textOutline w14:w="0" w14:cap="flat" w14:cmpd="sng" w14:algn="ctr">
            <w14:noFill/>
            <w14:prstDash w14:val="solid"/>
            <w14:bevel/>
          </w14:textOutline>
        </w:rPr>
      </w:pPr>
      <w:r>
        <w:rPr>
          <w:rFonts w:ascii="Times New Roman" w:hAnsi="Times New Roman"/>
          <w:noProof/>
          <w:color w:val="000000"/>
          <w:sz w:val="24"/>
          <w:u w:color="000000"/>
          <w:bdr w:val="nil"/>
          <w14:textOutline w14:w="0" w14:cap="flat" w14:cmpd="sng" w14:algn="ctr">
            <w14:noFill/>
            <w14:prstDash w14:val="solid"/>
            <w14:bevel/>
          </w14:textOutline>
        </w:rPr>
        <w:t>Pentru a promova în continuare schimbul de experiență între administrațiile publice din statele membre și schimbul de cunoștințe și de bune practici, Comisia este pregătită să își intensifice și să își consolideze sprijinul acordat pentru PACE. Aceasta din urmă se bazează pe o experiență pozitivă, și anume un</w:t>
      </w:r>
      <w:r>
        <w:rPr>
          <w:noProof/>
        </w:rPr>
        <w:t xml:space="preserve"> </w:t>
      </w:r>
      <w:r>
        <w:rPr>
          <w:rFonts w:ascii="Times New Roman" w:hAnsi="Times New Roman"/>
          <w:noProof/>
          <w:color w:val="000000"/>
          <w:sz w:val="24"/>
          <w:u w:color="000000"/>
          <w:bdr w:val="nil"/>
          <w14:textOutline w14:w="0" w14:cap="flat" w14:cmpd="sng" w14:algn="ctr">
            <w14:noFill/>
            <w14:prstDash w14:val="solid"/>
            <w14:bevel/>
          </w14:textOutline>
        </w:rPr>
        <w:t xml:space="preserve">program-pilot de schimburi pentru cadrele de conducere de nivel mediu, instituit în </w:t>
      </w:r>
      <w:r w:rsidRPr="00D54BBD">
        <w:rPr>
          <w:rFonts w:ascii="Times New Roman" w:hAnsi="Times New Roman"/>
          <w:noProof/>
          <w:color w:val="000000"/>
          <w:sz w:val="24"/>
          <w:u w:color="000000"/>
          <w:bdr w:val="nil"/>
          <w14:textOutline w14:w="0" w14:cap="flat" w14:cmpd="sng" w14:algn="ctr">
            <w14:noFill/>
            <w14:prstDash w14:val="solid"/>
            <w14:bevel/>
          </w14:textOutline>
        </w:rPr>
        <w:t>2021</w:t>
      </w:r>
      <w:r>
        <w:rPr>
          <w:rFonts w:ascii="Times New Roman" w:hAnsi="Times New Roman"/>
          <w:noProof/>
          <w:color w:val="000000"/>
          <w:sz w:val="24"/>
          <w:u w:color="000000"/>
          <w:bdr w:val="nil"/>
          <w14:textOutline w14:w="0" w14:cap="flat" w14:cmpd="sng" w14:algn="ctr">
            <w14:noFill/>
            <w14:prstDash w14:val="solid"/>
            <w14:bevel/>
          </w14:textOutline>
        </w:rPr>
        <w:t xml:space="preserve"> de către statele membre și Comisie în urma unei reuniuni ministeriale informale a EUPAN organizate sub președinția portugheză</w:t>
      </w:r>
      <w:r>
        <w:rPr>
          <w:rFonts w:ascii="Times New Roman" w:hAnsi="Times New Roman" w:cs="Times New Roman"/>
          <w:noProof/>
          <w:sz w:val="24"/>
          <w:szCs w:val="24"/>
          <w:vertAlign w:val="superscript"/>
        </w:rPr>
        <w:footnoteReference w:id="46"/>
      </w:r>
      <w:r>
        <w:rPr>
          <w:rFonts w:ascii="Times New Roman" w:hAnsi="Times New Roman"/>
          <w:noProof/>
          <w:color w:val="000000"/>
          <w:sz w:val="24"/>
          <w:u w:color="000000"/>
          <w:bdr w:val="nil"/>
          <w14:textOutline w14:w="0" w14:cap="flat" w14:cmpd="sng" w14:algn="ctr">
            <w14:noFill/>
            <w14:prstDash w14:val="solid"/>
            <w14:bevel/>
          </w14:textOutline>
        </w:rPr>
        <w:t xml:space="preserve">. Aceste schimburi vor sprijini, în funcție de cerere, nevoile organizaționale specifice ale administrațiilor publice, cum ar fi punerea în aplicare a reformelor, dezvoltarea de inițiative politice sau introducerea de noi abordări în materie de gestionare. Ele vor contribui la crearea unei comunități europene a funcționarilor publici. </w:t>
      </w:r>
    </w:p>
    <w:p w14:paraId="05077BE3" w14:textId="678747D4" w:rsidR="00CF1214" w:rsidRPr="00D54BBD" w:rsidRDefault="00FA4B1F" w:rsidP="00B373D1">
      <w:pPr>
        <w:pStyle w:val="Corps"/>
        <w:pBdr>
          <w:top w:val="single" w:sz="4" w:space="1" w:color="auto"/>
          <w:left w:val="single" w:sz="4" w:space="0" w:color="auto"/>
          <w:bottom w:val="single" w:sz="4" w:space="1" w:color="auto"/>
          <w:right w:val="single" w:sz="4" w:space="1" w:color="auto"/>
        </w:pBdr>
        <w:spacing w:before="120" w:after="120"/>
        <w:rPr>
          <w:b/>
          <w:bCs/>
          <w:noProof/>
          <w:sz w:val="22"/>
          <w:szCs w:val="22"/>
        </w:rPr>
      </w:pPr>
      <w:r w:rsidRPr="00D54BBD">
        <w:rPr>
          <w:b/>
          <w:noProof/>
          <w:sz w:val="22"/>
        </w:rPr>
        <w:t>Schimburi între administrațiile publice ale statelor membre</w:t>
      </w:r>
    </w:p>
    <w:p w14:paraId="0B285EA1" w14:textId="088073FF" w:rsidR="00CF1214" w:rsidRPr="00B459D5" w:rsidRDefault="006A6E5B" w:rsidP="00B373D1">
      <w:pPr>
        <w:pStyle w:val="Corps"/>
        <w:pBdr>
          <w:top w:val="single" w:sz="4" w:space="1" w:color="auto"/>
          <w:left w:val="single" w:sz="4" w:space="0" w:color="auto"/>
          <w:bottom w:val="single" w:sz="4" w:space="1" w:color="auto"/>
          <w:right w:val="single" w:sz="4" w:space="1" w:color="auto"/>
        </w:pBdr>
        <w:spacing w:before="120" w:after="120"/>
        <w:rPr>
          <w:noProof/>
          <w:sz w:val="22"/>
          <w:szCs w:val="22"/>
        </w:rPr>
      </w:pPr>
      <w:r>
        <w:rPr>
          <w:noProof/>
          <w:sz w:val="22"/>
        </w:rPr>
        <w:t xml:space="preserve">În cadrul inițiativei emblematice PACE </w:t>
      </w:r>
      <w:r w:rsidRPr="00D54BBD">
        <w:rPr>
          <w:noProof/>
          <w:sz w:val="22"/>
        </w:rPr>
        <w:t>2023</w:t>
      </w:r>
      <w:r>
        <w:rPr>
          <w:noProof/>
          <w:sz w:val="22"/>
          <w:szCs w:val="22"/>
          <w:vertAlign w:val="superscript"/>
          <w:lang w:val="en-GB"/>
        </w:rPr>
        <w:footnoteReference w:id="47"/>
      </w:r>
      <w:r>
        <w:rPr>
          <w:noProof/>
          <w:sz w:val="22"/>
        </w:rPr>
        <w:t xml:space="preserve"> a IST, peste </w:t>
      </w:r>
      <w:r w:rsidRPr="00D54BBD">
        <w:rPr>
          <w:noProof/>
          <w:sz w:val="22"/>
        </w:rPr>
        <w:t>300</w:t>
      </w:r>
      <w:r>
        <w:rPr>
          <w:noProof/>
          <w:sz w:val="22"/>
        </w:rPr>
        <w:t xml:space="preserve"> de funcționari publici participă la peste </w:t>
      </w:r>
      <w:r w:rsidRPr="00D54BBD">
        <w:rPr>
          <w:noProof/>
          <w:sz w:val="22"/>
        </w:rPr>
        <w:t>70</w:t>
      </w:r>
      <w:r w:rsidR="00D54BBD">
        <w:rPr>
          <w:noProof/>
          <w:sz w:val="22"/>
        </w:rPr>
        <w:t> </w:t>
      </w:r>
      <w:r>
        <w:rPr>
          <w:noProof/>
          <w:sz w:val="22"/>
        </w:rPr>
        <w:t xml:space="preserve">de schimburi planificate facilitate de TAIEX. </w:t>
      </w:r>
      <w:r w:rsidRPr="00D54BBD">
        <w:rPr>
          <w:noProof/>
          <w:sz w:val="22"/>
        </w:rPr>
        <w:t>18</w:t>
      </w:r>
      <w:r>
        <w:rPr>
          <w:noProof/>
          <w:sz w:val="22"/>
        </w:rPr>
        <w:t> state membre participă la schimburi de experiență privind noile modalități de lucru, punerea în aplicare a politicilor verzi, consolidarea digitalizării în administrația publică, strategiile și modelele de atragere a talentelor și de dezvoltare a carierei, modernizarea funcției de resurse umane și promovarea rolului de lider, a învățării organizaționale, a eticii și a combaterii corupției. Comisia sprijină într-o foarte mare măsură schimbul de cunoștințe, contribuie și poate participa la acesta în calitate de administrație omoloagă</w:t>
      </w:r>
      <w:r>
        <w:rPr>
          <w:rStyle w:val="FootnoteReference"/>
          <w:noProof/>
          <w:sz w:val="22"/>
          <w:szCs w:val="22"/>
          <w:lang w:val="en-GB"/>
        </w:rPr>
        <w:footnoteReference w:id="48"/>
      </w:r>
      <w:r>
        <w:rPr>
          <w:noProof/>
          <w:sz w:val="22"/>
        </w:rPr>
        <w:t>. Schimburile se bazează pe proiecte bilaterale anterioare și le permit statelor membre să extindă cooperarea și învățarea reciprocă.</w:t>
      </w:r>
    </w:p>
    <w:p w14:paraId="09635684" w14:textId="77777777" w:rsidR="00902721" w:rsidRPr="00D54BBD" w:rsidRDefault="00055DA4" w:rsidP="003E5AD4">
      <w:pPr>
        <w:spacing w:before="120" w:after="120" w:line="240" w:lineRule="auto"/>
        <w:rPr>
          <w:rFonts w:ascii="Times New Roman" w:hAnsi="Times New Roman" w:cs="Times New Roman"/>
          <w:b/>
          <w:bCs/>
          <w:i/>
          <w:iCs/>
          <w:noProof/>
          <w:sz w:val="24"/>
          <w:szCs w:val="24"/>
        </w:rPr>
      </w:pPr>
      <w:bookmarkStart w:id="3" w:name="_Hlk139834145"/>
      <w:r w:rsidRPr="00D54BBD">
        <w:rPr>
          <w:rFonts w:ascii="Times New Roman" w:hAnsi="Times New Roman"/>
          <w:b/>
          <w:i/>
          <w:noProof/>
          <w:sz w:val="24"/>
        </w:rPr>
        <w:t>Comisia:</w:t>
      </w:r>
    </w:p>
    <w:bookmarkEnd w:id="3"/>
    <w:p w14:paraId="09635685" w14:textId="1253CD67" w:rsidR="00902721" w:rsidRPr="00B459D5" w:rsidRDefault="00460010" w:rsidP="002E7C7B">
      <w:pPr>
        <w:pStyle w:val="ListParagraph"/>
        <w:numPr>
          <w:ilvl w:val="0"/>
          <w:numId w:val="1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extinde </w:t>
      </w:r>
      <w:r w:rsidRPr="00D54BBD">
        <w:rPr>
          <w:rFonts w:ascii="Times New Roman" w:hAnsi="Times New Roman"/>
          <w:b/>
          <w:noProof/>
          <w:sz w:val="24"/>
        </w:rPr>
        <w:t xml:space="preserve">PACE la un program anual de schimb </w:t>
      </w:r>
      <w:r>
        <w:rPr>
          <w:rFonts w:ascii="Times New Roman" w:hAnsi="Times New Roman"/>
          <w:noProof/>
          <w:sz w:val="24"/>
        </w:rPr>
        <w:t>ca parte a IST, pentru a facilita mobilitatea funcționarilor publici europeni în toate statele membre, cu sprijinul și participarea Comisiei.</w:t>
      </w:r>
      <w:r>
        <w:rPr>
          <w:rFonts w:ascii="Times New Roman" w:hAnsi="Times New Roman"/>
          <w:noProof/>
          <w:color w:val="000000"/>
          <w:sz w:val="24"/>
          <w:u w:color="000000"/>
          <w:bdr w:val="nil"/>
          <w14:textOutline w14:w="0" w14:cap="flat" w14:cmpd="sng" w14:algn="ctr">
            <w14:noFill/>
            <w14:prstDash w14:val="solid"/>
            <w14:bevel/>
          </w14:textOutline>
        </w:rPr>
        <w:t xml:space="preserve"> PACE va oferi un cadru operațional comun și o finanțare adecvată pentru schimburi specifice, în timpul cărora funcționarii publici vor fi integrați într-o altă administrație pentru o perioadă determinată. [din T</w:t>
      </w:r>
      <w:r w:rsidRPr="00D54BBD">
        <w:rPr>
          <w:rFonts w:ascii="Times New Roman" w:hAnsi="Times New Roman"/>
          <w:noProof/>
          <w:color w:val="000000"/>
          <w:sz w:val="24"/>
          <w:u w:color="000000"/>
          <w:bdr w:val="nil"/>
          <w14:textOutline w14:w="0" w14:cap="flat" w14:cmpd="sng" w14:algn="ctr">
            <w14:noFill/>
            <w14:prstDash w14:val="solid"/>
            <w14:bevel/>
          </w14:textOutline>
        </w:rPr>
        <w:t>1</w:t>
      </w:r>
      <w:r>
        <w:rPr>
          <w:rFonts w:ascii="Times New Roman" w:hAnsi="Times New Roman"/>
          <w:noProof/>
          <w:color w:val="000000"/>
          <w:sz w:val="24"/>
          <w:u w:color="000000"/>
          <w:bdr w:val="nil"/>
          <w14:textOutline w14:w="0" w14:cap="flat" w14:cmpd="sng" w14:algn="ctr">
            <w14:noFill/>
            <w14:prstDash w14:val="solid"/>
            <w14:bevel/>
          </w14:textOutline>
        </w:rPr>
        <w:t> </w:t>
      </w:r>
      <w:r w:rsidRPr="00D54BBD">
        <w:rPr>
          <w:rFonts w:ascii="Times New Roman" w:hAnsi="Times New Roman"/>
          <w:noProof/>
          <w:color w:val="000000"/>
          <w:sz w:val="24"/>
          <w:u w:color="000000"/>
          <w:bdr w:val="nil"/>
          <w14:textOutline w14:w="0" w14:cap="flat" w14:cmpd="sng" w14:algn="ctr">
            <w14:noFill/>
            <w14:prstDash w14:val="solid"/>
            <w14:bevel/>
          </w14:textOutline>
        </w:rPr>
        <w:t>2024</w:t>
      </w:r>
      <w:r>
        <w:rPr>
          <w:rFonts w:ascii="Times New Roman" w:hAnsi="Times New Roman"/>
          <w:noProof/>
          <w:color w:val="000000"/>
          <w:sz w:val="24"/>
          <w:u w:color="000000"/>
          <w:bdr w:val="nil"/>
          <w14:textOutline w14:w="0" w14:cap="flat" w14:cmpd="sng" w14:algn="ctr">
            <w14:noFill/>
            <w14:prstDash w14:val="solid"/>
            <w14:bevel/>
          </w14:textOutline>
        </w:rPr>
        <w:t>]</w:t>
      </w:r>
    </w:p>
    <w:p w14:paraId="27481FF2" w14:textId="56CD14CE" w:rsidR="00324FA6" w:rsidRPr="00B459D5" w:rsidRDefault="00324FA6" w:rsidP="003E5AD4">
      <w:pPr>
        <w:pBdr>
          <w:top w:val="nil"/>
          <w:left w:val="nil"/>
          <w:bottom w:val="nil"/>
          <w:right w:val="nil"/>
          <w:between w:val="nil"/>
          <w:bar w:val="nil"/>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sz w:val="24"/>
          <w:u w:color="000000"/>
          <w:bdr w:val="nil"/>
          <w14:textOutline w14:w="0" w14:cap="flat" w14:cmpd="sng" w14:algn="ctr">
            <w14:noFill/>
            <w14:prstDash w14:val="solid"/>
            <w14:bevel/>
          </w14:textOutline>
        </w:rPr>
        <w:t xml:space="preserve">Statele membre sunt încurajate să </w:t>
      </w:r>
      <w:r>
        <w:rPr>
          <w:rFonts w:ascii="Times New Roman" w:hAnsi="Times New Roman"/>
          <w:noProof/>
          <w:sz w:val="24"/>
        </w:rPr>
        <w:t xml:space="preserve">participe în mod activ la PACE și la alte instrumente de schimburi </w:t>
      </w:r>
      <w:r w:rsidRPr="00D54BBD">
        <w:rPr>
          <w:rFonts w:ascii="Times New Roman" w:hAnsi="Times New Roman"/>
          <w:i/>
          <w:iCs/>
          <w:noProof/>
          <w:sz w:val="24"/>
        </w:rPr>
        <w:t>inter pares</w:t>
      </w:r>
      <w:r>
        <w:rPr>
          <w:rFonts w:ascii="Times New Roman" w:hAnsi="Times New Roman"/>
          <w:noProof/>
          <w:sz w:val="24"/>
        </w:rPr>
        <w:t xml:space="preserve"> ale UE prin stabilirea nevoilor prioritare și coordonarea acestora, prin găzduirea de schimburi și prin furnizarea de feedback cu privire la modalitățile de îmbunătățire. Ele pot extinde participarea la schimburi prin promovarea formării în limbi străine pentru funcționarii lor publici.</w:t>
      </w:r>
    </w:p>
    <w:p w14:paraId="0963568A" w14:textId="502D3A93" w:rsidR="00902721" w:rsidRPr="00D54BBD" w:rsidRDefault="005F02DB" w:rsidP="003E5AD4">
      <w:pPr>
        <w:pStyle w:val="Heading2"/>
        <w:numPr>
          <w:ilvl w:val="0"/>
          <w:numId w:val="0"/>
        </w:numPr>
        <w:ind w:left="785"/>
        <w:rPr>
          <w:noProof/>
        </w:rPr>
      </w:pPr>
      <w:r w:rsidRPr="00D54BBD">
        <w:rPr>
          <w:noProof/>
        </w:rPr>
        <w:t>2. Cooperarea pentru formare și consolidarea capacităților</w:t>
      </w:r>
    </w:p>
    <w:p w14:paraId="35CFC4EA" w14:textId="7429D984" w:rsidR="00126E3D" w:rsidRPr="00B459D5" w:rsidRDefault="00250A0C" w:rsidP="00126E3D">
      <w:pPr>
        <w:pStyle w:val="ListParagraph"/>
        <w:pBdr>
          <w:top w:val="nil"/>
          <w:left w:val="nil"/>
          <w:bottom w:val="nil"/>
          <w:right w:val="nil"/>
          <w:between w:val="nil"/>
          <w:bar w:val="nil"/>
        </w:pBdr>
        <w:spacing w:before="120" w:after="120" w:line="240" w:lineRule="auto"/>
        <w:ind w:left="0"/>
        <w:jc w:val="both"/>
        <w:rPr>
          <w:rFonts w:ascii="Times New Roman" w:eastAsia="Times New Roman" w:hAnsi="Times New Roman" w:cs="Times New Roman"/>
          <w:noProof/>
          <w:color w:val="000000" w:themeColor="text1"/>
          <w:sz w:val="24"/>
          <w:szCs w:val="24"/>
          <w:u w:color="000000"/>
          <w:bdr w:val="nil"/>
          <w14:textOutline w14:w="0" w14:cap="flat" w14:cmpd="sng" w14:algn="ctr">
            <w14:noFill/>
            <w14:prstDash w14:val="solid"/>
            <w14:bevel/>
          </w14:textOutline>
        </w:rPr>
      </w:pPr>
      <w:r>
        <w:rPr>
          <w:rFonts w:ascii="Times New Roman" w:hAnsi="Times New Roman"/>
          <w:noProof/>
          <w:color w:val="000000" w:themeColor="text1"/>
          <w:sz w:val="24"/>
          <w:u w:color="000000"/>
          <w:bdr w:val="nil"/>
          <w14:textOutline w14:w="0" w14:cap="flat" w14:cmpd="sng" w14:algn="ctr">
            <w14:noFill/>
            <w14:prstDash w14:val="solid"/>
            <w14:bevel/>
          </w14:textOutline>
        </w:rPr>
        <w:t xml:space="preserve">Recalificarea și perfecționarea sunt sarcini masive în administrațiile publice, având în vedere existența a aproximativ </w:t>
      </w:r>
      <w:r w:rsidRPr="00D54BBD">
        <w:rPr>
          <w:rFonts w:ascii="Times New Roman" w:hAnsi="Times New Roman"/>
          <w:noProof/>
          <w:color w:val="000000" w:themeColor="text1"/>
          <w:sz w:val="24"/>
          <w:u w:color="000000"/>
          <w:bdr w:val="nil"/>
          <w14:textOutline w14:w="0" w14:cap="flat" w14:cmpd="sng" w14:algn="ctr">
            <w14:noFill/>
            <w14:prstDash w14:val="solid"/>
            <w14:bevel/>
          </w14:textOutline>
        </w:rPr>
        <w:t>9</w:t>
      </w:r>
      <w:r>
        <w:rPr>
          <w:rFonts w:ascii="Times New Roman" w:hAnsi="Times New Roman"/>
          <w:noProof/>
          <w:color w:val="000000" w:themeColor="text1"/>
          <w:sz w:val="24"/>
          <w:u w:color="000000"/>
          <w:bdr w:val="nil"/>
          <w14:textOutline w14:w="0" w14:cap="flat" w14:cmpd="sng" w14:algn="ctr">
            <w14:noFill/>
            <w14:prstDash w14:val="solid"/>
            <w14:bevel/>
          </w14:textOutline>
        </w:rPr>
        <w:t xml:space="preserve"> milioane de angajați în administrațiile centrale, regionale și locale din statele membre și a aproximativ </w:t>
      </w:r>
      <w:r w:rsidRPr="00D54BBD">
        <w:rPr>
          <w:rFonts w:ascii="Times New Roman" w:hAnsi="Times New Roman"/>
          <w:noProof/>
          <w:color w:val="000000" w:themeColor="text1"/>
          <w:sz w:val="24"/>
          <w:u w:color="000000"/>
          <w:bdr w:val="nil"/>
          <w14:textOutline w14:w="0" w14:cap="flat" w14:cmpd="sng" w14:algn="ctr">
            <w14:noFill/>
            <w14:prstDash w14:val="solid"/>
            <w14:bevel/>
          </w14:textOutline>
        </w:rPr>
        <w:t>41</w:t>
      </w:r>
      <w:r>
        <w:rPr>
          <w:rFonts w:ascii="Times New Roman" w:hAnsi="Times New Roman"/>
          <w:noProof/>
          <w:color w:val="000000" w:themeColor="text1"/>
          <w:sz w:val="24"/>
          <w:u w:color="000000"/>
          <w:bdr w:val="nil"/>
          <w14:textOutline w14:w="0" w14:cap="flat" w14:cmpd="sng" w14:algn="ctr">
            <w14:noFill/>
            <w14:prstDash w14:val="solid"/>
            <w14:bevel/>
          </w14:textOutline>
        </w:rPr>
        <w:t xml:space="preserve"> de milioane de angajați în sectorul public la nivelul UE</w:t>
      </w:r>
      <w:r>
        <w:rPr>
          <w:rFonts w:ascii="Times New Roman" w:eastAsia="Times New Roman" w:hAnsi="Times New Roman" w:cs="Times New Roman"/>
          <w:noProof/>
          <w:color w:val="000000" w:themeColor="text1"/>
          <w:sz w:val="24"/>
          <w:szCs w:val="24"/>
          <w:u w:color="000000"/>
          <w:bdr w:val="nil"/>
          <w:vertAlign w:val="superscript"/>
        </w:rPr>
        <w:footnoteReference w:id="49"/>
      </w:r>
      <w:r>
        <w:rPr>
          <w:rFonts w:ascii="Times New Roman" w:hAnsi="Times New Roman"/>
          <w:noProof/>
          <w:color w:val="000000" w:themeColor="text1"/>
          <w:sz w:val="24"/>
          <w:u w:color="000000"/>
          <w:bdr w:val="nil"/>
          <w14:textOutline w14:w="0" w14:cap="flat" w14:cmpd="sng" w14:algn="ctr">
            <w14:noFill/>
            <w14:prstDash w14:val="solid"/>
            <w14:bevel/>
          </w14:textOutline>
        </w:rPr>
        <w:t>. În majoritatea statelor membre, institutele naționale, școlile de administrație publică sau instituțiile de formare specializate joacă un rol esențial în dezvoltarea competențelor și a capacităților funcționarilor publici pentru o mai bună gestionare a politicilor publice. Formarea și consolidarea capacităților se confruntă adesea cu o combinație între o concurență puternică pentru finanțare, un volum mare de muncă și o disponibilitate limitată a oportunităților de formare. În plus, din cauza varietății mari de subiecte noi, este dificilă acoperirea tuturor aspectelor la nivel național. Consolidarea cooperării dintre autoritățile naționale și Comisie permite abordarea unora dintre aceste provocări,</w:t>
      </w:r>
      <w:r>
        <w:rPr>
          <w:noProof/>
        </w:rPr>
        <w:t xml:space="preserve"> </w:t>
      </w:r>
      <w:r>
        <w:rPr>
          <w:rFonts w:ascii="Times New Roman" w:hAnsi="Times New Roman"/>
          <w:noProof/>
          <w:color w:val="000000" w:themeColor="text1"/>
          <w:sz w:val="24"/>
          <w:u w:color="000000"/>
          <w:bdr w:val="nil"/>
          <w14:textOutline w14:w="0" w14:cap="flat" w14:cmpd="sng" w14:algn="ctr">
            <w14:noFill/>
            <w14:prstDash w14:val="solid"/>
            <w14:bevel/>
          </w14:textOutline>
        </w:rPr>
        <w:t xml:space="preserve">precum și schimburile active cu parteneri internaționali cu privire la bunele practici. </w:t>
      </w:r>
    </w:p>
    <w:p w14:paraId="077F791C" w14:textId="2A3E5F03" w:rsidR="00702863" w:rsidRPr="00D54BBD" w:rsidRDefault="00702863" w:rsidP="007E3A13">
      <w:pPr>
        <w:pStyle w:val="Corps"/>
        <w:pBdr>
          <w:top w:val="single" w:sz="4" w:space="1" w:color="auto"/>
          <w:left w:val="single" w:sz="4" w:space="1" w:color="auto"/>
          <w:bottom w:val="single" w:sz="4" w:space="1" w:color="auto"/>
          <w:right w:val="single" w:sz="4" w:space="1" w:color="auto"/>
        </w:pBdr>
        <w:spacing w:before="120" w:after="120"/>
        <w:rPr>
          <w:b/>
          <w:bCs/>
          <w:noProof/>
          <w:sz w:val="22"/>
          <w:szCs w:val="22"/>
        </w:rPr>
      </w:pPr>
      <w:r w:rsidRPr="00D54BBD">
        <w:rPr>
          <w:b/>
          <w:noProof/>
          <w:sz w:val="22"/>
        </w:rPr>
        <w:t>Programul UE de formare în domeniul vamal – Construirea unei expertize în domeniul gestionării vamale împreună</w:t>
      </w:r>
    </w:p>
    <w:p w14:paraId="4055E404" w14:textId="5068EF9E" w:rsidR="00702863" w:rsidRPr="00B459D5" w:rsidRDefault="00702863" w:rsidP="003E5AD4">
      <w:pPr>
        <w:pStyle w:val="Corps"/>
        <w:pBdr>
          <w:top w:val="single" w:sz="4" w:space="1" w:color="auto"/>
          <w:left w:val="single" w:sz="4" w:space="1" w:color="auto"/>
          <w:bottom w:val="single" w:sz="4" w:space="1" w:color="auto"/>
          <w:right w:val="single" w:sz="4" w:space="1" w:color="auto"/>
        </w:pBdr>
        <w:spacing w:before="120" w:after="120"/>
        <w:rPr>
          <w:noProof/>
        </w:rPr>
      </w:pPr>
      <w:r>
        <w:rPr>
          <w:noProof/>
          <w:sz w:val="22"/>
        </w:rPr>
        <w:t xml:space="preserve">În cadrul programului de formare în domeniul vamal, Comisia și statele membre recunosc centrele de expertiză în materie de formare pe teme specifice din domeniul vamal printr-un acord de parteneriat. Statul membru (statele membre) în cauză oferă anual cursuri de formare altor state membre, își actualizează permanent cunoștințele legate de subiect și colaborează cu formatori și departamente de formare din alte state membre. Din </w:t>
      </w:r>
      <w:r w:rsidRPr="00D54BBD">
        <w:rPr>
          <w:noProof/>
          <w:sz w:val="22"/>
        </w:rPr>
        <w:t>2014</w:t>
      </w:r>
      <w:r>
        <w:rPr>
          <w:noProof/>
          <w:sz w:val="22"/>
        </w:rPr>
        <w:t xml:space="preserve">, au beneficiat de formare aproximativ </w:t>
      </w:r>
      <w:r w:rsidRPr="00D54BBD">
        <w:rPr>
          <w:noProof/>
          <w:sz w:val="22"/>
        </w:rPr>
        <w:t>1</w:t>
      </w:r>
      <w:r>
        <w:rPr>
          <w:noProof/>
          <w:sz w:val="22"/>
        </w:rPr>
        <w:t> </w:t>
      </w:r>
      <w:r w:rsidRPr="00D54BBD">
        <w:rPr>
          <w:noProof/>
          <w:sz w:val="22"/>
        </w:rPr>
        <w:t>000</w:t>
      </w:r>
      <w:r>
        <w:rPr>
          <w:noProof/>
          <w:sz w:val="22"/>
        </w:rPr>
        <w:t xml:space="preserve"> de lucrători vamali și au fost organizate aproximativ </w:t>
      </w:r>
      <w:r w:rsidRPr="00D54BBD">
        <w:rPr>
          <w:noProof/>
          <w:sz w:val="22"/>
        </w:rPr>
        <w:t>130</w:t>
      </w:r>
      <w:r>
        <w:rPr>
          <w:noProof/>
          <w:sz w:val="22"/>
        </w:rPr>
        <w:t xml:space="preserve"> de evenimente de învățare comună.</w:t>
      </w:r>
    </w:p>
    <w:p w14:paraId="222FF4F7" w14:textId="41BC14D6" w:rsidR="00E573B9" w:rsidRPr="00B459D5" w:rsidRDefault="00CC36E6" w:rsidP="003E5AD4">
      <w:pPr>
        <w:pStyle w:val="Corps"/>
        <w:spacing w:before="120" w:after="120"/>
        <w:rPr>
          <w:noProof/>
        </w:rPr>
      </w:pPr>
      <w:r>
        <w:rPr>
          <w:noProof/>
        </w:rPr>
        <w:t xml:space="preserve">Promovarea e-learning pe teme legate de administrația publică va permite accesul direct al tuturor funcționarilor publici din statele membre și va facilita, de asemenea, învățarea în ritm propriu. Raza de acoperire a cursurilor și materialelor de formare ar putea fi extinsă în mod semnificativ datorită traducerii în limbile UE, devenind astfel posibil un acces mai larg pentru administrațiile mai mici. </w:t>
      </w:r>
    </w:p>
    <w:p w14:paraId="2EA60163" w14:textId="67656731" w:rsidR="00CC36E6" w:rsidRPr="00B459D5" w:rsidRDefault="00A7137A" w:rsidP="003E5AD4">
      <w:pPr>
        <w:pStyle w:val="Corps"/>
        <w:spacing w:before="120" w:after="120"/>
        <w:rPr>
          <w:noProof/>
        </w:rPr>
      </w:pPr>
      <w:r>
        <w:rPr>
          <w:noProof/>
        </w:rPr>
        <w:t>Comisia a dezvoltat deja oportunități de formare online, de exemplu pe tema interoperabilității, a transformării digitale, a antreprenoriatului, a competențelor financiare și în materie de durabilitate, a rețelelor de învățare</w:t>
      </w:r>
      <w:r>
        <w:rPr>
          <w:rStyle w:val="FootnoteReference"/>
          <w:noProof/>
          <w:lang w:val="en-GB"/>
        </w:rPr>
        <w:footnoteReference w:id="50"/>
      </w:r>
      <w:r>
        <w:rPr>
          <w:noProof/>
        </w:rPr>
        <w:t xml:space="preserve"> și a comunităților de practică</w:t>
      </w:r>
      <w:r>
        <w:rPr>
          <w:rStyle w:val="FootnoteReference"/>
          <w:noProof/>
          <w:lang w:val="en-GB"/>
        </w:rPr>
        <w:footnoteReference w:id="51"/>
      </w:r>
      <w:r>
        <w:rPr>
          <w:noProof/>
        </w:rPr>
        <w:t>.</w:t>
      </w:r>
    </w:p>
    <w:p w14:paraId="1D659793" w14:textId="0033BAD1" w:rsidR="00632CCE" w:rsidRPr="00D54BBD" w:rsidRDefault="00055DA4" w:rsidP="00632CCE">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634AF02C" w14:textId="093653C3" w:rsidR="001B5014" w:rsidRPr="00B459D5" w:rsidRDefault="00EB3C07" w:rsidP="00F45671">
      <w:pPr>
        <w:pStyle w:val="Corps"/>
        <w:numPr>
          <w:ilvl w:val="0"/>
          <w:numId w:val="4"/>
        </w:numPr>
        <w:spacing w:before="120" w:after="120"/>
        <w:rPr>
          <w:noProof/>
        </w:rPr>
      </w:pPr>
      <w:r>
        <w:rPr>
          <w:noProof/>
        </w:rPr>
        <w:t xml:space="preserve">va crea o </w:t>
      </w:r>
      <w:r w:rsidRPr="00D54BBD">
        <w:rPr>
          <w:b/>
          <w:noProof/>
        </w:rPr>
        <w:t>rețea de centre de excelență</w:t>
      </w:r>
      <w:r>
        <w:rPr>
          <w:noProof/>
        </w:rPr>
        <w:t xml:space="preserve"> pentru furnizarea de formare tematică pentru funcționarii publici din întreaga UE. Rețeaua va crea un catalog comun de cursuri de formare și va facilita oferta de formare pentru funcționarii publici prin intermediul centrelor de excelență din statele membre pe teme specifice, cum ar fi vămile, statul de drept, prevenirea corupției și integritatea, tranziția verde, achizițiile publice inovatoare, utilizarea dovezilor științifice în cadrul procesului de elaborare a politicilor sau IA. Acest model va contribui la furnizarea unui catalog mai amplu de cursuri de formare de înaltă calitate pentru administrațiile publice din întreaga UE și la sustenabilitatea financiară a formării, sporind în același timp eficiența investițiilor. În acest context, Comisia va sprijini în continuare organizațiile naționale de formare în dezvoltarea </w:t>
      </w:r>
      <w:r w:rsidRPr="00D54BBD">
        <w:rPr>
          <w:b/>
          <w:noProof/>
        </w:rPr>
        <w:t>capacității lor de a evalua nevoile în materie de formare și de a-și consolida politicile de formare</w:t>
      </w:r>
      <w:r>
        <w:rPr>
          <w:noProof/>
        </w:rPr>
        <w:t xml:space="preserve"> pentru funcționarii publici. [din T</w:t>
      </w:r>
      <w:r w:rsidRPr="00D54BBD">
        <w:rPr>
          <w:noProof/>
        </w:rPr>
        <w:t>1</w:t>
      </w:r>
      <w:r>
        <w:rPr>
          <w:noProof/>
        </w:rPr>
        <w:t> </w:t>
      </w:r>
      <w:r w:rsidRPr="00D54BBD">
        <w:rPr>
          <w:noProof/>
        </w:rPr>
        <w:t>2024</w:t>
      </w:r>
      <w:r>
        <w:rPr>
          <w:noProof/>
        </w:rPr>
        <w:t>]</w:t>
      </w:r>
    </w:p>
    <w:p w14:paraId="2BE04356" w14:textId="38720567" w:rsidR="00F45671" w:rsidRPr="00B459D5" w:rsidRDefault="0005023D" w:rsidP="00F45671">
      <w:pPr>
        <w:pStyle w:val="Corps"/>
        <w:numPr>
          <w:ilvl w:val="0"/>
          <w:numId w:val="4"/>
        </w:numPr>
        <w:spacing w:before="120" w:after="120"/>
        <w:rPr>
          <w:noProof/>
        </w:rPr>
      </w:pPr>
      <w:r>
        <w:rPr>
          <w:noProof/>
        </w:rPr>
        <w:t xml:space="preserve">va institui un </w:t>
      </w:r>
      <w:r w:rsidRPr="00D54BBD">
        <w:rPr>
          <w:b/>
          <w:noProof/>
        </w:rPr>
        <w:t>program la nivelul UE privind rolul de lider în administrația publică</w:t>
      </w:r>
      <w:r>
        <w:rPr>
          <w:noProof/>
        </w:rPr>
        <w:t xml:space="preserve"> </w:t>
      </w:r>
      <w:r w:rsidRPr="00D54BBD">
        <w:rPr>
          <w:b/>
          <w:noProof/>
        </w:rPr>
        <w:t>axat pe personalul de conducere de nivel superior</w:t>
      </w:r>
      <w:r>
        <w:rPr>
          <w:noProof/>
        </w:rPr>
        <w:t xml:space="preserve"> din administrațiile publice ale statelor membre. O abordare la nivelul UE care include elaborarea unor programe comune, exerciții de învățare reciprocă și schimburi de bune practici va permite cadrelor de conducere să fie mai pregătite pentru complexitatea rolului de lider în sectorul public, în special având în vedere rolul esențial al acestora în ceea ce privește prezentarea reformelor în administrația publică și punerea în aplicare a acestora, valorificarea talentelor și stimularea inovării. [din T</w:t>
      </w:r>
      <w:r w:rsidRPr="00D54BBD">
        <w:rPr>
          <w:noProof/>
        </w:rPr>
        <w:t>1</w:t>
      </w:r>
      <w:r>
        <w:rPr>
          <w:noProof/>
        </w:rPr>
        <w:t> </w:t>
      </w:r>
      <w:r w:rsidRPr="00D54BBD">
        <w:rPr>
          <w:noProof/>
        </w:rPr>
        <w:t>2024</w:t>
      </w:r>
      <w:r>
        <w:rPr>
          <w:noProof/>
        </w:rPr>
        <w:t>]</w:t>
      </w:r>
    </w:p>
    <w:p w14:paraId="2BCCD7FE" w14:textId="58A95A11" w:rsidR="0035189B" w:rsidRPr="00B459D5" w:rsidRDefault="00A751CD" w:rsidP="00F45671">
      <w:pPr>
        <w:pStyle w:val="Corps"/>
        <w:numPr>
          <w:ilvl w:val="0"/>
          <w:numId w:val="4"/>
        </w:numPr>
        <w:spacing w:before="120" w:after="120"/>
        <w:rPr>
          <w:noProof/>
        </w:rPr>
      </w:pPr>
      <w:r>
        <w:rPr>
          <w:noProof/>
        </w:rPr>
        <w:t xml:space="preserve">Dezvoltarea unei </w:t>
      </w:r>
      <w:r w:rsidRPr="00D54BBD">
        <w:rPr>
          <w:b/>
          <w:noProof/>
        </w:rPr>
        <w:t>secțiuni pentru administrația publică pe platforma EU Academy</w:t>
      </w:r>
      <w:r>
        <w:rPr>
          <w:rStyle w:val="FootnoteReference"/>
          <w:noProof/>
          <w:lang w:val="en-GB"/>
        </w:rPr>
        <w:footnoteReference w:id="52"/>
      </w:r>
      <w:r>
        <w:rPr>
          <w:noProof/>
        </w:rPr>
        <w:t>, cu programe și cursuri de formare specifice, de la cele orizontale, cum ar fi metode de elaborare a politicilor, de cocreare și de deliberare pentru implicarea cetățenilor în planificare, statul de drept, prevenirea corupției și integritatea, managementul de proiect, până la cele mai specializate, cum ar fi gestionarea tranziției verzi, interoperabilitatea sau gestionarea amenințărilor cibernetice. Cursurile de e-learning ar putea fi completate cu orientările și materialele de formare existente elaborate de Comisie pe teme legate de UE și ar putea include linkuri către surse naționale și internaționale. [din T</w:t>
      </w:r>
      <w:r w:rsidRPr="00D54BBD">
        <w:rPr>
          <w:noProof/>
        </w:rPr>
        <w:t>2</w:t>
      </w:r>
      <w:r>
        <w:rPr>
          <w:noProof/>
        </w:rPr>
        <w:t> </w:t>
      </w:r>
      <w:r w:rsidRPr="00D54BBD">
        <w:rPr>
          <w:noProof/>
        </w:rPr>
        <w:t>2024</w:t>
      </w:r>
      <w:r>
        <w:rPr>
          <w:noProof/>
        </w:rPr>
        <w:t>]</w:t>
      </w:r>
    </w:p>
    <w:p w14:paraId="609B65A5" w14:textId="502D7368" w:rsidR="00B7354B" w:rsidRPr="00B459D5" w:rsidRDefault="00B7354B" w:rsidP="003E5AD4">
      <w:pPr>
        <w:pStyle w:val="Corps"/>
        <w:spacing w:before="120" w:after="120"/>
        <w:rPr>
          <w:noProof/>
        </w:rPr>
      </w:pPr>
      <w:r>
        <w:rPr>
          <w:noProof/>
        </w:rPr>
        <w:t>Utilizarea pe scară mai largă a oportunităților de formare ar putea fi completată de către statele membre cu resurse pentru perfecționare și consolidarea capacităților în temeiul politicii de coeziune.</w:t>
      </w:r>
    </w:p>
    <w:p w14:paraId="09635696" w14:textId="71B5959C" w:rsidR="00902721" w:rsidRPr="00D54BBD" w:rsidRDefault="00C71728" w:rsidP="003E5AD4">
      <w:pPr>
        <w:pStyle w:val="Heading2"/>
        <w:numPr>
          <w:ilvl w:val="0"/>
          <w:numId w:val="0"/>
        </w:numPr>
        <w:ind w:left="785"/>
        <w:rPr>
          <w:noProof/>
        </w:rPr>
      </w:pPr>
      <w:r w:rsidRPr="00D54BBD">
        <w:rPr>
          <w:noProof/>
        </w:rPr>
        <w:t>3. Cooperarea pentru capacitatea administrativă la nivel regional și local</w:t>
      </w:r>
    </w:p>
    <w:p w14:paraId="09635697" w14:textId="311432E1" w:rsidR="00902721" w:rsidRPr="00B459D5" w:rsidRDefault="003F3E59" w:rsidP="003E5AD4">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Administrațiile publice regionale și locale sunt cele mai apropiate de cetățeni și joacă un rol esențial în furnizarea de servicii de proximitate. Acestea pun în aplicare </w:t>
      </w:r>
      <w:r w:rsidRPr="00D54BBD">
        <w:rPr>
          <w:rFonts w:ascii="Times New Roman" w:hAnsi="Times New Roman"/>
          <w:noProof/>
          <w:sz w:val="24"/>
        </w:rPr>
        <w:t>70</w:t>
      </w:r>
      <w:r>
        <w:rPr>
          <w:rFonts w:ascii="Times New Roman" w:hAnsi="Times New Roman"/>
          <w:noProof/>
          <w:sz w:val="24"/>
        </w:rPr>
        <w:t xml:space="preserve"> % din toată legislația UE, </w:t>
      </w:r>
      <w:r w:rsidRPr="00D54BBD">
        <w:rPr>
          <w:rFonts w:ascii="Times New Roman" w:hAnsi="Times New Roman"/>
          <w:noProof/>
          <w:sz w:val="24"/>
        </w:rPr>
        <w:t>90</w:t>
      </w:r>
      <w:r>
        <w:rPr>
          <w:rFonts w:ascii="Times New Roman" w:hAnsi="Times New Roman"/>
          <w:noProof/>
          <w:sz w:val="24"/>
        </w:rPr>
        <w:t xml:space="preserve"> % din politicile de adaptare la schimbările climatice și </w:t>
      </w:r>
      <w:r w:rsidRPr="00D54BBD">
        <w:rPr>
          <w:rFonts w:ascii="Times New Roman" w:hAnsi="Times New Roman"/>
          <w:noProof/>
          <w:sz w:val="24"/>
        </w:rPr>
        <w:t>65</w:t>
      </w:r>
      <w:r>
        <w:rPr>
          <w:rFonts w:ascii="Times New Roman" w:hAnsi="Times New Roman"/>
          <w:noProof/>
          <w:sz w:val="24"/>
        </w:rPr>
        <w:t> % din obiectivele de dezvoltare durabilă</w:t>
      </w:r>
      <w:r>
        <w:rPr>
          <w:rFonts w:ascii="Times New Roman" w:eastAsia="Times New Roman" w:hAnsi="Times New Roman" w:cs="Times New Roman"/>
          <w:noProof/>
          <w:sz w:val="24"/>
          <w:szCs w:val="24"/>
          <w:vertAlign w:val="superscript"/>
          <w:lang w:eastAsia="en-IE"/>
        </w:rPr>
        <w:footnoteReference w:id="53"/>
      </w:r>
      <w:r>
        <w:rPr>
          <w:rFonts w:ascii="Times New Roman" w:hAnsi="Times New Roman"/>
          <w:noProof/>
          <w:sz w:val="24"/>
        </w:rPr>
        <w:t>. Ele stabilesc agenda în domeniul inovării în sectorul public și realizează investiții cu ajutorul fondurilor UE planifică prin intermediul unor soluții bazate pe realitatea locului și se află în avangarda unor domenii precum atenuarea efectelor schimbărilor climatice, protecția civilă și coeziunea socială. Ele sunt, de asemenea, cele mai apropiate de nevoile și de preocupările de la nivel local în ceea ce privește protecția mediului, locuințele, mobilitatea, cultura și educația</w:t>
      </w:r>
      <w:r>
        <w:rPr>
          <w:rStyle w:val="FootnoteReference"/>
          <w:rFonts w:ascii="Times New Roman" w:eastAsia="Times New Roman" w:hAnsi="Times New Roman" w:cs="Times New Roman"/>
          <w:noProof/>
          <w:sz w:val="24"/>
          <w:szCs w:val="24"/>
          <w:lang w:eastAsia="en-IE"/>
        </w:rPr>
        <w:footnoteReference w:id="54"/>
      </w:r>
      <w:r>
        <w:rPr>
          <w:rFonts w:ascii="Times New Roman" w:hAnsi="Times New Roman"/>
          <w:noProof/>
          <w:sz w:val="24"/>
        </w:rPr>
        <w:t xml:space="preserve">. </w:t>
      </w:r>
    </w:p>
    <w:p w14:paraId="09635698" w14:textId="0DDD11EA" w:rsidR="00902721" w:rsidRPr="00B459D5" w:rsidRDefault="003F3E59" w:rsidP="003E5AD4">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Administrațiile publice regionale și locale împărtășesc majoritatea provocărilor cu care se confruntă și administrațiile publice centrale, însă au și propriile particularități. Majoritatea administrațiilor locale sunt relativ mici, iar adesea nu dispun de resurse suficiente și nici de experți</w:t>
      </w:r>
      <w:r>
        <w:rPr>
          <w:rStyle w:val="FootnoteReference"/>
          <w:rFonts w:ascii="Times New Roman" w:eastAsia="Times New Roman" w:hAnsi="Times New Roman" w:cs="Times New Roman"/>
          <w:noProof/>
          <w:sz w:val="24"/>
          <w:szCs w:val="24"/>
          <w:lang w:eastAsia="en-IE"/>
        </w:rPr>
        <w:footnoteReference w:id="55"/>
      </w:r>
      <w:r>
        <w:rPr>
          <w:rFonts w:ascii="Times New Roman" w:hAnsi="Times New Roman"/>
          <w:noProof/>
          <w:sz w:val="24"/>
        </w:rPr>
        <w:t>. Pentru o serie de responsabilități, este necesar contactul direct cu cetățenii. Mobilitatea profesională și accesul la formare și la cunoștințe tind să fie relativ limitate, carierele tind să fie mai lungi, iar rezerva de competențe depinde de nivelul general al dezvoltării locale și al activității economice. Având în vedere aceste limitări, precum și diferitele contexte socioeconomice și geografice, administrațiile regionale și locale au nevoie de sprijin specific pentru a se pregăti în scopul elaborării de politici adaptate la particularitățile locale, precum și în scopul dezvoltării de strategii la scara teritorială adecvată pentru abordarea aspectelor complexe, cum ar fi interacțiunea dintre zonele urbane și cele rurale, autorizarea, achizițiile publice verzi, inovarea și alți factori determinanți ai unei dezvoltări locale echilibrate. Capacitatea și capabilitățile limitate ale administrațiilor publice ale statelor membre de la nivel regional și local pot împiedica, de asemenea, utilizarea eficace a fondurilor disponibile, inclusiv a celor puse la dispoziție prin intermediul politicii de coeziune.</w:t>
      </w:r>
    </w:p>
    <w:p w14:paraId="18406422" w14:textId="77777777" w:rsidR="00435603" w:rsidRPr="00D54BBD" w:rsidRDefault="00435603" w:rsidP="003E5AD4">
      <w:pPr>
        <w:spacing w:before="120" w:after="120" w:line="240" w:lineRule="auto"/>
        <w:rPr>
          <w:rFonts w:ascii="Times New Roman" w:hAnsi="Times New Roman" w:cs="Times New Roman"/>
          <w:b/>
          <w:bCs/>
          <w:i/>
          <w:iCs/>
          <w:noProof/>
          <w:sz w:val="24"/>
          <w:szCs w:val="24"/>
        </w:rPr>
      </w:pPr>
    </w:p>
    <w:p w14:paraId="0963569B" w14:textId="1086A3A3" w:rsidR="00902721" w:rsidRPr="00D54BBD" w:rsidRDefault="00055DA4" w:rsidP="003E5AD4">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3A9729DC" w14:textId="5C6C5C6B" w:rsidR="009F6808" w:rsidRPr="00B459D5" w:rsidRDefault="009F6808" w:rsidP="009F6808">
      <w:pPr>
        <w:numPr>
          <w:ilvl w:val="0"/>
          <w:numId w:val="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continua </w:t>
      </w:r>
      <w:r w:rsidRPr="00D54BBD">
        <w:rPr>
          <w:rFonts w:ascii="Times New Roman" w:hAnsi="Times New Roman"/>
          <w:b/>
          <w:noProof/>
          <w:sz w:val="24"/>
        </w:rPr>
        <w:t>extinderea accesului entităților regionale și locale la IST</w:t>
      </w:r>
      <w:r>
        <w:rPr>
          <w:rFonts w:ascii="Times New Roman" w:hAnsi="Times New Roman"/>
          <w:noProof/>
          <w:sz w:val="24"/>
        </w:rPr>
        <w:t>, în funcție de cerere, inclusiv prin inițiative precum inițiativa emblematică a STI privind depășirea barierelor din calea dezvoltării regionale</w:t>
      </w:r>
      <w:r>
        <w:rPr>
          <w:rStyle w:val="FootnoteReference"/>
          <w:rFonts w:ascii="Times New Roman" w:eastAsia="Times New Roman" w:hAnsi="Times New Roman" w:cs="Times New Roman"/>
          <w:noProof/>
          <w:sz w:val="24"/>
          <w:szCs w:val="24"/>
          <w:lang w:eastAsia="en-IE"/>
        </w:rPr>
        <w:footnoteReference w:id="56"/>
      </w:r>
      <w:r>
        <w:rPr>
          <w:rFonts w:ascii="Times New Roman" w:hAnsi="Times New Roman"/>
          <w:noProof/>
          <w:sz w:val="24"/>
        </w:rPr>
        <w:t>. [din T</w:t>
      </w:r>
      <w:r w:rsidRPr="00D54BBD">
        <w:rPr>
          <w:rFonts w:ascii="Times New Roman" w:hAnsi="Times New Roman"/>
          <w:noProof/>
          <w:sz w:val="24"/>
        </w:rPr>
        <w:t>4</w:t>
      </w:r>
      <w:r>
        <w:rPr>
          <w:rFonts w:ascii="Times New Roman" w:hAnsi="Times New Roman"/>
          <w:noProof/>
          <w:sz w:val="24"/>
        </w:rPr>
        <w:t> </w:t>
      </w:r>
      <w:r w:rsidRPr="00D54BBD">
        <w:rPr>
          <w:rFonts w:ascii="Times New Roman" w:hAnsi="Times New Roman"/>
          <w:noProof/>
          <w:sz w:val="24"/>
        </w:rPr>
        <w:t>2023</w:t>
      </w:r>
      <w:r>
        <w:rPr>
          <w:rFonts w:ascii="Times New Roman" w:hAnsi="Times New Roman"/>
          <w:noProof/>
          <w:sz w:val="24"/>
        </w:rPr>
        <w:t>]</w:t>
      </w:r>
    </w:p>
    <w:p w14:paraId="363B0CCC" w14:textId="6EC9E60E" w:rsidR="002C5D72" w:rsidRPr="00B459D5" w:rsidRDefault="00055DA4" w:rsidP="00310E23">
      <w:pPr>
        <w:numPr>
          <w:ilvl w:val="0"/>
          <w:numId w:val="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organiza în fiecare an </w:t>
      </w:r>
      <w:r w:rsidRPr="00D54BBD">
        <w:rPr>
          <w:rFonts w:ascii="Times New Roman" w:hAnsi="Times New Roman"/>
          <w:b/>
          <w:noProof/>
          <w:sz w:val="24"/>
        </w:rPr>
        <w:t>Ziua administrației publice locale</w:t>
      </w:r>
      <w:r>
        <w:rPr>
          <w:rFonts w:ascii="Times New Roman" w:hAnsi="Times New Roman"/>
          <w:noProof/>
          <w:sz w:val="24"/>
        </w:rPr>
        <w:t xml:space="preserve"> în cadrul Săptămânii europene a regiunilor și orașelor, găzduită împreună cu Comisia. Evenimentul le va oferi administrațiilor regionale și locale ocazia de a discuta despre provocările lor specifice în materie de guvernanță. Comitetul Regiunilor și organizațiile-umbrelă din UE ale administrațiilor regionale și locale vor contribui la discuții și la învățarea reciprocă. Evenimentul va identifica modalități specifice și practice prin care Comisia poate sprijini administrațiile regionale și locale în eforturile lor de modernizare și în consolidarea capacităților. În plus, Comisia va explora și alte modalități de a facilita crearea de consorții și parteneriate între autoritățile locale, care ar putea pune în comun competențele necesare pentru gestionarea proiectelor la scară largă. [din T</w:t>
      </w:r>
      <w:r w:rsidRPr="00D54BBD">
        <w:rPr>
          <w:rFonts w:ascii="Times New Roman" w:hAnsi="Times New Roman"/>
          <w:noProof/>
          <w:sz w:val="24"/>
        </w:rPr>
        <w:t>3</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2FB6BDF4" w14:textId="5270281A" w:rsidR="00FA68AE" w:rsidRPr="00B459D5" w:rsidRDefault="00FA68AE" w:rsidP="00310E23">
      <w:pPr>
        <w:numPr>
          <w:ilvl w:val="0"/>
          <w:numId w:val="4"/>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își va aprofunda cercetările privind limitările și oportunitățile în ceea ce privește capacitatea administrativă a administrațiilor regionale și locale și va realiza </w:t>
      </w:r>
      <w:r w:rsidRPr="00D54BBD">
        <w:rPr>
          <w:rFonts w:ascii="Times New Roman" w:hAnsi="Times New Roman"/>
          <w:b/>
          <w:noProof/>
          <w:sz w:val="24"/>
        </w:rPr>
        <w:t>studii și anchete specifice</w:t>
      </w:r>
      <w:r>
        <w:rPr>
          <w:rFonts w:ascii="Times New Roman" w:hAnsi="Times New Roman"/>
          <w:noProof/>
          <w:sz w:val="24"/>
        </w:rPr>
        <w:t>, care vor sta la baza următoarelor ediții ale raportului privind coeziunea. [din T</w:t>
      </w:r>
      <w:r w:rsidRPr="00D54BBD">
        <w:rPr>
          <w:rFonts w:ascii="Times New Roman" w:hAnsi="Times New Roman"/>
          <w:noProof/>
          <w:sz w:val="24"/>
        </w:rPr>
        <w:t>3</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096356AA" w14:textId="6F975796" w:rsidR="00902721" w:rsidRPr="00D54BBD" w:rsidRDefault="005F0360" w:rsidP="003E5AD4">
      <w:pPr>
        <w:pStyle w:val="Heading2"/>
        <w:numPr>
          <w:ilvl w:val="0"/>
          <w:numId w:val="0"/>
        </w:numPr>
        <w:ind w:left="785"/>
        <w:rPr>
          <w:noProof/>
        </w:rPr>
      </w:pPr>
      <w:r w:rsidRPr="00D54BBD">
        <w:rPr>
          <w:noProof/>
        </w:rPr>
        <w:t>4. Instrumente pentru managementul resurselor umane în administrația publică</w:t>
      </w:r>
    </w:p>
    <w:p w14:paraId="7CA9783F" w14:textId="395D1C51" w:rsidR="00AA387B" w:rsidRPr="00B459D5" w:rsidRDefault="00824EC4" w:rsidP="003E5A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Pentru asigurarea unei capacități stabile și a profesionalismului, administrațiile publice trebuie să anticipeze dezvoltarea pe termen lung a forței lor de muncă și competențele de care vor avea nevoie. Cu toate acestea, planificarea forței de muncă, analiza sistematică a datelor privind resursele umane și anticiparea profilurilor profesionale încă sunt relativ limitate. Un catalog de referință al cadrelor de competențe, „pașaportul competențelor de bază”, ar contribui la răspunsul la aceste nevoi și la îmbunătățirea abordărilor legate de recrutare și de evoluție a carierei.</w:t>
      </w:r>
    </w:p>
    <w:p w14:paraId="0CEE0536" w14:textId="60787501" w:rsidR="00314138" w:rsidRPr="00B459D5" w:rsidRDefault="008A30B0" w:rsidP="003E5A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„Pașaportul” se va baza pe cadre de competențe existente la nivelul UE și la nivel național</w:t>
      </w:r>
      <w:r>
        <w:rPr>
          <w:rStyle w:val="FootnoteReference"/>
          <w:rFonts w:ascii="Times New Roman" w:hAnsi="Times New Roman" w:cs="Times New Roman"/>
          <w:noProof/>
          <w:sz w:val="24"/>
          <w:szCs w:val="24"/>
        </w:rPr>
        <w:footnoteReference w:id="57"/>
      </w:r>
      <w:r>
        <w:rPr>
          <w:rFonts w:ascii="Times New Roman" w:hAnsi="Times New Roman"/>
          <w:noProof/>
          <w:sz w:val="24"/>
        </w:rPr>
        <w:t>, cum ar fi elaborarea politicilor, gestionarea fondurilor, achizițiile publice, impozitarea, domeniul vamal, interoperabilitatea sectorului public și managementul de proiect. Acesta va fi extins la noi domenii</w:t>
      </w:r>
      <w:r>
        <w:rPr>
          <w:rStyle w:val="FootnoteReference"/>
          <w:rFonts w:ascii="Times New Roman" w:hAnsi="Times New Roman" w:cs="Times New Roman"/>
          <w:noProof/>
          <w:sz w:val="24"/>
          <w:szCs w:val="24"/>
        </w:rPr>
        <w:footnoteReference w:id="58"/>
      </w:r>
      <w:r>
        <w:rPr>
          <w:rFonts w:ascii="Times New Roman" w:hAnsi="Times New Roman"/>
          <w:noProof/>
          <w:sz w:val="24"/>
        </w:rPr>
        <w:t>, cum ar fi competențele digitale, competențele antreprenoriale, competențele de conducere, gestionarea investițiilor, precum și inovarea.</w:t>
      </w:r>
    </w:p>
    <w:p w14:paraId="63B18FA7" w14:textId="77777777" w:rsidR="009726E7" w:rsidRPr="00D54BBD" w:rsidRDefault="009726E7" w:rsidP="003E5AD4">
      <w:pPr>
        <w:pStyle w:val="Corps"/>
        <w:pBdr>
          <w:top w:val="single" w:sz="4" w:space="1" w:color="auto"/>
          <w:left w:val="single" w:sz="4" w:space="1" w:color="auto"/>
          <w:bottom w:val="single" w:sz="4" w:space="1" w:color="auto"/>
          <w:right w:val="single" w:sz="4" w:space="1" w:color="auto"/>
        </w:pBdr>
        <w:spacing w:before="120" w:after="120"/>
        <w:rPr>
          <w:b/>
          <w:bCs/>
          <w:noProof/>
          <w:sz w:val="22"/>
          <w:szCs w:val="22"/>
        </w:rPr>
      </w:pPr>
      <w:r w:rsidRPr="00D54BBD">
        <w:rPr>
          <w:b/>
          <w:noProof/>
          <w:sz w:val="22"/>
        </w:rPr>
        <w:t>Modelul de competențe „Elaborarea inovatoare a politicilor pentru elaborarea politicilor”</w:t>
      </w:r>
    </w:p>
    <w:p w14:paraId="2DE0F65A" w14:textId="589D87C2" w:rsidR="009726E7" w:rsidRPr="00B459D5" w:rsidRDefault="001174D3" w:rsidP="003E5AD4">
      <w:pPr>
        <w:pStyle w:val="Corps"/>
        <w:pBdr>
          <w:top w:val="single" w:sz="4" w:space="1" w:color="auto"/>
          <w:left w:val="single" w:sz="4" w:space="1" w:color="auto"/>
          <w:bottom w:val="single" w:sz="4" w:space="1" w:color="auto"/>
          <w:right w:val="single" w:sz="4" w:space="1" w:color="auto"/>
        </w:pBdr>
        <w:spacing w:before="120" w:after="120"/>
        <w:rPr>
          <w:noProof/>
        </w:rPr>
      </w:pPr>
      <w:hyperlink r:id="rId18" w:history="1">
        <w:r w:rsidR="00554FAB">
          <w:rPr>
            <w:rStyle w:val="Hyperlink"/>
            <w:noProof/>
            <w:color w:val="000000" w:themeColor="text1"/>
            <w:sz w:val="22"/>
            <w:u w:val="none"/>
          </w:rPr>
          <w:t>Acest cadru de competențe</w:t>
        </w:r>
      </w:hyperlink>
      <w:r w:rsidR="00554FAB" w:rsidRPr="00D54BBD">
        <w:rPr>
          <w:b/>
          <w:noProof/>
          <w:sz w:val="22"/>
        </w:rPr>
        <w:t xml:space="preserve"> </w:t>
      </w:r>
      <w:r w:rsidR="00554FAB">
        <w:rPr>
          <w:noProof/>
          <w:sz w:val="22"/>
        </w:rPr>
        <w:t xml:space="preserve">a fost elaborat de Comisie și include competențele transversale relevante pentru responsabilii de elaborarea politicilor pe parcursul întregului ciclu de elaborare a politicilor. Acesta stabilește o perspectivă orientată spre viitor pentru diferite roluri din procesul de elaborare a politicilor. </w:t>
      </w:r>
      <w:r w:rsidR="00554FAB" w:rsidRPr="00D54BBD">
        <w:rPr>
          <w:noProof/>
          <w:sz w:val="22"/>
        </w:rPr>
        <w:t>36</w:t>
      </w:r>
      <w:r w:rsidR="00D54BBD">
        <w:rPr>
          <w:noProof/>
          <w:sz w:val="22"/>
        </w:rPr>
        <w:t> </w:t>
      </w:r>
      <w:r w:rsidR="00554FAB">
        <w:rPr>
          <w:noProof/>
          <w:sz w:val="22"/>
        </w:rPr>
        <w:t xml:space="preserve">de competențe sunt împărțite în </w:t>
      </w:r>
      <w:r w:rsidR="00554FAB" w:rsidRPr="00D54BBD">
        <w:rPr>
          <w:noProof/>
          <w:sz w:val="22"/>
        </w:rPr>
        <w:t>7</w:t>
      </w:r>
      <w:r w:rsidR="00554FAB">
        <w:rPr>
          <w:noProof/>
          <w:sz w:val="22"/>
        </w:rPr>
        <w:t xml:space="preserve"> clustere: consilierea la nivel politic, inovarea, lucrul cu dovezi, alfabetizarea cu privire la scenariile de viitor, cooperarea cu cetățenii și cu părțile interesate, colaborarea și comunicarea. Acest cadru vine în completarea cadrului care vizează cercetătorii („Știința în sprijinul politicilor”), ale cărui competențe sunt împărțite în </w:t>
      </w:r>
      <w:r w:rsidR="00554FAB" w:rsidRPr="00D54BBD">
        <w:rPr>
          <w:noProof/>
          <w:sz w:val="22"/>
        </w:rPr>
        <w:t>5</w:t>
      </w:r>
      <w:r w:rsidR="00554FAB">
        <w:rPr>
          <w:noProof/>
          <w:sz w:val="22"/>
        </w:rPr>
        <w:t xml:space="preserve"> clustere: înțelegerea politicilor, participarea la elaborarea politicilor, comunicarea, cooperarea cu cetățenii și cu părțile interesate și colaborarea.</w:t>
      </w:r>
    </w:p>
    <w:p w14:paraId="096356AC" w14:textId="14020483" w:rsidR="00902721" w:rsidRPr="00B459D5" w:rsidRDefault="00954596" w:rsidP="003E5A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Pe baza cadrelor de competențe existente, Comisia a elaborat mai multe instrumente pentru a evalua aptitudinile necesare pentru diferite domenii de competență și va analiza necesitatea ca statele membre să dispună de instrumente similare. </w:t>
      </w:r>
    </w:p>
    <w:p w14:paraId="40CBBFC1" w14:textId="0711111F" w:rsidR="006B7741" w:rsidRPr="00B459D5" w:rsidRDefault="007B6071" w:rsidP="003E5A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În plus, administrațiile publice au nevoie de date și de informații tematice pentru a-și fundamenta mai bine nevoile în materie de formare și dezvoltarea competențelor. Datele comparative cu privire la administrația publică sunt încă relativ limitate. </w:t>
      </w:r>
    </w:p>
    <w:p w14:paraId="096356B5" w14:textId="4A8E0840" w:rsidR="00902721" w:rsidRPr="00D54BBD" w:rsidRDefault="00055DA4" w:rsidP="003E5AD4">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3AB314B0" w14:textId="082D8208" w:rsidR="00824EC4" w:rsidRPr="00B459D5" w:rsidRDefault="00055DA4" w:rsidP="00310E23">
      <w:pPr>
        <w:pStyle w:val="Corps"/>
        <w:numPr>
          <w:ilvl w:val="0"/>
          <w:numId w:val="3"/>
        </w:numPr>
        <w:spacing w:before="120" w:after="120"/>
        <w:rPr>
          <w:noProof/>
        </w:rPr>
      </w:pPr>
      <w:r>
        <w:rPr>
          <w:noProof/>
        </w:rPr>
        <w:t>va crea un „</w:t>
      </w:r>
      <w:r w:rsidRPr="00D54BBD">
        <w:rPr>
          <w:b/>
          <w:noProof/>
        </w:rPr>
        <w:t>pașaport al competențelor de bază</w:t>
      </w:r>
      <w:r>
        <w:rPr>
          <w:noProof/>
        </w:rPr>
        <w:t>” aplicabil posturilor și rolurilor din administrațiile publice, care va include competențele de conducere. „Pașaportul” va ajuta administrațiile publice să conceapă politici moderne și avansate pentru a-și dezvolta resursele umane, pentru a se pregăti pentru viitoarele nevoi în materie de competențe și pentru a contribui la mobilitatea funcționarilor publici în interiorul UE. [din T</w:t>
      </w:r>
      <w:r w:rsidRPr="00D54BBD">
        <w:rPr>
          <w:noProof/>
        </w:rPr>
        <w:t>1</w:t>
      </w:r>
      <w:r>
        <w:rPr>
          <w:noProof/>
        </w:rPr>
        <w:t> </w:t>
      </w:r>
      <w:r w:rsidRPr="00D54BBD">
        <w:rPr>
          <w:noProof/>
        </w:rPr>
        <w:t>2024</w:t>
      </w:r>
      <w:r>
        <w:rPr>
          <w:noProof/>
        </w:rPr>
        <w:t>]</w:t>
      </w:r>
    </w:p>
    <w:p w14:paraId="027310AE" w14:textId="57A1DF08" w:rsidR="009C49DA" w:rsidRPr="00B459D5" w:rsidRDefault="00055DA4" w:rsidP="00310E23">
      <w:pPr>
        <w:pStyle w:val="Corps"/>
        <w:numPr>
          <w:ilvl w:val="0"/>
          <w:numId w:val="3"/>
        </w:numPr>
        <w:spacing w:before="120" w:after="120"/>
        <w:rPr>
          <w:noProof/>
        </w:rPr>
      </w:pPr>
      <w:r>
        <w:rPr>
          <w:noProof/>
        </w:rPr>
        <w:t xml:space="preserve">va oferi sprijin statelor membre pentru </w:t>
      </w:r>
      <w:r w:rsidRPr="00D54BBD">
        <w:rPr>
          <w:b/>
          <w:noProof/>
        </w:rPr>
        <w:t>modernizarea politicilor lor în materie de resurse umane</w:t>
      </w:r>
      <w:r>
        <w:rPr>
          <w:noProof/>
        </w:rPr>
        <w:t>, cu orientări și proiecte-pilot pentru transferarea cadrelor de competențe și a instrumentelor din domeniul resurselor umane (de exemplu, pentru identificarea lacunelor în materie de competențe ale forței lor de muncă) în contextul lor organizațional. [din T</w:t>
      </w:r>
      <w:r w:rsidRPr="00D54BBD">
        <w:rPr>
          <w:noProof/>
        </w:rPr>
        <w:t>1</w:t>
      </w:r>
      <w:r>
        <w:rPr>
          <w:noProof/>
        </w:rPr>
        <w:t> </w:t>
      </w:r>
      <w:r w:rsidRPr="00D54BBD">
        <w:rPr>
          <w:noProof/>
        </w:rPr>
        <w:t>2024</w:t>
      </w:r>
      <w:r>
        <w:rPr>
          <w:noProof/>
        </w:rPr>
        <w:t>]</w:t>
      </w:r>
    </w:p>
    <w:p w14:paraId="4A2133F6" w14:textId="36090116" w:rsidR="005A7921" w:rsidRPr="00B459D5" w:rsidRDefault="00055DA4" w:rsidP="005A7921">
      <w:pPr>
        <w:pStyle w:val="Corps"/>
        <w:numPr>
          <w:ilvl w:val="0"/>
          <w:numId w:val="3"/>
        </w:numPr>
        <w:spacing w:before="120" w:after="120"/>
        <w:rPr>
          <w:noProof/>
        </w:rPr>
      </w:pPr>
      <w:r>
        <w:rPr>
          <w:noProof/>
        </w:rPr>
        <w:t xml:space="preserve">va actualiza și va extinde </w:t>
      </w:r>
      <w:r w:rsidRPr="00D54BBD">
        <w:rPr>
          <w:b/>
          <w:noProof/>
        </w:rPr>
        <w:t>Setul de instrumente pentru asigurarea calității administrației publice</w:t>
      </w:r>
      <w:r>
        <w:rPr>
          <w:rStyle w:val="FootnoteReference"/>
          <w:noProof/>
          <w:lang w:val="en-GB"/>
        </w:rPr>
        <w:footnoteReference w:id="59"/>
      </w:r>
      <w:r w:rsidRPr="00D54BBD">
        <w:rPr>
          <w:b/>
          <w:noProof/>
        </w:rPr>
        <w:t xml:space="preserve"> </w:t>
      </w:r>
      <w:r>
        <w:rPr>
          <w:noProof/>
        </w:rPr>
        <w:t>pentru a ghida modernizarea administrațiilor publice. [din T</w:t>
      </w:r>
      <w:r w:rsidRPr="00D54BBD">
        <w:rPr>
          <w:noProof/>
        </w:rPr>
        <w:t>1</w:t>
      </w:r>
      <w:r>
        <w:rPr>
          <w:noProof/>
        </w:rPr>
        <w:t> </w:t>
      </w:r>
      <w:r w:rsidRPr="00D54BBD">
        <w:rPr>
          <w:noProof/>
        </w:rPr>
        <w:t>2024</w:t>
      </w:r>
      <w:r>
        <w:rPr>
          <w:noProof/>
        </w:rPr>
        <w:t>]</w:t>
      </w:r>
    </w:p>
    <w:p w14:paraId="35B2EB95" w14:textId="51219342" w:rsidR="005A7921" w:rsidRPr="00B459D5" w:rsidRDefault="005A7921" w:rsidP="005A7921">
      <w:pPr>
        <w:pStyle w:val="Corps"/>
        <w:numPr>
          <w:ilvl w:val="0"/>
          <w:numId w:val="3"/>
        </w:numPr>
        <w:spacing w:before="120" w:after="120"/>
        <w:rPr>
          <w:noProof/>
        </w:rPr>
      </w:pPr>
      <w:r>
        <w:rPr>
          <w:noProof/>
        </w:rPr>
        <w:t xml:space="preserve">va elabora </w:t>
      </w:r>
      <w:r w:rsidRPr="00D54BBD">
        <w:rPr>
          <w:b/>
          <w:noProof/>
        </w:rPr>
        <w:t>metodologii pentru indicatorii relevanți din domeniul administrației publice</w:t>
      </w:r>
      <w:r>
        <w:rPr>
          <w:noProof/>
        </w:rPr>
        <w:t xml:space="preserve">, va contribui la îmbunătățirea instrumentelor existente pentru producerea de date, </w:t>
      </w:r>
      <w:r w:rsidRPr="00D54BBD">
        <w:rPr>
          <w:b/>
          <w:noProof/>
        </w:rPr>
        <w:t>va efectua studii la nivelul UE</w:t>
      </w:r>
      <w:r>
        <w:rPr>
          <w:noProof/>
        </w:rPr>
        <w:t xml:space="preserve"> pe teme relevante, cum ar fi atractivitatea administrației publice, efectele schimbărilor demografice și viitorul locurilor de muncă în administrația publică. Va promova, pe un </w:t>
      </w:r>
      <w:r w:rsidRPr="00D54BBD">
        <w:rPr>
          <w:b/>
          <w:noProof/>
        </w:rPr>
        <w:t>portal pentru administrația publică</w:t>
      </w:r>
      <w:r>
        <w:rPr>
          <w:noProof/>
        </w:rPr>
        <w:t>, o gamă largă de date și de informații care să reflecte starea și performanța administrațiilor publice din întreaga UE. [din T</w:t>
      </w:r>
      <w:r w:rsidRPr="00D54BBD">
        <w:rPr>
          <w:noProof/>
        </w:rPr>
        <w:t>1</w:t>
      </w:r>
      <w:r>
        <w:rPr>
          <w:noProof/>
        </w:rPr>
        <w:t> </w:t>
      </w:r>
      <w:r w:rsidRPr="00D54BBD">
        <w:rPr>
          <w:noProof/>
        </w:rPr>
        <w:t>2024</w:t>
      </w:r>
      <w:r>
        <w:rPr>
          <w:noProof/>
        </w:rPr>
        <w:t>]</w:t>
      </w:r>
    </w:p>
    <w:p w14:paraId="096356D0" w14:textId="328E6740" w:rsidR="00902721" w:rsidRPr="00D54BBD" w:rsidRDefault="00106702" w:rsidP="003E5AD4">
      <w:pPr>
        <w:pStyle w:val="Heading1"/>
        <w:rPr>
          <w:noProof/>
        </w:rPr>
      </w:pPr>
      <w:r w:rsidRPr="00D54BBD">
        <w:rPr>
          <w:noProof/>
        </w:rPr>
        <w:t>Pilonul 2. Capacitatea pentru deceniul digital al Europei</w:t>
      </w:r>
    </w:p>
    <w:p w14:paraId="096356D1" w14:textId="7AB1442E" w:rsidR="00902721" w:rsidRPr="00B459D5" w:rsidRDefault="00055DA4" w:rsidP="003E5AD4">
      <w:pPr>
        <w:spacing w:before="120" w:after="120" w:line="240" w:lineRule="auto"/>
        <w:jc w:val="both"/>
        <w:rPr>
          <w:rFonts w:ascii="Times New Roman" w:hAnsi="Times New Roman" w:cs="Times New Roman"/>
          <w:noProof/>
          <w:sz w:val="24"/>
          <w:szCs w:val="24"/>
        </w:rPr>
      </w:pPr>
      <w:r w:rsidRPr="00D54BBD">
        <w:rPr>
          <w:rFonts w:ascii="Times New Roman" w:hAnsi="Times New Roman"/>
          <w:b/>
          <w:noProof/>
          <w:color w:val="000000"/>
          <w:sz w:val="24"/>
          <w:shd w:val="clear" w:color="auto" w:fill="FFFFFF"/>
        </w:rPr>
        <w:t xml:space="preserve">Deceniul digital stabilește obiectivele ca, până în 2030, 100 % din serviciile publice esențiale să fie disponibile online pentru cetățeni și întreprinderi, </w:t>
      </w:r>
      <w:r>
        <w:rPr>
          <w:rFonts w:ascii="Times New Roman" w:hAnsi="Times New Roman"/>
          <w:noProof/>
          <w:color w:val="000000"/>
          <w:sz w:val="24"/>
          <w:shd w:val="clear" w:color="auto" w:fill="FFFFFF"/>
        </w:rPr>
        <w:t>oferind tuturor cetățenilor acces online la dosarele lor medicale și la un mijloc securizat de identificare electronică (eID), recunoscut în întreaga UE, ținând seama totodată de nevoile cetățenilor care nu au acces deplin la servicii digitale sau au o capacitate limitată în acest sens</w:t>
      </w:r>
      <w:r>
        <w:rPr>
          <w:rFonts w:ascii="Times New Roman" w:hAnsi="Times New Roman"/>
          <w:noProof/>
          <w:color w:val="000000" w:themeColor="text1"/>
          <w:sz w:val="24"/>
        </w:rPr>
        <w:t xml:space="preserve">. Digitalizarea </w:t>
      </w:r>
      <w:r>
        <w:rPr>
          <w:rFonts w:ascii="Times New Roman" w:hAnsi="Times New Roman"/>
          <w:noProof/>
          <w:color w:val="000000"/>
          <w:sz w:val="24"/>
          <w:shd w:val="clear" w:color="auto" w:fill="FFFFFF"/>
        </w:rPr>
        <w:t xml:space="preserve">procedurilor administrative, implicarea în activitățile de pregătire tehnică pentru furnizarea portofelelor UE pentru identitatea digitală până în </w:t>
      </w:r>
      <w:r w:rsidRPr="00D54BBD">
        <w:rPr>
          <w:rFonts w:ascii="Times New Roman" w:hAnsi="Times New Roman"/>
          <w:noProof/>
          <w:color w:val="000000"/>
          <w:sz w:val="24"/>
          <w:shd w:val="clear" w:color="auto" w:fill="FFFFFF"/>
        </w:rPr>
        <w:t>2026</w:t>
      </w:r>
      <w:r>
        <w:rPr>
          <w:rFonts w:ascii="Times New Roman" w:hAnsi="Times New Roman"/>
          <w:noProof/>
          <w:color w:val="000000"/>
          <w:sz w:val="24"/>
          <w:shd w:val="clear" w:color="auto" w:fill="FFFFFF"/>
        </w:rPr>
        <w:t>, intensificarea schimbului automatizat de elemente justificative și de informații</w:t>
      </w:r>
      <w:r>
        <w:rPr>
          <w:rFonts w:ascii="Times New Roman" w:hAnsi="Times New Roman" w:cs="Times New Roman"/>
          <w:noProof/>
          <w:sz w:val="24"/>
          <w:szCs w:val="24"/>
          <w:vertAlign w:val="superscript"/>
        </w:rPr>
        <w:footnoteReference w:id="60"/>
      </w:r>
      <w:r>
        <w:rPr>
          <w:rFonts w:ascii="Times New Roman" w:hAnsi="Times New Roman"/>
          <w:noProof/>
        </w:rPr>
        <w:t xml:space="preserve"> </w:t>
      </w:r>
      <w:r>
        <w:rPr>
          <w:rFonts w:ascii="Times New Roman" w:hAnsi="Times New Roman"/>
          <w:noProof/>
          <w:color w:val="000000"/>
          <w:sz w:val="24"/>
          <w:shd w:val="clear" w:color="auto" w:fill="FFFFFF"/>
        </w:rPr>
        <w:t xml:space="preserve">în vederea furnizării unor servicii publice digitale centrate pe utilizator și îmbunătățirea </w:t>
      </w:r>
      <w:r>
        <w:rPr>
          <w:rFonts w:ascii="Times New Roman" w:hAnsi="Times New Roman"/>
          <w:noProof/>
          <w:color w:val="000000" w:themeColor="text1"/>
          <w:sz w:val="24"/>
        </w:rPr>
        <w:t xml:space="preserve">competențelor digitale ale membrilor personalului reprezintă condiții prealabile importante pentru ca administrațiile publice să realizeze aceste obiective. Administrațiile publice pot genera câștiguri în materie de eficiență cuprinse între </w:t>
      </w:r>
      <w:r w:rsidRPr="00D54BBD">
        <w:rPr>
          <w:rFonts w:ascii="Times New Roman" w:hAnsi="Times New Roman"/>
          <w:noProof/>
          <w:color w:val="000000" w:themeColor="text1"/>
          <w:sz w:val="24"/>
        </w:rPr>
        <w:t>439</w:t>
      </w:r>
      <w:r>
        <w:rPr>
          <w:rFonts w:ascii="Times New Roman" w:hAnsi="Times New Roman"/>
          <w:noProof/>
          <w:color w:val="000000" w:themeColor="text1"/>
          <w:sz w:val="24"/>
        </w:rPr>
        <w:t xml:space="preserve"> de milioane EUR și </w:t>
      </w:r>
      <w:r w:rsidRPr="00D54BBD">
        <w:rPr>
          <w:rFonts w:ascii="Times New Roman" w:hAnsi="Times New Roman"/>
          <w:noProof/>
          <w:color w:val="000000" w:themeColor="text1"/>
          <w:sz w:val="24"/>
        </w:rPr>
        <w:t>1</w:t>
      </w:r>
      <w:r>
        <w:rPr>
          <w:rFonts w:ascii="Times New Roman" w:hAnsi="Times New Roman"/>
          <w:noProof/>
          <w:color w:val="000000" w:themeColor="text1"/>
          <w:sz w:val="24"/>
        </w:rPr>
        <w:t>,</w:t>
      </w:r>
      <w:r w:rsidRPr="00D54BBD">
        <w:rPr>
          <w:rFonts w:ascii="Times New Roman" w:hAnsi="Times New Roman"/>
          <w:noProof/>
          <w:color w:val="000000" w:themeColor="text1"/>
          <w:sz w:val="24"/>
        </w:rPr>
        <w:t>3</w:t>
      </w:r>
      <w:r>
        <w:rPr>
          <w:rFonts w:ascii="Times New Roman" w:hAnsi="Times New Roman"/>
          <w:noProof/>
          <w:color w:val="000000" w:themeColor="text1"/>
          <w:sz w:val="24"/>
        </w:rPr>
        <w:t xml:space="preserve"> miliarde EUR pe an prin sporirea utilizării serviciilor publice digitale cu până la </w:t>
      </w:r>
      <w:r w:rsidRPr="00D54BBD">
        <w:rPr>
          <w:rFonts w:ascii="Times New Roman" w:hAnsi="Times New Roman"/>
          <w:noProof/>
          <w:color w:val="000000" w:themeColor="text1"/>
          <w:sz w:val="24"/>
        </w:rPr>
        <w:t>80</w:t>
      </w:r>
      <w:r>
        <w:rPr>
          <w:rFonts w:ascii="Times New Roman" w:hAnsi="Times New Roman"/>
          <w:noProof/>
          <w:color w:val="000000" w:themeColor="text1"/>
          <w:sz w:val="24"/>
        </w:rPr>
        <w:t xml:space="preserve"> % până în </w:t>
      </w:r>
      <w:r w:rsidRPr="00D54BBD">
        <w:rPr>
          <w:rFonts w:ascii="Times New Roman" w:hAnsi="Times New Roman"/>
          <w:noProof/>
          <w:color w:val="000000" w:themeColor="text1"/>
          <w:sz w:val="24"/>
        </w:rPr>
        <w:t>2030</w:t>
      </w:r>
      <w:r>
        <w:rPr>
          <w:rStyle w:val="FootnoteReference"/>
          <w:rFonts w:ascii="Times New Roman" w:hAnsi="Times New Roman" w:cs="Times New Roman"/>
          <w:noProof/>
          <w:color w:val="000000" w:themeColor="text1"/>
          <w:sz w:val="24"/>
          <w:szCs w:val="24"/>
        </w:rPr>
        <w:footnoteReference w:id="61"/>
      </w:r>
      <w:r>
        <w:rPr>
          <w:rFonts w:ascii="Times New Roman" w:hAnsi="Times New Roman"/>
          <w:noProof/>
          <w:color w:val="000000" w:themeColor="text1"/>
          <w:sz w:val="24"/>
        </w:rPr>
        <w:t xml:space="preserve">. Îmbunătățirea interoperabilității transfrontaliere a serviciilor publice digitale ar putea conduce la câștiguri în materie de eficiență de până la </w:t>
      </w:r>
      <w:r w:rsidRPr="00D54BBD">
        <w:rPr>
          <w:rFonts w:ascii="Times New Roman" w:hAnsi="Times New Roman"/>
          <w:noProof/>
          <w:color w:val="000000" w:themeColor="text1"/>
          <w:sz w:val="24"/>
        </w:rPr>
        <w:t>6</w:t>
      </w:r>
      <w:r>
        <w:rPr>
          <w:rFonts w:ascii="Times New Roman" w:hAnsi="Times New Roman"/>
          <w:noProof/>
          <w:color w:val="000000" w:themeColor="text1"/>
          <w:sz w:val="24"/>
        </w:rPr>
        <w:t>,</w:t>
      </w:r>
      <w:r w:rsidRPr="00D54BBD">
        <w:rPr>
          <w:rFonts w:ascii="Times New Roman" w:hAnsi="Times New Roman"/>
          <w:noProof/>
          <w:color w:val="000000" w:themeColor="text1"/>
          <w:sz w:val="24"/>
        </w:rPr>
        <w:t>3</w:t>
      </w:r>
      <w:r>
        <w:rPr>
          <w:rFonts w:ascii="Times New Roman" w:hAnsi="Times New Roman"/>
          <w:noProof/>
          <w:color w:val="000000" w:themeColor="text1"/>
          <w:sz w:val="24"/>
        </w:rPr>
        <w:t xml:space="preserve"> milioane EUR pentru cetățeni și între </w:t>
      </w:r>
      <w:r w:rsidRPr="00D54BBD">
        <w:rPr>
          <w:rFonts w:ascii="Times New Roman" w:hAnsi="Times New Roman"/>
          <w:noProof/>
          <w:color w:val="000000" w:themeColor="text1"/>
          <w:sz w:val="24"/>
        </w:rPr>
        <w:t>5</w:t>
      </w:r>
      <w:r>
        <w:rPr>
          <w:rFonts w:ascii="Times New Roman" w:hAnsi="Times New Roman"/>
          <w:noProof/>
          <w:color w:val="000000" w:themeColor="text1"/>
          <w:sz w:val="24"/>
        </w:rPr>
        <w:t>,</w:t>
      </w:r>
      <w:r w:rsidRPr="00D54BBD">
        <w:rPr>
          <w:rFonts w:ascii="Times New Roman" w:hAnsi="Times New Roman"/>
          <w:noProof/>
          <w:color w:val="000000" w:themeColor="text1"/>
          <w:sz w:val="24"/>
        </w:rPr>
        <w:t>7</w:t>
      </w:r>
      <w:r>
        <w:rPr>
          <w:rFonts w:ascii="Times New Roman" w:hAnsi="Times New Roman"/>
          <w:noProof/>
          <w:color w:val="000000" w:themeColor="text1"/>
          <w:sz w:val="24"/>
        </w:rPr>
        <w:t xml:space="preserve"> și </w:t>
      </w:r>
      <w:r w:rsidRPr="00D54BBD">
        <w:rPr>
          <w:rFonts w:ascii="Times New Roman" w:hAnsi="Times New Roman"/>
          <w:noProof/>
          <w:color w:val="000000" w:themeColor="text1"/>
          <w:sz w:val="24"/>
        </w:rPr>
        <w:t>19</w:t>
      </w:r>
      <w:r>
        <w:rPr>
          <w:rFonts w:ascii="Times New Roman" w:hAnsi="Times New Roman"/>
          <w:noProof/>
          <w:color w:val="000000" w:themeColor="text1"/>
          <w:sz w:val="24"/>
        </w:rPr>
        <w:t>,</w:t>
      </w:r>
      <w:r w:rsidRPr="00D54BBD">
        <w:rPr>
          <w:rFonts w:ascii="Times New Roman" w:hAnsi="Times New Roman"/>
          <w:noProof/>
          <w:color w:val="000000" w:themeColor="text1"/>
          <w:sz w:val="24"/>
        </w:rPr>
        <w:t>2</w:t>
      </w:r>
      <w:r>
        <w:rPr>
          <w:rFonts w:ascii="Times New Roman" w:hAnsi="Times New Roman"/>
          <w:noProof/>
          <w:color w:val="000000" w:themeColor="text1"/>
          <w:sz w:val="24"/>
        </w:rPr>
        <w:t xml:space="preserve"> miliarde EUR pentru întreprinderi</w:t>
      </w:r>
      <w:r>
        <w:rPr>
          <w:rStyle w:val="FootnoteReference"/>
          <w:rFonts w:ascii="Times New Roman" w:hAnsi="Times New Roman" w:cs="Times New Roman"/>
          <w:noProof/>
          <w:color w:val="000000" w:themeColor="text1"/>
          <w:sz w:val="24"/>
          <w:szCs w:val="24"/>
        </w:rPr>
        <w:footnoteReference w:id="62"/>
      </w:r>
      <w:r>
        <w:rPr>
          <w:rFonts w:ascii="Times New Roman" w:hAnsi="Times New Roman"/>
          <w:noProof/>
          <w:color w:val="000000" w:themeColor="text1"/>
          <w:sz w:val="24"/>
        </w:rPr>
        <w:t xml:space="preserve">. Obiectivele deceniului digital </w:t>
      </w:r>
      <w:r>
        <w:rPr>
          <w:rFonts w:ascii="Times New Roman" w:hAnsi="Times New Roman"/>
          <w:noProof/>
          <w:sz w:val="24"/>
        </w:rPr>
        <w:t xml:space="preserve">ghidează administrațiile publice în propria transformare digitală și le sprijină adaptarea la schimbările tehnologice. </w:t>
      </w:r>
    </w:p>
    <w:p w14:paraId="096356D2" w14:textId="11CEE9B9" w:rsidR="00902721" w:rsidRPr="00B459D5" w:rsidRDefault="00055DA4" w:rsidP="003E5AD4">
      <w:pPr>
        <w:spacing w:before="120" w:after="120" w:line="240" w:lineRule="auto"/>
        <w:jc w:val="both"/>
        <w:rPr>
          <w:rFonts w:ascii="Times New Roman" w:hAnsi="Times New Roman" w:cs="Times New Roman"/>
          <w:noProof/>
          <w:sz w:val="24"/>
          <w:szCs w:val="24"/>
        </w:rPr>
      </w:pPr>
      <w:r w:rsidRPr="00D54BBD">
        <w:rPr>
          <w:rStyle w:val="normaltextrun"/>
          <w:rFonts w:ascii="Times New Roman" w:hAnsi="Times New Roman"/>
          <w:b/>
          <w:noProof/>
          <w:color w:val="000000"/>
          <w:sz w:val="24"/>
          <w:shd w:val="clear" w:color="auto" w:fill="FFFFFF"/>
        </w:rPr>
        <w:t>Evoluția rapidă a tehnologiilor digitale și utilizarea acestora impun o adaptare activă a cadrului juridic</w:t>
      </w:r>
      <w:r w:rsidRPr="00D54BBD">
        <w:rPr>
          <w:rStyle w:val="FootnoteReference"/>
          <w:rFonts w:ascii="Times New Roman" w:hAnsi="Times New Roman" w:cs="Times New Roman"/>
          <w:b/>
          <w:bCs/>
          <w:noProof/>
          <w:sz w:val="24"/>
          <w:szCs w:val="24"/>
        </w:rPr>
        <w:footnoteReference w:id="63"/>
      </w:r>
      <w:r w:rsidRPr="00D54BBD">
        <w:rPr>
          <w:rStyle w:val="normaltextrun"/>
          <w:rFonts w:ascii="Times New Roman" w:hAnsi="Times New Roman"/>
          <w:b/>
          <w:noProof/>
          <w:color w:val="000000"/>
          <w:sz w:val="24"/>
          <w:shd w:val="clear" w:color="auto" w:fill="FFFFFF"/>
        </w:rPr>
        <w:t xml:space="preserve">: </w:t>
      </w:r>
      <w:r>
        <w:rPr>
          <w:rStyle w:val="normaltextrun"/>
          <w:rFonts w:ascii="Times New Roman" w:hAnsi="Times New Roman"/>
          <w:noProof/>
          <w:color w:val="000000"/>
          <w:sz w:val="24"/>
          <w:shd w:val="clear" w:color="auto" w:fill="FFFFFF"/>
        </w:rPr>
        <w:t>de la utilizarea instrumentelor digitale la disponibilitatea și schimbul de date, interoperabilitate</w:t>
      </w:r>
      <w:r>
        <w:rPr>
          <w:rFonts w:ascii="Times New Roman" w:hAnsi="Times New Roman"/>
          <w:noProof/>
          <w:sz w:val="24"/>
        </w:rPr>
        <w:t xml:space="preserve"> </w:t>
      </w:r>
      <w:r>
        <w:rPr>
          <w:rStyle w:val="normaltextrun"/>
          <w:rFonts w:ascii="Times New Roman" w:hAnsi="Times New Roman"/>
          <w:noProof/>
          <w:color w:val="000000"/>
          <w:sz w:val="24"/>
          <w:shd w:val="clear" w:color="auto" w:fill="FFFFFF"/>
        </w:rPr>
        <w:t xml:space="preserve">și </w:t>
      </w:r>
      <w:r>
        <w:rPr>
          <w:rStyle w:val="normaltextrun"/>
          <w:rFonts w:ascii="Times New Roman" w:hAnsi="Times New Roman"/>
          <w:noProof/>
          <w:color w:val="000000" w:themeColor="text1"/>
          <w:sz w:val="24"/>
        </w:rPr>
        <w:t xml:space="preserve">utilizarea etică a </w:t>
      </w:r>
      <w:r>
        <w:rPr>
          <w:rStyle w:val="normaltextrun"/>
          <w:rFonts w:ascii="Times New Roman" w:hAnsi="Times New Roman"/>
          <w:noProof/>
          <w:color w:val="000000"/>
          <w:sz w:val="24"/>
          <w:shd w:val="clear" w:color="auto" w:fill="FFFFFF"/>
        </w:rPr>
        <w:t>IA</w:t>
      </w:r>
      <w:r>
        <w:rPr>
          <w:rStyle w:val="normaltextrun"/>
          <w:rFonts w:ascii="Times New Roman" w:hAnsi="Times New Roman"/>
          <w:noProof/>
          <w:color w:val="000000" w:themeColor="text1"/>
          <w:sz w:val="24"/>
        </w:rPr>
        <w:t xml:space="preserve"> și a altor tehnologii digitale.</w:t>
      </w:r>
      <w:r>
        <w:rPr>
          <w:rStyle w:val="normaltextrun"/>
          <w:rFonts w:ascii="Times New Roman" w:hAnsi="Times New Roman"/>
          <w:noProof/>
          <w:color w:val="000000" w:themeColor="text1"/>
          <w:sz w:val="28"/>
        </w:rPr>
        <w:t xml:space="preserve"> </w:t>
      </w:r>
      <w:r>
        <w:rPr>
          <w:rFonts w:ascii="Times New Roman" w:hAnsi="Times New Roman"/>
          <w:noProof/>
          <w:sz w:val="24"/>
        </w:rPr>
        <w:t>Pe lângă perfecționarea și recalificarea digitală, administrațiile publice trebuie să adopte interoperabilitatea, să valorifice disponibilitatea tot mai mare a unui volum mare de date, să digitalizeze procedurile administrative și să se pregătească pentru IA. De asemenea, ele ar trebui să își consolideze cooperarea în materie de guvernanță electronică la nivelul UE pentru a împărtăși și a elabora în comun soluții, pentru a evita fragmentarea, pentru a pune în comun resursele de prelucrare a datelor și pentru a îmbunătăți schimbul de date. În acest mod, s-ar reduce decalajul digital prin transformarea serviciilor publice în servicii mai favorabile incluziunii și mai accesibile pentru toți.</w:t>
      </w:r>
    </w:p>
    <w:p w14:paraId="3B45D0AA" w14:textId="428C8B04" w:rsidR="008A3669" w:rsidRPr="00B459D5" w:rsidRDefault="00D36CB7" w:rsidP="003E5A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Acțiunile din cadrul acestui pilon vor fi puse în aplicare în principal prin intermediul IST și al altor mecanisme de finanțare ale UE, cum ar fi programul „Europa digitală”, Programul privind piața unică și a doua generație a Mecanismului pentru interconectarea Europei.</w:t>
      </w:r>
    </w:p>
    <w:p w14:paraId="096356D7" w14:textId="5B436E16" w:rsidR="00902721" w:rsidRPr="00D54BBD" w:rsidRDefault="005F0360" w:rsidP="003E5AD4">
      <w:pPr>
        <w:pStyle w:val="Heading2"/>
        <w:numPr>
          <w:ilvl w:val="0"/>
          <w:numId w:val="0"/>
        </w:numPr>
        <w:ind w:left="785" w:hanging="360"/>
        <w:rPr>
          <w:noProof/>
        </w:rPr>
      </w:pPr>
      <w:r w:rsidRPr="00D54BBD">
        <w:rPr>
          <w:noProof/>
        </w:rPr>
        <w:t>5. O administrație publică digitală adaptată exigențelor viitorului</w:t>
      </w:r>
    </w:p>
    <w:p w14:paraId="789321B0" w14:textId="0609DDE8" w:rsidR="00EF222C" w:rsidRPr="00B459D5" w:rsidRDefault="00EF222C" w:rsidP="00EF222C">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Administrațiile publice trebuie să adopte tehnologiile digitale, schimbându-și în același timp modul de funcționare. Se așteaptă de la ele să furnizeze servicii neîntrerupte și ușor de utilizat pentru cetățeni, întreprinderi și personalul propriu. Acest lucru presupune adesea o transformare (digitală) profundă pentru reconceperea proceselor actuale sau schimbarea politicilor, pentru simplificarea vieții de zi cu zi a cetățenilor și pentru îmbunătățirea mediului de afaceri prin reducerea birocrației. </w:t>
      </w:r>
    </w:p>
    <w:p w14:paraId="4EF04170" w14:textId="1D178CA2" w:rsidR="00805B28" w:rsidRPr="00B459D5" w:rsidRDefault="00EF222C" w:rsidP="00805B28">
      <w:pPr>
        <w:spacing w:before="120" w:after="120" w:line="240" w:lineRule="auto"/>
        <w:jc w:val="both"/>
        <w:rPr>
          <w:rFonts w:ascii="Times New Roman" w:hAnsi="Times New Roman" w:cs="Times New Roman"/>
          <w:noProof/>
          <w:sz w:val="24"/>
          <w:szCs w:val="24"/>
        </w:rPr>
      </w:pPr>
      <w:r>
        <w:rPr>
          <w:rFonts w:ascii="Times New Roman" w:hAnsi="Times New Roman"/>
          <w:noProof/>
          <w:sz w:val="24"/>
        </w:rPr>
        <w:t>Prin asigurarea respectării legislației UE în domeniul digital, administrațiile publice pot colabora mai eficace, își pot alinia eforturile la obiective de la nivelul UE și pot crea infrastructuri și servicii digitale și de date mai reziliente și mai durabile. Legislația UE oferă cadrul pentru un schimb de date eficace și securizat și pentru interoperabilitate între administrațiile publice. Un mecanism de cooperare structurată între birourile de transformare digitală ale statelor membre, de obicei responsabilii cu partea informatică, este esențial pentru interoperabilitatea sectorului public din UE. Acest mecanism facilitează proiectele comune de inovare, permite reutilizarea tehnologiilor testate și reduce costurile și riscurile investițiilor, stimulând implementarea mai rapidă și mai sigură a serviciilor publice digitale conectate</w:t>
      </w:r>
      <w:r>
        <w:rPr>
          <w:rStyle w:val="FootnoteReference"/>
          <w:rFonts w:ascii="Times New Roman" w:hAnsi="Times New Roman" w:cs="Times New Roman"/>
          <w:noProof/>
          <w:sz w:val="24"/>
          <w:szCs w:val="24"/>
        </w:rPr>
        <w:footnoteReference w:id="64"/>
      </w:r>
      <w:r w:rsidRPr="005235E0">
        <w:rPr>
          <w:rFonts w:ascii="Times New Roman" w:hAnsi="Times New Roman"/>
          <w:noProof/>
          <w:sz w:val="24"/>
        </w:rPr>
        <w:t xml:space="preserve">. </w:t>
      </w:r>
      <w:r>
        <w:rPr>
          <w:rFonts w:ascii="Times New Roman" w:hAnsi="Times New Roman"/>
          <w:noProof/>
          <w:sz w:val="24"/>
        </w:rPr>
        <w:t xml:space="preserve">În plus, Directiva NIS </w:t>
      </w:r>
      <w:r w:rsidRPr="00D54BBD">
        <w:rPr>
          <w:rFonts w:ascii="Times New Roman" w:hAnsi="Times New Roman"/>
          <w:noProof/>
          <w:sz w:val="24"/>
        </w:rPr>
        <w:t>2</w:t>
      </w:r>
      <w:r>
        <w:rPr>
          <w:rFonts w:ascii="Times New Roman" w:hAnsi="Times New Roman" w:cs="Times New Roman"/>
          <w:noProof/>
          <w:sz w:val="24"/>
          <w:szCs w:val="24"/>
          <w:vertAlign w:val="superscript"/>
        </w:rPr>
        <w:footnoteReference w:id="65"/>
      </w:r>
      <w:r>
        <w:rPr>
          <w:rFonts w:ascii="Times New Roman" w:hAnsi="Times New Roman"/>
          <w:noProof/>
          <w:sz w:val="24"/>
        </w:rPr>
        <w:t xml:space="preserve"> impune administrațiilor publice să ia măsuri adecvate și proporționale în materie de securitate cibernetică și să asigure furnizarea în condiții de siguranță a serviciilor lor. În </w:t>
      </w:r>
      <w:r w:rsidRPr="00D54BBD">
        <w:rPr>
          <w:rFonts w:ascii="Times New Roman" w:hAnsi="Times New Roman"/>
          <w:noProof/>
          <w:sz w:val="24"/>
        </w:rPr>
        <w:t>2023</w:t>
      </w:r>
      <w:r>
        <w:rPr>
          <w:rFonts w:ascii="Times New Roman" w:hAnsi="Times New Roman"/>
          <w:noProof/>
          <w:sz w:val="24"/>
        </w:rPr>
        <w:t xml:space="preserve">, au fost alocate </w:t>
      </w:r>
      <w:r w:rsidRPr="00D54BBD">
        <w:rPr>
          <w:rFonts w:ascii="Times New Roman" w:hAnsi="Times New Roman"/>
          <w:noProof/>
          <w:sz w:val="24"/>
        </w:rPr>
        <w:t>30</w:t>
      </w:r>
      <w:r>
        <w:rPr>
          <w:rFonts w:ascii="Times New Roman" w:hAnsi="Times New Roman"/>
          <w:noProof/>
          <w:sz w:val="24"/>
        </w:rPr>
        <w:t xml:space="preserve"> de milioane EUR în cadrul programului „Europa digitală” pentru a sprijini punerea în aplicare a legislației UE privind securitatea cibernetică și a strategiilor naționale de securitate cibernetică.</w:t>
      </w:r>
    </w:p>
    <w:p w14:paraId="373AA597" w14:textId="580B89F5" w:rsidR="00EF222C" w:rsidRPr="00B459D5" w:rsidRDefault="00EF222C" w:rsidP="00EF222C">
      <w:pPr>
        <w:spacing w:before="120" w:after="120" w:line="240" w:lineRule="auto"/>
        <w:jc w:val="both"/>
        <w:rPr>
          <w:rFonts w:ascii="Times New Roman" w:hAnsi="Times New Roman" w:cs="Times New Roman"/>
          <w:noProof/>
          <w:sz w:val="24"/>
          <w:szCs w:val="24"/>
        </w:rPr>
      </w:pPr>
      <w:r>
        <w:rPr>
          <w:rFonts w:ascii="Times New Roman" w:hAnsi="Times New Roman"/>
          <w:noProof/>
          <w:sz w:val="24"/>
        </w:rPr>
        <w:t>Comisia monitorizează impactul transformării digitale asupra guvernanței publice în întreaga UE prin colectarea și analizarea de date obținute din mecanismele de monitorizare existente sau emergente</w:t>
      </w:r>
      <w:r>
        <w:rPr>
          <w:rFonts w:ascii="Times New Roman" w:hAnsi="Times New Roman" w:cs="Times New Roman"/>
          <w:noProof/>
          <w:sz w:val="24"/>
          <w:szCs w:val="24"/>
          <w:vertAlign w:val="superscript"/>
        </w:rPr>
        <w:footnoteReference w:id="66"/>
      </w:r>
      <w:r>
        <w:rPr>
          <w:rFonts w:ascii="Times New Roman" w:hAnsi="Times New Roman"/>
          <w:noProof/>
          <w:sz w:val="24"/>
        </w:rPr>
        <w:t>, precum și prin schimbul de constatări și de recomandări. De asemenea, ea analizează impactul, riscurile și oportunitățile generate de IA și de tehnologiile emergente pentru administrațiile publice</w:t>
      </w:r>
      <w:r>
        <w:rPr>
          <w:rFonts w:ascii="Times New Roman" w:hAnsi="Times New Roman" w:cs="Times New Roman"/>
          <w:noProof/>
          <w:sz w:val="24"/>
          <w:szCs w:val="24"/>
          <w:vertAlign w:val="superscript"/>
        </w:rPr>
        <w:footnoteReference w:id="67"/>
      </w:r>
      <w:r>
        <w:rPr>
          <w:rFonts w:ascii="Times New Roman" w:hAnsi="Times New Roman"/>
          <w:noProof/>
          <w:sz w:val="24"/>
        </w:rPr>
        <w:t xml:space="preserve">. </w:t>
      </w:r>
    </w:p>
    <w:p w14:paraId="04065787" w14:textId="2BD631A1" w:rsidR="00341534" w:rsidRPr="00B459D5" w:rsidRDefault="00EF222C" w:rsidP="00EF222C">
      <w:pPr>
        <w:spacing w:before="120" w:after="120" w:line="240" w:lineRule="auto"/>
        <w:jc w:val="both"/>
        <w:rPr>
          <w:rFonts w:ascii="Times New Roman" w:hAnsi="Times New Roman" w:cs="Times New Roman"/>
          <w:noProof/>
        </w:rPr>
      </w:pPr>
      <w:r>
        <w:rPr>
          <w:rFonts w:ascii="Times New Roman" w:hAnsi="Times New Roman"/>
          <w:noProof/>
          <w:sz w:val="24"/>
        </w:rPr>
        <w:t xml:space="preserve">IST a sprijinit deja </w:t>
      </w:r>
      <w:r w:rsidRPr="00D54BBD">
        <w:rPr>
          <w:rFonts w:ascii="Times New Roman" w:hAnsi="Times New Roman"/>
          <w:noProof/>
          <w:color w:val="000000" w:themeColor="text1"/>
          <w:sz w:val="24"/>
        </w:rPr>
        <w:t>180</w:t>
      </w:r>
      <w:r>
        <w:rPr>
          <w:rFonts w:ascii="Times New Roman" w:hAnsi="Times New Roman"/>
          <w:noProof/>
          <w:color w:val="000000" w:themeColor="text1"/>
          <w:sz w:val="24"/>
        </w:rPr>
        <w:t xml:space="preserve"> de reforme în domeniul transformării digitale, din toate statele membre, care vizează elaborarea unor strategii pentru adoptarea noilor tehnologii digitale, consolidarea guvernanței digitale, crearea de prototipuri sau testarea de noi soluții. </w:t>
      </w:r>
      <w:r>
        <w:rPr>
          <w:rFonts w:ascii="Times New Roman" w:hAnsi="Times New Roman"/>
          <w:noProof/>
          <w:sz w:val="24"/>
        </w:rPr>
        <w:t xml:space="preserve">În același timp, PNRR-urile sprijină transformarea digitală a administrațiilor publice, </w:t>
      </w:r>
      <w:r w:rsidRPr="00D54BBD">
        <w:rPr>
          <w:rFonts w:ascii="Times New Roman" w:hAnsi="Times New Roman"/>
          <w:noProof/>
          <w:sz w:val="24"/>
        </w:rPr>
        <w:t>37</w:t>
      </w:r>
      <w:r>
        <w:rPr>
          <w:rFonts w:ascii="Times New Roman" w:hAnsi="Times New Roman"/>
          <w:noProof/>
          <w:sz w:val="24"/>
        </w:rPr>
        <w:t xml:space="preserve"> % din cheltuielile digitale, adică </w:t>
      </w:r>
      <w:r w:rsidRPr="00D54BBD">
        <w:rPr>
          <w:rFonts w:ascii="Times New Roman" w:hAnsi="Times New Roman"/>
          <w:noProof/>
          <w:sz w:val="24"/>
        </w:rPr>
        <w:t>53</w:t>
      </w:r>
      <w:r w:rsidR="00D54BBD">
        <w:rPr>
          <w:rFonts w:ascii="Times New Roman" w:hAnsi="Times New Roman"/>
          <w:noProof/>
          <w:sz w:val="24"/>
        </w:rPr>
        <w:t> </w:t>
      </w:r>
      <w:r>
        <w:rPr>
          <w:rFonts w:ascii="Times New Roman" w:hAnsi="Times New Roman"/>
          <w:noProof/>
          <w:sz w:val="24"/>
        </w:rPr>
        <w:t>de</w:t>
      </w:r>
      <w:r w:rsidR="00D54BBD">
        <w:rPr>
          <w:rFonts w:ascii="Times New Roman" w:hAnsi="Times New Roman"/>
          <w:noProof/>
          <w:sz w:val="24"/>
        </w:rPr>
        <w:t> </w:t>
      </w:r>
      <w:r>
        <w:rPr>
          <w:rFonts w:ascii="Times New Roman" w:hAnsi="Times New Roman"/>
          <w:noProof/>
          <w:sz w:val="24"/>
        </w:rPr>
        <w:t xml:space="preserve">miliarde EUR, fiind dedicate serviciilor publice digitale și e-guvernării. Reformele vizează introducerea sau îmbunătățirea soluțiilor de e-guvernare, cum ar fi implementarea identificării electronice, asigurarea interoperabilității platformelor publice digitale, precum și îmbunătățirea colectării și gestionării datelor. Investițiile vizează integrarea tehnologiilor avansate în procesele de guvernare, precum și consolidarea securității cibernetice. Investițiile planificate în cadrul politicii de coeziune pentru perioada </w:t>
      </w:r>
      <w:r w:rsidRPr="00D54BBD">
        <w:rPr>
          <w:rFonts w:ascii="Times New Roman" w:hAnsi="Times New Roman"/>
          <w:noProof/>
          <w:sz w:val="24"/>
        </w:rPr>
        <w:t>2021</w:t>
      </w:r>
      <w:r>
        <w:rPr>
          <w:rFonts w:ascii="Times New Roman" w:hAnsi="Times New Roman"/>
          <w:noProof/>
          <w:sz w:val="24"/>
        </w:rPr>
        <w:t>-</w:t>
      </w:r>
      <w:r w:rsidRPr="00D54BBD">
        <w:rPr>
          <w:rFonts w:ascii="Times New Roman" w:hAnsi="Times New Roman"/>
          <w:noProof/>
          <w:sz w:val="24"/>
        </w:rPr>
        <w:t>2027</w:t>
      </w:r>
      <w:r>
        <w:rPr>
          <w:rFonts w:ascii="Times New Roman" w:hAnsi="Times New Roman"/>
          <w:noProof/>
          <w:sz w:val="24"/>
        </w:rPr>
        <w:t xml:space="preserve"> care sprijină tranziția digitală se ridică la peste </w:t>
      </w:r>
      <w:r w:rsidRPr="00D54BBD">
        <w:rPr>
          <w:rFonts w:ascii="Times New Roman" w:hAnsi="Times New Roman"/>
          <w:noProof/>
          <w:sz w:val="24"/>
        </w:rPr>
        <w:t>39</w:t>
      </w:r>
      <w:r w:rsidR="00D54BBD">
        <w:rPr>
          <w:rFonts w:ascii="Times New Roman" w:hAnsi="Times New Roman"/>
          <w:noProof/>
          <w:sz w:val="24"/>
        </w:rPr>
        <w:t> </w:t>
      </w:r>
      <w:r>
        <w:rPr>
          <w:rFonts w:ascii="Times New Roman" w:hAnsi="Times New Roman"/>
          <w:noProof/>
          <w:sz w:val="24"/>
        </w:rPr>
        <w:t xml:space="preserve">de miliarde EUR. Această sumă include </w:t>
      </w:r>
      <w:r w:rsidRPr="00D54BBD">
        <w:rPr>
          <w:rFonts w:ascii="Times New Roman" w:hAnsi="Times New Roman"/>
          <w:noProof/>
          <w:sz w:val="24"/>
        </w:rPr>
        <w:t>11</w:t>
      </w:r>
      <w:r>
        <w:rPr>
          <w:rFonts w:ascii="Times New Roman" w:hAnsi="Times New Roman"/>
          <w:noProof/>
          <w:sz w:val="24"/>
        </w:rPr>
        <w:t>,</w:t>
      </w:r>
      <w:r w:rsidRPr="00D54BBD">
        <w:rPr>
          <w:rFonts w:ascii="Times New Roman" w:hAnsi="Times New Roman"/>
          <w:noProof/>
          <w:sz w:val="24"/>
        </w:rPr>
        <w:t>2</w:t>
      </w:r>
      <w:r>
        <w:rPr>
          <w:rFonts w:ascii="Times New Roman" w:hAnsi="Times New Roman"/>
          <w:noProof/>
          <w:sz w:val="24"/>
        </w:rPr>
        <w:t xml:space="preserve"> miliarde EUR prevăzute pentru serviciile digitale și digitalizarea întreprinderilor și a administrațiilor publice.</w:t>
      </w:r>
      <w:r>
        <w:rPr>
          <w:rFonts w:ascii="Times New Roman" w:hAnsi="Times New Roman"/>
          <w:noProof/>
        </w:rPr>
        <w:t xml:space="preserve"> </w:t>
      </w:r>
    </w:p>
    <w:p w14:paraId="17FB5D86" w14:textId="54A61D62" w:rsidR="00FF5A54" w:rsidRPr="00B459D5" w:rsidRDefault="003E0AFC" w:rsidP="00EF222C">
      <w:pPr>
        <w:spacing w:before="120" w:after="120" w:line="240" w:lineRule="auto"/>
        <w:jc w:val="both"/>
        <w:rPr>
          <w:rFonts w:ascii="Times New Roman" w:hAnsi="Times New Roman" w:cs="Times New Roman"/>
          <w:noProof/>
          <w:sz w:val="24"/>
          <w:szCs w:val="24"/>
        </w:rPr>
      </w:pPr>
      <w:r>
        <w:rPr>
          <w:rFonts w:ascii="Times New Roman" w:hAnsi="Times New Roman"/>
          <w:noProof/>
          <w:sz w:val="24"/>
        </w:rPr>
        <w:t>Comisia sprijină, de asemenea, cooperarea dintre sectorul public și cel privat „GovTech”, care stimulează inovarea în sectorul public și contribuie la sporirea accesibilității, a incluziunii și a eficienței serviciilor publice.</w:t>
      </w:r>
      <w:r>
        <w:rPr>
          <w:rFonts w:ascii="Times New Roman" w:hAnsi="Times New Roman"/>
          <w:noProof/>
        </w:rPr>
        <w:t xml:space="preserve"> </w:t>
      </w:r>
      <w:r>
        <w:rPr>
          <w:rFonts w:ascii="Times New Roman" w:hAnsi="Times New Roman"/>
          <w:noProof/>
          <w:sz w:val="24"/>
        </w:rPr>
        <w:t>Un centru de cunoștințe și un spațiu în care sunt prezentate experiențe promovează adoptarea tehnologiilor emergente, cum ar fi lumile virtuale și Web </w:t>
      </w:r>
      <w:r w:rsidRPr="00D54BBD">
        <w:rPr>
          <w:rFonts w:ascii="Times New Roman" w:hAnsi="Times New Roman"/>
          <w:noProof/>
          <w:sz w:val="24"/>
        </w:rPr>
        <w:t>4</w:t>
      </w:r>
      <w:r>
        <w:rPr>
          <w:rFonts w:ascii="Times New Roman" w:hAnsi="Times New Roman"/>
          <w:noProof/>
          <w:sz w:val="24"/>
        </w:rPr>
        <w:t>.</w:t>
      </w:r>
      <w:r w:rsidRPr="00D54BBD">
        <w:rPr>
          <w:rFonts w:ascii="Times New Roman" w:hAnsi="Times New Roman"/>
          <w:noProof/>
          <w:sz w:val="24"/>
        </w:rPr>
        <w:t>0</w:t>
      </w:r>
      <w:r>
        <w:rPr>
          <w:rFonts w:ascii="Times New Roman" w:hAnsi="Times New Roman"/>
          <w:noProof/>
          <w:sz w:val="24"/>
        </w:rPr>
        <w:t>, în sectorul public (</w:t>
      </w:r>
      <w:r w:rsidRPr="00D54BBD">
        <w:rPr>
          <w:rFonts w:ascii="Times New Roman" w:hAnsi="Times New Roman"/>
          <w:i/>
          <w:iCs/>
          <w:noProof/>
          <w:sz w:val="24"/>
        </w:rPr>
        <w:t>Public Sector Tech Watch</w:t>
      </w:r>
      <w:r>
        <w:rPr>
          <w:rFonts w:ascii="Times New Roman" w:hAnsi="Times New Roman"/>
          <w:noProof/>
          <w:sz w:val="24"/>
        </w:rPr>
        <w:t>)</w:t>
      </w:r>
      <w:r>
        <w:rPr>
          <w:rStyle w:val="FootnoteReference"/>
          <w:rFonts w:ascii="Times New Roman" w:hAnsi="Times New Roman" w:cs="Times New Roman"/>
          <w:noProof/>
          <w:sz w:val="24"/>
          <w:szCs w:val="24"/>
        </w:rPr>
        <w:footnoteReference w:id="68"/>
      </w:r>
      <w:r>
        <w:rPr>
          <w:rFonts w:ascii="Times New Roman" w:hAnsi="Times New Roman"/>
          <w:noProof/>
          <w:sz w:val="24"/>
        </w:rPr>
        <w:t>.</w:t>
      </w:r>
      <w:r>
        <w:rPr>
          <w:noProof/>
        </w:rPr>
        <w:t xml:space="preserve"> </w:t>
      </w:r>
      <w:r>
        <w:rPr>
          <w:rFonts w:ascii="Times New Roman" w:hAnsi="Times New Roman"/>
          <w:noProof/>
          <w:sz w:val="24"/>
        </w:rPr>
        <w:t xml:space="preserve">Comisia cofinanțează instalațiile de testare și experimentare în domeniul IA pentru orașe și comunități inteligente prin intermediul unui proiect cu o durată de cinci ani și în valoare de </w:t>
      </w:r>
      <w:r w:rsidRPr="00D54BBD">
        <w:rPr>
          <w:rFonts w:ascii="Times New Roman" w:hAnsi="Times New Roman"/>
          <w:noProof/>
          <w:sz w:val="24"/>
        </w:rPr>
        <w:t>40</w:t>
      </w:r>
      <w:r>
        <w:rPr>
          <w:rFonts w:ascii="Times New Roman" w:hAnsi="Times New Roman"/>
          <w:noProof/>
          <w:sz w:val="24"/>
        </w:rPr>
        <w:t xml:space="preserve"> de milioane EUR, axat pe climă, mediu, mobilitate și alte infrastructuri locale.</w:t>
      </w:r>
      <w:r>
        <w:rPr>
          <w:noProof/>
        </w:rPr>
        <w:t xml:space="preserve"> </w:t>
      </w:r>
    </w:p>
    <w:p w14:paraId="5FEF59EF" w14:textId="49281AEF" w:rsidR="00EF222C" w:rsidRPr="00B459D5" w:rsidRDefault="00EF222C" w:rsidP="00EF222C">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Se pot stabili sinergii mai bune între furnizarea de sprijin tehnic și acțiunile în curs pentru </w:t>
      </w:r>
      <w:r>
        <w:rPr>
          <w:rFonts w:ascii="Times New Roman" w:hAnsi="Times New Roman"/>
          <w:noProof/>
          <w:sz w:val="24"/>
        </w:rPr>
        <w:t xml:space="preserve">punerea în aplicare a deceniului digital. În acest scop, Comisia va continua să împărtășească bune practici și să promoveze în mod activ proiectele-pilot și adoptarea operațională în cadrul STI a modelelor și a prototipurilor dezvoltate în cadrul unor diverse alte programe ale UE (în special Orizont </w:t>
      </w:r>
      <w:r w:rsidRPr="00D54BBD">
        <w:rPr>
          <w:rFonts w:ascii="Times New Roman" w:hAnsi="Times New Roman"/>
          <w:noProof/>
          <w:sz w:val="24"/>
        </w:rPr>
        <w:t>2020</w:t>
      </w:r>
      <w:r>
        <w:rPr>
          <w:rFonts w:ascii="Times New Roman" w:hAnsi="Times New Roman"/>
          <w:noProof/>
          <w:sz w:val="24"/>
        </w:rPr>
        <w:t xml:space="preserve"> și Orizont Europa, programul „Europa digitală”, programul „Justiție”). </w:t>
      </w:r>
    </w:p>
    <w:p w14:paraId="27F07D8C" w14:textId="272F420C" w:rsidR="00EF222C" w:rsidRPr="00D54BBD" w:rsidRDefault="00EF222C" w:rsidP="00AC4407">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0E5DB6A6" w14:textId="4A8D4BC0" w:rsidR="00C727CD" w:rsidRPr="00B459D5" w:rsidRDefault="00B7045E" w:rsidP="00FB326B">
      <w:pPr>
        <w:pStyle w:val="ListParagraph"/>
        <w:numPr>
          <w:ilvl w:val="0"/>
          <w:numId w:val="3"/>
        </w:numPr>
        <w:jc w:val="both"/>
        <w:rPr>
          <w:rFonts w:ascii="Times New Roman" w:eastAsia="Times New Roman" w:hAnsi="Times New Roman" w:cs="Times New Roman"/>
          <w:noProof/>
          <w:color w:val="000000"/>
          <w:sz w:val="24"/>
          <w:szCs w:val="24"/>
          <w:u w:color="000000"/>
          <w:bdr w:val="nil"/>
          <w14:textOutline w14:w="0" w14:cap="flat" w14:cmpd="sng" w14:algn="ctr">
            <w14:noFill/>
            <w14:prstDash w14:val="solid"/>
            <w14:bevel/>
          </w14:textOutline>
        </w:rPr>
      </w:pPr>
      <w:r>
        <w:rPr>
          <w:rFonts w:ascii="Times New Roman" w:hAnsi="Times New Roman"/>
          <w:noProof/>
          <w:color w:val="000000"/>
          <w:sz w:val="24"/>
          <w:u w:color="000000"/>
          <w:bdr w:val="nil"/>
          <w14:textOutline w14:w="0" w14:cap="flat" w14:cmpd="sng" w14:algn="ctr">
            <w14:noFill/>
            <w14:prstDash w14:val="solid"/>
            <w14:bevel/>
          </w14:textOutline>
        </w:rPr>
        <w:t>va sprijini administrațiile publice în ceea ce privește</w:t>
      </w:r>
      <w:r>
        <w:rPr>
          <w:rFonts w:ascii="Times New Roman" w:hAnsi="Times New Roman"/>
          <w:noProof/>
        </w:rPr>
        <w:t xml:space="preserve"> </w:t>
      </w:r>
      <w:r w:rsidRPr="00D54BBD">
        <w:rPr>
          <w:rFonts w:ascii="Times New Roman" w:hAnsi="Times New Roman"/>
          <w:b/>
          <w:noProof/>
          <w:color w:val="000000"/>
          <w:sz w:val="24"/>
          <w:u w:color="000000"/>
          <w:bdr w:val="nil"/>
          <w14:textOutline w14:w="0" w14:cap="flat" w14:cmpd="sng" w14:algn="ctr">
            <w14:noFill/>
            <w14:prstDash w14:val="solid"/>
            <w14:bevel/>
          </w14:textOutline>
        </w:rPr>
        <w:t>punerea în aplicare a legislației cu privire la sectorul digital și a legislației cu privire la date</w:t>
      </w:r>
      <w:r>
        <w:rPr>
          <w:rFonts w:ascii="Times New Roman" w:hAnsi="Times New Roman"/>
          <w:noProof/>
          <w:color w:val="000000"/>
          <w:sz w:val="24"/>
          <w:u w:color="000000"/>
          <w:bdr w:val="nil"/>
          <w14:textOutline w14:w="0" w14:cap="flat" w14:cmpd="sng" w14:algn="ctr">
            <w14:noFill/>
            <w14:prstDash w14:val="solid"/>
            <w14:bevel/>
          </w14:textOutline>
        </w:rPr>
        <w:t xml:space="preserve"> și în ceea ce privește </w:t>
      </w:r>
      <w:r w:rsidRPr="00D54BBD">
        <w:rPr>
          <w:rFonts w:ascii="Times New Roman" w:hAnsi="Times New Roman"/>
          <w:b/>
          <w:noProof/>
          <w:color w:val="000000"/>
          <w:sz w:val="24"/>
          <w:u w:color="000000"/>
          <w:bdr w:val="nil"/>
          <w14:textOutline w14:w="0" w14:cap="flat" w14:cmpd="sng" w14:algn="ctr">
            <w14:noFill/>
            <w14:prstDash w14:val="solid"/>
            <w14:bevel/>
          </w14:textOutline>
        </w:rPr>
        <w:t>sporirea gradului lor de pregătire pentru integrarea tehnologiilor IA în cadrul operațiunilor lor, într-un mod sigur și fiabil, supravegherea tehnologiilor IA</w:t>
      </w:r>
      <w:r>
        <w:rPr>
          <w:rFonts w:ascii="Times New Roman" w:hAnsi="Times New Roman"/>
          <w:noProof/>
          <w:color w:val="000000"/>
          <w:sz w:val="24"/>
          <w:u w:color="000000"/>
          <w:bdr w:val="nil"/>
          <w14:textOutline w14:w="0" w14:cap="flat" w14:cmpd="sng" w14:algn="ctr">
            <w14:noFill/>
            <w14:prstDash w14:val="solid"/>
            <w14:bevel/>
          </w14:textOutline>
        </w:rPr>
        <w:t>, consolidarea securității cibernetice, precum și conceperea și punerea în aplicare a politicilor publice, inclusiv pentru sprijinirea convergenței practicilor de achiziții publice. [din T</w:t>
      </w:r>
      <w:r w:rsidRPr="00D54BBD">
        <w:rPr>
          <w:rFonts w:ascii="Times New Roman" w:hAnsi="Times New Roman"/>
          <w:noProof/>
          <w:color w:val="000000"/>
          <w:sz w:val="24"/>
          <w:u w:color="000000"/>
          <w:bdr w:val="nil"/>
          <w14:textOutline w14:w="0" w14:cap="flat" w14:cmpd="sng" w14:algn="ctr">
            <w14:noFill/>
            <w14:prstDash w14:val="solid"/>
            <w14:bevel/>
          </w14:textOutline>
        </w:rPr>
        <w:t>1</w:t>
      </w:r>
      <w:r>
        <w:rPr>
          <w:rFonts w:ascii="Times New Roman" w:hAnsi="Times New Roman"/>
          <w:noProof/>
          <w:color w:val="000000"/>
          <w:sz w:val="24"/>
          <w:u w:color="000000"/>
          <w:bdr w:val="nil"/>
          <w14:textOutline w14:w="0" w14:cap="flat" w14:cmpd="sng" w14:algn="ctr">
            <w14:noFill/>
            <w14:prstDash w14:val="solid"/>
            <w14:bevel/>
          </w14:textOutline>
        </w:rPr>
        <w:t> </w:t>
      </w:r>
      <w:r w:rsidRPr="00D54BBD">
        <w:rPr>
          <w:rFonts w:ascii="Times New Roman" w:hAnsi="Times New Roman"/>
          <w:noProof/>
          <w:color w:val="000000"/>
          <w:sz w:val="24"/>
          <w:u w:color="000000"/>
          <w:bdr w:val="nil"/>
          <w14:textOutline w14:w="0" w14:cap="flat" w14:cmpd="sng" w14:algn="ctr">
            <w14:noFill/>
            <w14:prstDash w14:val="solid"/>
            <w14:bevel/>
          </w14:textOutline>
        </w:rPr>
        <w:t>2024</w:t>
      </w:r>
      <w:r>
        <w:rPr>
          <w:rFonts w:ascii="Times New Roman" w:hAnsi="Times New Roman"/>
          <w:noProof/>
          <w:color w:val="000000"/>
          <w:sz w:val="24"/>
          <w:u w:color="000000"/>
          <w:bdr w:val="nil"/>
          <w14:textOutline w14:w="0" w14:cap="flat" w14:cmpd="sng" w14:algn="ctr">
            <w14:noFill/>
            <w14:prstDash w14:val="solid"/>
            <w14:bevel/>
          </w14:textOutline>
        </w:rPr>
        <w:t>]</w:t>
      </w:r>
    </w:p>
    <w:p w14:paraId="500D2605" w14:textId="7E955F5B" w:rsidR="00EF222C" w:rsidRPr="00B459D5" w:rsidRDefault="00EF222C" w:rsidP="00EF222C">
      <w:pPr>
        <w:pStyle w:val="Corps"/>
        <w:numPr>
          <w:ilvl w:val="0"/>
          <w:numId w:val="3"/>
        </w:numPr>
        <w:spacing w:before="120" w:after="120"/>
        <w:ind w:left="714" w:hanging="357"/>
        <w:rPr>
          <w:noProof/>
        </w:rPr>
      </w:pPr>
      <w:r>
        <w:rPr>
          <w:noProof/>
        </w:rPr>
        <w:t xml:space="preserve">va promova </w:t>
      </w:r>
      <w:r w:rsidRPr="00D54BBD">
        <w:rPr>
          <w:b/>
          <w:noProof/>
        </w:rPr>
        <w:t>utilizarea durabilă și eficace a tehnologiilor emergente de către administrațiile publice</w:t>
      </w:r>
      <w:r>
        <w:rPr>
          <w:noProof/>
        </w:rPr>
        <w:t>, de exemplu prin dezvoltarea unor standarde deschise sau prin sprijinirea serviciilor publice transfrontaliere care utilizează tehnologii descentralizate, cum ar fi tehnologiile registrelor distribuite (de exemplu, tehnologia blockchain). [din T</w:t>
      </w:r>
      <w:r w:rsidRPr="00D54BBD">
        <w:rPr>
          <w:noProof/>
        </w:rPr>
        <w:t>1</w:t>
      </w:r>
      <w:r>
        <w:rPr>
          <w:noProof/>
        </w:rPr>
        <w:t> </w:t>
      </w:r>
      <w:r w:rsidRPr="00D54BBD">
        <w:rPr>
          <w:noProof/>
        </w:rPr>
        <w:t>2024</w:t>
      </w:r>
      <w:r>
        <w:rPr>
          <w:noProof/>
        </w:rPr>
        <w:t>]</w:t>
      </w:r>
    </w:p>
    <w:p w14:paraId="205668D2" w14:textId="327B1EDC" w:rsidR="005F6DB4" w:rsidRPr="00B459D5" w:rsidRDefault="00275D78" w:rsidP="003E5A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Statele membre sunt încurajate să utilizeze oportunitățile existente și pe cele noi pentru a-și spori gradul de pregătire digitală, inclusiv prin </w:t>
      </w:r>
      <w:r>
        <w:rPr>
          <w:rStyle w:val="cf01"/>
          <w:rFonts w:ascii="Times New Roman" w:hAnsi="Times New Roman"/>
          <w:noProof/>
          <w:sz w:val="24"/>
        </w:rPr>
        <w:t xml:space="preserve">sprijin tehnic și participarea la </w:t>
      </w:r>
      <w:r>
        <w:rPr>
          <w:rFonts w:ascii="Times New Roman" w:hAnsi="Times New Roman"/>
          <w:noProof/>
          <w:sz w:val="24"/>
        </w:rPr>
        <w:t>comunități de practică. De asemenea, ele sunt încurajate să promoveze aceste oportunități în cadrul administrațiilor lor și să sprijine integrarea sigură a IA și a altor tehnologii digitale în cadrul operațiunilor lor. În special, platforma IA la cerere va sprijini adoptarea unor tehnologii de IA fiabile, etice și transparente de către industrie și sectorul public. În plus, ele pot participa în mod activ la consorțiile pentru o infrastructură digitală europeană existente și viitoare pentru tendințele și programele emergente, cum ar fi lumile virtuale, tehnologiile lingvistice și CitiVerses.</w:t>
      </w:r>
    </w:p>
    <w:p w14:paraId="096356E7" w14:textId="2D088F96" w:rsidR="00902721" w:rsidRPr="00D54BBD" w:rsidRDefault="005F0360" w:rsidP="003E5AD4">
      <w:pPr>
        <w:pStyle w:val="Heading2"/>
        <w:numPr>
          <w:ilvl w:val="0"/>
          <w:numId w:val="0"/>
        </w:numPr>
        <w:ind w:left="785" w:hanging="360"/>
        <w:rPr>
          <w:noProof/>
        </w:rPr>
      </w:pPr>
      <w:r w:rsidRPr="00D54BBD">
        <w:rPr>
          <w:noProof/>
        </w:rPr>
        <w:t>6. Cadre, orientări și instrumente pentru transformarea digitală</w:t>
      </w:r>
    </w:p>
    <w:p w14:paraId="755F8B83" w14:textId="3529F4A4" w:rsidR="00DE44F8" w:rsidRPr="00B459D5" w:rsidRDefault="00C5574C" w:rsidP="003E5AD4">
      <w:pPr>
        <w:pStyle w:val="Corps"/>
        <w:spacing w:before="120" w:after="120"/>
        <w:rPr>
          <w:noProof/>
        </w:rPr>
      </w:pPr>
      <w:r>
        <w:rPr>
          <w:noProof/>
        </w:rPr>
        <w:t>UE urmărește să se asigure că serviciile sunt accesibile tuturor cetățenilor, fără discriminare, în conformitate cu valorile și principiile convenite în domeniul digital</w:t>
      </w:r>
      <w:r>
        <w:rPr>
          <w:rStyle w:val="FootnoteReference"/>
          <w:noProof/>
          <w:lang w:val="en-GB"/>
        </w:rPr>
        <w:footnoteReference w:id="69"/>
      </w:r>
      <w:r>
        <w:rPr>
          <w:noProof/>
        </w:rPr>
        <w:t>, cum ar fi principiul „doar o singură dată” și abordarea centrată pe factorul uman. Creșterea interoperabilității este esențială în această privință, deoarece permite armonizarea la nivel juridic, organizațional, semantic și tehnic pentru schimbul transfrontalier de date, astfel cum se recomandă în Cadrul european de interoperabilitate. Interoperabilitatea este, de asemenea, esențială pentru eliminarea barierelor din calea pieței unice și pentru furnizarea de servicii publice digitale interconectate. Au fost dezvoltate soluții interoperabile specifice în diverse domenii</w:t>
      </w:r>
      <w:r>
        <w:rPr>
          <w:rStyle w:val="FootnoteReference"/>
          <w:noProof/>
          <w:lang w:val="en-GB"/>
        </w:rPr>
        <w:footnoteReference w:id="70"/>
      </w:r>
      <w:r>
        <w:rPr>
          <w:noProof/>
        </w:rPr>
        <w:t>, cum ar fi cel vamal, cel al achizițiilor publice sau cel legislativ</w:t>
      </w:r>
      <w:r>
        <w:rPr>
          <w:rStyle w:val="FootnoteReference"/>
          <w:noProof/>
          <w:lang w:val="en-GB"/>
        </w:rPr>
        <w:footnoteReference w:id="71"/>
      </w:r>
      <w:r>
        <w:rPr>
          <w:noProof/>
        </w:rPr>
        <w:t>. În plus, Comisia a propus acțiuni specifice pentru îmbunătățirea coordonării sistemelor de securitate socială prin continuarea digitalizării</w:t>
      </w:r>
      <w:r>
        <w:rPr>
          <w:rStyle w:val="FootnoteReference"/>
          <w:noProof/>
          <w:lang w:val="en-GB"/>
        </w:rPr>
        <w:footnoteReference w:id="72"/>
      </w:r>
      <w:r>
        <w:rPr>
          <w:noProof/>
        </w:rPr>
        <w:t>. Prin participarea sa la mișcarea Living-in.EU, Comisia încurajează orașele și comunitățile să dezvolte soluțiile digitale interoperabile, convenite de comun acord, pentru a le oferi cetățenilor și întreprinderilor servicii mai bine informate, inovatoare și de înaltă calitate.</w:t>
      </w:r>
    </w:p>
    <w:p w14:paraId="4A5E1FFE" w14:textId="5F9D634B" w:rsidR="00762F43" w:rsidRPr="00B459D5" w:rsidRDefault="002F3D93" w:rsidP="003E5AD4">
      <w:pPr>
        <w:pStyle w:val="Corps"/>
        <w:spacing w:before="120" w:after="120"/>
        <w:rPr>
          <w:noProof/>
        </w:rPr>
      </w:pPr>
      <w:r>
        <w:rPr>
          <w:noProof/>
        </w:rPr>
        <w:t>Eforturile în direcția interoperabilității sunt multidimensionale și includ interconectarea infrastructurilor relevante, cum ar fi infrastructurile cloud, viitorul cadru juridic privind identitatea digitală, furnizarea de specificații comune privind portofelele UE pentru identitatea digitală și spațiile de date pentru administrația publică</w:t>
      </w:r>
      <w:r>
        <w:rPr>
          <w:rStyle w:val="FootnoteReference"/>
          <w:noProof/>
          <w:lang w:val="en-GB"/>
        </w:rPr>
        <w:footnoteReference w:id="73"/>
      </w:r>
      <w:r>
        <w:rPr>
          <w:noProof/>
        </w:rPr>
        <w:t xml:space="preserve">. </w:t>
      </w:r>
    </w:p>
    <w:p w14:paraId="63A6A95B" w14:textId="3D9F3DC9" w:rsidR="00A62E73" w:rsidRPr="00D54BBD" w:rsidRDefault="0007374E" w:rsidP="003E5AD4">
      <w:pPr>
        <w:pStyle w:val="Corps"/>
        <w:pBdr>
          <w:top w:val="single" w:sz="4" w:space="1" w:color="auto"/>
          <w:left w:val="single" w:sz="4" w:space="1" w:color="auto"/>
          <w:bottom w:val="single" w:sz="4" w:space="1" w:color="auto"/>
          <w:right w:val="single" w:sz="4" w:space="1" w:color="auto"/>
        </w:pBdr>
        <w:spacing w:before="120" w:after="120"/>
        <w:rPr>
          <w:rFonts w:eastAsia="Calibri"/>
          <w:b/>
          <w:bCs/>
          <w:noProof/>
          <w:sz w:val="22"/>
          <w:szCs w:val="22"/>
        </w:rPr>
      </w:pPr>
      <w:r w:rsidRPr="00D54BBD">
        <w:rPr>
          <w:b/>
          <w:noProof/>
          <w:sz w:val="22"/>
        </w:rPr>
        <w:t>Sistemul tehnic „doar o singură dată”</w:t>
      </w:r>
    </w:p>
    <w:p w14:paraId="3BBF829E" w14:textId="56310D8B" w:rsidR="00DE44F8" w:rsidRPr="00B459D5" w:rsidRDefault="001174D3" w:rsidP="003E5AD4">
      <w:pPr>
        <w:pStyle w:val="Corps"/>
        <w:pBdr>
          <w:top w:val="single" w:sz="4" w:space="1" w:color="auto"/>
          <w:left w:val="single" w:sz="4" w:space="1" w:color="auto"/>
          <w:bottom w:val="single" w:sz="4" w:space="1" w:color="auto"/>
          <w:right w:val="single" w:sz="4" w:space="1" w:color="auto"/>
        </w:pBdr>
        <w:spacing w:before="120" w:after="120"/>
        <w:rPr>
          <w:noProof/>
          <w:sz w:val="22"/>
          <w:szCs w:val="22"/>
        </w:rPr>
      </w:pPr>
      <w:hyperlink r:id="rId19" w:history="1">
        <w:r w:rsidR="00DE44F8">
          <w:rPr>
            <w:rStyle w:val="Hyperlink"/>
            <w:noProof/>
            <w:color w:val="000000" w:themeColor="text1"/>
            <w:sz w:val="22"/>
            <w:u w:val="none"/>
          </w:rPr>
          <w:t>Regulamentul privind portalul digital unic</w:t>
        </w:r>
        <w:r w:rsidR="00DE44F8">
          <w:rPr>
            <w:rStyle w:val="FootnoteReference"/>
            <w:noProof/>
            <w:lang w:val="en-GB"/>
          </w:rPr>
          <w:footnoteReference w:id="74"/>
        </w:r>
      </w:hyperlink>
      <w:r w:rsidR="00DE44F8">
        <w:rPr>
          <w:noProof/>
          <w:sz w:val="22"/>
        </w:rPr>
        <w:t xml:space="preserve"> oferă cadrul juridic pentru crearea de spații europene comune ale datelor pentru ca administrațiile publice să facă schimb de informații într-un mod fiabil. Până în decembrie </w:t>
      </w:r>
      <w:r w:rsidR="00DE44F8" w:rsidRPr="00D54BBD">
        <w:rPr>
          <w:noProof/>
          <w:sz w:val="22"/>
        </w:rPr>
        <w:t>2023</w:t>
      </w:r>
      <w:r w:rsidR="00DE44F8">
        <w:rPr>
          <w:noProof/>
          <w:sz w:val="22"/>
        </w:rPr>
        <w:t>, Comisia și statele membre vor înființa un spațiu de date schimbate între administrațiile publice (</w:t>
      </w:r>
      <w:r w:rsidR="00DE44F8" w:rsidRPr="00D54BBD">
        <w:rPr>
          <w:i/>
          <w:noProof/>
          <w:sz w:val="22"/>
        </w:rPr>
        <w:t>government-to-government</w:t>
      </w:r>
      <w:r w:rsidR="00DE44F8">
        <w:rPr>
          <w:noProof/>
          <w:sz w:val="22"/>
        </w:rPr>
        <w:t>), cunoscut sub denumirea de sistemul tehnic „doar o singură dată”. El va facilita și va accelera în mod semnificativ procedurile administrative transfrontaliere de partajare a datelor și a documentelor acoperite de portalul digital unic. În acest mod, va fi mai ușor pentru cetățeni să studieze, să se mute, să lucreze și să se pensioneze, iar pentru întreprinderi și IMM-uri să desfășoare activități comerciale în întreaga UE. Sistemul va conecta autoritățile publice din întreaga UE, astfel încât să poată face schimb de documente și date oficiale necesare pentru aceste proceduri administrative, la cererea cetățenilor sau a întreprinderilor.</w:t>
      </w:r>
    </w:p>
    <w:p w14:paraId="7E12966D" w14:textId="77777777" w:rsidR="00833461" w:rsidRPr="00D54BBD" w:rsidRDefault="00055DA4" w:rsidP="00833461">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096356F7" w14:textId="200F5229" w:rsidR="00902721" w:rsidRPr="00B459D5" w:rsidRDefault="00055DA4" w:rsidP="00833461">
      <w:pPr>
        <w:pStyle w:val="ListParagraph"/>
        <w:numPr>
          <w:ilvl w:val="0"/>
          <w:numId w:val="4"/>
        </w:numPr>
        <w:spacing w:before="120" w:after="120" w:line="240" w:lineRule="auto"/>
        <w:contextualSpacing w:val="0"/>
        <w:jc w:val="both"/>
        <w:rPr>
          <w:rFonts w:ascii="Times New Roman" w:eastAsia="Calibri" w:hAnsi="Times New Roman" w:cs="Times New Roman"/>
          <w:noProof/>
        </w:rPr>
      </w:pPr>
      <w:r>
        <w:rPr>
          <w:rFonts w:ascii="Times New Roman" w:hAnsi="Times New Roman"/>
          <w:noProof/>
          <w:color w:val="000000"/>
          <w:sz w:val="24"/>
          <w:u w:color="000000"/>
          <w:bdr w:val="nil"/>
          <w14:textOutline w14:w="0" w14:cap="flat" w14:cmpd="sng" w14:algn="ctr">
            <w14:noFill/>
            <w14:prstDash w14:val="solid"/>
            <w14:bevel/>
          </w14:textOutline>
        </w:rPr>
        <w:t xml:space="preserve">va sprijini furnizarea de </w:t>
      </w:r>
      <w:r w:rsidRPr="00D54BBD">
        <w:rPr>
          <w:rFonts w:ascii="Times New Roman" w:hAnsi="Times New Roman"/>
          <w:b/>
          <w:noProof/>
          <w:color w:val="000000"/>
          <w:sz w:val="24"/>
          <w:u w:color="000000"/>
          <w:bdr w:val="nil"/>
          <w14:textOutline w14:w="0" w14:cap="flat" w14:cmpd="sng" w14:algn="ctr">
            <w14:noFill/>
            <w14:prstDash w14:val="solid"/>
            <w14:bevel/>
          </w14:textOutline>
        </w:rPr>
        <w:t>servicii administrative online pe deplin accesibile</w:t>
      </w:r>
      <w:r>
        <w:rPr>
          <w:rFonts w:ascii="Times New Roman" w:hAnsi="Times New Roman"/>
          <w:noProof/>
          <w:color w:val="000000"/>
          <w:sz w:val="24"/>
          <w:u w:color="000000"/>
          <w:bdr w:val="nil"/>
          <w14:textOutline w14:w="0" w14:cap="flat" w14:cmpd="sng" w14:algn="ctr">
            <w14:noFill/>
            <w14:prstDash w14:val="solid"/>
            <w14:bevel/>
          </w14:textOutline>
        </w:rPr>
        <w:t xml:space="preserve"> prin utilizarea portalului digital unic, a inițiativei de e-guvernare pentru digitalizarea administrației publice și a schimbului automatizat de elemente justificative gestionat prin sistemul tehnic „doar o singură dată”</w:t>
      </w:r>
      <w:r>
        <w:rPr>
          <w:rFonts w:ascii="Times New Roman" w:hAnsi="Times New Roman"/>
          <w:noProof/>
        </w:rPr>
        <w:t xml:space="preserve">, </w:t>
      </w:r>
      <w:r>
        <w:rPr>
          <w:rFonts w:ascii="Times New Roman" w:hAnsi="Times New Roman"/>
          <w:noProof/>
          <w:color w:val="000000"/>
          <w:sz w:val="24"/>
          <w:u w:color="000000"/>
          <w:bdr w:val="nil"/>
          <w14:textOutline w14:w="0" w14:cap="flat" w14:cmpd="sng" w14:algn="ctr">
            <w14:noFill/>
            <w14:prstDash w14:val="solid"/>
            <w14:bevel/>
          </w14:textOutline>
        </w:rPr>
        <w:t>precum și verificarea autenticității elementelor justificative prin intermediul Sistemului de informare al pieței interne</w:t>
      </w:r>
      <w:r>
        <w:rPr>
          <w:rFonts w:ascii="Times New Roman" w:eastAsia="Calibri" w:hAnsi="Times New Roman" w:cs="Times New Roman"/>
          <w:noProof/>
          <w:color w:val="000000"/>
          <w:sz w:val="24"/>
          <w:szCs w:val="24"/>
          <w:u w:color="000000"/>
          <w:bdr w:val="nil"/>
          <w:vertAlign w:val="superscript"/>
        </w:rPr>
        <w:footnoteReference w:id="75"/>
      </w:r>
      <w:r>
        <w:rPr>
          <w:rFonts w:ascii="Times New Roman" w:hAnsi="Times New Roman"/>
          <w:noProof/>
          <w:color w:val="000000"/>
          <w:sz w:val="24"/>
          <w:u w:color="000000"/>
          <w:bdr w:val="nil"/>
          <w14:textOutline w14:w="0" w14:cap="flat" w14:cmpd="sng" w14:algn="ctr">
            <w14:noFill/>
            <w14:prstDash w14:val="solid"/>
            <w14:bevel/>
          </w14:textOutline>
        </w:rPr>
        <w:t>. Comisia va continua să faciliteze interoperarea spațiilor europene comune ale datelor și să promoveze în continuare schimbul electronic de informații între administrațiile publice la nivel transfrontalier, facilitat de Sistemul de informare al pieței interne și de Schimbul electronic de informații privind securitatea socială. [din T</w:t>
      </w:r>
      <w:r w:rsidRPr="00D54BBD">
        <w:rPr>
          <w:rFonts w:ascii="Times New Roman" w:hAnsi="Times New Roman"/>
          <w:noProof/>
          <w:color w:val="000000"/>
          <w:sz w:val="24"/>
          <w:u w:color="000000"/>
          <w:bdr w:val="nil"/>
          <w14:textOutline w14:w="0" w14:cap="flat" w14:cmpd="sng" w14:algn="ctr">
            <w14:noFill/>
            <w14:prstDash w14:val="solid"/>
            <w14:bevel/>
          </w14:textOutline>
        </w:rPr>
        <w:t>4</w:t>
      </w:r>
      <w:r>
        <w:rPr>
          <w:rFonts w:ascii="Times New Roman" w:hAnsi="Times New Roman"/>
          <w:noProof/>
          <w:color w:val="000000"/>
          <w:sz w:val="24"/>
          <w:u w:color="000000"/>
          <w:bdr w:val="nil"/>
          <w14:textOutline w14:w="0" w14:cap="flat" w14:cmpd="sng" w14:algn="ctr">
            <w14:noFill/>
            <w14:prstDash w14:val="solid"/>
            <w14:bevel/>
          </w14:textOutline>
        </w:rPr>
        <w:t> </w:t>
      </w:r>
      <w:r w:rsidRPr="00D54BBD">
        <w:rPr>
          <w:rFonts w:ascii="Times New Roman" w:hAnsi="Times New Roman"/>
          <w:noProof/>
          <w:color w:val="000000"/>
          <w:sz w:val="24"/>
          <w:u w:color="000000"/>
          <w:bdr w:val="nil"/>
          <w14:textOutline w14:w="0" w14:cap="flat" w14:cmpd="sng" w14:algn="ctr">
            <w14:noFill/>
            <w14:prstDash w14:val="solid"/>
            <w14:bevel/>
          </w14:textOutline>
        </w:rPr>
        <w:t>2023</w:t>
      </w:r>
      <w:r>
        <w:rPr>
          <w:rFonts w:ascii="Times New Roman" w:hAnsi="Times New Roman"/>
          <w:noProof/>
          <w:color w:val="000000"/>
          <w:sz w:val="24"/>
          <w:u w:color="000000"/>
          <w:bdr w:val="nil"/>
          <w14:textOutline w14:w="0" w14:cap="flat" w14:cmpd="sng" w14:algn="ctr">
            <w14:noFill/>
            <w14:prstDash w14:val="solid"/>
            <w14:bevel/>
          </w14:textOutline>
        </w:rPr>
        <w:t>]</w:t>
      </w:r>
    </w:p>
    <w:p w14:paraId="0B93E02A" w14:textId="77777777" w:rsidR="00BF7FDA" w:rsidRPr="00D54BBD" w:rsidRDefault="00BF7FDA" w:rsidP="00BF7FDA">
      <w:pPr>
        <w:pStyle w:val="ListParagraph"/>
        <w:numPr>
          <w:ilvl w:val="0"/>
          <w:numId w:val="4"/>
        </w:numPr>
        <w:spacing w:before="120" w:after="120" w:line="240" w:lineRule="auto"/>
        <w:contextualSpacing w:val="0"/>
        <w:jc w:val="both"/>
        <w:rPr>
          <w:rFonts w:ascii="Times New Roman" w:hAnsi="Times New Roman" w:cs="Times New Roman"/>
          <w:b/>
          <w:bCs/>
          <w:i/>
          <w:iCs/>
          <w:noProof/>
          <w:sz w:val="24"/>
          <w:szCs w:val="24"/>
        </w:rPr>
      </w:pPr>
      <w:r>
        <w:rPr>
          <w:rFonts w:ascii="Times New Roman" w:hAnsi="Times New Roman"/>
          <w:noProof/>
          <w:sz w:val="24"/>
        </w:rPr>
        <w:t xml:space="preserve">va dezvolta instrumente pentru </w:t>
      </w:r>
      <w:r w:rsidRPr="00D54BBD">
        <w:rPr>
          <w:rFonts w:ascii="Times New Roman" w:hAnsi="Times New Roman"/>
          <w:b/>
          <w:noProof/>
          <w:sz w:val="24"/>
        </w:rPr>
        <w:t>creșterea interoperabilității</w:t>
      </w:r>
      <w:r>
        <w:rPr>
          <w:rFonts w:ascii="Times New Roman" w:hAnsi="Times New Roman"/>
          <w:noProof/>
          <w:sz w:val="24"/>
        </w:rPr>
        <w:t xml:space="preserve"> și pentru </w:t>
      </w:r>
      <w:r w:rsidRPr="00D54BBD">
        <w:rPr>
          <w:rFonts w:ascii="Times New Roman" w:hAnsi="Times New Roman"/>
          <w:b/>
          <w:noProof/>
          <w:sz w:val="24"/>
        </w:rPr>
        <w:t>furnizarea de servicii fără întreruperi</w:t>
      </w:r>
      <w:r>
        <w:rPr>
          <w:rFonts w:ascii="Times New Roman" w:hAnsi="Times New Roman"/>
          <w:noProof/>
          <w:sz w:val="24"/>
        </w:rPr>
        <w:t>, în special ar putea înființa un centru de sprijin pentru o Europă interoperabilă, care să sprijine administrațiile publice în ceea ce privește realizarea evaluărilor interoperabilității și promovarea Cadrului european de interoperabilitate, precum și a specializării acestuia, cum ar fi cel pentru orașe și comunități inteligente. [din T</w:t>
      </w:r>
      <w:r w:rsidRPr="00D54BBD">
        <w:rPr>
          <w:rFonts w:ascii="Times New Roman" w:hAnsi="Times New Roman"/>
          <w:noProof/>
          <w:sz w:val="24"/>
        </w:rPr>
        <w:t>1</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441DFA47" w14:textId="77777777" w:rsidR="005B2A71" w:rsidRPr="00B459D5" w:rsidRDefault="005B2A71" w:rsidP="005B2A71">
      <w:pPr>
        <w:pStyle w:val="Corps"/>
        <w:numPr>
          <w:ilvl w:val="0"/>
          <w:numId w:val="4"/>
        </w:numPr>
        <w:spacing w:before="120" w:after="120"/>
        <w:rPr>
          <w:noProof/>
        </w:rPr>
      </w:pPr>
      <w:r>
        <w:rPr>
          <w:noProof/>
        </w:rPr>
        <w:t xml:space="preserve">va publica o </w:t>
      </w:r>
      <w:r w:rsidRPr="00D54BBD">
        <w:rPr>
          <w:b/>
          <w:noProof/>
        </w:rPr>
        <w:t>imagine de ansamblu a oportunităților de finanțare</w:t>
      </w:r>
      <w:r>
        <w:rPr>
          <w:noProof/>
        </w:rPr>
        <w:t xml:space="preserve"> pentru transformarea digitală a administrațiilor publice și a sinergiilor dintre acestea. [din T</w:t>
      </w:r>
      <w:r w:rsidRPr="00D54BBD">
        <w:rPr>
          <w:noProof/>
        </w:rPr>
        <w:t>4</w:t>
      </w:r>
      <w:r>
        <w:rPr>
          <w:noProof/>
        </w:rPr>
        <w:t> </w:t>
      </w:r>
      <w:r w:rsidRPr="00D54BBD">
        <w:rPr>
          <w:noProof/>
        </w:rPr>
        <w:t>2024</w:t>
      </w:r>
      <w:r>
        <w:rPr>
          <w:noProof/>
        </w:rPr>
        <w:t>]</w:t>
      </w:r>
    </w:p>
    <w:p w14:paraId="01E0A806" w14:textId="73DAFC12" w:rsidR="000133CF" w:rsidRPr="00B459D5" w:rsidRDefault="00055DA4" w:rsidP="00310E23">
      <w:pPr>
        <w:pStyle w:val="ListParagraph"/>
        <w:numPr>
          <w:ilvl w:val="0"/>
          <w:numId w:val="4"/>
        </w:numPr>
        <w:spacing w:before="120" w:after="12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rPr>
        <w:t xml:space="preserve">va sprijini </w:t>
      </w:r>
      <w:r w:rsidRPr="00D54BBD">
        <w:rPr>
          <w:rFonts w:ascii="Times New Roman" w:hAnsi="Times New Roman"/>
          <w:b/>
          <w:noProof/>
          <w:sz w:val="24"/>
        </w:rPr>
        <w:t>agregarea capacităților de cloud ale administrațiilor publice</w:t>
      </w:r>
      <w:r>
        <w:rPr>
          <w:rFonts w:ascii="Times New Roman" w:hAnsi="Times New Roman"/>
          <w:noProof/>
          <w:sz w:val="24"/>
        </w:rPr>
        <w:t xml:space="preserve"> pentru a stimula baza tehnologică a acestora și pentru a îmbunătăți furnizarea de servicii publice</w:t>
      </w:r>
      <w:r>
        <w:rPr>
          <w:rStyle w:val="FootnoteReference"/>
          <w:rFonts w:ascii="Times New Roman" w:eastAsia="Times New Roman" w:hAnsi="Times New Roman" w:cs="Times New Roman"/>
          <w:noProof/>
          <w:sz w:val="24"/>
          <w:szCs w:val="24"/>
        </w:rPr>
        <w:footnoteReference w:id="76"/>
      </w:r>
      <w:r>
        <w:rPr>
          <w:rFonts w:ascii="Times New Roman" w:hAnsi="Times New Roman"/>
          <w:noProof/>
          <w:sz w:val="24"/>
        </w:rPr>
        <w:t>. În acest scop, Comisia va achiziționa o platformă inteligentă de tip middleware cu sursă deschisă, va publica orientări privind achizițiile publice de servicii de cloud și va promova interconectarea și interoperabilitatea serviciilor cloud ale administrației publice. [din T</w:t>
      </w:r>
      <w:r w:rsidRPr="00D54BBD">
        <w:rPr>
          <w:rFonts w:ascii="Times New Roman" w:hAnsi="Times New Roman"/>
          <w:noProof/>
          <w:sz w:val="24"/>
        </w:rPr>
        <w:t>4</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2F4841DC" w14:textId="385BB66A" w:rsidR="000149E5" w:rsidRPr="00B459D5" w:rsidRDefault="000149E5" w:rsidP="003E5AD4">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Statele membre sunt încurajate să utilizeze oportunitățile de sprijinire a transformării lor digitale, cum ar fi IST și alte mecanisme de finanțare ale UE, precum și formarea și instrumentele specifice. Ele pot participa în mod activ la eforturile Comisiei de a facilita schimbul electronic de date între administrațiile publice la nivel transfrontalier și de a îmbunătăți interoperabilitatea acestora. De asemenea, ele pot utiliza sprijinul Comisiei pentru a-și digitaliza sistemele de justiție prin intermediul legislației, al finanțării, al dezvoltării de instrumente informatice și al promovării instrumentelor naționale de coordonare și monitorizare.</w:t>
      </w:r>
    </w:p>
    <w:p w14:paraId="096356FD" w14:textId="52934B3B" w:rsidR="00902721" w:rsidRPr="00D54BBD" w:rsidRDefault="008B06FD" w:rsidP="003E5AD4">
      <w:pPr>
        <w:pStyle w:val="Heading1"/>
        <w:rPr>
          <w:noProof/>
        </w:rPr>
      </w:pPr>
      <w:bookmarkStart w:id="4" w:name="_Hlk139489462"/>
      <w:r w:rsidRPr="00D54BBD">
        <w:rPr>
          <w:noProof/>
        </w:rPr>
        <w:t>Pilonul 3. Capacitatea de a conduce tranziția verde</w:t>
      </w:r>
    </w:p>
    <w:bookmarkEnd w:id="4"/>
    <w:p w14:paraId="0F6FD4E1" w14:textId="66F668E9" w:rsidR="00181793" w:rsidRPr="00B459D5" w:rsidRDefault="00B0644C" w:rsidP="00181793">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UE s-a angajat să devină neutră din punct de vedere climatic până în 2050 și să stimuleze utilizarea eficientă a resurselor, asigurând în același timp justiția socială și incluziunea.</w:t>
      </w:r>
      <w:r>
        <w:rPr>
          <w:rFonts w:ascii="Times New Roman" w:hAnsi="Times New Roman"/>
          <w:noProof/>
          <w:sz w:val="24"/>
        </w:rPr>
        <w:t xml:space="preserve"> Decarbonizarea rapidă a producției de energie electrică și a utilizării energiei reprezintă o primă etapă esențială, care trebuie completată de schimbări mai profunde în sectoare precum cel al construcțiilor, al transporturilor, al comerțului, al agriculturii, al gestionării deșeurilor și a apei.</w:t>
      </w:r>
      <w:r>
        <w:rPr>
          <w:noProof/>
        </w:rPr>
        <w:t xml:space="preserve"> </w:t>
      </w:r>
      <w:r>
        <w:rPr>
          <w:rFonts w:ascii="Times New Roman" w:hAnsi="Times New Roman"/>
          <w:noProof/>
          <w:sz w:val="24"/>
        </w:rPr>
        <w:t xml:space="preserve">Orașele sunt esențiale pentru atingerea obiectivelor climatice, deoarece reprezintă </w:t>
      </w:r>
      <w:r w:rsidRPr="00D54BBD">
        <w:rPr>
          <w:rFonts w:ascii="Times New Roman" w:hAnsi="Times New Roman"/>
          <w:noProof/>
          <w:sz w:val="24"/>
        </w:rPr>
        <w:t>70</w:t>
      </w:r>
      <w:r>
        <w:rPr>
          <w:rFonts w:ascii="Times New Roman" w:hAnsi="Times New Roman"/>
          <w:noProof/>
          <w:sz w:val="24"/>
        </w:rPr>
        <w:t>-</w:t>
      </w:r>
      <w:r w:rsidRPr="00D54BBD">
        <w:rPr>
          <w:rFonts w:ascii="Times New Roman" w:hAnsi="Times New Roman"/>
          <w:noProof/>
          <w:sz w:val="24"/>
        </w:rPr>
        <w:t>80</w:t>
      </w:r>
      <w:r>
        <w:rPr>
          <w:rFonts w:ascii="Times New Roman" w:hAnsi="Times New Roman"/>
          <w:noProof/>
          <w:sz w:val="24"/>
        </w:rPr>
        <w:t xml:space="preserve"> % din emisiile de gaze cu efect de seră din UE și </w:t>
      </w:r>
      <w:r w:rsidRPr="00D54BBD">
        <w:rPr>
          <w:rFonts w:ascii="Times New Roman" w:hAnsi="Times New Roman"/>
          <w:noProof/>
          <w:sz w:val="24"/>
        </w:rPr>
        <w:t>80</w:t>
      </w:r>
      <w:r>
        <w:rPr>
          <w:rFonts w:ascii="Times New Roman" w:hAnsi="Times New Roman"/>
          <w:noProof/>
          <w:sz w:val="24"/>
        </w:rPr>
        <w:t> % din populația UE. Schimbările climatice impun o sporire a rezilienței infrastructurii, precum și a capacității de a face față unor provocări precum fenomenele meteorologice extreme, dezastrele naturale frecvente, deficitul de apă etc. Se preconizează că acestea vor avea un impact negativ asupra biodiversității, cu efecte profunde asupra mediului și, prin urmare, asupra producției de alimente și a absorbanților de carbon.</w:t>
      </w:r>
    </w:p>
    <w:p w14:paraId="45871D00" w14:textId="5A9779F2" w:rsidR="002E6F2C" w:rsidRPr="00B459D5" w:rsidRDefault="00055DA4" w:rsidP="003E5AD4">
      <w:pPr>
        <w:spacing w:before="120" w:after="120" w:line="240" w:lineRule="auto"/>
        <w:jc w:val="both"/>
        <w:rPr>
          <w:rFonts w:ascii="Times New Roman" w:eastAsia="Calibri" w:hAnsi="Times New Roman" w:cs="Times New Roman"/>
          <w:noProof/>
          <w:sz w:val="24"/>
          <w:szCs w:val="24"/>
        </w:rPr>
      </w:pPr>
      <w:r w:rsidRPr="00D54BBD">
        <w:rPr>
          <w:rFonts w:ascii="Times New Roman" w:hAnsi="Times New Roman"/>
          <w:b/>
          <w:noProof/>
          <w:sz w:val="24"/>
        </w:rPr>
        <w:t>Administrațiile publice au un rol esențial în conturarea condițiilor pentru ca economiile și societățile să îndeplinească obiectivele ambițioase în materie de climă și energie pentru 2030 și ar trebui să conducă prin puterea exemplului.</w:t>
      </w:r>
      <w:r>
        <w:rPr>
          <w:rFonts w:ascii="Times New Roman" w:hAnsi="Times New Roman"/>
          <w:noProof/>
          <w:sz w:val="24"/>
        </w:rPr>
        <w:t xml:space="preserve"> Ele trebuie să integreze tranziția verde în toate domeniile de politică și la toate nivelurile de guvernanță, pe baza unei planificări integrate, a unor evaluări solide și a unor evaluări ale impactului, precum și a unor consultări ample pentru a se asigura că nimeni nu este lăsat în urmă. Ele trebuie să adapteze finanțele publice pentru a sprijini tranziția verde și echitatea socială prin politici fiscale adecvate, achiziții publice verzi, finanțare durabilă și investiții care respectă principiul de „a nu aduce prejudicii semnificative”. Ele ar trebui să promoveze integrarea sistematică în deciziile privind sectorul public și cel privat a măsurilor de sprijinire a ecosistemelor sănătoase, a infrastructurii verzi și a soluțiilor bazate pe natură. Ele trebuie să asigure o capacitate adecvată pentru reforme și investiții verzi la toate nivelurile de guvernare</w:t>
      </w:r>
      <w:r>
        <w:rPr>
          <w:rStyle w:val="FootnoteReference"/>
          <w:rFonts w:ascii="Times New Roman" w:eastAsia="Calibri" w:hAnsi="Times New Roman" w:cs="Times New Roman"/>
          <w:noProof/>
          <w:sz w:val="24"/>
          <w:szCs w:val="24"/>
        </w:rPr>
        <w:footnoteReference w:id="77"/>
      </w:r>
      <w:r>
        <w:rPr>
          <w:rFonts w:ascii="Times New Roman" w:hAnsi="Times New Roman"/>
          <w:noProof/>
          <w:sz w:val="24"/>
        </w:rPr>
        <w:t xml:space="preserve">. </w:t>
      </w:r>
    </w:p>
    <w:p w14:paraId="1C6F9CD3" w14:textId="62DB9375" w:rsidR="00D26F6B" w:rsidRPr="00B459D5" w:rsidRDefault="00D26F6B" w:rsidP="003E5AD4">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Acțiunile din cadrul acestui pilon vor fi puse în aplicare în principal prin intermediul IST.</w:t>
      </w:r>
    </w:p>
    <w:p w14:paraId="09635704" w14:textId="0B7B84AC" w:rsidR="00902721" w:rsidRPr="00D54BBD" w:rsidRDefault="005F0360" w:rsidP="003E5AD4">
      <w:pPr>
        <w:pStyle w:val="Heading2"/>
        <w:numPr>
          <w:ilvl w:val="0"/>
          <w:numId w:val="0"/>
        </w:numPr>
        <w:ind w:left="785"/>
        <w:rPr>
          <w:rFonts w:eastAsia="Calibri"/>
          <w:noProof/>
        </w:rPr>
      </w:pPr>
      <w:r w:rsidRPr="00D54BBD">
        <w:rPr>
          <w:noProof/>
        </w:rPr>
        <w:t>7. Conturarea tranziției verzi</w:t>
      </w:r>
    </w:p>
    <w:p w14:paraId="298ACB95" w14:textId="291AA5B3" w:rsidR="00F73147" w:rsidRPr="00B459D5" w:rsidRDefault="00F73147" w:rsidP="00F73147">
      <w:pPr>
        <w:spacing w:before="120" w:after="120" w:line="240" w:lineRule="auto"/>
        <w:jc w:val="both"/>
        <w:rPr>
          <w:rFonts w:ascii="Times New Roman" w:eastAsia="Calibri" w:hAnsi="Times New Roman" w:cs="Times New Roman"/>
          <w:noProof/>
          <w:sz w:val="24"/>
          <w:szCs w:val="24"/>
          <w:vertAlign w:val="superscript"/>
        </w:rPr>
      </w:pPr>
      <w:r>
        <w:rPr>
          <w:rFonts w:ascii="Times New Roman" w:hAnsi="Times New Roman"/>
          <w:noProof/>
          <w:sz w:val="24"/>
        </w:rPr>
        <w:t xml:space="preserve">Comisia a depus în mod constant eforturi pentru a crea un cadru cuprinzător pentru atenuarea schimbărilor climatice și adaptarea la acestea, pentru protecția mediului și pentru eficiența energetică în UE. De exemplu, Comisia, împreună cu Agenția Europeană de Mediu, oferă asistență tehnică statelor membre cu privire la evaluările </w:t>
      </w:r>
      <w:r w:rsidRPr="00D54BBD">
        <w:rPr>
          <w:rFonts w:ascii="Times New Roman" w:hAnsi="Times New Roman"/>
          <w:i/>
          <w:noProof/>
          <w:sz w:val="24"/>
        </w:rPr>
        <w:t>ex post</w:t>
      </w:r>
      <w:r>
        <w:rPr>
          <w:rFonts w:ascii="Times New Roman" w:hAnsi="Times New Roman"/>
          <w:noProof/>
          <w:sz w:val="24"/>
        </w:rPr>
        <w:t xml:space="preserve"> ale politicilor și ale măsurilor, precum și la raportarea și monitorizarea emisiilor. Comisia oferă sprijin pentru pregătirea planurilor naționale privind energia și clima și a strategiilor pe termen lung și pentru realizarea tranziției juste, „înverzirea” bugetelor și aplicarea principiului de „a nu aduce prejudicii semnificative”. Ea construiește capacitatea</w:t>
      </w:r>
      <w:r>
        <w:rPr>
          <w:rFonts w:ascii="Times New Roman" w:hAnsi="Times New Roman"/>
          <w:noProof/>
          <w:sz w:val="24"/>
          <w:vertAlign w:val="superscript"/>
        </w:rPr>
        <w:t xml:space="preserve"> </w:t>
      </w:r>
      <w:r>
        <w:rPr>
          <w:rFonts w:ascii="Times New Roman" w:hAnsi="Times New Roman"/>
          <w:noProof/>
          <w:sz w:val="24"/>
        </w:rPr>
        <w:t>de a identifica și de a face schimb de bune practici în materie de politici și de măsuri și de a iniția dialoguri la mai multe niveluri privind clima și energia</w:t>
      </w:r>
      <w:r>
        <w:rPr>
          <w:rStyle w:val="FootnoteReference"/>
          <w:rFonts w:ascii="Times New Roman" w:eastAsia="Calibri" w:hAnsi="Times New Roman" w:cs="Times New Roman"/>
          <w:noProof/>
          <w:sz w:val="24"/>
          <w:szCs w:val="24"/>
        </w:rPr>
        <w:footnoteReference w:id="78"/>
      </w:r>
      <w:r>
        <w:rPr>
          <w:rFonts w:ascii="Times New Roman" w:hAnsi="Times New Roman"/>
          <w:noProof/>
        </w:rPr>
        <w:t>.</w:t>
      </w:r>
      <w:r>
        <w:rPr>
          <w:rFonts w:ascii="Times New Roman" w:hAnsi="Times New Roman"/>
          <w:noProof/>
          <w:sz w:val="24"/>
        </w:rPr>
        <w:t xml:space="preserve"> </w:t>
      </w:r>
    </w:p>
    <w:p w14:paraId="6B649E1A" w14:textId="7E538656" w:rsidR="00F73147" w:rsidRPr="00B459D5" w:rsidRDefault="00A44684" w:rsidP="00F73147">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Administrațiile publice trebuie să asigure punerea în aplicare eficace a schimbărilor transformatoare în cadrul sistemelor energetice. În plus, având în vedere amenințările emergente la adresa securității și rezilienței infrastructurilor energetice critice, ele au nevoie de o capacitate adecvată de răspuns în situații de urgență. În acest scop, ele ar trebui să își îmbunătățească cooperarea, în special prin intensificarea schimbului de cunoștințe și de bune practici, prin facilitarea analizei interdependențelor transsectoriale și transfrontaliere și prin desfășurarea de exerciții de testare</w:t>
      </w:r>
      <w:r>
        <w:rPr>
          <w:rStyle w:val="FootnoteReference"/>
          <w:rFonts w:ascii="Times New Roman" w:eastAsia="Calibri" w:hAnsi="Times New Roman" w:cs="Times New Roman"/>
          <w:noProof/>
          <w:sz w:val="24"/>
          <w:szCs w:val="24"/>
        </w:rPr>
        <w:footnoteReference w:id="79"/>
      </w:r>
      <w:r>
        <w:rPr>
          <w:rFonts w:ascii="Times New Roman" w:hAnsi="Times New Roman"/>
          <w:noProof/>
          <w:sz w:val="24"/>
        </w:rPr>
        <w:t>. În sens mai larg, ele trebuie să accelereze reformele în ceea ce privește eficiența energetică și sursele regenerabile de energie, mobilitatea, economia circulară, biodiversitatea și soluțiile bazate pe natură, gestionarea deșeurilor și a apei, calitatea aerului, evaluările riscurilor climatice și elaborarea de scenarii, utilizarea terenurilor și silvicultura.</w:t>
      </w:r>
    </w:p>
    <w:p w14:paraId="09635709" w14:textId="08A55EC6" w:rsidR="00902721" w:rsidRPr="00D54BBD" w:rsidRDefault="00055DA4" w:rsidP="003E5AD4">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0963570B" w14:textId="45AB9CE2" w:rsidR="00902721" w:rsidRPr="00B459D5" w:rsidRDefault="0071265A" w:rsidP="000E39D0">
      <w:pPr>
        <w:numPr>
          <w:ilvl w:val="0"/>
          <w:numId w:val="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sprijini statele membre în </w:t>
      </w:r>
      <w:r w:rsidRPr="00D54BBD">
        <w:rPr>
          <w:rFonts w:ascii="Times New Roman" w:hAnsi="Times New Roman"/>
          <w:b/>
          <w:noProof/>
          <w:sz w:val="24"/>
        </w:rPr>
        <w:t>actualizarea strategiilor și planurilor lor naționale de adaptare la schimbările climatice</w:t>
      </w:r>
      <w:r>
        <w:rPr>
          <w:rFonts w:ascii="Times New Roman" w:hAnsi="Times New Roman"/>
          <w:noProof/>
          <w:sz w:val="24"/>
        </w:rPr>
        <w:t>, în conformitate cu orientările</w:t>
      </w:r>
      <w:r>
        <w:rPr>
          <w:rStyle w:val="FootnoteReference"/>
          <w:rFonts w:ascii="Times New Roman" w:eastAsia="Times New Roman" w:hAnsi="Times New Roman" w:cs="Times New Roman"/>
          <w:noProof/>
          <w:sz w:val="24"/>
          <w:szCs w:val="24"/>
        </w:rPr>
        <w:footnoteReference w:id="80"/>
      </w:r>
      <w:r>
        <w:rPr>
          <w:rFonts w:ascii="Times New Roman" w:hAnsi="Times New Roman"/>
          <w:noProof/>
          <w:sz w:val="24"/>
        </w:rPr>
        <w:t>, precum și în îndeplinirea noilor obligații, cum ar fi cele care decurg din Directiva reformată privind eficiența energetică. [din T</w:t>
      </w:r>
      <w:r w:rsidRPr="00D54BBD">
        <w:rPr>
          <w:rFonts w:ascii="Times New Roman" w:hAnsi="Times New Roman"/>
          <w:noProof/>
          <w:sz w:val="24"/>
        </w:rPr>
        <w:t>1</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5E428F11" w14:textId="3A0496E7" w:rsidR="00D67B7B" w:rsidRPr="00B459D5" w:rsidRDefault="00FD765E" w:rsidP="000E39D0">
      <w:pPr>
        <w:numPr>
          <w:ilvl w:val="0"/>
          <w:numId w:val="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promova punerea în aplicare a principiului de „a nu aduce prejudicii semnificative”, inclusiv </w:t>
      </w:r>
      <w:r w:rsidRPr="00D54BBD">
        <w:rPr>
          <w:rFonts w:ascii="Times New Roman" w:hAnsi="Times New Roman"/>
          <w:b/>
          <w:noProof/>
          <w:sz w:val="24"/>
        </w:rPr>
        <w:t>adoptarea unor orientări privind imunizarea la schimbările climatice</w:t>
      </w:r>
      <w:r>
        <w:rPr>
          <w:rFonts w:ascii="Times New Roman" w:hAnsi="Times New Roman"/>
          <w:noProof/>
          <w:sz w:val="24"/>
        </w:rPr>
        <w:t xml:space="preserve"> </w:t>
      </w:r>
      <w:r w:rsidRPr="00D54BBD">
        <w:rPr>
          <w:rFonts w:ascii="Times New Roman" w:hAnsi="Times New Roman"/>
          <w:b/>
          <w:noProof/>
          <w:sz w:val="24"/>
        </w:rPr>
        <w:t>și a altor orientări relevante pentru mediu</w:t>
      </w:r>
      <w:r>
        <w:rPr>
          <w:rFonts w:ascii="Times New Roman" w:hAnsi="Times New Roman"/>
          <w:noProof/>
          <w:sz w:val="24"/>
        </w:rPr>
        <w:t>. Acestea vor contribui la consolidarea capacităților și a instrumentelor pentru „înverzirea” bugetelor publice, a investițiilor publice și a achizițiilor publice (de exemplu, prin consolidarea utilizării abordărilor care reflectă costurile și beneficiile societale și de mediu pe termen lung, inclusiv valorile capitalului natural, și criteriile de eficiență energetică). [din T</w:t>
      </w:r>
      <w:r w:rsidRPr="00D54BBD">
        <w:rPr>
          <w:rFonts w:ascii="Times New Roman" w:hAnsi="Times New Roman"/>
          <w:noProof/>
          <w:sz w:val="24"/>
        </w:rPr>
        <w:t>1</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69D8E31D" w14:textId="4C98A1C3" w:rsidR="008B0D3B" w:rsidRPr="00B459D5" w:rsidRDefault="00055DA4" w:rsidP="000E39D0">
      <w:pPr>
        <w:numPr>
          <w:ilvl w:val="0"/>
          <w:numId w:val="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promova </w:t>
      </w:r>
      <w:r w:rsidRPr="00D54BBD">
        <w:rPr>
          <w:rFonts w:ascii="Times New Roman" w:hAnsi="Times New Roman"/>
          <w:b/>
          <w:noProof/>
          <w:sz w:val="24"/>
        </w:rPr>
        <w:t>instrumente și metode pentru evaluările riscurilor climatice și prevenirea riscurilor</w:t>
      </w:r>
      <w:r>
        <w:rPr>
          <w:rFonts w:ascii="Times New Roman" w:hAnsi="Times New Roman"/>
          <w:noProof/>
          <w:sz w:val="24"/>
        </w:rPr>
        <w:t xml:space="preserve"> precum</w:t>
      </w:r>
      <w:r w:rsidR="00DC31B4">
        <w:rPr>
          <w:rFonts w:ascii="Times New Roman" w:hAnsi="Times New Roman"/>
          <w:noProof/>
          <w:sz w:val="24"/>
        </w:rPr>
        <w:t xml:space="preserve"> </w:t>
      </w:r>
      <w:r>
        <w:rPr>
          <w:rFonts w:ascii="Times New Roman" w:hAnsi="Times New Roman"/>
          <w:noProof/>
          <w:sz w:val="24"/>
        </w:rPr>
        <w:t xml:space="preserve">evaluările riscurilor în funcție de sector sau de politici (evaluarea națională a riscurilor pentru gestionarea dezastrelor din cadrul mecanismului de protecție civilă al Uniunii, evaluări ale riscurilor macrofinanciare) și evaluări locale ale riscurilor (precum cele din setul de instrumente </w:t>
      </w:r>
      <w:r w:rsidRPr="00D54BBD">
        <w:rPr>
          <w:rFonts w:ascii="Times New Roman" w:hAnsi="Times New Roman"/>
          <w:i/>
          <w:noProof/>
          <w:sz w:val="24"/>
        </w:rPr>
        <w:t>Climate-ADAPT</w:t>
      </w:r>
      <w:r>
        <w:rPr>
          <w:rFonts w:ascii="Times New Roman" w:hAnsi="Times New Roman"/>
          <w:noProof/>
          <w:sz w:val="24"/>
        </w:rPr>
        <w:t>). [din T</w:t>
      </w:r>
      <w:r w:rsidRPr="00D54BBD">
        <w:rPr>
          <w:rFonts w:ascii="Times New Roman" w:hAnsi="Times New Roman"/>
          <w:noProof/>
          <w:sz w:val="24"/>
        </w:rPr>
        <w:t>1</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0EDB2231" w14:textId="4CABDF42" w:rsidR="000C247D" w:rsidRPr="00B459D5" w:rsidRDefault="00D051EA" w:rsidP="000E39D0">
      <w:pPr>
        <w:pStyle w:val="ListParagraph"/>
        <w:numPr>
          <w:ilvl w:val="0"/>
          <w:numId w:val="4"/>
        </w:numPr>
        <w:spacing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rPr>
        <w:t xml:space="preserve">va sprijini statele membre în dezvoltarea capacităților de </w:t>
      </w:r>
      <w:r w:rsidRPr="00D54BBD">
        <w:rPr>
          <w:rFonts w:ascii="Times New Roman" w:hAnsi="Times New Roman"/>
          <w:b/>
          <w:noProof/>
          <w:sz w:val="24"/>
        </w:rPr>
        <w:t>planificare, concepere și punere în aplicare a măsurilor de refacere a ecosistemelor și a soluțiilor bazate pe natură</w:t>
      </w:r>
      <w:r>
        <w:rPr>
          <w:rFonts w:ascii="Times New Roman" w:hAnsi="Times New Roman"/>
          <w:noProof/>
          <w:sz w:val="24"/>
        </w:rPr>
        <w:t>, ca măsuri eficiente din punctul de vedere al costurilor și pozitive din punctul de vedere al mediului pentru menținerea serviciilor ecosistemice esențiale. [din T</w:t>
      </w:r>
      <w:r w:rsidRPr="00D54BBD">
        <w:rPr>
          <w:rFonts w:ascii="Times New Roman" w:hAnsi="Times New Roman"/>
          <w:noProof/>
          <w:sz w:val="24"/>
        </w:rPr>
        <w:t>2</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4970FD19" w14:textId="3CDD57D5" w:rsidR="008B0D3B" w:rsidRPr="00B459D5" w:rsidRDefault="00E04B17" w:rsidP="000C247D">
      <w:pPr>
        <w:pStyle w:val="ListParagraph"/>
        <w:numPr>
          <w:ilvl w:val="0"/>
          <w:numId w:val="4"/>
        </w:numPr>
        <w:jc w:val="both"/>
        <w:rPr>
          <w:rFonts w:ascii="Times New Roman" w:eastAsia="Times New Roman" w:hAnsi="Times New Roman" w:cs="Times New Roman"/>
          <w:noProof/>
          <w:sz w:val="24"/>
          <w:szCs w:val="24"/>
        </w:rPr>
      </w:pPr>
      <w:r>
        <w:rPr>
          <w:rFonts w:ascii="Times New Roman" w:hAnsi="Times New Roman"/>
          <w:noProof/>
          <w:sz w:val="24"/>
        </w:rPr>
        <w:t xml:space="preserve">va utiliza </w:t>
      </w:r>
      <w:r w:rsidRPr="00D54BBD">
        <w:rPr>
          <w:rFonts w:ascii="Times New Roman" w:hAnsi="Times New Roman"/>
          <w:b/>
          <w:noProof/>
          <w:sz w:val="24"/>
        </w:rPr>
        <w:t>evaluarea punerii în aplicare a politicilor de mediu</w:t>
      </w:r>
      <w:r w:rsidRPr="00D54BBD">
        <w:rPr>
          <w:rStyle w:val="FootnoteReference"/>
          <w:rFonts w:ascii="Times New Roman" w:hAnsi="Times New Roman" w:cs="Times New Roman"/>
          <w:b/>
          <w:bCs/>
          <w:noProof/>
          <w:sz w:val="24"/>
          <w:szCs w:val="24"/>
          <w:lang w:eastAsia="en-IE"/>
        </w:rPr>
        <w:footnoteReference w:id="81"/>
      </w:r>
      <w:r>
        <w:rPr>
          <w:rFonts w:ascii="Times New Roman" w:hAnsi="Times New Roman"/>
          <w:noProof/>
          <w:sz w:val="24"/>
        </w:rPr>
        <w:t xml:space="preserve"> pentru identificarea cauzelor profunde ale </w:t>
      </w:r>
      <w:r w:rsidRPr="00D54BBD">
        <w:rPr>
          <w:rFonts w:ascii="Times New Roman" w:hAnsi="Times New Roman"/>
          <w:b/>
          <w:noProof/>
          <w:sz w:val="24"/>
        </w:rPr>
        <w:t>punerii în aplicare ineficiente a legislației și a politicii de mediu</w:t>
      </w:r>
      <w:r>
        <w:rPr>
          <w:rFonts w:ascii="Times New Roman" w:hAnsi="Times New Roman"/>
          <w:noProof/>
          <w:sz w:val="24"/>
        </w:rPr>
        <w:t xml:space="preserve"> de către statele membre, în vederea conceperii unor măsuri de sprijin pentru îmbunătățirea guvernanței în materie de mediu. [din T</w:t>
      </w:r>
      <w:r w:rsidRPr="00D54BBD">
        <w:rPr>
          <w:rFonts w:ascii="Times New Roman" w:hAnsi="Times New Roman"/>
          <w:noProof/>
          <w:sz w:val="24"/>
        </w:rPr>
        <w:t>2</w:t>
      </w:r>
      <w:r>
        <w:rPr>
          <w:rFonts w:ascii="Times New Roman" w:hAnsi="Times New Roman"/>
          <w:noProof/>
          <w:sz w:val="24"/>
        </w:rPr>
        <w:t> </w:t>
      </w:r>
      <w:r w:rsidRPr="00D54BBD">
        <w:rPr>
          <w:rFonts w:ascii="Times New Roman" w:hAnsi="Times New Roman"/>
          <w:noProof/>
          <w:sz w:val="24"/>
        </w:rPr>
        <w:t>2025</w:t>
      </w:r>
      <w:r>
        <w:rPr>
          <w:rFonts w:ascii="Times New Roman" w:hAnsi="Times New Roman"/>
          <w:noProof/>
          <w:sz w:val="24"/>
        </w:rPr>
        <w:t>]</w:t>
      </w:r>
    </w:p>
    <w:p w14:paraId="0963570E" w14:textId="08066A11" w:rsidR="00902721" w:rsidRPr="00D54BBD" w:rsidRDefault="005F0360" w:rsidP="003E5AD4">
      <w:pPr>
        <w:pStyle w:val="Heading2"/>
        <w:numPr>
          <w:ilvl w:val="0"/>
          <w:numId w:val="0"/>
        </w:numPr>
        <w:ind w:left="785"/>
        <w:rPr>
          <w:noProof/>
        </w:rPr>
      </w:pPr>
      <w:r w:rsidRPr="00D54BBD">
        <w:rPr>
          <w:noProof/>
        </w:rPr>
        <w:t xml:space="preserve">8. Promovarea ecologizării administrației publice </w:t>
      </w:r>
    </w:p>
    <w:p w14:paraId="418A6D3C" w14:textId="5F7A4EE2" w:rsidR="00C106CE" w:rsidRPr="00B459D5" w:rsidRDefault="00055DA4" w:rsidP="003E5AD4">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Pe lângă </w:t>
      </w:r>
      <w:bookmarkStart w:id="5" w:name="_Hlk139488319"/>
      <w:r>
        <w:rPr>
          <w:rFonts w:ascii="Times New Roman" w:hAnsi="Times New Roman"/>
          <w:noProof/>
          <w:sz w:val="24"/>
        </w:rPr>
        <w:t>conturarea tranziției verzi</w:t>
      </w:r>
      <w:bookmarkEnd w:id="5"/>
      <w:r>
        <w:rPr>
          <w:rFonts w:ascii="Times New Roman" w:hAnsi="Times New Roman"/>
          <w:noProof/>
          <w:sz w:val="24"/>
        </w:rPr>
        <w:t>, administrațiile publice de la toate nivelurile ar trebui să conducă prin puterea exemplului, adaptându-și propriul management organizațional și promovând sensibilizarea personalului cu privire la ecologizare</w:t>
      </w:r>
      <w:r>
        <w:rPr>
          <w:rStyle w:val="FootnoteReference"/>
          <w:rFonts w:ascii="Times New Roman" w:eastAsia="Calibri" w:hAnsi="Times New Roman" w:cs="Times New Roman"/>
          <w:noProof/>
          <w:sz w:val="24"/>
          <w:szCs w:val="24"/>
        </w:rPr>
        <w:footnoteReference w:id="82"/>
      </w:r>
      <w:r>
        <w:rPr>
          <w:rFonts w:ascii="Times New Roman" w:hAnsi="Times New Roman"/>
          <w:noProof/>
          <w:sz w:val="24"/>
        </w:rPr>
        <w:t>. Ecologizarea administrației publice poate include practici de utilizare sustenabilă a resurselor și de gestionare sustenabilă a activelor, inclusiv clădiri și spații de lucru rezistente la schimbările climatice, standarde minime privind durata de viață pentru utilizarea echipamentelor informatice și a altor echipamente, reciclare, achiziții verzi, reducerea propriilor emisii de carbon și utilizarea energiei din surse regenerabile. MRR și politica de coeziune sprijină pe scară largă reabilitarea energetică a clădirilor administrațiilor publice, iar unele state membre au inclus în PNRR-urile lor măsuri privind „înverzirea” parcurilor lor auto și promovarea unor modalități flexibile de lucru pentru funcționarii publici.</w:t>
      </w:r>
    </w:p>
    <w:p w14:paraId="65A7EE3E" w14:textId="6EA7A9BB" w:rsidR="00EC36B8" w:rsidRPr="00B459D5" w:rsidRDefault="00EC36B8" w:rsidP="00EC36B8">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În contextul Pactului verde european, principiul „eficiența energetică înainte de toate”</w:t>
      </w:r>
      <w:r>
        <w:rPr>
          <w:rFonts w:ascii="Times New Roman" w:eastAsia="Calibri" w:hAnsi="Times New Roman" w:cs="Times New Roman"/>
          <w:noProof/>
          <w:sz w:val="24"/>
          <w:szCs w:val="24"/>
          <w:vertAlign w:val="superscript"/>
        </w:rPr>
        <w:footnoteReference w:id="83"/>
      </w:r>
      <w:r>
        <w:rPr>
          <w:rFonts w:ascii="Times New Roman" w:hAnsi="Times New Roman"/>
          <w:noProof/>
          <w:sz w:val="24"/>
        </w:rPr>
        <w:t xml:space="preserve"> impune ca soluțiile de eficiență energetică, de exemplu, să fie luate în considerare în deciziile de planificare, de politică și de investiții ale sistemului energetic și ale sectoarelor neenergetice. Aplicarea Directivei privind eficiența energetică stabilește obiective legate de reducerea anuală a consumului de energie pentru toate administrațiile publice, de renovarea clădirilor publice, precum și de cerințele în materie de eficiență energetică și de utilizare eficientă a resurselor în cadrul achizițiilor publice. </w:t>
      </w:r>
    </w:p>
    <w:p w14:paraId="7179E3D5" w14:textId="655587ED" w:rsidR="00872E70" w:rsidRPr="00B459D5" w:rsidRDefault="00436327" w:rsidP="003E5AD4">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În plus, practicile pot promova comerțul echitabil și alimentele sustenabile, precum și participarea la proiecte care promovează biodiversitatea și durabilitatea în medii urbane și neurbane; de asemenea, pot încuraja comportamentul ecologic al angajaților lor (de exemplu, atunci când aceștia fac naveta sau călătoresc în interes de serviciu).</w:t>
      </w:r>
    </w:p>
    <w:p w14:paraId="51CC481C" w14:textId="118D9FD4" w:rsidR="00B00A01" w:rsidRPr="00B459D5" w:rsidRDefault="004E2070" w:rsidP="003E5AD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rPr>
      </w:pPr>
      <w:r w:rsidRPr="00D54BBD">
        <w:rPr>
          <w:rFonts w:ascii="Times New Roman" w:hAnsi="Times New Roman"/>
          <w:b/>
          <w:noProof/>
        </w:rPr>
        <w:t>Sistemul UE de management de mediu și audit (EMAS)</w:t>
      </w:r>
    </w:p>
    <w:p w14:paraId="1553125E" w14:textId="72313068" w:rsidR="004E2070" w:rsidRPr="00B459D5" w:rsidRDefault="00FF6C0B" w:rsidP="003E5AD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noProof/>
        </w:rPr>
      </w:pPr>
      <w:r>
        <w:rPr>
          <w:rFonts w:ascii="Times New Roman" w:hAnsi="Times New Roman"/>
          <w:noProof/>
        </w:rPr>
        <w:t xml:space="preserve">Comisia a instituit acest sistem pentru a ajuta organizațiile să își îmbunătățească performanța de mediu prin economisirea energiei și a altor resurse, concentrându-se în același timp pe respectarea legislației și pe promovarea participării personalului. Sistemul oferă o metodă de evaluare a impactului organizațiilor asupra mediului și de reducere a acestuia și un sistem de guvernanță cu verificare independentă de către terți pentru o mai mare credibilitate. </w:t>
      </w:r>
      <w:r w:rsidRPr="00D54BBD">
        <w:rPr>
          <w:rFonts w:ascii="Times New Roman" w:hAnsi="Times New Roman"/>
          <w:noProof/>
        </w:rPr>
        <w:t>286</w:t>
      </w:r>
      <w:r>
        <w:rPr>
          <w:rFonts w:ascii="Times New Roman" w:hAnsi="Times New Roman"/>
          <w:noProof/>
        </w:rPr>
        <w:t xml:space="preserve"> de administrații publice din întreaga Europă și-au luat deja angajamentul de a-și reduce amprenta de mediu și sunt înregistrate în sistem.</w:t>
      </w:r>
    </w:p>
    <w:p w14:paraId="09635710" w14:textId="3AD37DF6" w:rsidR="00902721" w:rsidRPr="00D54BBD" w:rsidRDefault="00055DA4" w:rsidP="003E5AD4">
      <w:pPr>
        <w:spacing w:before="120" w:after="120" w:line="240" w:lineRule="auto"/>
        <w:rPr>
          <w:rFonts w:ascii="Times New Roman" w:hAnsi="Times New Roman" w:cs="Times New Roman"/>
          <w:b/>
          <w:bCs/>
          <w:i/>
          <w:iCs/>
          <w:noProof/>
          <w:sz w:val="24"/>
          <w:szCs w:val="24"/>
        </w:rPr>
      </w:pPr>
      <w:r w:rsidRPr="00D54BBD">
        <w:rPr>
          <w:rFonts w:ascii="Times New Roman" w:hAnsi="Times New Roman"/>
          <w:b/>
          <w:i/>
          <w:noProof/>
          <w:sz w:val="24"/>
        </w:rPr>
        <w:t>Comisia:</w:t>
      </w:r>
    </w:p>
    <w:p w14:paraId="5EF6987E" w14:textId="77777777" w:rsidR="00F94E39" w:rsidRPr="00B459D5" w:rsidRDefault="00F94E39" w:rsidP="00F94E39">
      <w:pPr>
        <w:pStyle w:val="ListParagraph"/>
        <w:numPr>
          <w:ilvl w:val="0"/>
          <w:numId w:val="4"/>
        </w:numPr>
        <w:spacing w:before="120" w:after="12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rPr>
        <w:t xml:space="preserve">va elabora </w:t>
      </w:r>
      <w:r w:rsidRPr="00D54BBD">
        <w:rPr>
          <w:rFonts w:ascii="Times New Roman" w:hAnsi="Times New Roman"/>
          <w:b/>
          <w:noProof/>
          <w:sz w:val="24"/>
        </w:rPr>
        <w:t>orientări suplimentare privind utilizarea sistemului UE de management de mediu și audit</w:t>
      </w:r>
      <w:r>
        <w:rPr>
          <w:rFonts w:ascii="Times New Roman" w:hAnsi="Times New Roman"/>
          <w:noProof/>
          <w:sz w:val="24"/>
        </w:rPr>
        <w:t>, pentru a se accelera reducerea amprentei de mediu a organizațiilor, și va sprijini administrațiile publice în adoptarea sistemului. [din T</w:t>
      </w:r>
      <w:r w:rsidRPr="00D54BBD">
        <w:rPr>
          <w:rFonts w:ascii="Times New Roman" w:hAnsi="Times New Roman"/>
          <w:noProof/>
          <w:sz w:val="24"/>
        </w:rPr>
        <w:t>4</w:t>
      </w:r>
      <w:r>
        <w:rPr>
          <w:rFonts w:ascii="Times New Roman" w:hAnsi="Times New Roman"/>
          <w:noProof/>
          <w:sz w:val="24"/>
        </w:rPr>
        <w:t> </w:t>
      </w:r>
      <w:r w:rsidRPr="00D54BBD">
        <w:rPr>
          <w:rFonts w:ascii="Times New Roman" w:hAnsi="Times New Roman"/>
          <w:noProof/>
          <w:sz w:val="24"/>
        </w:rPr>
        <w:t>2023</w:t>
      </w:r>
      <w:r>
        <w:rPr>
          <w:rFonts w:ascii="Times New Roman" w:hAnsi="Times New Roman"/>
          <w:noProof/>
          <w:sz w:val="24"/>
        </w:rPr>
        <w:t>]</w:t>
      </w:r>
    </w:p>
    <w:p w14:paraId="09635711" w14:textId="2B2C791F" w:rsidR="00902721" w:rsidRPr="00B459D5" w:rsidRDefault="00055DA4" w:rsidP="00310E23">
      <w:pPr>
        <w:pStyle w:val="ListParagraph"/>
        <w:numPr>
          <w:ilvl w:val="0"/>
          <w:numId w:val="4"/>
        </w:numPr>
        <w:spacing w:before="120" w:after="12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rPr>
        <w:t xml:space="preserve">va promova și va sprijini utilizarea </w:t>
      </w:r>
      <w:r w:rsidRPr="00D54BBD">
        <w:rPr>
          <w:rFonts w:ascii="Times New Roman" w:hAnsi="Times New Roman"/>
          <w:b/>
          <w:noProof/>
          <w:sz w:val="24"/>
        </w:rPr>
        <w:t>metodologiilor de evaluare a amprentei de carbon organizaționale</w:t>
      </w:r>
      <w:r>
        <w:rPr>
          <w:rFonts w:ascii="Times New Roman" w:hAnsi="Times New Roman"/>
          <w:noProof/>
          <w:sz w:val="24"/>
        </w:rPr>
        <w:t>; va facilita schimbul de bune practici privind tranziția ecologică. [din T</w:t>
      </w:r>
      <w:r w:rsidRPr="00D54BBD">
        <w:rPr>
          <w:rFonts w:ascii="Times New Roman" w:hAnsi="Times New Roman"/>
          <w:noProof/>
          <w:sz w:val="24"/>
        </w:rPr>
        <w:t>2</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2555EB35" w14:textId="70E24893" w:rsidR="0064273B" w:rsidRPr="00B459D5" w:rsidRDefault="00821762" w:rsidP="0064273B">
      <w:pPr>
        <w:numPr>
          <w:ilvl w:val="0"/>
          <w:numId w:val="4"/>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va facilita accesul la </w:t>
      </w:r>
      <w:r w:rsidRPr="00D54BBD">
        <w:rPr>
          <w:rFonts w:ascii="Times New Roman" w:hAnsi="Times New Roman"/>
          <w:b/>
          <w:noProof/>
          <w:sz w:val="24"/>
        </w:rPr>
        <w:t>sprijin tehnic și orientări pentru decarbonizare și îmbunătățirea durabilității în ansamblu a clădirilor</w:t>
      </w:r>
      <w:r>
        <w:rPr>
          <w:rFonts w:ascii="Times New Roman" w:hAnsi="Times New Roman"/>
          <w:noProof/>
          <w:sz w:val="24"/>
        </w:rPr>
        <w:t>, precum și pentru încălzirea eficientă în administrațiile publice, în special la nivel local. [din T</w:t>
      </w:r>
      <w:r w:rsidRPr="00D54BBD">
        <w:rPr>
          <w:rFonts w:ascii="Times New Roman" w:hAnsi="Times New Roman"/>
          <w:noProof/>
          <w:sz w:val="24"/>
        </w:rPr>
        <w:t>2</w:t>
      </w:r>
      <w:r>
        <w:rPr>
          <w:rFonts w:ascii="Times New Roman" w:hAnsi="Times New Roman"/>
          <w:noProof/>
          <w:sz w:val="24"/>
        </w:rPr>
        <w:t> </w:t>
      </w:r>
      <w:r w:rsidRPr="00D54BBD">
        <w:rPr>
          <w:rFonts w:ascii="Times New Roman" w:hAnsi="Times New Roman"/>
          <w:noProof/>
          <w:sz w:val="24"/>
        </w:rPr>
        <w:t>2024</w:t>
      </w:r>
      <w:r>
        <w:rPr>
          <w:rFonts w:ascii="Times New Roman" w:hAnsi="Times New Roman"/>
          <w:noProof/>
          <w:sz w:val="24"/>
        </w:rPr>
        <w:t>]</w:t>
      </w:r>
    </w:p>
    <w:p w14:paraId="09635714" w14:textId="76F5ACD3" w:rsidR="00902721" w:rsidRPr="00D54BBD" w:rsidRDefault="00055DA4" w:rsidP="003E5AD4">
      <w:pPr>
        <w:pStyle w:val="Heading1"/>
        <w:rPr>
          <w:noProof/>
        </w:rPr>
      </w:pPr>
      <w:r w:rsidRPr="00D54BBD">
        <w:rPr>
          <w:noProof/>
        </w:rPr>
        <w:t>Calea de urmat</w:t>
      </w:r>
    </w:p>
    <w:p w14:paraId="09635716" w14:textId="34071754" w:rsidR="00902721" w:rsidRPr="00B459D5" w:rsidRDefault="00055DA4" w:rsidP="003E5AD4">
      <w:pPr>
        <w:spacing w:before="120" w:after="120" w:line="240" w:lineRule="auto"/>
        <w:jc w:val="both"/>
        <w:rPr>
          <w:rFonts w:ascii="Times New Roman" w:hAnsi="Times New Roman" w:cs="Times New Roman"/>
          <w:noProof/>
          <w:sz w:val="24"/>
          <w:szCs w:val="24"/>
        </w:rPr>
      </w:pPr>
      <w:r w:rsidRPr="00D54BBD">
        <w:rPr>
          <w:rFonts w:ascii="Times New Roman" w:hAnsi="Times New Roman"/>
          <w:b/>
          <w:noProof/>
          <w:sz w:val="24"/>
        </w:rPr>
        <w:t>ComPAct propune acțiuni care urmează să fie puse în aplicare treptat, în principal prin intermediul IST și al altor mecanisme de finanțare ale UE, cu scopul de a promova schimbul de cunoștințe între administrațiile publice din întreaga Europă și de a facilita adoptarea principiilor care se află în centrul integrării europene</w:t>
      </w:r>
      <w:r>
        <w:rPr>
          <w:rFonts w:ascii="Times New Roman" w:hAnsi="Times New Roman"/>
          <w:noProof/>
          <w:sz w:val="24"/>
        </w:rPr>
        <w:t xml:space="preserve">. Comisia va prezenta rapoarte privind punerea în aplicare a ComPAct în temeiul cerințelor de raportare cu privire la IST. Lecțiile învățate vor ghida Comisia în încercarea de a obține instrumente ale UE și mai bune pentru a sprijini administrațiile publice în viitor. </w:t>
      </w:r>
    </w:p>
    <w:p w14:paraId="09635717" w14:textId="5DA3CFDE" w:rsidR="00902721" w:rsidRPr="00B459D5" w:rsidRDefault="00055DA4" w:rsidP="003E5AD4">
      <w:pPr>
        <w:spacing w:before="120" w:after="120" w:line="240" w:lineRule="auto"/>
        <w:jc w:val="both"/>
        <w:rPr>
          <w:rFonts w:ascii="Times New Roman" w:hAnsi="Times New Roman" w:cs="Times New Roman"/>
          <w:noProof/>
          <w:sz w:val="24"/>
          <w:szCs w:val="24"/>
        </w:rPr>
      </w:pPr>
      <w:r w:rsidRPr="00D54BBD">
        <w:rPr>
          <w:rFonts w:ascii="Times New Roman" w:hAnsi="Times New Roman"/>
          <w:b/>
          <w:noProof/>
          <w:sz w:val="24"/>
        </w:rPr>
        <w:t>Statele membre pot participa la ComPAct în ritmul lor și în funcție de nevoile și cadrele instituționale ale fiecăruia</w:t>
      </w:r>
      <w:r>
        <w:rPr>
          <w:rFonts w:ascii="Times New Roman" w:hAnsi="Times New Roman"/>
          <w:noProof/>
          <w:sz w:val="24"/>
        </w:rPr>
        <w:t xml:space="preserve">. Ele pot alege dintre acțiunile propuse de ComPAct, care depind de cerere. Instrumentele, metodologiile, sprijinul </w:t>
      </w:r>
      <w:r w:rsidRPr="00D54BBD">
        <w:rPr>
          <w:rFonts w:ascii="Times New Roman" w:hAnsi="Times New Roman"/>
          <w:i/>
          <w:noProof/>
          <w:sz w:val="24"/>
        </w:rPr>
        <w:t>inter pares</w:t>
      </w:r>
      <w:r>
        <w:rPr>
          <w:rFonts w:ascii="Times New Roman" w:hAnsi="Times New Roman"/>
          <w:noProof/>
          <w:sz w:val="24"/>
        </w:rPr>
        <w:t>, experiența și schimburile de practici prezentate vor ajuta administrațiile publice să învețe, să inoveze și să își îmbunătățească practicile și performanțele.</w:t>
      </w:r>
    </w:p>
    <w:p w14:paraId="7512BBEA" w14:textId="36556C1B" w:rsidR="00F41F2C" w:rsidRPr="00B459D5" w:rsidRDefault="00F41F2C" w:rsidP="00F41F2C">
      <w:pPr>
        <w:spacing w:before="120" w:after="120" w:line="240" w:lineRule="auto"/>
        <w:jc w:val="both"/>
        <w:rPr>
          <w:rFonts w:ascii="Times New Roman" w:hAnsi="Times New Roman" w:cs="Times New Roman"/>
          <w:noProof/>
          <w:sz w:val="24"/>
          <w:szCs w:val="24"/>
        </w:rPr>
      </w:pPr>
      <w:r w:rsidRPr="00D54BBD">
        <w:rPr>
          <w:rFonts w:ascii="Times New Roman" w:hAnsi="Times New Roman"/>
          <w:b/>
          <w:noProof/>
          <w:sz w:val="24"/>
        </w:rPr>
        <w:t>ComPAct va completa și va adăuga valoare altor forme de cooperare existente între statele membre ale UE</w:t>
      </w:r>
      <w:r>
        <w:rPr>
          <w:rFonts w:ascii="Times New Roman" w:hAnsi="Times New Roman"/>
          <w:noProof/>
          <w:sz w:val="24"/>
        </w:rPr>
        <w:t>, cum ar fi Rețeaua administrațiilor publice europene (EUPAN), Rețeaua Directorilor Institutelor și Școlilor de Administrație Publică (DISPA), precum și forurile internaționale și rețelele de experți.</w:t>
      </w:r>
    </w:p>
    <w:p w14:paraId="55BBBAE9" w14:textId="2459C537" w:rsidR="00320A47" w:rsidRPr="00B459D5" w:rsidRDefault="00055DA4" w:rsidP="003E5AD4">
      <w:pPr>
        <w:spacing w:before="120" w:after="120" w:line="240" w:lineRule="auto"/>
        <w:jc w:val="both"/>
        <w:rPr>
          <w:rFonts w:ascii="Times New Roman" w:hAnsi="Times New Roman" w:cs="Times New Roman"/>
          <w:noProof/>
          <w:sz w:val="24"/>
          <w:szCs w:val="24"/>
        </w:rPr>
      </w:pPr>
      <w:r w:rsidRPr="00D54BBD">
        <w:rPr>
          <w:rFonts w:ascii="Times New Roman" w:hAnsi="Times New Roman"/>
          <w:b/>
          <w:noProof/>
          <w:sz w:val="24"/>
        </w:rPr>
        <w:t>ComPAct își va putea valorifica întregul potențial numai printr-o implicare puternică a tuturor actorilor și părților interesate din spațiul administrativ european.</w:t>
      </w:r>
      <w:r>
        <w:rPr>
          <w:rFonts w:ascii="Times New Roman" w:hAnsi="Times New Roman"/>
          <w:noProof/>
          <w:sz w:val="24"/>
        </w:rPr>
        <w:t xml:space="preserve"> Pentru punerea în aplicare a ComPAct, Comisia va interacționa cu autoritățile din statele membre care gestionează dezvoltarea administrației publice la diferite niveluri, cu institutele care oferă formare, cu alte entități, după caz, precum și cu părțile interesate, cum ar fi partenerii sociali, mediul academic și experți. Acest angajament continuu va fi, de asemenea, fundamental pentru identificarea temelor relevante și a acțiunilor viitoare în cazul cărora sprijinul acordat de UE administrațiilor publice poate aduce valoare adăugată. Grupul de experți al Comisiei privind administrația publică și guvernanța va continua să fie o platformă esențială pentru dialog. Comisia își menține angajamentul de a contribui la dialogul politic în cadrul reuniunilor ministeriale organizate sub președințiile UE. Implicarea activă a statelor membre și disponibilitatea lor sporită de a-și împărtăși experiențele legate de reformele în domeniul administrației publice, de a învăța unele de la altele și de a se sprijini reciproc vor fi decisive pentru realizarea obiectivelor și ambiției ComPAct. </w:t>
      </w:r>
    </w:p>
    <w:sectPr w:rsidR="00320A47" w:rsidRPr="00B459D5">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D7549" w14:textId="77777777" w:rsidR="0004192C" w:rsidRDefault="0004192C">
      <w:pPr>
        <w:spacing w:after="0" w:line="240" w:lineRule="auto"/>
      </w:pPr>
      <w:r>
        <w:separator/>
      </w:r>
    </w:p>
  </w:endnote>
  <w:endnote w:type="continuationSeparator" w:id="0">
    <w:p w14:paraId="1729CEB7" w14:textId="77777777" w:rsidR="0004192C" w:rsidRDefault="0004192C">
      <w:pPr>
        <w:spacing w:after="0" w:line="240" w:lineRule="auto"/>
      </w:pPr>
      <w:r>
        <w:continuationSeparator/>
      </w:r>
    </w:p>
  </w:endnote>
  <w:endnote w:type="continuationNotice" w:id="1">
    <w:p w14:paraId="2F5B263E" w14:textId="77777777" w:rsidR="0004192C" w:rsidRDefault="00041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A537" w14:textId="50C49C8C" w:rsidR="00AC34CC" w:rsidRPr="001174D3" w:rsidRDefault="00AC34CC" w:rsidP="00117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0665" w14:textId="024B6134" w:rsidR="00AC34CC" w:rsidRPr="001174D3" w:rsidRDefault="001174D3" w:rsidP="001174D3">
    <w:pPr>
      <w:pStyle w:val="FooterCoverPage"/>
      <w:rPr>
        <w:rFonts w:ascii="Arial" w:hAnsi="Arial" w:cs="Arial"/>
        <w:b/>
        <w:sz w:val="48"/>
      </w:rPr>
    </w:pPr>
    <w:r w:rsidRPr="001174D3">
      <w:rPr>
        <w:rFonts w:ascii="Arial" w:hAnsi="Arial" w:cs="Arial"/>
        <w:b/>
        <w:sz w:val="48"/>
      </w:rPr>
      <w:t>RO</w:t>
    </w:r>
    <w:r w:rsidRPr="001174D3">
      <w:rPr>
        <w:rFonts w:ascii="Arial" w:hAnsi="Arial" w:cs="Arial"/>
        <w:b/>
        <w:sz w:val="48"/>
      </w:rPr>
      <w:tab/>
    </w:r>
    <w:r w:rsidRPr="001174D3">
      <w:rPr>
        <w:rFonts w:ascii="Arial" w:hAnsi="Arial" w:cs="Arial"/>
        <w:b/>
        <w:sz w:val="48"/>
      </w:rPr>
      <w:tab/>
    </w:r>
    <w:r w:rsidRPr="001174D3">
      <w:tab/>
    </w:r>
    <w:r w:rsidRPr="001174D3">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CC18" w14:textId="77777777" w:rsidR="001174D3" w:rsidRPr="001174D3" w:rsidRDefault="001174D3" w:rsidP="001174D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5758" w14:textId="77777777" w:rsidR="00902721" w:rsidRDefault="009027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94560"/>
      <w:docPartObj>
        <w:docPartGallery w:val="Page Numbers (Bottom of Page)"/>
        <w:docPartUnique/>
      </w:docPartObj>
    </w:sdtPr>
    <w:sdtEndPr>
      <w:rPr>
        <w:noProof/>
      </w:rPr>
    </w:sdtEndPr>
    <w:sdtContent>
      <w:p w14:paraId="09635759" w14:textId="67145B14" w:rsidR="00902721" w:rsidRDefault="00055DA4">
        <w:pPr>
          <w:pStyle w:val="Footer"/>
          <w:jc w:val="center"/>
        </w:pPr>
        <w:r>
          <w:fldChar w:fldCharType="begin"/>
        </w:r>
        <w:r>
          <w:instrText xml:space="preserve"> PAGE   \* MERGEFORMAT </w:instrText>
        </w:r>
        <w:r>
          <w:fldChar w:fldCharType="separate"/>
        </w:r>
        <w:r w:rsidR="001174D3">
          <w:rPr>
            <w:noProof/>
          </w:rPr>
          <w:t>1</w:t>
        </w:r>
        <w:r>
          <w:fldChar w:fldCharType="end"/>
        </w:r>
      </w:p>
    </w:sdtContent>
  </w:sdt>
  <w:p w14:paraId="0963575A" w14:textId="77777777" w:rsidR="00902721" w:rsidRDefault="00902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575C" w14:textId="77777777" w:rsidR="00902721" w:rsidRDefault="0090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27FF7" w14:textId="77777777" w:rsidR="0004192C" w:rsidRDefault="0004192C">
      <w:pPr>
        <w:spacing w:after="0" w:line="240" w:lineRule="auto"/>
      </w:pPr>
      <w:r>
        <w:separator/>
      </w:r>
    </w:p>
  </w:footnote>
  <w:footnote w:type="continuationSeparator" w:id="0">
    <w:p w14:paraId="756B6923" w14:textId="77777777" w:rsidR="0004192C" w:rsidRDefault="0004192C">
      <w:pPr>
        <w:spacing w:after="0" w:line="240" w:lineRule="auto"/>
      </w:pPr>
      <w:r>
        <w:continuationSeparator/>
      </w:r>
    </w:p>
  </w:footnote>
  <w:footnote w:type="continuationNotice" w:id="1">
    <w:p w14:paraId="7B187D87" w14:textId="77777777" w:rsidR="0004192C" w:rsidRDefault="0004192C">
      <w:pPr>
        <w:spacing w:after="0" w:line="240" w:lineRule="auto"/>
      </w:pPr>
    </w:p>
  </w:footnote>
  <w:footnote w:id="2">
    <w:p w14:paraId="0963575E" w14:textId="76863D85" w:rsidR="00902721" w:rsidRPr="004661E9" w:rsidRDefault="00055DA4"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Comisia Europeană, </w:t>
      </w:r>
      <w:hyperlink r:id="rId1" w:history="1">
        <w:r w:rsidRPr="00D54BBD">
          <w:rPr>
            <w:rStyle w:val="Hyperlink"/>
            <w:rFonts w:ascii="Times New Roman" w:hAnsi="Times New Roman"/>
          </w:rPr>
          <w:t>Raport pe 2021 de analiză prospectivă strategică</w:t>
        </w:r>
      </w:hyperlink>
      <w:r>
        <w:rPr>
          <w:rFonts w:ascii="Times New Roman" w:hAnsi="Times New Roman"/>
        </w:rPr>
        <w:t>.</w:t>
      </w:r>
    </w:p>
  </w:footnote>
  <w:footnote w:id="3">
    <w:p w14:paraId="79FD1164" w14:textId="73C33AFE" w:rsidR="003213C2" w:rsidRPr="004661E9" w:rsidRDefault="003213C2" w:rsidP="00B13A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w:t>
      </w:r>
      <w:r w:rsidRPr="00D54BBD">
        <w:rPr>
          <w:rFonts w:ascii="Times New Roman" w:hAnsi="Times New Roman"/>
        </w:rPr>
        <w:t>2023</w:t>
      </w:r>
      <w:r>
        <w:rPr>
          <w:rFonts w:ascii="Times New Roman" w:hAnsi="Times New Roman"/>
        </w:rPr>
        <w:t>) </w:t>
      </w:r>
      <w:r w:rsidRPr="00D54BBD">
        <w:rPr>
          <w:rFonts w:ascii="Times New Roman" w:hAnsi="Times New Roman"/>
        </w:rPr>
        <w:t>168</w:t>
      </w:r>
      <w:r>
        <w:rPr>
          <w:rFonts w:ascii="Times New Roman" w:hAnsi="Times New Roman"/>
        </w:rPr>
        <w:t xml:space="preserve"> final - </w:t>
      </w:r>
      <w:hyperlink r:id="rId2" w:history="1">
        <w:r w:rsidRPr="00D54BBD">
          <w:rPr>
            <w:rStyle w:val="Hyperlink"/>
            <w:rFonts w:ascii="Times New Roman" w:hAnsi="Times New Roman"/>
          </w:rPr>
          <w:t>Competitivitatea pe termen lung a UE:</w:t>
        </w:r>
      </w:hyperlink>
      <w:hyperlink r:id="rId3" w:history="1">
        <w:r w:rsidRPr="00D54BBD">
          <w:rPr>
            <w:rStyle w:val="Hyperlink"/>
            <w:rFonts w:ascii="Times New Roman" w:hAnsi="Times New Roman"/>
          </w:rPr>
          <w:t xml:space="preserve"> perspectiva după 2030</w:t>
        </w:r>
      </w:hyperlink>
      <w:r>
        <w:rPr>
          <w:rFonts w:ascii="Times New Roman" w:hAnsi="Times New Roman"/>
        </w:rPr>
        <w:t>.</w:t>
      </w:r>
    </w:p>
  </w:footnote>
  <w:footnote w:id="4">
    <w:p w14:paraId="0CA56216" w14:textId="30490E7D" w:rsidR="00DB104F" w:rsidRPr="004661E9" w:rsidRDefault="00DB104F"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bookmarkStart w:id="2" w:name="_Hlk149147250"/>
      <w:r>
        <w:rPr>
          <w:rStyle w:val="normaltextrun"/>
          <w:rFonts w:ascii="Times New Roman" w:hAnsi="Times New Roman"/>
        </w:rPr>
        <w:t>COM(</w:t>
      </w:r>
      <w:r w:rsidRPr="00D54BBD">
        <w:rPr>
          <w:rStyle w:val="normaltextrun"/>
          <w:rFonts w:ascii="Times New Roman" w:hAnsi="Times New Roman"/>
        </w:rPr>
        <w:t>2020</w:t>
      </w:r>
      <w:r>
        <w:rPr>
          <w:rStyle w:val="normaltextrun"/>
          <w:rFonts w:ascii="Times New Roman" w:hAnsi="Times New Roman"/>
        </w:rPr>
        <w:t xml:space="preserve">) </w:t>
      </w:r>
      <w:r w:rsidRPr="00D54BBD">
        <w:rPr>
          <w:rStyle w:val="normaltextrun"/>
          <w:rFonts w:ascii="Times New Roman" w:hAnsi="Times New Roman"/>
        </w:rPr>
        <w:t>274</w:t>
      </w:r>
      <w:r>
        <w:rPr>
          <w:rStyle w:val="normaltextrun"/>
          <w:rFonts w:ascii="Times New Roman" w:hAnsi="Times New Roman"/>
        </w:rPr>
        <w:t xml:space="preserve"> final - </w:t>
      </w:r>
      <w:hyperlink r:id="rId4" w:history="1">
        <w:r w:rsidRPr="00D54BBD">
          <w:rPr>
            <w:rStyle w:val="Hyperlink"/>
            <w:rFonts w:ascii="Times New Roman" w:hAnsi="Times New Roman"/>
          </w:rPr>
          <w:t>Agenda europeană pentru competențe în scopul promovării competitivității durabile, a echității sociale și a rezilienței</w:t>
        </w:r>
      </w:hyperlink>
      <w:r>
        <w:rPr>
          <w:rStyle w:val="normaltextrun"/>
          <w:rFonts w:ascii="Times New Roman" w:hAnsi="Times New Roman"/>
        </w:rPr>
        <w:t>.</w:t>
      </w:r>
      <w:bookmarkEnd w:id="2"/>
    </w:p>
  </w:footnote>
  <w:footnote w:id="5">
    <w:p w14:paraId="09635763" w14:textId="2015E188" w:rsidR="00902721" w:rsidRPr="004661E9" w:rsidRDefault="00055DA4"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r>
        <w:rPr>
          <w:rFonts w:ascii="Times New Roman" w:hAnsi="Times New Roman"/>
        </w:rPr>
        <w:t xml:space="preserve">Date furnizate de </w:t>
      </w:r>
      <w:hyperlink r:id="rId5" w:anchor="General_government_expenditure_by_function" w:history="1">
        <w:r w:rsidRPr="00D54BBD">
          <w:rPr>
            <w:rStyle w:val="Hyperlink"/>
            <w:rFonts w:ascii="Times New Roman" w:hAnsi="Times New Roman"/>
          </w:rPr>
          <w:t>Eurostat</w:t>
        </w:r>
      </w:hyperlink>
      <w:r>
        <w:rPr>
          <w:rFonts w:ascii="Times New Roman" w:hAnsi="Times New Roman"/>
        </w:rPr>
        <w:t xml:space="preserve"> (</w:t>
      </w:r>
      <w:r w:rsidRPr="00D54BBD">
        <w:rPr>
          <w:rFonts w:ascii="Times New Roman" w:hAnsi="Times New Roman"/>
        </w:rPr>
        <w:t>2021</w:t>
      </w:r>
      <w:r>
        <w:rPr>
          <w:rFonts w:ascii="Times New Roman" w:hAnsi="Times New Roman"/>
        </w:rPr>
        <w:t>).</w:t>
      </w:r>
    </w:p>
  </w:footnote>
  <w:footnote w:id="6">
    <w:p w14:paraId="09635764" w14:textId="6DB27FEE" w:rsidR="00902721" w:rsidRPr="004661E9" w:rsidRDefault="00055DA4"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r>
        <w:rPr>
          <w:rFonts w:ascii="Times New Roman" w:hAnsi="Times New Roman"/>
        </w:rPr>
        <w:t xml:space="preserve">Sunt incluse date din </w:t>
      </w:r>
      <w:hyperlink r:id="rId6" w:history="1">
        <w:r w:rsidRPr="00D54BBD">
          <w:rPr>
            <w:rStyle w:val="Hyperlink"/>
            <w:rFonts w:ascii="Times New Roman" w:hAnsi="Times New Roman"/>
          </w:rPr>
          <w:t>Ancheta UE asupra forței de muncă</w:t>
        </w:r>
      </w:hyperlink>
      <w:r>
        <w:rPr>
          <w:rFonts w:ascii="Times New Roman" w:hAnsi="Times New Roman"/>
        </w:rPr>
        <w:t xml:space="preserve"> pentru sectoarele administrației publice, apărării, securității sociale obligatorii, educației și sănătății (</w:t>
      </w:r>
      <w:r w:rsidRPr="00D54BBD">
        <w:rPr>
          <w:rFonts w:ascii="Times New Roman" w:hAnsi="Times New Roman"/>
        </w:rPr>
        <w:t>2022</w:t>
      </w:r>
      <w:r>
        <w:rPr>
          <w:rFonts w:ascii="Times New Roman" w:hAnsi="Times New Roman"/>
        </w:rPr>
        <w:t>).</w:t>
      </w:r>
    </w:p>
  </w:footnote>
  <w:footnote w:id="7">
    <w:p w14:paraId="09635765" w14:textId="0279DC60" w:rsidR="00902721" w:rsidRPr="004661E9" w:rsidRDefault="00055DA4"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r>
        <w:rPr>
          <w:rFonts w:ascii="Times New Roman" w:hAnsi="Times New Roman"/>
        </w:rPr>
        <w:t xml:space="preserve">Date furnizate de </w:t>
      </w:r>
      <w:hyperlink r:id="rId7" w:history="1">
        <w:r w:rsidRPr="00D54BBD">
          <w:rPr>
            <w:rStyle w:val="Hyperlink"/>
            <w:rFonts w:ascii="Times New Roman" w:hAnsi="Times New Roman"/>
          </w:rPr>
          <w:t>Eurostat</w:t>
        </w:r>
      </w:hyperlink>
      <w:r>
        <w:rPr>
          <w:rFonts w:ascii="Times New Roman" w:hAnsi="Times New Roman"/>
        </w:rPr>
        <w:t xml:space="preserve"> (</w:t>
      </w:r>
      <w:r w:rsidRPr="00D54BBD">
        <w:rPr>
          <w:rFonts w:ascii="Times New Roman" w:hAnsi="Times New Roman"/>
        </w:rPr>
        <w:t>2020</w:t>
      </w:r>
      <w:r>
        <w:rPr>
          <w:rFonts w:ascii="Times New Roman" w:hAnsi="Times New Roman"/>
        </w:rPr>
        <w:t xml:space="preserve">). </w:t>
      </w:r>
    </w:p>
  </w:footnote>
  <w:footnote w:id="8">
    <w:p w14:paraId="09635766" w14:textId="27B82FF0" w:rsidR="00902721" w:rsidRPr="004661E9" w:rsidRDefault="00055DA4" w:rsidP="00B13A5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lang w:val="en-US"/>
        </w:rPr>
        <w:footnoteRef/>
      </w:r>
      <w:r>
        <w:rPr>
          <w:rFonts w:ascii="Times New Roman" w:hAnsi="Times New Roman"/>
          <w:sz w:val="20"/>
        </w:rPr>
        <w:t xml:space="preserve"> Această cifră se referă la licitațiile publice care depășesc valorile specifice ale contractelor publicate în suplimentul la </w:t>
      </w:r>
      <w:r w:rsidRPr="00D54BBD">
        <w:rPr>
          <w:rFonts w:ascii="Times New Roman" w:hAnsi="Times New Roman"/>
          <w:i/>
          <w:sz w:val="20"/>
        </w:rPr>
        <w:t>Jurnalul Oficial al Uniunii Europene</w:t>
      </w:r>
      <w:r>
        <w:rPr>
          <w:rFonts w:ascii="Times New Roman" w:hAnsi="Times New Roman"/>
          <w:sz w:val="20"/>
        </w:rPr>
        <w:t xml:space="preserve"> (seria S):</w:t>
      </w:r>
      <w:r w:rsidR="00DC31B4">
        <w:rPr>
          <w:rFonts w:ascii="Times New Roman" w:hAnsi="Times New Roman"/>
          <w:sz w:val="20"/>
        </w:rPr>
        <w:t xml:space="preserve"> </w:t>
      </w:r>
      <w:hyperlink r:id="rId8" w:history="1">
        <w:r w:rsidRPr="00D54BBD">
          <w:rPr>
            <w:rStyle w:val="Hyperlink"/>
            <w:rFonts w:ascii="Times New Roman" w:hAnsi="Times New Roman"/>
            <w:sz w:val="20"/>
          </w:rPr>
          <w:t>https://simap.ted.europa.eu/web/simap/european-public-procurement</w:t>
        </w:r>
      </w:hyperlink>
      <w:r>
        <w:rPr>
          <w:rFonts w:ascii="Times New Roman" w:hAnsi="Times New Roman"/>
          <w:sz w:val="20"/>
        </w:rPr>
        <w:t>.</w:t>
      </w:r>
    </w:p>
  </w:footnote>
  <w:footnote w:id="9">
    <w:p w14:paraId="0E67900D" w14:textId="2A5EBED3" w:rsidR="00936851" w:rsidRPr="004661E9" w:rsidRDefault="00936851"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r>
        <w:rPr>
          <w:rStyle w:val="normaltextrun"/>
          <w:rFonts w:ascii="Times New Roman" w:hAnsi="Times New Roman"/>
          <w:color w:val="000000"/>
          <w:bdr w:val="none" w:sz="0" w:space="0" w:color="auto" w:frame="1"/>
        </w:rPr>
        <w:t xml:space="preserve">Comisia Europeană, </w:t>
      </w:r>
      <w:hyperlink r:id="rId9" w:anchor=":~:text=The%20Report%20assesses%20economic%2C%20social,of%20region%20to%20catch%20up." w:history="1">
        <w:r w:rsidRPr="00D54BBD">
          <w:rPr>
            <w:rStyle w:val="Hyperlink"/>
            <w:rFonts w:ascii="Times New Roman" w:hAnsi="Times New Roman"/>
            <w:bdr w:val="none" w:sz="0" w:space="0" w:color="auto" w:frame="1"/>
          </w:rPr>
          <w:t>Al optulea raport de coeziune economică, socială și teritorială</w:t>
        </w:r>
      </w:hyperlink>
      <w:r>
        <w:rPr>
          <w:rStyle w:val="normaltextrun"/>
          <w:rFonts w:ascii="Times New Roman" w:hAnsi="Times New Roman"/>
          <w:color w:val="000000"/>
          <w:bdr w:val="none" w:sz="0" w:space="0" w:color="auto" w:frame="1"/>
        </w:rPr>
        <w:t>.</w:t>
      </w:r>
    </w:p>
  </w:footnote>
  <w:footnote w:id="10">
    <w:p w14:paraId="360DFF44" w14:textId="57C06A6B" w:rsidR="00936851" w:rsidRPr="00111737" w:rsidRDefault="00936851"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COM(</w:t>
      </w:r>
      <w:r w:rsidRPr="00D54BBD">
        <w:rPr>
          <w:rFonts w:ascii="Times New Roman" w:hAnsi="Times New Roman"/>
        </w:rPr>
        <w:t>2023</w:t>
      </w:r>
      <w:r>
        <w:rPr>
          <w:rFonts w:ascii="Times New Roman" w:hAnsi="Times New Roman"/>
        </w:rPr>
        <w:t xml:space="preserve">) </w:t>
      </w:r>
      <w:r w:rsidRPr="00D54BBD">
        <w:rPr>
          <w:rFonts w:ascii="Times New Roman" w:hAnsi="Times New Roman"/>
        </w:rPr>
        <w:t>32</w:t>
      </w:r>
      <w:r>
        <w:rPr>
          <w:rFonts w:ascii="Times New Roman" w:hAnsi="Times New Roman"/>
        </w:rPr>
        <w:t xml:space="preserve"> final - </w:t>
      </w:r>
      <w:hyperlink r:id="rId10" w:history="1">
        <w:r w:rsidRPr="00D54BBD">
          <w:rPr>
            <w:rStyle w:val="Hyperlink"/>
            <w:rFonts w:ascii="Times New Roman" w:hAnsi="Times New Roman"/>
          </w:rPr>
          <w:t>Valorificarea talentelor în regiunile Europei</w:t>
        </w:r>
      </w:hyperlink>
      <w:r>
        <w:rPr>
          <w:rFonts w:ascii="Times New Roman" w:hAnsi="Times New Roman"/>
        </w:rPr>
        <w:t xml:space="preserve">. </w:t>
      </w:r>
    </w:p>
  </w:footnote>
  <w:footnote w:id="11">
    <w:p w14:paraId="09635767" w14:textId="65F437EE" w:rsidR="00902721" w:rsidRPr="004661E9" w:rsidRDefault="00055DA4" w:rsidP="00B13A5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11" w:history="1">
        <w:r w:rsidRPr="00D54BBD">
          <w:rPr>
            <w:rStyle w:val="Hyperlink"/>
            <w:rFonts w:ascii="Times New Roman" w:hAnsi="Times New Roman"/>
          </w:rPr>
          <w:t>Planul de acțiune pentru democrația europeană</w:t>
        </w:r>
      </w:hyperlink>
      <w:r>
        <w:rPr>
          <w:rFonts w:ascii="Times New Roman" w:hAnsi="Times New Roman"/>
        </w:rPr>
        <w:t>.</w:t>
      </w:r>
    </w:p>
  </w:footnote>
  <w:footnote w:id="12">
    <w:p w14:paraId="58621280" w14:textId="77777777" w:rsidR="0020235E" w:rsidRPr="004661E9" w:rsidRDefault="0020235E" w:rsidP="0020235E">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12" w:history="1">
        <w:r w:rsidRPr="00D54BBD">
          <w:rPr>
            <w:rStyle w:val="Hyperlink"/>
            <w:rFonts w:ascii="Times New Roman" w:hAnsi="Times New Roman"/>
          </w:rPr>
          <w:t>Pachetul anticorupție</w:t>
        </w:r>
      </w:hyperlink>
      <w:r>
        <w:rPr>
          <w:rFonts w:ascii="Times New Roman" w:hAnsi="Times New Roman"/>
        </w:rPr>
        <w:t>.</w:t>
      </w:r>
    </w:p>
  </w:footnote>
  <w:footnote w:id="13">
    <w:p w14:paraId="456A8A6C" w14:textId="3611EDB5" w:rsidR="004272CD" w:rsidRPr="004661E9" w:rsidRDefault="004272CD" w:rsidP="00B30CC3">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r>
        <w:rPr>
          <w:rStyle w:val="normaltextrun"/>
          <w:rFonts w:ascii="Times New Roman" w:hAnsi="Times New Roman"/>
          <w:color w:val="000000"/>
          <w:bdr w:val="none" w:sz="0" w:space="0" w:color="auto" w:frame="1"/>
        </w:rPr>
        <w:t>De exemplu, prin intermediul unor ghișee unice dedicate autorizării proiectelor din domeniul surselor regenerabile de energie și cu zero emisiilor nete. COM(</w:t>
      </w:r>
      <w:r w:rsidRPr="00D54BBD">
        <w:rPr>
          <w:rStyle w:val="normaltextrun"/>
          <w:rFonts w:ascii="Times New Roman" w:hAnsi="Times New Roman"/>
          <w:color w:val="000000"/>
          <w:bdr w:val="none" w:sz="0" w:space="0" w:color="auto" w:frame="1"/>
        </w:rPr>
        <w:t>2023</w:t>
      </w:r>
      <w:r>
        <w:rPr>
          <w:rStyle w:val="normaltextrun"/>
          <w:rFonts w:ascii="Times New Roman" w:hAnsi="Times New Roman"/>
          <w:color w:val="000000"/>
          <w:bdr w:val="none" w:sz="0" w:space="0" w:color="auto" w:frame="1"/>
        </w:rPr>
        <w:t xml:space="preserve">) </w:t>
      </w:r>
      <w:r w:rsidRPr="00D54BBD">
        <w:rPr>
          <w:rStyle w:val="normaltextrun"/>
          <w:rFonts w:ascii="Times New Roman" w:hAnsi="Times New Roman"/>
          <w:color w:val="000000"/>
          <w:bdr w:val="none" w:sz="0" w:space="0" w:color="auto" w:frame="1"/>
        </w:rPr>
        <w:t>62</w:t>
      </w:r>
      <w:r>
        <w:rPr>
          <w:rStyle w:val="normaltextrun"/>
          <w:rFonts w:ascii="Times New Roman" w:hAnsi="Times New Roman"/>
          <w:color w:val="000000"/>
          <w:bdr w:val="none" w:sz="0" w:space="0" w:color="auto" w:frame="1"/>
        </w:rPr>
        <w:t xml:space="preserve"> final - </w:t>
      </w:r>
      <w:hyperlink r:id="rId13" w:history="1">
        <w:r w:rsidRPr="00D54BBD">
          <w:rPr>
            <w:rStyle w:val="Hyperlink"/>
            <w:rFonts w:ascii="Times New Roman" w:hAnsi="Times New Roman"/>
            <w:bdr w:val="none" w:sz="0" w:space="0" w:color="auto" w:frame="1"/>
          </w:rPr>
          <w:t>Un Plan industrial al Pactului verde pentru era cu zero emisii nete</w:t>
        </w:r>
      </w:hyperlink>
      <w:r>
        <w:rPr>
          <w:rStyle w:val="normaltextrun"/>
          <w:rFonts w:ascii="Times New Roman" w:hAnsi="Times New Roman"/>
          <w:color w:val="000000"/>
          <w:bdr w:val="none" w:sz="0" w:space="0" w:color="auto" w:frame="1"/>
        </w:rPr>
        <w:t>.</w:t>
      </w:r>
    </w:p>
  </w:footnote>
  <w:footnote w:id="14">
    <w:p w14:paraId="09635773" w14:textId="16586927" w:rsidR="00902721" w:rsidRPr="004661E9" w:rsidRDefault="00055DA4" w:rsidP="00B30CC3">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Banca Mondială, </w:t>
      </w:r>
      <w:r w:rsidRPr="00D54BBD">
        <w:rPr>
          <w:rFonts w:ascii="Times New Roman" w:hAnsi="Times New Roman"/>
          <w:i/>
        </w:rPr>
        <w:t>Government Effectiveness Index</w:t>
      </w:r>
      <w:r>
        <w:rPr>
          <w:rFonts w:ascii="Times New Roman" w:hAnsi="Times New Roman"/>
        </w:rPr>
        <w:t xml:space="preserve"> (indicele de eficacitate a autorităților publice).</w:t>
      </w:r>
    </w:p>
  </w:footnote>
  <w:footnote w:id="15">
    <w:p w14:paraId="09635774" w14:textId="6AC41204" w:rsidR="00902721" w:rsidRPr="004661E9" w:rsidRDefault="00055DA4" w:rsidP="00B30CC3">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OCDE (</w:t>
      </w:r>
      <w:r w:rsidRPr="00D54BBD">
        <w:rPr>
          <w:rFonts w:ascii="Times New Roman" w:hAnsi="Times New Roman"/>
        </w:rPr>
        <w:t>2023</w:t>
      </w:r>
      <w:r>
        <w:rPr>
          <w:rFonts w:ascii="Times New Roman" w:hAnsi="Times New Roman"/>
        </w:rPr>
        <w:t xml:space="preserve">), </w:t>
      </w:r>
      <w:hyperlink r:id="rId14" w:history="1">
        <w:r w:rsidRPr="00D54BBD">
          <w:rPr>
            <w:rStyle w:val="Hyperlink"/>
            <w:rFonts w:ascii="Times New Roman" w:hAnsi="Times New Roman"/>
            <w:i/>
          </w:rPr>
          <w:t>More resilient public administrations after COVID-19</w:t>
        </w:r>
      </w:hyperlink>
      <w:r>
        <w:rPr>
          <w:rFonts w:ascii="Times New Roman" w:hAnsi="Times New Roman"/>
        </w:rPr>
        <w:t xml:space="preserve"> (Administrații publice mai reziliente după pandemia de COVID-</w:t>
      </w:r>
      <w:r w:rsidRPr="00D54BBD">
        <w:rPr>
          <w:rFonts w:ascii="Times New Roman" w:hAnsi="Times New Roman"/>
        </w:rPr>
        <w:t>19</w:t>
      </w:r>
      <w:r>
        <w:rPr>
          <w:rFonts w:ascii="Times New Roman" w:hAnsi="Times New Roman"/>
        </w:rPr>
        <w:t xml:space="preserve">). Raport al proiectului din cadrul instrumentului de sprijin tehnic intitulat </w:t>
      </w:r>
      <w:r w:rsidRPr="00D54BBD">
        <w:rPr>
          <w:rFonts w:ascii="Times New Roman" w:hAnsi="Times New Roman"/>
          <w:i/>
        </w:rPr>
        <w:t>Strengthening the resilience of public administrations after the COVID-19 crisis with CAF 2020</w:t>
      </w:r>
      <w:r>
        <w:rPr>
          <w:rFonts w:ascii="Times New Roman" w:hAnsi="Times New Roman"/>
        </w:rPr>
        <w:t xml:space="preserve"> (Consolidarea rezilienței administrațiilor publice după criza provocată de pandemia de COVID-</w:t>
      </w:r>
      <w:r w:rsidRPr="00D54BBD">
        <w:rPr>
          <w:rFonts w:ascii="Times New Roman" w:hAnsi="Times New Roman"/>
        </w:rPr>
        <w:t>19</w:t>
      </w:r>
      <w:r>
        <w:rPr>
          <w:rFonts w:ascii="Times New Roman" w:hAnsi="Times New Roman"/>
        </w:rPr>
        <w:t xml:space="preserve"> prin intermediul CAF </w:t>
      </w:r>
      <w:r w:rsidRPr="00D54BBD">
        <w:rPr>
          <w:rFonts w:ascii="Times New Roman" w:hAnsi="Times New Roman"/>
        </w:rPr>
        <w:t>2020</w:t>
      </w:r>
      <w:r>
        <w:rPr>
          <w:rFonts w:ascii="Times New Roman" w:hAnsi="Times New Roman"/>
        </w:rPr>
        <w:t>).</w:t>
      </w:r>
    </w:p>
  </w:footnote>
  <w:footnote w:id="16">
    <w:p w14:paraId="03B736E6" w14:textId="77777777" w:rsidR="00FD54B2" w:rsidRPr="004661E9" w:rsidRDefault="00FD54B2" w:rsidP="00FD54B2">
      <w:pPr>
        <w:pStyle w:val="FootnoteText"/>
        <w:jc w:val="both"/>
        <w:rPr>
          <w:rFonts w:ascii="Times New Roman" w:hAnsi="Times New Roman" w:cs="Times New Roman"/>
          <w:vertAlign w:val="superscript"/>
        </w:rPr>
      </w:pPr>
      <w:r>
        <w:rPr>
          <w:rStyle w:val="FootnoteReference"/>
          <w:rFonts w:ascii="Times New Roman" w:hAnsi="Times New Roman" w:cs="Times New Roman"/>
          <w:lang w:val="en-GB"/>
        </w:rPr>
        <w:footnoteRef/>
      </w:r>
      <w:r>
        <w:rPr>
          <w:rFonts w:ascii="Times New Roman" w:hAnsi="Times New Roman"/>
        </w:rPr>
        <w:t xml:space="preserve"> Tabloul de bord al pieței unice al UE, indicele economiei și societății digitale al UE, </w:t>
      </w:r>
      <w:r w:rsidRPr="00D54BBD">
        <w:rPr>
          <w:rFonts w:ascii="Times New Roman" w:hAnsi="Times New Roman"/>
          <w:i/>
        </w:rPr>
        <w:t>OECD Regulatory Policy Outlook</w:t>
      </w:r>
      <w:r>
        <w:rPr>
          <w:rFonts w:ascii="Times New Roman" w:hAnsi="Times New Roman"/>
        </w:rPr>
        <w:t xml:space="preserve"> (Perspectivele OCDE asupra politicii de reglementare).</w:t>
      </w:r>
    </w:p>
  </w:footnote>
  <w:footnote w:id="17">
    <w:p w14:paraId="5943E2BC" w14:textId="77777777" w:rsidR="00863CDF" w:rsidRPr="004661E9" w:rsidRDefault="00863CDF" w:rsidP="00863C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w:t>
      </w:r>
      <w:r w:rsidRPr="00D54BBD">
        <w:rPr>
          <w:rFonts w:ascii="Times New Roman" w:hAnsi="Times New Roman"/>
          <w:i/>
        </w:rPr>
        <w:t>Report on the cost of underperformance in public administration</w:t>
      </w:r>
      <w:r>
        <w:rPr>
          <w:rFonts w:ascii="Times New Roman" w:hAnsi="Times New Roman"/>
        </w:rPr>
        <w:t xml:space="preserve"> (Raport privind costul unei administrații publice neperformante). Urmează a fi publicat.</w:t>
      </w:r>
    </w:p>
  </w:footnote>
  <w:footnote w:id="18">
    <w:p w14:paraId="09635779" w14:textId="44CF67C3" w:rsidR="00902721" w:rsidRPr="004661E9" w:rsidRDefault="00055DA4" w:rsidP="00B30CC3">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Eurobarometrul special </w:t>
      </w:r>
      <w:r w:rsidRPr="00D54BBD">
        <w:rPr>
          <w:rFonts w:ascii="Times New Roman" w:hAnsi="Times New Roman"/>
        </w:rPr>
        <w:t>523</w:t>
      </w:r>
      <w:r>
        <w:rPr>
          <w:rFonts w:ascii="Times New Roman" w:hAnsi="Times New Roman"/>
        </w:rPr>
        <w:t xml:space="preserve">, </w:t>
      </w:r>
      <w:hyperlink r:id="rId15" w:history="1">
        <w:r w:rsidRPr="00D54BBD">
          <w:rPr>
            <w:rStyle w:val="Hyperlink"/>
            <w:rFonts w:ascii="Times New Roman" w:hAnsi="Times New Roman"/>
          </w:rPr>
          <w:t>„Înțelegerea opiniilor europenilor cu privire la necesitatea reformelor”</w:t>
        </w:r>
      </w:hyperlink>
      <w:r>
        <w:rPr>
          <w:rFonts w:ascii="Times New Roman" w:hAnsi="Times New Roman"/>
        </w:rPr>
        <w:t xml:space="preserve"> (aprilie </w:t>
      </w:r>
      <w:r w:rsidRPr="00D54BBD">
        <w:rPr>
          <w:rFonts w:ascii="Times New Roman" w:hAnsi="Times New Roman"/>
        </w:rPr>
        <w:t>2023</w:t>
      </w:r>
      <w:r>
        <w:rPr>
          <w:rFonts w:ascii="Times New Roman" w:hAnsi="Times New Roman"/>
        </w:rPr>
        <w:t>).</w:t>
      </w:r>
    </w:p>
  </w:footnote>
  <w:footnote w:id="19">
    <w:p w14:paraId="0CEB9EB8" w14:textId="77777777" w:rsidR="00334BBF" w:rsidRPr="00CA3355" w:rsidRDefault="00334BBF" w:rsidP="00334BB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sidRPr="00D54BBD">
          <w:rPr>
            <w:rStyle w:val="Hyperlink"/>
            <w:rFonts w:ascii="Times New Roman" w:hAnsi="Times New Roman"/>
          </w:rPr>
          <w:t>Observatorul inovării în sectorul public (OPSI)</w:t>
        </w:r>
      </w:hyperlink>
      <w:r>
        <w:rPr>
          <w:rFonts w:ascii="Times New Roman" w:hAnsi="Times New Roman"/>
        </w:rPr>
        <w:t xml:space="preserve"> al OCDE, sponsorizat prin programul Orizont Europa, oferă îndrumare și consiliere personalizată cu privire la modalitățile prin care administrațiile publice pot sprijini inovarea, inclusiv abordări anticipative legate de inovare.</w:t>
      </w:r>
    </w:p>
  </w:footnote>
  <w:footnote w:id="20">
    <w:p w14:paraId="0963577D" w14:textId="26612F8F" w:rsidR="00902721" w:rsidRPr="004661E9" w:rsidRDefault="00055DA4"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Comisia Europeană, SWD(</w:t>
      </w:r>
      <w:r w:rsidRPr="00D54BBD">
        <w:rPr>
          <w:rFonts w:ascii="Times New Roman" w:hAnsi="Times New Roman"/>
        </w:rPr>
        <w:t>2022</w:t>
      </w:r>
      <w:r>
        <w:rPr>
          <w:rFonts w:ascii="Times New Roman" w:hAnsi="Times New Roman"/>
        </w:rPr>
        <w:t xml:space="preserve">) </w:t>
      </w:r>
      <w:r w:rsidRPr="00D54BBD">
        <w:rPr>
          <w:rFonts w:ascii="Times New Roman" w:hAnsi="Times New Roman"/>
        </w:rPr>
        <w:t>346</w:t>
      </w:r>
      <w:r>
        <w:rPr>
          <w:rFonts w:ascii="Times New Roman" w:hAnsi="Times New Roman"/>
        </w:rPr>
        <w:t xml:space="preserve"> final, </w:t>
      </w:r>
      <w:hyperlink r:id="rId17" w:history="1">
        <w:r w:rsidRPr="00D54BBD">
          <w:rPr>
            <w:rStyle w:val="Hyperlink"/>
            <w:rFonts w:ascii="Times New Roman" w:hAnsi="Times New Roman"/>
            <w:i/>
          </w:rPr>
          <w:t>Supporting and connecting policymaking in the Member States with scientific research</w:t>
        </w:r>
      </w:hyperlink>
      <w:r>
        <w:t xml:space="preserve"> (Sprijinirea și conectarea procesului de elaborare a politicilor din statele membre cu cercetările științifice)</w:t>
      </w:r>
      <w:r>
        <w:rPr>
          <w:rFonts w:ascii="Times New Roman" w:hAnsi="Times New Roman"/>
        </w:rPr>
        <w:t>.</w:t>
      </w:r>
    </w:p>
  </w:footnote>
  <w:footnote w:id="21">
    <w:p w14:paraId="0963577E" w14:textId="7ABD2F5C" w:rsidR="00902721" w:rsidRPr="004661E9" w:rsidRDefault="00055DA4"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OCDE (</w:t>
      </w:r>
      <w:r w:rsidRPr="00D54BBD">
        <w:rPr>
          <w:rFonts w:ascii="Times New Roman" w:hAnsi="Times New Roman"/>
        </w:rPr>
        <w:t>2023</w:t>
      </w:r>
      <w:r>
        <w:rPr>
          <w:rFonts w:ascii="Times New Roman" w:hAnsi="Times New Roman"/>
        </w:rPr>
        <w:t xml:space="preserve">), </w:t>
      </w:r>
      <w:hyperlink r:id="rId18" w:history="1">
        <w:r w:rsidRPr="00D54BBD">
          <w:rPr>
            <w:rStyle w:val="Hyperlink"/>
            <w:rFonts w:ascii="Times New Roman" w:hAnsi="Times New Roman"/>
            <w:i/>
          </w:rPr>
          <w:t>Strengthening the attractiveness of the public service in France:</w:t>
        </w:r>
      </w:hyperlink>
      <w:hyperlink r:id="rId19" w:history="1">
        <w:r w:rsidRPr="00D54BBD">
          <w:rPr>
            <w:rStyle w:val="Hyperlink"/>
            <w:rFonts w:ascii="Times New Roman" w:hAnsi="Times New Roman"/>
          </w:rPr>
          <w:t xml:space="preserve"> </w:t>
        </w:r>
        <w:r w:rsidRPr="00D54BBD">
          <w:rPr>
            <w:rStyle w:val="Hyperlink"/>
            <w:rFonts w:ascii="Times New Roman" w:hAnsi="Times New Roman"/>
            <w:i/>
          </w:rPr>
          <w:t>Towards a territorial approach</w:t>
        </w:r>
      </w:hyperlink>
      <w:r>
        <w:rPr>
          <w:rFonts w:ascii="Times New Roman" w:hAnsi="Times New Roman"/>
        </w:rPr>
        <w:t xml:space="preserve"> (Consolidarea atractivității serviciilor publice în Franța: către o abordare teritorială).</w:t>
      </w:r>
    </w:p>
  </w:footnote>
  <w:footnote w:id="22">
    <w:p w14:paraId="0963577F" w14:textId="185797A4" w:rsidR="00902721" w:rsidRPr="004661E9" w:rsidRDefault="00055DA4"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A se vedea nota de subsol </w:t>
      </w:r>
      <w:r w:rsidRPr="00D54BBD">
        <w:rPr>
          <w:rFonts w:ascii="Times New Roman" w:hAnsi="Times New Roman"/>
        </w:rPr>
        <w:t>17</w:t>
      </w:r>
      <w:r>
        <w:rPr>
          <w:rFonts w:ascii="Times New Roman" w:hAnsi="Times New Roman"/>
        </w:rPr>
        <w:t xml:space="preserve"> (Eurobarometru).</w:t>
      </w:r>
    </w:p>
  </w:footnote>
  <w:footnote w:id="23">
    <w:p w14:paraId="09635780" w14:textId="1C53AD89" w:rsidR="00902721" w:rsidRPr="004661E9" w:rsidRDefault="00055DA4"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Temă principală a Spațiului european al educației. </w:t>
      </w:r>
      <w:hyperlink r:id="rId20" w:history="1">
        <w:r w:rsidRPr="00D54BBD">
          <w:rPr>
            <w:rStyle w:val="Hyperlink"/>
            <w:rFonts w:ascii="Times New Roman" w:hAnsi="Times New Roman"/>
          </w:rPr>
          <w:t>Rezoluția Consiliului 2021/C 66/01 privind un cadru strategic pentru cooperarea europeană în domeniul educației și formării în perspectiva realizării și dezvoltării în continuare a spațiului european al educației (2021-2030)</w:t>
        </w:r>
      </w:hyperlink>
      <w:r>
        <w:rPr>
          <w:rFonts w:ascii="Times New Roman" w:hAnsi="Times New Roman"/>
        </w:rPr>
        <w:t>.</w:t>
      </w:r>
    </w:p>
  </w:footnote>
  <w:footnote w:id="24">
    <w:p w14:paraId="09635781" w14:textId="3FBE430C" w:rsidR="00902721" w:rsidRPr="004661E9" w:rsidRDefault="00055DA4"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Parlamentul European (</w:t>
      </w:r>
      <w:r w:rsidRPr="00D54BBD">
        <w:rPr>
          <w:rFonts w:ascii="Times New Roman" w:hAnsi="Times New Roman"/>
        </w:rPr>
        <w:t>2016</w:t>
      </w:r>
      <w:r>
        <w:rPr>
          <w:rFonts w:ascii="Times New Roman" w:hAnsi="Times New Roman"/>
        </w:rPr>
        <w:t xml:space="preserve">), </w:t>
      </w:r>
      <w:hyperlink r:id="rId21" w:history="1">
        <w:r w:rsidRPr="00D54BBD">
          <w:rPr>
            <w:rStyle w:val="Hyperlink"/>
            <w:rFonts w:ascii="Times New Roman" w:hAnsi="Times New Roman"/>
            <w:i/>
          </w:rPr>
          <w:t>Public Sector Reform:</w:t>
        </w:r>
      </w:hyperlink>
      <w:hyperlink r:id="rId22" w:history="1">
        <w:r w:rsidRPr="00D54BBD">
          <w:rPr>
            <w:rStyle w:val="Hyperlink"/>
            <w:rFonts w:ascii="Times New Roman" w:hAnsi="Times New Roman"/>
          </w:rPr>
          <w:t xml:space="preserve"> </w:t>
        </w:r>
        <w:r w:rsidRPr="00D54BBD">
          <w:rPr>
            <w:rStyle w:val="Hyperlink"/>
            <w:rFonts w:ascii="Times New Roman" w:hAnsi="Times New Roman"/>
            <w:i/>
          </w:rPr>
          <w:t>How the EU budget is used to encourage it</w:t>
        </w:r>
        <w:r w:rsidRPr="00D54BBD">
          <w:rPr>
            <w:rStyle w:val="Hyperlink"/>
            <w:rFonts w:ascii="Times New Roman" w:hAnsi="Times New Roman"/>
          </w:rPr>
          <w:t xml:space="preserve"> (Reforma sectorului public: cum este utilizat bugetul UE pentru a încuraja această reformă)</w:t>
        </w:r>
      </w:hyperlink>
      <w:r>
        <w:rPr>
          <w:rFonts w:ascii="Times New Roman" w:hAnsi="Times New Roman"/>
        </w:rPr>
        <w:t xml:space="preserve">. </w:t>
      </w:r>
    </w:p>
  </w:footnote>
  <w:footnote w:id="25">
    <w:p w14:paraId="47D334BE" w14:textId="2C244B03" w:rsidR="002C6E62" w:rsidRPr="004661E9" w:rsidRDefault="002C6E62"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23" w:history="1">
        <w:r w:rsidRPr="00D54BBD">
          <w:rPr>
            <w:rStyle w:val="Hyperlink"/>
            <w:rFonts w:ascii="Times New Roman" w:hAnsi="Times New Roman"/>
          </w:rPr>
          <w:t>Tabloul de bord privind redresarea și reziliența</w:t>
        </w:r>
      </w:hyperlink>
      <w:r w:rsidRPr="00D54BBD">
        <w:rPr>
          <w:rStyle w:val="Hyperlink"/>
          <w:rFonts w:ascii="Times New Roman" w:hAnsi="Times New Roman"/>
        </w:rPr>
        <w:t>.</w:t>
      </w:r>
    </w:p>
  </w:footnote>
  <w:footnote w:id="26">
    <w:p w14:paraId="1F4269AE" w14:textId="47374CD1" w:rsidR="0067307A" w:rsidRPr="004661E9" w:rsidRDefault="0067307A"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24" w:history="1">
        <w:r w:rsidRPr="00D54BBD">
          <w:rPr>
            <w:rStyle w:val="Hyperlink"/>
            <w:rFonts w:ascii="Times New Roman" w:hAnsi="Times New Roman"/>
          </w:rPr>
          <w:t>Regulamentul (UE) 2021/240 al Parlamentului European și al Consiliului din 10 februarie 2021 de instituire a unui Instrument de sprijin tehnic</w:t>
        </w:r>
      </w:hyperlink>
      <w:r>
        <w:rPr>
          <w:rFonts w:ascii="Times New Roman" w:hAnsi="Times New Roman"/>
        </w:rPr>
        <w:t>.</w:t>
      </w:r>
    </w:p>
  </w:footnote>
  <w:footnote w:id="27">
    <w:p w14:paraId="09635783" w14:textId="3D1C2545" w:rsidR="00902721" w:rsidRPr="004661E9" w:rsidRDefault="00055DA4" w:rsidP="004661E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Comisia Europeană SWD(</w:t>
      </w:r>
      <w:r w:rsidRPr="00D54BBD">
        <w:rPr>
          <w:rFonts w:ascii="Times New Roman" w:hAnsi="Times New Roman"/>
        </w:rPr>
        <w:t>2021</w:t>
      </w:r>
      <w:r>
        <w:rPr>
          <w:rFonts w:ascii="Times New Roman" w:hAnsi="Times New Roman"/>
        </w:rPr>
        <w:t>) </w:t>
      </w:r>
      <w:r w:rsidRPr="00D54BBD">
        <w:rPr>
          <w:rFonts w:ascii="Times New Roman" w:hAnsi="Times New Roman"/>
        </w:rPr>
        <w:t>101</w:t>
      </w:r>
      <w:r>
        <w:rPr>
          <w:rFonts w:ascii="Times New Roman" w:hAnsi="Times New Roman"/>
        </w:rPr>
        <w:t xml:space="preserve">, </w:t>
      </w:r>
      <w:hyperlink r:id="rId25" w:history="1">
        <w:r w:rsidRPr="00D54BBD">
          <w:rPr>
            <w:rStyle w:val="Hyperlink"/>
            <w:rFonts w:ascii="Times New Roman" w:hAnsi="Times New Roman"/>
            <w:i/>
          </w:rPr>
          <w:t>Supporting public administrations in EU Member States to deliver reforms and prepare for the future</w:t>
        </w:r>
        <w:r w:rsidRPr="00D54BBD">
          <w:rPr>
            <w:rStyle w:val="Hyperlink"/>
            <w:rFonts w:ascii="Times New Roman" w:hAnsi="Times New Roman"/>
          </w:rPr>
          <w:t xml:space="preserve"> (Sprijinirea administrațiilor publice din statele membre ale UE în vederea realizării reformelor și a pregătirii pentru viitor)</w:t>
        </w:r>
      </w:hyperlink>
      <w:r>
        <w:rPr>
          <w:rFonts w:ascii="Times New Roman" w:hAnsi="Times New Roman"/>
        </w:rPr>
        <w:t>.</w:t>
      </w:r>
    </w:p>
  </w:footnote>
  <w:footnote w:id="28">
    <w:p w14:paraId="7521CB5D" w14:textId="77777777" w:rsidR="001D27E5" w:rsidRPr="001D6189" w:rsidRDefault="001D27E5" w:rsidP="001D27E5">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26" w:history="1">
        <w:r w:rsidRPr="00D54BBD">
          <w:rPr>
            <w:rStyle w:val="Hyperlink"/>
            <w:rFonts w:ascii="Times New Roman" w:hAnsi="Times New Roman"/>
          </w:rPr>
          <w:t>TAIEX</w:t>
        </w:r>
      </w:hyperlink>
      <w:r w:rsidRPr="00D54BBD">
        <w:rPr>
          <w:rStyle w:val="Hyperlink"/>
          <w:rFonts w:ascii="Times New Roman" w:hAnsi="Times New Roman"/>
        </w:rPr>
        <w:t>.</w:t>
      </w:r>
    </w:p>
  </w:footnote>
  <w:footnote w:id="29">
    <w:p w14:paraId="4FEA5F19" w14:textId="55673B97" w:rsidR="00D72CEC" w:rsidRPr="00545D91" w:rsidRDefault="00D72CEC" w:rsidP="00545D9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C(</w:t>
      </w:r>
      <w:r w:rsidRPr="00D54BBD">
        <w:rPr>
          <w:rFonts w:ascii="Times New Roman" w:hAnsi="Times New Roman"/>
        </w:rPr>
        <w:t>2021</w:t>
      </w:r>
      <w:r>
        <w:rPr>
          <w:rFonts w:ascii="Times New Roman" w:hAnsi="Times New Roman"/>
        </w:rPr>
        <w:t xml:space="preserve">) </w:t>
      </w:r>
      <w:r w:rsidRPr="00D54BBD">
        <w:rPr>
          <w:rFonts w:ascii="Times New Roman" w:hAnsi="Times New Roman"/>
        </w:rPr>
        <w:t>9535</w:t>
      </w:r>
      <w:r>
        <w:rPr>
          <w:rFonts w:ascii="Times New Roman" w:hAnsi="Times New Roman"/>
        </w:rPr>
        <w:t xml:space="preserve"> final, </w:t>
      </w:r>
      <w:hyperlink r:id="rId27" w:history="1">
        <w:r w:rsidRPr="00D54BBD">
          <w:rPr>
            <w:rStyle w:val="Hyperlink"/>
            <w:rFonts w:ascii="Times New Roman" w:hAnsi="Times New Roman"/>
            <w:i/>
            <w:iCs/>
          </w:rPr>
          <w:t>Setting up the group of experts on public administration and governance</w:t>
        </w:r>
        <w:r w:rsidRPr="00D54BBD">
          <w:rPr>
            <w:rStyle w:val="Hyperlink"/>
            <w:rFonts w:ascii="Times New Roman" w:hAnsi="Times New Roman"/>
          </w:rPr>
          <w:t xml:space="preserve"> (Înființarea grupului de experți în domeniul administrației publice și al guvernanței)</w:t>
        </w:r>
      </w:hyperlink>
      <w:r>
        <w:rPr>
          <w:rFonts w:ascii="Times New Roman" w:hAnsi="Times New Roman"/>
        </w:rPr>
        <w:t>.</w:t>
      </w:r>
    </w:p>
  </w:footnote>
  <w:footnote w:id="30">
    <w:p w14:paraId="6C754735" w14:textId="77777777" w:rsidR="009F1FF6" w:rsidRPr="00545D91" w:rsidRDefault="009F1FF6" w:rsidP="009F1FF6">
      <w:pPr>
        <w:pStyle w:val="FootnoteText"/>
      </w:pPr>
      <w:r>
        <w:rPr>
          <w:rStyle w:val="FootnoteReference"/>
        </w:rPr>
        <w:footnoteRef/>
      </w:r>
      <w:r>
        <w:t xml:space="preserve"> </w:t>
      </w:r>
      <w:hyperlink r:id="rId28" w:history="1">
        <w:r w:rsidRPr="00D54BBD">
          <w:rPr>
            <w:rFonts w:ascii="Times New Roman" w:hAnsi="Times New Roman"/>
            <w:color w:val="0563C1"/>
            <w:u w:val="single"/>
          </w:rPr>
          <w:t>EUPAN – Rețeaua administrațiilor publice europene</w:t>
        </w:r>
      </w:hyperlink>
      <w:r w:rsidRPr="00D54BBD">
        <w:rPr>
          <w:rFonts w:ascii="Times New Roman" w:hAnsi="Times New Roman"/>
          <w:color w:val="0563C1"/>
          <w:u w:val="single"/>
        </w:rPr>
        <w:t>.</w:t>
      </w:r>
    </w:p>
  </w:footnote>
  <w:footnote w:id="31">
    <w:p w14:paraId="5BEBDF3D" w14:textId="7FC692FB" w:rsidR="008A304F" w:rsidRPr="004661E9" w:rsidRDefault="008A304F" w:rsidP="004661E9">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hyperlink r:id="rId29" w:history="1">
        <w:r w:rsidRPr="00D54BBD">
          <w:rPr>
            <w:rStyle w:val="Hyperlink"/>
            <w:rFonts w:ascii="Times New Roman" w:hAnsi="Times New Roman"/>
          </w:rPr>
          <w:t>Reuniunea informală a miniștrilor responsabili de administrația publică din UE (2021)</w:t>
        </w:r>
      </w:hyperlink>
      <w:r>
        <w:rPr>
          <w:rFonts w:ascii="Times New Roman" w:hAnsi="Times New Roman"/>
        </w:rPr>
        <w:t>.</w:t>
      </w:r>
    </w:p>
  </w:footnote>
  <w:footnote w:id="32">
    <w:p w14:paraId="02E01229" w14:textId="120C6CEF" w:rsidR="008A304F" w:rsidRPr="004661E9" w:rsidRDefault="008A304F" w:rsidP="004661E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0" w:history="1">
        <w:r w:rsidRPr="00D54BBD">
          <w:rPr>
            <w:rStyle w:val="Hyperlink"/>
            <w:rFonts w:ascii="Times New Roman" w:hAnsi="Times New Roman"/>
            <w:i/>
          </w:rPr>
          <w:t>Strasbourg Declaration on the Common values and challenges of European Public Administrations</w:t>
        </w:r>
        <w:r w:rsidRPr="00D54BBD">
          <w:rPr>
            <w:rStyle w:val="Hyperlink"/>
            <w:rFonts w:ascii="Times New Roman" w:hAnsi="Times New Roman"/>
          </w:rPr>
          <w:t xml:space="preserve"> (Declarația de la Strasbourg privind valorile și provocările comune ale administrațiilor publice europene) (2022)</w:t>
        </w:r>
      </w:hyperlink>
      <w:r>
        <w:rPr>
          <w:rFonts w:ascii="Times New Roman" w:hAnsi="Times New Roman"/>
        </w:rPr>
        <w:t>.</w:t>
      </w:r>
    </w:p>
  </w:footnote>
  <w:footnote w:id="33">
    <w:p w14:paraId="51E4337D" w14:textId="77777777" w:rsidR="006F305A" w:rsidRPr="00B459D5" w:rsidRDefault="006F305A" w:rsidP="00B459D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Studiu realizat de Agenția pentru Administrație Publică din Suedia în cadrul EUPAN (</w:t>
      </w:r>
      <w:r w:rsidRPr="00D54BBD">
        <w:rPr>
          <w:rFonts w:ascii="Times New Roman" w:hAnsi="Times New Roman"/>
        </w:rPr>
        <w:t>2023</w:t>
      </w:r>
      <w:r>
        <w:rPr>
          <w:rFonts w:ascii="Times New Roman" w:hAnsi="Times New Roman"/>
        </w:rPr>
        <w:t xml:space="preserve">), </w:t>
      </w:r>
      <w:hyperlink r:id="rId31" w:history="1">
        <w:r w:rsidRPr="00D54BBD">
          <w:rPr>
            <w:rStyle w:val="Hyperlink"/>
            <w:rFonts w:ascii="Times New Roman" w:hAnsi="Times New Roman"/>
            <w:i/>
            <w:iCs/>
          </w:rPr>
          <w:t>Good administration in European countries</w:t>
        </w:r>
      </w:hyperlink>
      <w:r>
        <w:rPr>
          <w:rFonts w:ascii="Times New Roman" w:hAnsi="Times New Roman"/>
        </w:rPr>
        <w:t xml:space="preserve"> (Buna administrare în țările europene).</w:t>
      </w:r>
    </w:p>
  </w:footnote>
  <w:footnote w:id="34">
    <w:p w14:paraId="6B240246" w14:textId="77777777" w:rsidR="006F305A" w:rsidRPr="00B459D5" w:rsidRDefault="006F305A" w:rsidP="00B459D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Termen utilizat pentru a se descrie convergența din ce în ce mai mare a practicilor administrative între statele membre, pe baza unor valori și principii comune, către standarde și abordări comune legate de funcționare.</w:t>
      </w:r>
    </w:p>
  </w:footnote>
  <w:footnote w:id="35">
    <w:p w14:paraId="09635788" w14:textId="1D928E6F" w:rsidR="00902721" w:rsidRPr="00EF05F2" w:rsidRDefault="00055DA4" w:rsidP="00B459D5">
      <w:pPr>
        <w:pStyle w:val="FootnoteText"/>
        <w:jc w:val="both"/>
      </w:pPr>
      <w:r>
        <w:rPr>
          <w:rStyle w:val="FootnoteReference"/>
          <w:rFonts w:ascii="Times New Roman" w:hAnsi="Times New Roman" w:cs="Times New Roman"/>
          <w:lang w:val="en-GB"/>
        </w:rPr>
        <w:footnoteRef/>
      </w:r>
      <w:r>
        <w:rPr>
          <w:rFonts w:ascii="Times New Roman" w:hAnsi="Times New Roman"/>
        </w:rPr>
        <w:t xml:space="preserve"> Pe baza principiilor administrației publice, </w:t>
      </w:r>
      <w:hyperlink r:id="rId32" w:history="1">
        <w:r w:rsidRPr="00D54BBD">
          <w:rPr>
            <w:rStyle w:val="Hyperlink"/>
            <w:rFonts w:ascii="Times New Roman" w:hAnsi="Times New Roman"/>
          </w:rPr>
          <w:t>SIGMA</w:t>
        </w:r>
      </w:hyperlink>
      <w:r>
        <w:rPr>
          <w:rFonts w:ascii="Times New Roman" w:hAnsi="Times New Roman"/>
        </w:rPr>
        <w:t xml:space="preserve"> (colaborare UE-OCDE). Viitoare versiune revizuită în </w:t>
      </w:r>
      <w:r w:rsidRPr="00D54BBD">
        <w:rPr>
          <w:rFonts w:ascii="Times New Roman" w:hAnsi="Times New Roman"/>
        </w:rPr>
        <w:t>2023</w:t>
      </w:r>
      <w:r>
        <w:rPr>
          <w:rFonts w:ascii="Times New Roman" w:hAnsi="Times New Roman"/>
        </w:rPr>
        <w:t>.</w:t>
      </w:r>
    </w:p>
  </w:footnote>
  <w:footnote w:id="36">
    <w:p w14:paraId="0F505111" w14:textId="6543010A" w:rsidR="00AD3C82" w:rsidRPr="00AD3C82" w:rsidRDefault="00AD3C82" w:rsidP="00AD3C8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C(</w:t>
      </w:r>
      <w:r w:rsidRPr="00D54BBD">
        <w:rPr>
          <w:rFonts w:ascii="Times New Roman" w:hAnsi="Times New Roman"/>
        </w:rPr>
        <w:t>2022</w:t>
      </w:r>
      <w:r>
        <w:rPr>
          <w:rFonts w:ascii="Times New Roman" w:hAnsi="Times New Roman"/>
        </w:rPr>
        <w:t xml:space="preserve">) </w:t>
      </w:r>
      <w:r w:rsidRPr="00D54BBD">
        <w:rPr>
          <w:rFonts w:ascii="Times New Roman" w:hAnsi="Times New Roman"/>
        </w:rPr>
        <w:t>2229</w:t>
      </w:r>
      <w:r>
        <w:rPr>
          <w:rFonts w:ascii="Times New Roman" w:hAnsi="Times New Roman"/>
        </w:rPr>
        <w:t xml:space="preserve"> final, </w:t>
      </w:r>
      <w:hyperlink r:id="rId33" w:history="1">
        <w:r w:rsidRPr="00D54BBD">
          <w:rPr>
            <w:rStyle w:val="Hyperlink"/>
            <w:rFonts w:ascii="Times New Roman" w:hAnsi="Times New Roman"/>
            <w:i/>
            <w:iCs/>
          </w:rPr>
          <w:t>A new Human Resources Strategy for the Commission</w:t>
        </w:r>
        <w:r w:rsidRPr="00D54BBD">
          <w:rPr>
            <w:rStyle w:val="Hyperlink"/>
            <w:rFonts w:ascii="Times New Roman" w:hAnsi="Times New Roman"/>
          </w:rPr>
          <w:t xml:space="preserve"> (O nouă strategie privind resursele umane pentru Comisie)</w:t>
        </w:r>
      </w:hyperlink>
      <w:r>
        <w:rPr>
          <w:rFonts w:ascii="Times New Roman" w:hAnsi="Times New Roman"/>
        </w:rPr>
        <w:t>; C(</w:t>
      </w:r>
      <w:r w:rsidRPr="00D54BBD">
        <w:rPr>
          <w:rFonts w:ascii="Times New Roman" w:hAnsi="Times New Roman"/>
        </w:rPr>
        <w:t>2022</w:t>
      </w:r>
      <w:r>
        <w:rPr>
          <w:rFonts w:ascii="Times New Roman" w:hAnsi="Times New Roman"/>
        </w:rPr>
        <w:t xml:space="preserve">) </w:t>
      </w:r>
      <w:r w:rsidRPr="00D54BBD">
        <w:rPr>
          <w:rFonts w:ascii="Times New Roman" w:hAnsi="Times New Roman"/>
        </w:rPr>
        <w:t>4388</w:t>
      </w:r>
      <w:r>
        <w:rPr>
          <w:rFonts w:ascii="Times New Roman" w:hAnsi="Times New Roman"/>
        </w:rPr>
        <w:t xml:space="preserve"> final, </w:t>
      </w:r>
      <w:hyperlink r:id="rId34" w:history="1">
        <w:r w:rsidRPr="00D54BBD">
          <w:rPr>
            <w:rStyle w:val="Hyperlink"/>
            <w:rFonts w:ascii="Times New Roman" w:hAnsi="Times New Roman"/>
            <w:i/>
            <w:iCs/>
          </w:rPr>
          <w:t>European Commission digital strategy</w:t>
        </w:r>
        <w:r w:rsidRPr="00D54BBD">
          <w:rPr>
            <w:rStyle w:val="Hyperlink"/>
            <w:rFonts w:ascii="Times New Roman" w:hAnsi="Times New Roman"/>
          </w:rPr>
          <w:t xml:space="preserve"> (Strategia digitală a Comisiei Europene)</w:t>
        </w:r>
      </w:hyperlink>
      <w:r>
        <w:rPr>
          <w:rFonts w:ascii="Times New Roman" w:hAnsi="Times New Roman"/>
        </w:rPr>
        <w:t>; C(</w:t>
      </w:r>
      <w:r w:rsidRPr="00D54BBD">
        <w:rPr>
          <w:rFonts w:ascii="Times New Roman" w:hAnsi="Times New Roman"/>
        </w:rPr>
        <w:t>2022</w:t>
      </w:r>
      <w:r>
        <w:rPr>
          <w:rFonts w:ascii="Times New Roman" w:hAnsi="Times New Roman"/>
        </w:rPr>
        <w:t xml:space="preserve">) </w:t>
      </w:r>
      <w:r w:rsidRPr="00D54BBD">
        <w:rPr>
          <w:rFonts w:ascii="Times New Roman" w:hAnsi="Times New Roman"/>
        </w:rPr>
        <w:t>2230</w:t>
      </w:r>
      <w:r>
        <w:rPr>
          <w:rFonts w:ascii="Times New Roman" w:hAnsi="Times New Roman"/>
        </w:rPr>
        <w:t xml:space="preserve"> final, </w:t>
      </w:r>
      <w:hyperlink r:id="rId35" w:history="1">
        <w:r w:rsidRPr="00D54BBD">
          <w:rPr>
            <w:rStyle w:val="Hyperlink"/>
            <w:rFonts w:ascii="Times New Roman" w:hAnsi="Times New Roman"/>
            <w:i/>
            <w:iCs/>
          </w:rPr>
          <w:t>Greening the Commission</w:t>
        </w:r>
        <w:r w:rsidRPr="00D54BBD">
          <w:rPr>
            <w:rStyle w:val="Hyperlink"/>
            <w:rFonts w:ascii="Times New Roman" w:hAnsi="Times New Roman"/>
          </w:rPr>
          <w:t xml:space="preserve"> (Ecologizarea Comisiei)</w:t>
        </w:r>
      </w:hyperlink>
      <w:r>
        <w:rPr>
          <w:rFonts w:ascii="Times New Roman" w:hAnsi="Times New Roman"/>
        </w:rPr>
        <w:t>.</w:t>
      </w:r>
    </w:p>
  </w:footnote>
  <w:footnote w:id="37">
    <w:p w14:paraId="221749ED" w14:textId="40945913" w:rsidR="000166BC" w:rsidRPr="00AD3C82" w:rsidRDefault="000166BC" w:rsidP="00AD3C82">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A se vedea nota de subsol </w:t>
      </w:r>
      <w:r w:rsidRPr="00D54BBD">
        <w:rPr>
          <w:rFonts w:ascii="Times New Roman" w:hAnsi="Times New Roman"/>
        </w:rPr>
        <w:t>31</w:t>
      </w:r>
      <w:r>
        <w:rPr>
          <w:rFonts w:ascii="Times New Roman" w:hAnsi="Times New Roman"/>
        </w:rPr>
        <w:t xml:space="preserve"> (Declarația de la Strasbourg). </w:t>
      </w:r>
    </w:p>
  </w:footnote>
  <w:footnote w:id="38">
    <w:p w14:paraId="727BD333" w14:textId="77777777" w:rsidR="000166BC" w:rsidRPr="00AD3C82" w:rsidRDefault="000166BC" w:rsidP="00AD3C82">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Parlamentul European (</w:t>
      </w:r>
      <w:r w:rsidRPr="00D54BBD">
        <w:rPr>
          <w:rFonts w:ascii="Times New Roman" w:hAnsi="Times New Roman"/>
        </w:rPr>
        <w:t>2019</w:t>
      </w:r>
      <w:r>
        <w:rPr>
          <w:rFonts w:ascii="Times New Roman" w:hAnsi="Times New Roman"/>
        </w:rPr>
        <w:t xml:space="preserve">), </w:t>
      </w:r>
      <w:hyperlink r:id="rId36" w:history="1">
        <w:r w:rsidRPr="00D54BBD">
          <w:rPr>
            <w:rStyle w:val="Hyperlink"/>
            <w:rFonts w:ascii="Times New Roman" w:hAnsi="Times New Roman"/>
          </w:rPr>
          <w:t>Rezoluția referitoare la evaluarea modului în care este utilizat bugetul Uniunii Europene pentru reforma sectorului public</w:t>
        </w:r>
      </w:hyperlink>
      <w:r>
        <w:rPr>
          <w:rFonts w:ascii="Times New Roman" w:hAnsi="Times New Roman"/>
        </w:rPr>
        <w:t>.</w:t>
      </w:r>
    </w:p>
  </w:footnote>
  <w:footnote w:id="39">
    <w:p w14:paraId="13623E05" w14:textId="77777777" w:rsidR="000166BC" w:rsidRPr="00CA3355" w:rsidRDefault="000166BC" w:rsidP="00AD3C82">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Comitetul Regiunilor (</w:t>
      </w:r>
      <w:r w:rsidRPr="00D54BBD">
        <w:rPr>
          <w:rFonts w:ascii="Times New Roman" w:hAnsi="Times New Roman"/>
        </w:rPr>
        <w:t>2019</w:t>
      </w:r>
      <w:r>
        <w:rPr>
          <w:rFonts w:ascii="Times New Roman" w:hAnsi="Times New Roman"/>
        </w:rPr>
        <w:t xml:space="preserve">), </w:t>
      </w:r>
      <w:hyperlink r:id="rId37" w:history="1">
        <w:r w:rsidRPr="00D54BBD">
          <w:rPr>
            <w:rStyle w:val="Hyperlink"/>
            <w:rFonts w:ascii="Times New Roman" w:hAnsi="Times New Roman"/>
          </w:rPr>
          <w:t>Îmbunătățirea capacității administrative a autorităților locale și regionale de consolidare a investițiilor și a reformelor structurale în perioada 2021-2027</w:t>
        </w:r>
      </w:hyperlink>
      <w:r>
        <w:rPr>
          <w:rFonts w:ascii="Times New Roman" w:hAnsi="Times New Roman"/>
        </w:rPr>
        <w:t>.</w:t>
      </w:r>
    </w:p>
  </w:footnote>
  <w:footnote w:id="40">
    <w:p w14:paraId="4A384567" w14:textId="59E0E53B" w:rsidR="00A35873" w:rsidRPr="00B459D5" w:rsidRDefault="00A35873" w:rsidP="00647B92">
      <w:pPr>
        <w:pStyle w:val="pf0"/>
        <w:spacing w:before="0" w:beforeAutospacing="0" w:after="0" w:afterAutospacing="0"/>
        <w:rPr>
          <w:sz w:val="20"/>
          <w:szCs w:val="20"/>
        </w:rPr>
      </w:pPr>
      <w:r>
        <w:rPr>
          <w:rStyle w:val="FootnoteReference"/>
          <w:sz w:val="20"/>
          <w:szCs w:val="20"/>
        </w:rPr>
        <w:footnoteRef/>
      </w:r>
      <w:r>
        <w:rPr>
          <w:sz w:val="20"/>
        </w:rPr>
        <w:t xml:space="preserve"> </w:t>
      </w:r>
      <w:r>
        <w:rPr>
          <w:rStyle w:val="cf01"/>
          <w:rFonts w:ascii="Times New Roman" w:hAnsi="Times New Roman"/>
          <w:sz w:val="20"/>
        </w:rPr>
        <w:t>Comisia Europeană, COM(</w:t>
      </w:r>
      <w:r w:rsidRPr="00D54BBD">
        <w:rPr>
          <w:rStyle w:val="cf01"/>
          <w:rFonts w:ascii="Times New Roman" w:hAnsi="Times New Roman"/>
          <w:sz w:val="20"/>
        </w:rPr>
        <w:t>2023</w:t>
      </w:r>
      <w:r>
        <w:rPr>
          <w:rStyle w:val="cf01"/>
          <w:rFonts w:ascii="Times New Roman" w:hAnsi="Times New Roman"/>
          <w:sz w:val="20"/>
        </w:rPr>
        <w:t xml:space="preserve">) </w:t>
      </w:r>
      <w:r w:rsidRPr="00D54BBD">
        <w:rPr>
          <w:rStyle w:val="cf01"/>
          <w:rFonts w:ascii="Times New Roman" w:hAnsi="Times New Roman"/>
          <w:sz w:val="20"/>
        </w:rPr>
        <w:t>577</w:t>
      </w:r>
      <w:r>
        <w:rPr>
          <w:rStyle w:val="cf01"/>
          <w:rFonts w:ascii="Times New Roman" w:hAnsi="Times New Roman"/>
          <w:sz w:val="20"/>
        </w:rPr>
        <w:t xml:space="preserve"> final, </w:t>
      </w:r>
      <w:hyperlink r:id="rId38" w:history="1">
        <w:r w:rsidRPr="00D54BBD">
          <w:rPr>
            <w:rStyle w:val="Hyperlink"/>
            <w:sz w:val="20"/>
          </w:rPr>
          <w:t>Schimbările demografice din Europa:</w:t>
        </w:r>
      </w:hyperlink>
      <w:hyperlink r:id="rId39" w:history="1">
        <w:r w:rsidRPr="00D54BBD">
          <w:rPr>
            <w:rStyle w:val="Hyperlink"/>
            <w:sz w:val="20"/>
          </w:rPr>
          <w:t xml:space="preserve"> un set de instrumente pentru acțiune</w:t>
        </w:r>
      </w:hyperlink>
      <w:r>
        <w:rPr>
          <w:sz w:val="20"/>
        </w:rPr>
        <w:t>.</w:t>
      </w:r>
    </w:p>
  </w:footnote>
  <w:footnote w:id="41">
    <w:p w14:paraId="1B683025" w14:textId="77777777" w:rsidR="004A507A" w:rsidRPr="00B459D5" w:rsidRDefault="004A507A" w:rsidP="00555A2B">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Eurostat, </w:t>
      </w:r>
      <w:hyperlink r:id="rId40" w:history="1">
        <w:r w:rsidRPr="00D54BBD">
          <w:rPr>
            <w:rStyle w:val="Hyperlink"/>
            <w:rFonts w:ascii="Times New Roman" w:hAnsi="Times New Roman"/>
          </w:rPr>
          <w:t>Ancheta asupra forței de muncă din 2021</w:t>
        </w:r>
      </w:hyperlink>
      <w:r w:rsidRPr="00D54BBD">
        <w:rPr>
          <w:rStyle w:val="Hyperlink"/>
          <w:rFonts w:ascii="Times New Roman" w:hAnsi="Times New Roman"/>
        </w:rPr>
        <w:t>.</w:t>
      </w:r>
    </w:p>
  </w:footnote>
  <w:footnote w:id="42">
    <w:p w14:paraId="5C5C1BD1" w14:textId="4DD00D37" w:rsidR="009F5C54" w:rsidRPr="00B459D5" w:rsidRDefault="009F5C54"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de exemplu, </w:t>
      </w:r>
      <w:hyperlink r:id="rId41" w:history="1">
        <w:r w:rsidRPr="00D54BBD">
          <w:rPr>
            <w:rStyle w:val="Hyperlink"/>
            <w:rFonts w:ascii="Times New Roman" w:hAnsi="Times New Roman"/>
          </w:rPr>
          <w:t>platforma europeană GovTech</w:t>
        </w:r>
      </w:hyperlink>
      <w:r>
        <w:rPr>
          <w:rFonts w:ascii="Times New Roman" w:hAnsi="Times New Roman"/>
        </w:rPr>
        <w:t>.</w:t>
      </w:r>
    </w:p>
  </w:footnote>
  <w:footnote w:id="43">
    <w:p w14:paraId="359156F9" w14:textId="13F662CB" w:rsidR="00510264" w:rsidRPr="00CA3355" w:rsidRDefault="00510264"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hyperlink r:id="rId42" w:history="1">
        <w:r w:rsidRPr="00D54BBD">
          <w:rPr>
            <w:rStyle w:val="Hyperlink"/>
            <w:rFonts w:ascii="Times New Roman" w:hAnsi="Times New Roman"/>
          </w:rPr>
          <w:t>Comisia salută obiectivele statelor membre pentru o Europă mai socială până în 2030</w:t>
        </w:r>
      </w:hyperlink>
      <w:r>
        <w:rPr>
          <w:rFonts w:ascii="Times New Roman" w:hAnsi="Times New Roman"/>
        </w:rPr>
        <w:t>.</w:t>
      </w:r>
    </w:p>
  </w:footnote>
  <w:footnote w:id="44">
    <w:p w14:paraId="39071A93" w14:textId="704988C2" w:rsidR="005837A6" w:rsidRPr="00AD3C82" w:rsidRDefault="005837A6" w:rsidP="00AD3C82">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A se vedea nota de subsol </w:t>
      </w:r>
      <w:r w:rsidRPr="00D54BBD">
        <w:rPr>
          <w:rFonts w:ascii="Times New Roman" w:hAnsi="Times New Roman"/>
        </w:rPr>
        <w:t>31</w:t>
      </w:r>
      <w:r>
        <w:rPr>
          <w:rFonts w:ascii="Times New Roman" w:hAnsi="Times New Roman"/>
        </w:rPr>
        <w:t xml:space="preserve"> (Declarația de la Strasbourg).</w:t>
      </w:r>
    </w:p>
  </w:footnote>
  <w:footnote w:id="45">
    <w:p w14:paraId="04A48BBF" w14:textId="7E3ECEB6" w:rsidR="00AE0F59" w:rsidRPr="00AD3C82" w:rsidRDefault="00AE0F59" w:rsidP="00AD3C8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sectoare precum vămile și impozitarea (</w:t>
      </w:r>
      <w:hyperlink r:id="rId43" w:history="1">
        <w:r w:rsidRPr="00D54BBD">
          <w:rPr>
            <w:rStyle w:val="Hyperlink"/>
            <w:rFonts w:ascii="Times New Roman" w:hAnsi="Times New Roman"/>
          </w:rPr>
          <w:t>programul privind evenimentele de învățare comună</w:t>
        </w:r>
      </w:hyperlink>
      <w:r w:rsidRPr="00D54BBD">
        <w:rPr>
          <w:rStyle w:val="Hyperlink"/>
          <w:rFonts w:ascii="Times New Roman" w:hAnsi="Times New Roman"/>
          <w:color w:val="auto"/>
        </w:rPr>
        <w:t>)</w:t>
      </w:r>
      <w:r>
        <w:rPr>
          <w:rFonts w:ascii="Times New Roman" w:hAnsi="Times New Roman"/>
        </w:rPr>
        <w:t>, ocuparea forței de muncă în sectorul public (</w:t>
      </w:r>
      <w:hyperlink r:id="rId44" w:history="1">
        <w:r w:rsidRPr="00D54BBD">
          <w:rPr>
            <w:rStyle w:val="Hyperlink"/>
            <w:rFonts w:ascii="Times New Roman" w:hAnsi="Times New Roman"/>
          </w:rPr>
          <w:t>rețeaua europeană a serviciilor publice de ocupare a forței de muncă</w:t>
        </w:r>
      </w:hyperlink>
      <w:r w:rsidRPr="00D54BBD">
        <w:rPr>
          <w:rStyle w:val="Hyperlink"/>
          <w:rFonts w:ascii="Times New Roman" w:hAnsi="Times New Roman"/>
          <w:color w:val="auto"/>
        </w:rPr>
        <w:t>)</w:t>
      </w:r>
      <w:r>
        <w:rPr>
          <w:rFonts w:ascii="Times New Roman" w:hAnsi="Times New Roman"/>
        </w:rPr>
        <w:t>, gestionarea FEDR, a Fondului de coeziune și a Fondului pentru o tranziție justă (</w:t>
      </w:r>
      <w:hyperlink r:id="rId45" w:history="1">
        <w:r w:rsidRPr="00D54BBD">
          <w:rPr>
            <w:rStyle w:val="Hyperlink"/>
            <w:rFonts w:ascii="Times New Roman" w:hAnsi="Times New Roman"/>
          </w:rPr>
          <w:t>REGIO Peer2Peer +</w:t>
        </w:r>
      </w:hyperlink>
      <w:r w:rsidRPr="00D54BBD">
        <w:rPr>
          <w:rStyle w:val="Hyperlink"/>
          <w:rFonts w:ascii="Times New Roman" w:hAnsi="Times New Roman"/>
          <w:color w:val="auto"/>
        </w:rPr>
        <w:t>)</w:t>
      </w:r>
      <w:r>
        <w:rPr>
          <w:rFonts w:ascii="Times New Roman" w:hAnsi="Times New Roman"/>
        </w:rPr>
        <w:t>, punerea în aplicare a legislației privind piața unică (</w:t>
      </w:r>
      <w:hyperlink r:id="rId46" w:history="1">
        <w:r w:rsidRPr="00D54BBD">
          <w:rPr>
            <w:rStyle w:val="Hyperlink"/>
            <w:rFonts w:ascii="Times New Roman" w:hAnsi="Times New Roman"/>
          </w:rPr>
          <w:t>Sistemul de informare al pieței interne</w:t>
        </w:r>
      </w:hyperlink>
      <w:r w:rsidRPr="00D54BBD">
        <w:rPr>
          <w:rStyle w:val="Hyperlink"/>
          <w:rFonts w:ascii="Times New Roman" w:hAnsi="Times New Roman"/>
          <w:color w:val="auto"/>
        </w:rPr>
        <w:t>)</w:t>
      </w:r>
      <w:r>
        <w:rPr>
          <w:rFonts w:ascii="Times New Roman" w:hAnsi="Times New Roman"/>
        </w:rPr>
        <w:t>, punerea în aplicare a strategiei privind datele și IA (</w:t>
      </w:r>
      <w:hyperlink r:id="rId47" w:history="1">
        <w:r w:rsidRPr="00D54BBD">
          <w:rPr>
            <w:rStyle w:val="Hyperlink"/>
            <w:rFonts w:ascii="Times New Roman" w:hAnsi="Times New Roman"/>
          </w:rPr>
          <w:t>grupul de lucru privind IA în administrațiile publice al centrelor europene de inovare digitală</w:t>
        </w:r>
      </w:hyperlink>
      <w:r w:rsidRPr="00D54BBD">
        <w:rPr>
          <w:rStyle w:val="Hyperlink"/>
          <w:rFonts w:ascii="Times New Roman" w:hAnsi="Times New Roman"/>
          <w:color w:val="auto"/>
        </w:rPr>
        <w:t>)</w:t>
      </w:r>
      <w:r>
        <w:rPr>
          <w:rFonts w:ascii="Times New Roman" w:hAnsi="Times New Roman"/>
        </w:rPr>
        <w:t>, cercetarea și inovarea (</w:t>
      </w:r>
      <w:hyperlink r:id="rId48" w:history="1">
        <w:r w:rsidRPr="00D54BBD">
          <w:rPr>
            <w:rStyle w:val="Hyperlink"/>
            <w:rFonts w:ascii="Times New Roman" w:hAnsi="Times New Roman"/>
          </w:rPr>
          <w:t>exercițiile de învățare reciprocă privind provocările în materie de politici în domeniul C&amp;I</w:t>
        </w:r>
      </w:hyperlink>
      <w:r w:rsidRPr="00D54BBD">
        <w:rPr>
          <w:rStyle w:val="Hyperlink"/>
          <w:rFonts w:ascii="Times New Roman" w:hAnsi="Times New Roman"/>
          <w:color w:val="auto"/>
        </w:rPr>
        <w:t>)</w:t>
      </w:r>
      <w:r>
        <w:rPr>
          <w:rFonts w:ascii="Times New Roman" w:hAnsi="Times New Roman"/>
        </w:rPr>
        <w:t>, publicațiile oficiale (</w:t>
      </w:r>
      <w:hyperlink r:id="rId49" w:history="1">
        <w:r w:rsidRPr="00D54BBD">
          <w:rPr>
            <w:rStyle w:val="Hyperlink"/>
            <w:rFonts w:ascii="Times New Roman" w:hAnsi="Times New Roman"/>
          </w:rPr>
          <w:t>Forumul european al jurnalelor oficiale</w:t>
        </w:r>
      </w:hyperlink>
      <w:r w:rsidRPr="00D54BBD">
        <w:rPr>
          <w:rStyle w:val="Hyperlink"/>
          <w:rFonts w:ascii="Times New Roman" w:hAnsi="Times New Roman"/>
          <w:color w:val="auto"/>
        </w:rPr>
        <w:t>)</w:t>
      </w:r>
      <w:r>
        <w:rPr>
          <w:rFonts w:ascii="Times New Roman" w:hAnsi="Times New Roman"/>
        </w:rPr>
        <w:t>.</w:t>
      </w:r>
    </w:p>
  </w:footnote>
  <w:footnote w:id="46">
    <w:p w14:paraId="7E44FE8D" w14:textId="241F6CDF" w:rsidR="00803BB0" w:rsidRPr="00AD3C82" w:rsidRDefault="00803BB0" w:rsidP="00AD3C8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nota de subsol </w:t>
      </w:r>
      <w:r w:rsidRPr="00D54BBD">
        <w:rPr>
          <w:rFonts w:ascii="Times New Roman" w:hAnsi="Times New Roman"/>
        </w:rPr>
        <w:t>30</w:t>
      </w:r>
      <w:r>
        <w:rPr>
          <w:rFonts w:ascii="Times New Roman" w:hAnsi="Times New Roman"/>
        </w:rPr>
        <w:t xml:space="preserve"> (reuniunea informală a miniștrilor responsabili de administrația publică).</w:t>
      </w:r>
    </w:p>
  </w:footnote>
  <w:footnote w:id="47">
    <w:p w14:paraId="0080270D" w14:textId="22D3421A" w:rsidR="00D37BEA" w:rsidRPr="00AD3C82" w:rsidRDefault="00D37BEA" w:rsidP="00AD3C82">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50" w:history="1">
        <w:r w:rsidRPr="00D54BBD">
          <w:rPr>
            <w:rStyle w:val="Hyperlink"/>
            <w:rFonts w:ascii="Times New Roman" w:hAnsi="Times New Roman"/>
          </w:rPr>
          <w:t>Inițiativa emblematică PACE 2023</w:t>
        </w:r>
      </w:hyperlink>
      <w:r w:rsidRPr="00D54BBD">
        <w:rPr>
          <w:rStyle w:val="Hyperlink"/>
          <w:rFonts w:ascii="Times New Roman" w:hAnsi="Times New Roman"/>
        </w:rPr>
        <w:t>.</w:t>
      </w:r>
      <w:r>
        <w:rPr>
          <w:rFonts w:ascii="Times New Roman" w:hAnsi="Times New Roman"/>
        </w:rPr>
        <w:t xml:space="preserve"> </w:t>
      </w:r>
    </w:p>
  </w:footnote>
  <w:footnote w:id="48">
    <w:p w14:paraId="584E95A9" w14:textId="08A157F3" w:rsidR="00803BB0" w:rsidRPr="00AD3C82" w:rsidRDefault="00803BB0" w:rsidP="00AD3C82">
      <w:pPr>
        <w:pStyle w:val="FootnoteText"/>
        <w:jc w:val="both"/>
      </w:pPr>
      <w:r>
        <w:rPr>
          <w:rStyle w:val="FootnoteReference"/>
          <w:rFonts w:ascii="Times New Roman" w:hAnsi="Times New Roman" w:cs="Times New Roman"/>
        </w:rPr>
        <w:footnoteRef/>
      </w:r>
      <w:r>
        <w:rPr>
          <w:rFonts w:ascii="Times New Roman" w:hAnsi="Times New Roman"/>
        </w:rPr>
        <w:t xml:space="preserve"> Prin bugetul său de cheltuieli administrative.</w:t>
      </w:r>
    </w:p>
  </w:footnote>
  <w:footnote w:id="49">
    <w:p w14:paraId="311FD0AB" w14:textId="40D68F0C" w:rsidR="00250A0C" w:rsidRPr="00B459D5" w:rsidRDefault="00250A0C" w:rsidP="00E60BE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r>
        <w:rPr>
          <w:rFonts w:ascii="Times New Roman" w:hAnsi="Times New Roman"/>
        </w:rPr>
        <w:t>Personalul administrației publice de la nivel central, regional și local este estimat pe baza rapoartelor naționale. Acest număr nu se bazează pe o metodologie armonizată privind sfera administrației publice. Personalul din sectorul public este calculat pe baza datelor Eurostat din Ancheta asupra forței de muncă din UE (</w:t>
      </w:r>
      <w:r w:rsidRPr="00D54BBD">
        <w:rPr>
          <w:rFonts w:ascii="Times New Roman" w:hAnsi="Times New Roman"/>
        </w:rPr>
        <w:t>2022</w:t>
      </w:r>
      <w:r>
        <w:rPr>
          <w:rFonts w:ascii="Times New Roman" w:hAnsi="Times New Roman"/>
        </w:rPr>
        <w:t xml:space="preserve">). </w:t>
      </w:r>
    </w:p>
  </w:footnote>
  <w:footnote w:id="50">
    <w:p w14:paraId="194ADB82" w14:textId="7B522564" w:rsidR="00A7137A" w:rsidRPr="00B459D5" w:rsidRDefault="00A7137A" w:rsidP="00E60BE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Cum ar fi </w:t>
      </w:r>
      <w:hyperlink r:id="rId51" w:history="1">
        <w:r w:rsidRPr="00D54BBD">
          <w:rPr>
            <w:rStyle w:val="Hyperlink"/>
            <w:rFonts w:ascii="Times New Roman" w:hAnsi="Times New Roman"/>
          </w:rPr>
          <w:t>Rețeaua UE de cunoștințe în materie de protecție civilă</w:t>
        </w:r>
      </w:hyperlink>
      <w:r w:rsidRPr="00D54BBD">
        <w:rPr>
          <w:rStyle w:val="Hyperlink"/>
          <w:rFonts w:ascii="Times New Roman" w:hAnsi="Times New Roman"/>
        </w:rPr>
        <w:t>.</w:t>
      </w:r>
    </w:p>
  </w:footnote>
  <w:footnote w:id="51">
    <w:p w14:paraId="67D3B875" w14:textId="19716DAF" w:rsidR="00A7137A" w:rsidRPr="00CA3355" w:rsidRDefault="00A7137A" w:rsidP="00E60BE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Cum ar fi </w:t>
      </w:r>
      <w:hyperlink r:id="rId52" w:history="1">
        <w:r w:rsidRPr="00D54BBD">
          <w:rPr>
            <w:rStyle w:val="Hyperlink"/>
            <w:rFonts w:ascii="Times New Roman" w:hAnsi="Times New Roman"/>
          </w:rPr>
          <w:t>Platforma achizitorilor publici</w:t>
        </w:r>
      </w:hyperlink>
      <w:r w:rsidRPr="00D54BBD">
        <w:rPr>
          <w:rStyle w:val="Hyperlink"/>
          <w:rFonts w:ascii="Times New Roman" w:hAnsi="Times New Roman"/>
        </w:rPr>
        <w:t>.</w:t>
      </w:r>
      <w:r>
        <w:rPr>
          <w:rFonts w:ascii="Times New Roman" w:hAnsi="Times New Roman"/>
        </w:rPr>
        <w:t xml:space="preserve"> </w:t>
      </w:r>
    </w:p>
  </w:footnote>
  <w:footnote w:id="52">
    <w:p w14:paraId="3FE78C2C" w14:textId="30ED984C" w:rsidR="00EB05DB" w:rsidRPr="00B459D5" w:rsidRDefault="00EB05DB" w:rsidP="00711377">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53" w:history="1">
        <w:r w:rsidRPr="00D54BBD">
          <w:rPr>
            <w:rStyle w:val="Hyperlink"/>
            <w:rFonts w:ascii="Times New Roman" w:hAnsi="Times New Roman"/>
          </w:rPr>
          <w:t>EU Academy</w:t>
        </w:r>
      </w:hyperlink>
      <w:r w:rsidRPr="00D54BBD">
        <w:rPr>
          <w:rStyle w:val="Hyperlink"/>
          <w:rFonts w:ascii="Times New Roman" w:hAnsi="Times New Roman"/>
        </w:rPr>
        <w:t>.</w:t>
      </w:r>
    </w:p>
  </w:footnote>
  <w:footnote w:id="53">
    <w:p w14:paraId="0963579C" w14:textId="77AAB0CA" w:rsidR="00902721" w:rsidRPr="00E60BE5" w:rsidRDefault="00055DA4" w:rsidP="00F279B3">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r>
        <w:rPr>
          <w:rStyle w:val="normaltextrun"/>
          <w:rFonts w:ascii="Times New Roman" w:hAnsi="Times New Roman"/>
          <w:color w:val="000000"/>
          <w:shd w:val="clear" w:color="auto" w:fill="FFFFFF"/>
        </w:rPr>
        <w:t xml:space="preserve">Rezoluția Comitetului European al Regiunilor – </w:t>
      </w:r>
      <w:hyperlink r:id="rId54" w:history="1">
        <w:r w:rsidRPr="00D54BBD">
          <w:rPr>
            <w:rStyle w:val="Hyperlink"/>
            <w:rFonts w:ascii="Times New Roman" w:hAnsi="Times New Roman"/>
            <w:shd w:val="clear" w:color="auto" w:fill="FFFFFF"/>
          </w:rPr>
          <w:t>Pactul ecologic – în parteneriat cu autoritățile locale și regionale (2020/C 79/01).</w:t>
        </w:r>
      </w:hyperlink>
    </w:p>
  </w:footnote>
  <w:footnote w:id="54">
    <w:p w14:paraId="44408CFB" w14:textId="238B6098" w:rsidR="00130A70" w:rsidRPr="00B459D5" w:rsidRDefault="00130A70" w:rsidP="00CA335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În </w:t>
      </w:r>
      <w:r w:rsidRPr="00D54BBD">
        <w:rPr>
          <w:rFonts w:ascii="Times New Roman" w:hAnsi="Times New Roman"/>
        </w:rPr>
        <w:t>2021</w:t>
      </w:r>
      <w:r>
        <w:rPr>
          <w:rFonts w:ascii="Times New Roman" w:hAnsi="Times New Roman"/>
        </w:rPr>
        <w:t xml:space="preserve">, cheltuielile administrațiilor locale din UE în aceste sectoare au reprezentat </w:t>
      </w:r>
      <w:r w:rsidRPr="00D54BBD">
        <w:rPr>
          <w:rFonts w:ascii="Times New Roman" w:hAnsi="Times New Roman"/>
        </w:rPr>
        <w:t>71</w:t>
      </w:r>
      <w:r>
        <w:rPr>
          <w:rFonts w:ascii="Times New Roman" w:hAnsi="Times New Roman"/>
        </w:rPr>
        <w:t xml:space="preserve"> % (protecția mediului), </w:t>
      </w:r>
      <w:r w:rsidRPr="00D54BBD">
        <w:rPr>
          <w:rFonts w:ascii="Times New Roman" w:hAnsi="Times New Roman"/>
        </w:rPr>
        <w:t>70</w:t>
      </w:r>
      <w:r>
        <w:rPr>
          <w:rFonts w:ascii="Times New Roman" w:hAnsi="Times New Roman"/>
        </w:rPr>
        <w:t> %</w:t>
      </w:r>
      <w:r w:rsidR="005235E0">
        <w:rPr>
          <w:rFonts w:ascii="Times New Roman" w:hAnsi="Times New Roman"/>
        </w:rPr>
        <w:t> </w:t>
      </w:r>
      <w:r>
        <w:rPr>
          <w:rFonts w:ascii="Times New Roman" w:hAnsi="Times New Roman"/>
        </w:rPr>
        <w:t xml:space="preserve">(facilități pentru locuințe și comunitate), </w:t>
      </w:r>
      <w:r w:rsidRPr="00D54BBD">
        <w:rPr>
          <w:rFonts w:ascii="Times New Roman" w:hAnsi="Times New Roman"/>
        </w:rPr>
        <w:t>53</w:t>
      </w:r>
      <w:r>
        <w:rPr>
          <w:rFonts w:ascii="Times New Roman" w:hAnsi="Times New Roman"/>
        </w:rPr>
        <w:t xml:space="preserve"> % (recreere, cultură și religie) și, respectiv, </w:t>
      </w:r>
      <w:r w:rsidRPr="00D54BBD">
        <w:rPr>
          <w:rFonts w:ascii="Times New Roman" w:hAnsi="Times New Roman"/>
        </w:rPr>
        <w:t>36</w:t>
      </w:r>
      <w:r>
        <w:rPr>
          <w:rFonts w:ascii="Times New Roman" w:hAnsi="Times New Roman"/>
        </w:rPr>
        <w:t> % (educație) din cheltuielile totale ale administrației publice.</w:t>
      </w:r>
    </w:p>
  </w:footnote>
  <w:footnote w:id="55">
    <w:p w14:paraId="70D3A61E" w14:textId="23406EED" w:rsidR="00B30BB6" w:rsidRPr="00B459D5" w:rsidRDefault="00B30BB6"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Pr="00D54BBD">
        <w:rPr>
          <w:rFonts w:ascii="Times New Roman" w:hAnsi="Times New Roman"/>
        </w:rPr>
        <w:t>69</w:t>
      </w:r>
      <w:r>
        <w:rPr>
          <w:rFonts w:ascii="Times New Roman" w:hAnsi="Times New Roman"/>
        </w:rPr>
        <w:t xml:space="preserve"> % dintre municipalități au raportat că se confruntă cu o lipsă de experți cu competențe de evaluare în domeniul mediului și al climei și de personal cu expertiză tehnică și în domeniul ingineriei. </w:t>
      </w:r>
      <w:hyperlink r:id="rId55" w:history="1">
        <w:r w:rsidRPr="00D54BBD">
          <w:rPr>
            <w:rStyle w:val="Hyperlink"/>
            <w:rFonts w:ascii="Times New Roman" w:hAnsi="Times New Roman"/>
            <w:i/>
          </w:rPr>
          <w:t>EIB Municipalities Survey 2022-2023</w:t>
        </w:r>
      </w:hyperlink>
      <w:r>
        <w:rPr>
          <w:rFonts w:ascii="Times New Roman" w:hAnsi="Times New Roman"/>
        </w:rPr>
        <w:t xml:space="preserve"> (Sondajul BEI privind municipalitățile </w:t>
      </w:r>
      <w:r w:rsidRPr="00D54BBD">
        <w:rPr>
          <w:rFonts w:ascii="Times New Roman" w:hAnsi="Times New Roman"/>
        </w:rPr>
        <w:t>2022</w:t>
      </w:r>
      <w:r>
        <w:rPr>
          <w:rFonts w:ascii="Times New Roman" w:hAnsi="Times New Roman"/>
        </w:rPr>
        <w:t>-</w:t>
      </w:r>
      <w:r w:rsidRPr="00D54BBD">
        <w:rPr>
          <w:rFonts w:ascii="Times New Roman" w:hAnsi="Times New Roman"/>
        </w:rPr>
        <w:t>2023</w:t>
      </w:r>
      <w:r>
        <w:rPr>
          <w:rFonts w:ascii="Times New Roman" w:hAnsi="Times New Roman"/>
        </w:rPr>
        <w:t xml:space="preserve">). </w:t>
      </w:r>
    </w:p>
  </w:footnote>
  <w:footnote w:id="56">
    <w:p w14:paraId="677BFF43" w14:textId="3C1447A2" w:rsidR="009F6808" w:rsidRPr="00812560" w:rsidRDefault="009F6808"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6" w:history="1">
        <w:r w:rsidRPr="00D54BBD">
          <w:rPr>
            <w:rStyle w:val="Hyperlink"/>
            <w:rFonts w:ascii="Times New Roman" w:hAnsi="Times New Roman"/>
          </w:rPr>
          <w:t xml:space="preserve">Inițiativa emblematică a STI din anul 2024 intitulată </w:t>
        </w:r>
        <w:r w:rsidRPr="00D54BBD">
          <w:rPr>
            <w:rStyle w:val="Hyperlink"/>
            <w:rFonts w:ascii="Times New Roman" w:hAnsi="Times New Roman"/>
            <w:i/>
          </w:rPr>
          <w:t>Overcoming barriers to regional development</w:t>
        </w:r>
      </w:hyperlink>
      <w:r w:rsidRPr="00D54BBD">
        <w:rPr>
          <w:rStyle w:val="Hyperlink"/>
          <w:rFonts w:ascii="Times New Roman" w:hAnsi="Times New Roman"/>
        </w:rPr>
        <w:t xml:space="preserve"> (Depășirea barierelor din calea dezvoltării regionale).</w:t>
      </w:r>
      <w:r>
        <w:rPr>
          <w:rFonts w:ascii="Times New Roman" w:hAnsi="Times New Roman"/>
        </w:rPr>
        <w:t xml:space="preserve"> </w:t>
      </w:r>
    </w:p>
  </w:footnote>
  <w:footnote w:id="57">
    <w:p w14:paraId="65D5FEDA" w14:textId="2E3DB2BF" w:rsidR="00D470B6" w:rsidRPr="00B459D5" w:rsidRDefault="00D470B6" w:rsidP="00E60B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Ordinea corespunzătoare: </w:t>
      </w:r>
      <w:hyperlink r:id="rId57" w:history="1">
        <w:r w:rsidRPr="00D54BBD">
          <w:rPr>
            <w:rStyle w:val="Hyperlink"/>
            <w:rFonts w:ascii="Times New Roman" w:hAnsi="Times New Roman"/>
          </w:rPr>
          <w:t>Cadrele de competențe pentru responsabilii de elaborarea politicilor și cercetători</w:t>
        </w:r>
      </w:hyperlink>
      <w:r>
        <w:rPr>
          <w:rFonts w:ascii="Times New Roman" w:hAnsi="Times New Roman"/>
        </w:rPr>
        <w:t xml:space="preserve">, </w:t>
      </w:r>
      <w:hyperlink r:id="rId58" w:history="1">
        <w:r w:rsidRPr="00D54BBD">
          <w:rPr>
            <w:rStyle w:val="Hyperlink"/>
            <w:rFonts w:ascii="Times New Roman" w:hAnsi="Times New Roman"/>
          </w:rPr>
          <w:t>Cadrul de competențe al UE pentru gestionarea FEDR și a Fondului de coeziune și pentru execuția acestora</w:t>
        </w:r>
      </w:hyperlink>
      <w:r>
        <w:rPr>
          <w:rFonts w:ascii="Times New Roman" w:hAnsi="Times New Roman"/>
        </w:rPr>
        <w:t xml:space="preserve">, </w:t>
      </w:r>
      <w:hyperlink r:id="rId59" w:history="1">
        <w:r w:rsidRPr="00D54BBD">
          <w:rPr>
            <w:rStyle w:val="Hyperlink"/>
            <w:rFonts w:ascii="Times New Roman" w:hAnsi="Times New Roman"/>
          </w:rPr>
          <w:t>Cadrul de competențe al UE pentru profesioniștii din domeniul achizițiilor publice</w:t>
        </w:r>
      </w:hyperlink>
      <w:r>
        <w:rPr>
          <w:rFonts w:ascii="Times New Roman" w:hAnsi="Times New Roman"/>
        </w:rPr>
        <w:t xml:space="preserve">, </w:t>
      </w:r>
      <w:hyperlink r:id="rId60" w:history="1">
        <w:r w:rsidRPr="00D54BBD">
          <w:rPr>
            <w:rStyle w:val="Hyperlink"/>
            <w:rFonts w:ascii="Times New Roman" w:hAnsi="Times New Roman"/>
          </w:rPr>
          <w:t>Cadrul de competențe al UE pentru impozitare</w:t>
        </w:r>
      </w:hyperlink>
      <w:r>
        <w:rPr>
          <w:rStyle w:val="Hyperlink"/>
          <w:rFonts w:ascii="Times New Roman" w:hAnsi="Times New Roman"/>
          <w:u w:val="none"/>
        </w:rPr>
        <w:t xml:space="preserve">, </w:t>
      </w:r>
      <w:hyperlink r:id="rId61" w:anchor="customs-tab" w:history="1">
        <w:r w:rsidRPr="00D54BBD">
          <w:rPr>
            <w:rStyle w:val="Hyperlink"/>
            <w:rFonts w:ascii="Times New Roman" w:hAnsi="Times New Roman"/>
          </w:rPr>
          <w:t>Cadrul de competențe al UE pentru domeniul vamal</w:t>
        </w:r>
      </w:hyperlink>
      <w:r>
        <w:rPr>
          <w:rStyle w:val="Hyperlink"/>
          <w:rFonts w:ascii="Times New Roman" w:hAnsi="Times New Roman"/>
          <w:color w:val="auto"/>
          <w:u w:val="none"/>
        </w:rPr>
        <w:t xml:space="preserve">, </w:t>
      </w:r>
      <w:hyperlink r:id="rId62" w:history="1">
        <w:r w:rsidRPr="00D54BBD">
          <w:rPr>
            <w:rStyle w:val="Hyperlink"/>
            <w:rFonts w:ascii="Times New Roman" w:hAnsi="Times New Roman"/>
          </w:rPr>
          <w:t>Interoperabilitatea sectorului public</w:t>
        </w:r>
      </w:hyperlink>
      <w:r>
        <w:rPr>
          <w:rFonts w:ascii="Times New Roman" w:hAnsi="Times New Roman"/>
        </w:rPr>
        <w:t xml:space="preserve"> și </w:t>
      </w:r>
      <w:hyperlink r:id="rId63" w:history="1">
        <w:r w:rsidRPr="00D54BBD">
          <w:rPr>
            <w:rStyle w:val="Hyperlink"/>
            <w:rFonts w:ascii="Times New Roman" w:hAnsi="Times New Roman"/>
          </w:rPr>
          <w:t>Metodologia pentru managementul de proiect</w:t>
        </w:r>
      </w:hyperlink>
      <w:r w:rsidRPr="00D54BBD">
        <w:rPr>
          <w:rStyle w:val="Hyperlink"/>
          <w:rFonts w:ascii="Times New Roman" w:hAnsi="Times New Roman"/>
        </w:rPr>
        <w:t>.</w:t>
      </w:r>
    </w:p>
  </w:footnote>
  <w:footnote w:id="58">
    <w:p w14:paraId="31BD600F" w14:textId="4F304E87" w:rsidR="005221D6" w:rsidRPr="00B459D5" w:rsidRDefault="005221D6" w:rsidP="00E60B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Luându-se în calcul </w:t>
      </w:r>
      <w:hyperlink r:id="rId64" w:anchor=":~:text=The%20DigComp%20framework%20identifies%20the,the%20source%20and%20its%20content." w:history="1">
        <w:r w:rsidRPr="00D54BBD">
          <w:rPr>
            <w:rStyle w:val="Hyperlink"/>
            <w:rFonts w:ascii="Times New Roman" w:hAnsi="Times New Roman"/>
          </w:rPr>
          <w:t>Cadrul competențelor digitale pentru cetățeni</w:t>
        </w:r>
      </w:hyperlink>
      <w:r>
        <w:rPr>
          <w:rStyle w:val="Hyperlink"/>
          <w:rFonts w:ascii="Times New Roman" w:hAnsi="Times New Roman"/>
          <w:u w:val="none"/>
        </w:rPr>
        <w:t xml:space="preserve">, </w:t>
      </w:r>
      <w:hyperlink r:id="rId65" w:history="1">
        <w:r w:rsidRPr="00D54BBD">
          <w:rPr>
            <w:rStyle w:val="Hyperlink"/>
            <w:rFonts w:ascii="Times New Roman" w:hAnsi="Times New Roman"/>
          </w:rPr>
          <w:t>Cadrul european al competențelor antreprenoriale</w:t>
        </w:r>
      </w:hyperlink>
      <w:r>
        <w:rPr>
          <w:rStyle w:val="Hyperlink"/>
          <w:rFonts w:ascii="Times New Roman" w:hAnsi="Times New Roman"/>
          <w:u w:val="none"/>
        </w:rPr>
        <w:t xml:space="preserve"> </w:t>
      </w:r>
      <w:r>
        <w:rPr>
          <w:rFonts w:ascii="Times New Roman" w:hAnsi="Times New Roman"/>
        </w:rPr>
        <w:t xml:space="preserve">și </w:t>
      </w:r>
      <w:hyperlink r:id="rId66" w:history="1">
        <w:r w:rsidRPr="00D54BBD">
          <w:rPr>
            <w:rStyle w:val="Hyperlink"/>
            <w:rFonts w:ascii="Times New Roman" w:hAnsi="Times New Roman"/>
          </w:rPr>
          <w:t>Cadrul UE de competențe în materie de durabilitate</w:t>
        </w:r>
      </w:hyperlink>
      <w:r w:rsidRPr="00D54BBD">
        <w:rPr>
          <w:rStyle w:val="Hyperlink"/>
          <w:rFonts w:ascii="Times New Roman" w:hAnsi="Times New Roman"/>
        </w:rPr>
        <w:t>.</w:t>
      </w:r>
    </w:p>
  </w:footnote>
  <w:footnote w:id="59">
    <w:p w14:paraId="7DF658A7" w14:textId="560E6673" w:rsidR="00343B6F" w:rsidRPr="00E60BE5" w:rsidRDefault="00343B6F" w:rsidP="00E60BE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Style w:val="FootnoteReference"/>
          <w:rFonts w:ascii="Times New Roman" w:hAnsi="Times New Roman"/>
          <w:vertAlign w:val="baseline"/>
        </w:rPr>
        <w:t xml:space="preserve"> </w:t>
      </w:r>
      <w:hyperlink r:id="rId67" w:history="1">
        <w:r w:rsidRPr="00D54BBD">
          <w:rPr>
            <w:rStyle w:val="Hyperlink"/>
            <w:rFonts w:ascii="Times New Roman" w:hAnsi="Times New Roman"/>
          </w:rPr>
          <w:t>Setul de instrumente pentru asigurarea calității administrației publice (ediția din 2017)</w:t>
        </w:r>
      </w:hyperlink>
      <w:r>
        <w:t>.</w:t>
      </w:r>
      <w:r>
        <w:rPr>
          <w:rFonts w:ascii="Times New Roman" w:hAnsi="Times New Roman"/>
        </w:rPr>
        <w:t xml:space="preserve"> </w:t>
      </w:r>
    </w:p>
  </w:footnote>
  <w:footnote w:id="60">
    <w:p w14:paraId="096357C3" w14:textId="7378CC62" w:rsidR="00902721" w:rsidRPr="00B459D5" w:rsidRDefault="00055DA4" w:rsidP="00E60BE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hyperlink r:id="rId68" w:history="1">
        <w:r w:rsidRPr="00D54BBD">
          <w:rPr>
            <w:rStyle w:val="Hyperlink"/>
            <w:rFonts w:ascii="Times New Roman" w:hAnsi="Times New Roman"/>
          </w:rPr>
          <w:t>Regulamentul de punere în aplicare (UE) 2022/1463 al Comisiei de stabilire a specificațiilor tehnice și operaționale ale sistemului tehnic pentru schimbul transfrontalier automatizat de elemente justificative și aplicarea principiului „doar o singură dată”</w:t>
        </w:r>
      </w:hyperlink>
      <w:r>
        <w:rPr>
          <w:rFonts w:ascii="Times New Roman" w:hAnsi="Times New Roman"/>
        </w:rPr>
        <w:t>.</w:t>
      </w:r>
    </w:p>
  </w:footnote>
  <w:footnote w:id="61">
    <w:p w14:paraId="096357C4" w14:textId="5511868F" w:rsidR="00902721" w:rsidRPr="00B459D5" w:rsidRDefault="00055DA4" w:rsidP="00E60BE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A se vedea nota de subsol </w:t>
      </w:r>
      <w:r w:rsidRPr="00D54BBD">
        <w:rPr>
          <w:rFonts w:ascii="Times New Roman" w:hAnsi="Times New Roman"/>
        </w:rPr>
        <w:t>16</w:t>
      </w:r>
      <w:r>
        <w:rPr>
          <w:rFonts w:ascii="Times New Roman" w:hAnsi="Times New Roman"/>
        </w:rPr>
        <w:t xml:space="preserve"> [</w:t>
      </w:r>
      <w:r w:rsidRPr="00D54BBD">
        <w:rPr>
          <w:rFonts w:ascii="Times New Roman" w:hAnsi="Times New Roman"/>
          <w:i/>
          <w:iCs/>
        </w:rPr>
        <w:t>Report on the cost of underperformance in public administration</w:t>
      </w:r>
      <w:r>
        <w:rPr>
          <w:rFonts w:ascii="Times New Roman" w:hAnsi="Times New Roman"/>
        </w:rPr>
        <w:t xml:space="preserve"> (Raport privind costul unei administrații publice neperformante)].</w:t>
      </w:r>
    </w:p>
  </w:footnote>
  <w:footnote w:id="62">
    <w:p w14:paraId="55812575" w14:textId="4F5CAA51" w:rsidR="004E0542" w:rsidRPr="00B459D5" w:rsidRDefault="004E0542" w:rsidP="00E60B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SWD(</w:t>
      </w:r>
      <w:r w:rsidRPr="00D54BBD">
        <w:rPr>
          <w:rFonts w:ascii="Times New Roman" w:hAnsi="Times New Roman"/>
        </w:rPr>
        <w:t>2022</w:t>
      </w:r>
      <w:r>
        <w:rPr>
          <w:rFonts w:ascii="Times New Roman" w:hAnsi="Times New Roman"/>
        </w:rPr>
        <w:t>) </w:t>
      </w:r>
      <w:r w:rsidRPr="00D54BBD">
        <w:rPr>
          <w:rFonts w:ascii="Times New Roman" w:hAnsi="Times New Roman"/>
        </w:rPr>
        <w:t>721</w:t>
      </w:r>
      <w:r>
        <w:rPr>
          <w:rFonts w:ascii="Times New Roman" w:hAnsi="Times New Roman"/>
        </w:rPr>
        <w:t xml:space="preserve">, </w:t>
      </w:r>
      <w:hyperlink r:id="rId69" w:history="1">
        <w:r w:rsidRPr="00D54BBD">
          <w:rPr>
            <w:rStyle w:val="Hyperlink"/>
            <w:rFonts w:ascii="Times New Roman" w:hAnsi="Times New Roman"/>
            <w:i/>
            <w:iCs/>
          </w:rPr>
          <w:t>Impact Assessment Report for the Interoperable Europe Act proposal</w:t>
        </w:r>
        <w:r w:rsidRPr="00D54BBD">
          <w:rPr>
            <w:rStyle w:val="Hyperlink"/>
            <w:rFonts w:ascii="Times New Roman" w:hAnsi="Times New Roman"/>
          </w:rPr>
          <w:t xml:space="preserve"> (Raport de evaluare a impactului pentru propunerea de Act privind Europa interoperabilă)</w:t>
        </w:r>
      </w:hyperlink>
      <w:r w:rsidRPr="00D54BBD">
        <w:rPr>
          <w:rStyle w:val="Hyperlink"/>
          <w:rFonts w:ascii="Times New Roman" w:hAnsi="Times New Roman"/>
        </w:rPr>
        <w:t>.</w:t>
      </w:r>
    </w:p>
  </w:footnote>
  <w:footnote w:id="63">
    <w:p w14:paraId="5533F740" w14:textId="77777777" w:rsidR="00AA05A9" w:rsidRPr="00947A05" w:rsidRDefault="00AA05A9" w:rsidP="00B15EA9">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r>
        <w:rPr>
          <w:rFonts w:ascii="Times New Roman" w:hAnsi="Times New Roman"/>
        </w:rPr>
        <w:t xml:space="preserve">Cadrul de reglementare în domeniul digital include propunerea de </w:t>
      </w:r>
      <w:hyperlink r:id="rId70" w:history="1">
        <w:r w:rsidRPr="00D54BBD">
          <w:rPr>
            <w:rStyle w:val="Hyperlink"/>
            <w:rFonts w:ascii="Times New Roman" w:hAnsi="Times New Roman"/>
          </w:rPr>
          <w:t>Lege privind datele</w:t>
        </w:r>
      </w:hyperlink>
      <w:r>
        <w:rPr>
          <w:rFonts w:ascii="Times New Roman" w:hAnsi="Times New Roman"/>
        </w:rPr>
        <w:t xml:space="preserve">, </w:t>
      </w:r>
      <w:hyperlink r:id="rId71" w:history="1">
        <w:r w:rsidRPr="00D54BBD">
          <w:rPr>
            <w:rStyle w:val="Hyperlink"/>
            <w:rFonts w:ascii="Times New Roman" w:hAnsi="Times New Roman"/>
          </w:rPr>
          <w:t>Directiva privind datele deschise</w:t>
        </w:r>
      </w:hyperlink>
      <w:r>
        <w:rPr>
          <w:rFonts w:ascii="Times New Roman" w:hAnsi="Times New Roman"/>
        </w:rPr>
        <w:t xml:space="preserve"> și </w:t>
      </w:r>
      <w:hyperlink r:id="rId72" w:history="1">
        <w:r w:rsidRPr="00D54BBD">
          <w:rPr>
            <w:rStyle w:val="Hyperlink"/>
            <w:rFonts w:ascii="Times New Roman" w:hAnsi="Times New Roman"/>
          </w:rPr>
          <w:t>Regulamentul de punere în aplicare conex privind seturile de date cu valoare ridicată</w:t>
        </w:r>
      </w:hyperlink>
      <w:r>
        <w:rPr>
          <w:rFonts w:ascii="Times New Roman" w:hAnsi="Times New Roman"/>
        </w:rPr>
        <w:t xml:space="preserve">, </w:t>
      </w:r>
      <w:hyperlink r:id="rId73" w:history="1">
        <w:r w:rsidRPr="00D54BBD">
          <w:rPr>
            <w:rStyle w:val="Hyperlink"/>
            <w:rFonts w:ascii="Times New Roman" w:hAnsi="Times New Roman"/>
          </w:rPr>
          <w:t>Regulamentul privind guvernanța datelor</w:t>
        </w:r>
      </w:hyperlink>
      <w:r>
        <w:rPr>
          <w:rFonts w:ascii="Times New Roman" w:hAnsi="Times New Roman"/>
        </w:rPr>
        <w:t xml:space="preserve">, propunerea de </w:t>
      </w:r>
      <w:hyperlink r:id="rId74" w:history="1">
        <w:r w:rsidRPr="00D54BBD">
          <w:rPr>
            <w:rStyle w:val="Hyperlink"/>
            <w:rFonts w:ascii="Times New Roman" w:hAnsi="Times New Roman"/>
          </w:rPr>
          <w:t>Lege privind inteligența artificială</w:t>
        </w:r>
      </w:hyperlink>
      <w:r>
        <w:rPr>
          <w:rFonts w:ascii="Times New Roman" w:hAnsi="Times New Roman"/>
        </w:rPr>
        <w:t xml:space="preserve">, propunerea de </w:t>
      </w:r>
      <w:hyperlink r:id="rId75" w:history="1">
        <w:r w:rsidRPr="00D54BBD">
          <w:rPr>
            <w:rStyle w:val="Hyperlink"/>
            <w:rFonts w:ascii="Times New Roman" w:hAnsi="Times New Roman"/>
          </w:rPr>
          <w:t>Act privind Europa interoperabilă</w:t>
        </w:r>
      </w:hyperlink>
      <w:r>
        <w:rPr>
          <w:rFonts w:ascii="Times New Roman" w:hAnsi="Times New Roman"/>
        </w:rPr>
        <w:t>, Regulamentul privind piețele digitale</w:t>
      </w:r>
      <w:hyperlink r:id="rId76" w:history="1"/>
      <w:r>
        <w:rPr>
          <w:rFonts w:ascii="Times New Roman" w:hAnsi="Times New Roman"/>
        </w:rPr>
        <w:t xml:space="preserve"> și </w:t>
      </w:r>
      <w:hyperlink r:id="rId77" w:history="1">
        <w:r w:rsidRPr="00D54BBD">
          <w:rPr>
            <w:rStyle w:val="Hyperlink"/>
            <w:rFonts w:ascii="Times New Roman" w:hAnsi="Times New Roman"/>
          </w:rPr>
          <w:t>Regulamentul privind serviciile digitale</w:t>
        </w:r>
      </w:hyperlink>
      <w:r>
        <w:rPr>
          <w:rFonts w:ascii="Times New Roman" w:hAnsi="Times New Roman"/>
        </w:rPr>
        <w:t>.</w:t>
      </w:r>
    </w:p>
  </w:footnote>
  <w:footnote w:id="64">
    <w:p w14:paraId="41C5D3B4" w14:textId="345DDB0F" w:rsidR="00D2561E" w:rsidRPr="00B536A8" w:rsidRDefault="00D2561E" w:rsidP="00B536A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COM/</w:t>
      </w:r>
      <w:r w:rsidRPr="00D54BBD">
        <w:rPr>
          <w:rFonts w:ascii="Times New Roman" w:hAnsi="Times New Roman"/>
        </w:rPr>
        <w:t>2022</w:t>
      </w:r>
      <w:r>
        <w:rPr>
          <w:rFonts w:ascii="Times New Roman" w:hAnsi="Times New Roman"/>
        </w:rPr>
        <w:t>/</w:t>
      </w:r>
      <w:r w:rsidRPr="00D54BBD">
        <w:rPr>
          <w:rFonts w:ascii="Times New Roman" w:hAnsi="Times New Roman"/>
        </w:rPr>
        <w:t>710</w:t>
      </w:r>
      <w:r>
        <w:rPr>
          <w:rFonts w:ascii="Times New Roman" w:hAnsi="Times New Roman"/>
        </w:rPr>
        <w:t xml:space="preserve"> final, </w:t>
      </w:r>
      <w:hyperlink r:id="rId78" w:history="1">
        <w:r w:rsidRPr="00D54BBD">
          <w:rPr>
            <w:rStyle w:val="Hyperlink"/>
            <w:rFonts w:ascii="Times New Roman" w:hAnsi="Times New Roman"/>
          </w:rPr>
          <w:t>O politică consolidată de interoperabilitate a sectorului public</w:t>
        </w:r>
      </w:hyperlink>
      <w:r>
        <w:rPr>
          <w:rFonts w:ascii="Times New Roman" w:hAnsi="Times New Roman"/>
        </w:rPr>
        <w:t xml:space="preserve">. </w:t>
      </w:r>
    </w:p>
  </w:footnote>
  <w:footnote w:id="65">
    <w:p w14:paraId="21430356" w14:textId="7876887D" w:rsidR="00D21546" w:rsidRPr="00B536A8" w:rsidRDefault="00D21546" w:rsidP="00B536A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9" w:history="1">
        <w:r w:rsidRPr="00D54BBD">
          <w:rPr>
            <w:rStyle w:val="Hyperlink"/>
            <w:rFonts w:ascii="Times New Roman" w:hAnsi="Times New Roman"/>
          </w:rPr>
          <w:t>Directiva (UE) 2022/2555 a Parlamentului European și a Consiliului din 14 decembrie 2022 privind măsuri pentru un nivel comun ridicat de securitate cibernetică în Uniune</w:t>
        </w:r>
      </w:hyperlink>
      <w:r>
        <w:rPr>
          <w:rFonts w:ascii="Times New Roman" w:hAnsi="Times New Roman"/>
        </w:rPr>
        <w:t xml:space="preserve">. </w:t>
      </w:r>
    </w:p>
  </w:footnote>
  <w:footnote w:id="66">
    <w:p w14:paraId="784CDA3B" w14:textId="475EBBAD" w:rsidR="00EF222C" w:rsidRPr="00B536A8" w:rsidRDefault="00EF222C" w:rsidP="00B536A8">
      <w:pPr>
        <w:pStyle w:val="FootnoteText"/>
        <w:jc w:val="both"/>
        <w:rPr>
          <w:rFonts w:ascii="Times New Roman" w:eastAsia="Calibri"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În urma activității recente desfășurate de Centrul Comun de Cercetare al Comisiei Europene cu privire la îmbunătățirea monitorizării interoperabilității și a transformării digitale și la identificarea oportunităților de simplificare a monitorizării la nivel european a politicilor din domeniul digital.</w:t>
      </w:r>
    </w:p>
  </w:footnote>
  <w:footnote w:id="67">
    <w:p w14:paraId="1EC2F71B" w14:textId="1852C486" w:rsidR="00727B1B" w:rsidRPr="00D54BBD" w:rsidRDefault="00727B1B" w:rsidP="00B536A8">
      <w:pPr>
        <w:pStyle w:val="FootnoteText"/>
        <w:jc w:val="both"/>
        <w:rPr>
          <w:rStyle w:val="Hyperlink"/>
          <w:rFonts w:ascii="Times New Roman" w:hAnsi="Times New Roman" w:cs="Times New Roman"/>
        </w:rPr>
      </w:pPr>
      <w:r>
        <w:rPr>
          <w:rStyle w:val="FootnoteReference"/>
          <w:rFonts w:ascii="Times New Roman" w:hAnsi="Times New Roman" w:cs="Times New Roman"/>
          <w:lang w:val="en-GB"/>
        </w:rPr>
        <w:footnoteRef/>
      </w:r>
      <w:r>
        <w:rPr>
          <w:rStyle w:val="FootnoteReference"/>
          <w:rFonts w:ascii="Times New Roman" w:hAnsi="Times New Roman"/>
        </w:rPr>
        <w:t xml:space="preserve"> </w:t>
      </w:r>
      <w:r>
        <w:rPr>
          <w:rFonts w:ascii="Times New Roman" w:hAnsi="Times New Roman"/>
        </w:rPr>
        <w:t xml:space="preserve"> Comisia Europeană, Centrul Comun de Cercetare, </w:t>
      </w:r>
      <w:hyperlink r:id="rId80" w:history="1">
        <w:r w:rsidRPr="00D54BBD">
          <w:rPr>
            <w:rStyle w:val="Hyperlink"/>
            <w:rFonts w:ascii="Times New Roman" w:hAnsi="Times New Roman"/>
            <w:i/>
          </w:rPr>
          <w:t>AI Watch.</w:t>
        </w:r>
      </w:hyperlink>
      <w:hyperlink r:id="rId81" w:history="1">
        <w:r w:rsidRPr="00D54BBD">
          <w:rPr>
            <w:rStyle w:val="Hyperlink"/>
            <w:rFonts w:ascii="Times New Roman" w:hAnsi="Times New Roman"/>
          </w:rPr>
          <w:t xml:space="preserve"> </w:t>
        </w:r>
        <w:r w:rsidRPr="00D54BBD">
          <w:rPr>
            <w:rStyle w:val="Hyperlink"/>
            <w:rFonts w:ascii="Times New Roman" w:hAnsi="Times New Roman"/>
            <w:i/>
          </w:rPr>
          <w:t>European landscape on the use of Artificial Intelligence by the Public Sector</w:t>
        </w:r>
      </w:hyperlink>
      <w:r>
        <w:rPr>
          <w:rFonts w:ascii="Times New Roman" w:hAnsi="Times New Roman"/>
        </w:rPr>
        <w:t xml:space="preserve"> (AI Watch. Peisajul european al utilizării inteligenței artificiale de către sectorul public), </w:t>
      </w:r>
      <w:hyperlink r:id="rId82" w:history="1">
        <w:r w:rsidRPr="00D54BBD">
          <w:rPr>
            <w:rStyle w:val="Hyperlink"/>
            <w:rFonts w:ascii="Times New Roman" w:hAnsi="Times New Roman"/>
            <w:i/>
          </w:rPr>
          <w:t>European Landscape on the Use of Blockchain Technology by the Public Sector</w:t>
        </w:r>
      </w:hyperlink>
      <w:r>
        <w:rPr>
          <w:rFonts w:ascii="Times New Roman" w:hAnsi="Times New Roman"/>
        </w:rPr>
        <w:t xml:space="preserve"> (Peisajul european al utilizării tehnologiei blockchain de către sectorul public) și </w:t>
      </w:r>
      <w:hyperlink r:id="rId83" w:history="1">
        <w:r w:rsidRPr="00D54BBD">
          <w:rPr>
            <w:rStyle w:val="Hyperlink"/>
            <w:rFonts w:ascii="Times New Roman" w:hAnsi="Times New Roman"/>
            <w:i/>
          </w:rPr>
          <w:t>Next generation virtual worlds:</w:t>
        </w:r>
      </w:hyperlink>
      <w:hyperlink r:id="rId84" w:history="1">
        <w:r w:rsidRPr="00D54BBD">
          <w:rPr>
            <w:rStyle w:val="Hyperlink"/>
            <w:rFonts w:ascii="Times New Roman" w:hAnsi="Times New Roman"/>
          </w:rPr>
          <w:t xml:space="preserve"> </w:t>
        </w:r>
        <w:r w:rsidRPr="00D54BBD">
          <w:rPr>
            <w:rStyle w:val="Hyperlink"/>
            <w:rFonts w:ascii="Times New Roman" w:hAnsi="Times New Roman"/>
            <w:i/>
          </w:rPr>
          <w:t>opportunities, challenges, and policy implications</w:t>
        </w:r>
      </w:hyperlink>
      <w:r>
        <w:rPr>
          <w:rFonts w:ascii="Times New Roman" w:hAnsi="Times New Roman"/>
        </w:rPr>
        <w:t xml:space="preserve"> (Următoarea generație de lumi virtuale: oportunități, provocări și implicații politice).</w:t>
      </w:r>
    </w:p>
  </w:footnote>
  <w:footnote w:id="68">
    <w:p w14:paraId="22BA1D6F" w14:textId="5610486B" w:rsidR="00394FF5" w:rsidRPr="00004633" w:rsidRDefault="00394FF5" w:rsidP="00B536A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w:t>
      </w:r>
      <w:hyperlink r:id="rId85" w:history="1">
        <w:r w:rsidRPr="00D54BBD">
          <w:rPr>
            <w:rStyle w:val="Hyperlink"/>
            <w:rFonts w:ascii="Times New Roman" w:hAnsi="Times New Roman"/>
          </w:rPr>
          <w:t>JoinUp</w:t>
        </w:r>
      </w:hyperlink>
      <w:r>
        <w:rPr>
          <w:rFonts w:ascii="Times New Roman" w:hAnsi="Times New Roman"/>
        </w:rPr>
        <w:t>.</w:t>
      </w:r>
    </w:p>
  </w:footnote>
  <w:footnote w:id="69">
    <w:p w14:paraId="236E614E" w14:textId="2CA4ADA2" w:rsidR="00D30536" w:rsidRPr="00B459D5" w:rsidRDefault="00D30536" w:rsidP="00C063B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86" w:history="1">
        <w:r w:rsidRPr="00D54BBD">
          <w:rPr>
            <w:rStyle w:val="Hyperlink"/>
            <w:rFonts w:ascii="Times New Roman" w:hAnsi="Times New Roman"/>
          </w:rPr>
          <w:t>Declarația de la Berlin privind societatea digitală și guvernarea digitală bazată pe valori</w:t>
        </w:r>
      </w:hyperlink>
      <w:r w:rsidRPr="00D54BBD">
        <w:rPr>
          <w:rStyle w:val="Hyperlink"/>
          <w:rFonts w:ascii="Times New Roman" w:hAnsi="Times New Roman"/>
        </w:rPr>
        <w:t>.</w:t>
      </w:r>
    </w:p>
  </w:footnote>
  <w:footnote w:id="70">
    <w:p w14:paraId="53334C20" w14:textId="3A85C716" w:rsidR="000E6542" w:rsidRPr="00B459D5" w:rsidRDefault="000E6542" w:rsidP="000E6542">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hyperlink r:id="rId87" w:history="1">
        <w:r w:rsidRPr="00D54BBD">
          <w:rPr>
            <w:rStyle w:val="Hyperlink"/>
            <w:rFonts w:ascii="Times New Roman" w:hAnsi="Times New Roman"/>
          </w:rPr>
          <w:t>Platforma Joinup.</w:t>
        </w:r>
      </w:hyperlink>
    </w:p>
  </w:footnote>
  <w:footnote w:id="71">
    <w:p w14:paraId="364E4EF8" w14:textId="2E71A2AE" w:rsidR="00922CBD" w:rsidRPr="00B459D5" w:rsidRDefault="00922CBD" w:rsidP="00C063B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8" w:anchor=":~:text=The%20EU%20Single%20Window%20Environment%20for%20Customs%20will%20enable%20interoperability,for%20the%20goods%20clearance%20process." w:history="1">
        <w:r w:rsidRPr="00D54BBD">
          <w:rPr>
            <w:rStyle w:val="Hyperlink"/>
            <w:rFonts w:ascii="Times New Roman" w:hAnsi="Times New Roman"/>
          </w:rPr>
          <w:t>Mediul aferent ghișeului unic al UE pentru vămi</w:t>
        </w:r>
      </w:hyperlink>
      <w:r>
        <w:rPr>
          <w:rFonts w:ascii="Times New Roman" w:hAnsi="Times New Roman"/>
        </w:rPr>
        <w:t xml:space="preserve"> simplifică schimbul electronic de documente și informații necesare pentru procesul de vămuire a mărfurilor; </w:t>
      </w:r>
      <w:hyperlink r:id="rId89" w:history="1">
        <w:r w:rsidRPr="00D54BBD">
          <w:rPr>
            <w:rStyle w:val="Hyperlink"/>
            <w:rFonts w:ascii="Times New Roman" w:hAnsi="Times New Roman"/>
          </w:rPr>
          <w:t>spațiul datelor privind achizițiile publice</w:t>
        </w:r>
      </w:hyperlink>
      <w:r>
        <w:rPr>
          <w:rFonts w:ascii="Times New Roman" w:hAnsi="Times New Roman"/>
        </w:rPr>
        <w:t xml:space="preserve"> facilitează o imagine de ansamblu mai cuprinzătoare a achizițiilor publice din UE; sistemele de identificare, cum ar fi identificatorii europeni de legislație sau de jurisprudență, pentru schimburile transfrontaliere în domeniul juridic.</w:t>
      </w:r>
    </w:p>
  </w:footnote>
  <w:footnote w:id="72">
    <w:p w14:paraId="481B48EF" w14:textId="267F5DF7" w:rsidR="00D2587C" w:rsidRPr="00CA3355" w:rsidRDefault="00D2587C" w:rsidP="00605E2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COM(</w:t>
      </w:r>
      <w:r w:rsidRPr="00D54BBD">
        <w:rPr>
          <w:rFonts w:ascii="Times New Roman" w:hAnsi="Times New Roman"/>
        </w:rPr>
        <w:t>2023</w:t>
      </w:r>
      <w:r>
        <w:rPr>
          <w:rFonts w:ascii="Times New Roman" w:hAnsi="Times New Roman"/>
        </w:rPr>
        <w:t>) </w:t>
      </w:r>
      <w:r w:rsidRPr="00D54BBD">
        <w:rPr>
          <w:rFonts w:ascii="Times New Roman" w:hAnsi="Times New Roman"/>
        </w:rPr>
        <w:t>501</w:t>
      </w:r>
      <w:r>
        <w:rPr>
          <w:rFonts w:ascii="Times New Roman" w:hAnsi="Times New Roman"/>
        </w:rPr>
        <w:t xml:space="preserve"> final, </w:t>
      </w:r>
      <w:hyperlink r:id="rId90" w:history="1">
        <w:r w:rsidRPr="00D54BBD">
          <w:rPr>
            <w:rStyle w:val="Hyperlink"/>
            <w:rFonts w:ascii="Times New Roman" w:hAnsi="Times New Roman"/>
          </w:rPr>
          <w:t>Digitalizarea coordonării sistemelor de securitate socială:</w:t>
        </w:r>
      </w:hyperlink>
      <w:hyperlink r:id="rId91" w:history="1">
        <w:r w:rsidRPr="00D54BBD">
          <w:rPr>
            <w:rStyle w:val="Hyperlink"/>
            <w:rFonts w:ascii="Times New Roman" w:hAnsi="Times New Roman"/>
          </w:rPr>
          <w:t xml:space="preserve"> facilitarea liberei circulații pe piața unică</w:t>
        </w:r>
      </w:hyperlink>
      <w:r>
        <w:rPr>
          <w:rFonts w:ascii="Times New Roman" w:hAnsi="Times New Roman"/>
        </w:rPr>
        <w:t>.</w:t>
      </w:r>
    </w:p>
  </w:footnote>
  <w:footnote w:id="73">
    <w:p w14:paraId="724F3FD7" w14:textId="07A6000E" w:rsidR="002F3D93" w:rsidRPr="00B459D5" w:rsidRDefault="002F3D93" w:rsidP="00C063B5">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Comisia Europeană, SWD(</w:t>
      </w:r>
      <w:r w:rsidRPr="00D54BBD">
        <w:rPr>
          <w:rFonts w:ascii="Times New Roman" w:hAnsi="Times New Roman"/>
        </w:rPr>
        <w:t>2022</w:t>
      </w:r>
      <w:r>
        <w:rPr>
          <w:rFonts w:ascii="Times New Roman" w:hAnsi="Times New Roman"/>
        </w:rPr>
        <w:t xml:space="preserve">) </w:t>
      </w:r>
      <w:r w:rsidRPr="00D54BBD">
        <w:rPr>
          <w:rFonts w:ascii="Times New Roman" w:hAnsi="Times New Roman"/>
        </w:rPr>
        <w:t>45</w:t>
      </w:r>
      <w:r>
        <w:rPr>
          <w:rFonts w:ascii="Times New Roman" w:hAnsi="Times New Roman"/>
        </w:rPr>
        <w:t xml:space="preserve"> final, </w:t>
      </w:r>
      <w:hyperlink r:id="rId92" w:history="1">
        <w:r w:rsidRPr="00D54BBD">
          <w:rPr>
            <w:rStyle w:val="Hyperlink"/>
            <w:rFonts w:ascii="Times New Roman" w:hAnsi="Times New Roman"/>
            <w:i/>
            <w:iCs/>
          </w:rPr>
          <w:t>Common European Data Spaces</w:t>
        </w:r>
      </w:hyperlink>
      <w:r>
        <w:rPr>
          <w:rFonts w:ascii="Times New Roman" w:hAnsi="Times New Roman"/>
        </w:rPr>
        <w:t xml:space="preserve"> (Spațiile europene comune ale datelor).</w:t>
      </w:r>
    </w:p>
  </w:footnote>
  <w:footnote w:id="74">
    <w:p w14:paraId="5B0357B4" w14:textId="66EEE3F7" w:rsidR="000149E5" w:rsidRPr="00B459D5" w:rsidRDefault="000149E5" w:rsidP="00C063B5">
      <w:pPr>
        <w:pStyle w:val="FootnoteText"/>
        <w:jc w:val="both"/>
        <w:rPr>
          <w:rFonts w:ascii="Times New Roman" w:hAnsi="Times New Roman" w:cs="Times New Roman"/>
        </w:rPr>
      </w:pPr>
      <w:r>
        <w:rPr>
          <w:rFonts w:ascii="Times New Roman" w:hAnsi="Times New Roman" w:cs="Times New Roman"/>
          <w:vertAlign w:val="superscript"/>
          <w:lang w:val="en-GB"/>
        </w:rPr>
        <w:footnoteRef/>
      </w:r>
      <w:r>
        <w:rPr>
          <w:rFonts w:ascii="Times New Roman" w:hAnsi="Times New Roman"/>
        </w:rPr>
        <w:t xml:space="preserve"> </w:t>
      </w:r>
      <w:hyperlink r:id="rId93" w:history="1">
        <w:r w:rsidRPr="00D54BBD">
          <w:rPr>
            <w:rStyle w:val="Hyperlink"/>
            <w:rFonts w:ascii="Times New Roman" w:hAnsi="Times New Roman"/>
          </w:rPr>
          <w:t>Regulamentul (UE) 2018/1724 privind înființarea unui portal digital unic (gateway) pentru a oferi acces la informații, la proceduri și la servicii de asistență și de soluționare a problemelor și de modificare a Regulamentului (UE) nr. 1024/2012</w:t>
        </w:r>
      </w:hyperlink>
      <w:r>
        <w:rPr>
          <w:rFonts w:ascii="Times New Roman" w:hAnsi="Times New Roman"/>
        </w:rPr>
        <w:t>.</w:t>
      </w:r>
    </w:p>
  </w:footnote>
  <w:footnote w:id="75">
    <w:p w14:paraId="525F3637" w14:textId="77777777" w:rsidR="00B24BF7" w:rsidRPr="00B459D5" w:rsidRDefault="00B24BF7" w:rsidP="00B24BF7">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vertAlign w:val="superscript"/>
        </w:rPr>
        <w:t xml:space="preserve"> </w:t>
      </w:r>
      <w:r>
        <w:rPr>
          <w:rFonts w:ascii="Times New Roman" w:hAnsi="Times New Roman"/>
        </w:rPr>
        <w:t>În prezent,</w:t>
      </w:r>
      <w:r>
        <w:rPr>
          <w:rFonts w:ascii="Times New Roman" w:hAnsi="Times New Roman"/>
          <w:vertAlign w:val="superscript"/>
        </w:rPr>
        <w:t xml:space="preserve"> </w:t>
      </w:r>
      <w:r>
        <w:rPr>
          <w:rFonts w:ascii="Times New Roman" w:hAnsi="Times New Roman"/>
        </w:rPr>
        <w:t xml:space="preserve">sistemul sprijină </w:t>
      </w:r>
      <w:r w:rsidRPr="00D54BBD">
        <w:rPr>
          <w:rFonts w:ascii="Times New Roman" w:hAnsi="Times New Roman"/>
        </w:rPr>
        <w:t>95</w:t>
      </w:r>
      <w:r>
        <w:rPr>
          <w:rFonts w:ascii="Times New Roman" w:hAnsi="Times New Roman"/>
        </w:rPr>
        <w:t xml:space="preserve"> de proceduri de cooperare administrativă în </w:t>
      </w:r>
      <w:r w:rsidRPr="00D54BBD">
        <w:rPr>
          <w:rFonts w:ascii="Times New Roman" w:hAnsi="Times New Roman"/>
        </w:rPr>
        <w:t>19</w:t>
      </w:r>
      <w:r>
        <w:rPr>
          <w:rFonts w:ascii="Times New Roman" w:hAnsi="Times New Roman"/>
        </w:rPr>
        <w:t xml:space="preserve"> domenii de politică diferite legate de piața unică.</w:t>
      </w:r>
    </w:p>
  </w:footnote>
  <w:footnote w:id="76">
    <w:p w14:paraId="797D7C25" w14:textId="0E74BFE4" w:rsidR="00F153D0" w:rsidRPr="00F153D0" w:rsidRDefault="00F153D0" w:rsidP="00F153D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Anunțată în Strategia europeană privind datele și reiterată în Declarația celor </w:t>
      </w:r>
      <w:r w:rsidRPr="00D54BBD">
        <w:rPr>
          <w:rFonts w:ascii="Times New Roman" w:hAnsi="Times New Roman"/>
        </w:rPr>
        <w:t>27</w:t>
      </w:r>
      <w:r>
        <w:rPr>
          <w:rFonts w:ascii="Times New Roman" w:hAnsi="Times New Roman"/>
        </w:rPr>
        <w:t xml:space="preserve"> de state membre privind construirea serviciilor cloud de nouă generație pentru întreprinderi și sectorul public din UE.</w:t>
      </w:r>
    </w:p>
  </w:footnote>
  <w:footnote w:id="77">
    <w:p w14:paraId="4E524966" w14:textId="77777777" w:rsidR="00BF3F2D" w:rsidRPr="007A1C2A" w:rsidRDefault="00BF3F2D"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Mai multe state membre au prevăzut, în cadrul PNRR-urilor lor, măsuri care vizează „înverzirea” bugetelor, taxarea verde și achizițiile publice verzi.</w:t>
      </w:r>
    </w:p>
  </w:footnote>
  <w:footnote w:id="78">
    <w:p w14:paraId="6460A9F3" w14:textId="77777777" w:rsidR="00BB26F4" w:rsidRPr="00B459D5" w:rsidRDefault="00BB26F4" w:rsidP="00BB26F4">
      <w:pPr>
        <w:pStyle w:val="FootnoteText"/>
        <w:jc w:val="both"/>
        <w:rPr>
          <w:rFonts w:ascii="Times New Roman" w:hAnsi="Times New Roman" w:cs="Times New Roman"/>
        </w:rPr>
      </w:pPr>
      <w:r>
        <w:rPr>
          <w:rStyle w:val="FootnoteReference"/>
          <w:rFonts w:ascii="Times New Roman" w:hAnsi="Times New Roman" w:cs="Times New Roman"/>
          <w:lang w:val="en-GB"/>
        </w:rPr>
        <w:footnoteRef/>
      </w:r>
      <w:r>
        <w:rPr>
          <w:rFonts w:ascii="Times New Roman" w:hAnsi="Times New Roman"/>
        </w:rPr>
        <w:t xml:space="preserve"> </w:t>
      </w:r>
      <w:hyperlink r:id="rId94" w:history="1">
        <w:r w:rsidRPr="00D54BBD">
          <w:rPr>
            <w:rStyle w:val="Hyperlink"/>
            <w:rFonts w:ascii="Times New Roman" w:hAnsi="Times New Roman"/>
          </w:rPr>
          <w:t>Platforma europeană pentru adaptarea la schimbările climatice</w:t>
        </w:r>
      </w:hyperlink>
      <w:r>
        <w:rPr>
          <w:rFonts w:ascii="Times New Roman" w:hAnsi="Times New Roman"/>
        </w:rPr>
        <w:t xml:space="preserve">; </w:t>
      </w:r>
      <w:hyperlink r:id="rId95" w:history="1">
        <w:r w:rsidRPr="00D54BBD">
          <w:rPr>
            <w:rStyle w:val="Hyperlink"/>
            <w:rFonts w:ascii="Times New Roman" w:hAnsi="Times New Roman"/>
          </w:rPr>
          <w:t>misiunea UE:</w:t>
        </w:r>
      </w:hyperlink>
      <w:hyperlink r:id="rId96" w:history="1">
        <w:r w:rsidRPr="00D54BBD">
          <w:rPr>
            <w:rStyle w:val="Hyperlink"/>
            <w:rFonts w:ascii="Times New Roman" w:hAnsi="Times New Roman"/>
          </w:rPr>
          <w:t xml:space="preserve"> orașe inteligente și neutre din punctul de vedere al impactului asupra climei</w:t>
        </w:r>
      </w:hyperlink>
      <w:r>
        <w:rPr>
          <w:rStyle w:val="Hyperlink"/>
          <w:rFonts w:ascii="Times New Roman" w:hAnsi="Times New Roman"/>
          <w:color w:val="auto"/>
          <w:u w:val="none"/>
        </w:rPr>
        <w:t xml:space="preserve">; </w:t>
      </w:r>
      <w:r>
        <w:t xml:space="preserve">inițiativa </w:t>
      </w:r>
      <w:hyperlink r:id="rId97" w:history="1">
        <w:r w:rsidRPr="00D54BBD">
          <w:rPr>
            <w:rStyle w:val="Hyperlink"/>
            <w:rFonts w:ascii="Times New Roman" w:hAnsi="Times New Roman"/>
          </w:rPr>
          <w:t>Convenția primarilor</w:t>
        </w:r>
      </w:hyperlink>
      <w:r>
        <w:rPr>
          <w:rFonts w:ascii="Times New Roman" w:hAnsi="Times New Roman"/>
        </w:rPr>
        <w:t xml:space="preserve">; </w:t>
      </w:r>
      <w:hyperlink r:id="rId98" w:history="1">
        <w:r w:rsidRPr="00D54BBD">
          <w:rPr>
            <w:rStyle w:val="Hyperlink"/>
            <w:rFonts w:ascii="Times New Roman" w:hAnsi="Times New Roman"/>
          </w:rPr>
          <w:t>platformele pentru dialog privind clima și energia</w:t>
        </w:r>
      </w:hyperlink>
      <w:r w:rsidRPr="00D54BBD">
        <w:rPr>
          <w:rStyle w:val="Hyperlink"/>
          <w:rFonts w:ascii="Times New Roman" w:hAnsi="Times New Roman"/>
        </w:rPr>
        <w:t>.</w:t>
      </w:r>
    </w:p>
  </w:footnote>
  <w:footnote w:id="79">
    <w:p w14:paraId="26F7B246" w14:textId="3BB2B759" w:rsidR="000A6949" w:rsidRPr="00B459D5" w:rsidRDefault="000A6949"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Testele de rezistență ale entităților care operează infrastructuri critice în sectorul energetic în temeiul Recomandării </w:t>
      </w:r>
      <w:r w:rsidRPr="00D54BBD">
        <w:rPr>
          <w:rFonts w:ascii="Times New Roman" w:hAnsi="Times New Roman"/>
        </w:rPr>
        <w:t>2023</w:t>
      </w:r>
      <w:r>
        <w:rPr>
          <w:rFonts w:ascii="Times New Roman" w:hAnsi="Times New Roman"/>
        </w:rPr>
        <w:t xml:space="preserve">/C </w:t>
      </w:r>
      <w:r w:rsidRPr="00D54BBD">
        <w:rPr>
          <w:rFonts w:ascii="Times New Roman" w:hAnsi="Times New Roman"/>
        </w:rPr>
        <w:t>20</w:t>
      </w:r>
      <w:r>
        <w:rPr>
          <w:rFonts w:ascii="Times New Roman" w:hAnsi="Times New Roman"/>
        </w:rPr>
        <w:t>/</w:t>
      </w:r>
      <w:r w:rsidRPr="00D54BBD">
        <w:rPr>
          <w:rFonts w:ascii="Times New Roman" w:hAnsi="Times New Roman"/>
        </w:rPr>
        <w:t>01</w:t>
      </w:r>
      <w:r>
        <w:rPr>
          <w:rFonts w:ascii="Times New Roman" w:hAnsi="Times New Roman"/>
        </w:rPr>
        <w:t xml:space="preserve"> a Consiliului ar trebui finalizate până la sfârșitul anului </w:t>
      </w:r>
      <w:r w:rsidRPr="00D54BBD">
        <w:rPr>
          <w:rFonts w:ascii="Times New Roman" w:hAnsi="Times New Roman"/>
        </w:rPr>
        <w:t>2023</w:t>
      </w:r>
      <w:r>
        <w:rPr>
          <w:rFonts w:ascii="Times New Roman" w:hAnsi="Times New Roman"/>
        </w:rPr>
        <w:t>.</w:t>
      </w:r>
    </w:p>
  </w:footnote>
  <w:footnote w:id="80">
    <w:p w14:paraId="0AE78E84" w14:textId="77777777" w:rsidR="00FD765E" w:rsidRPr="00B459D5" w:rsidRDefault="00FD765E"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9" w:history="1">
        <w:r w:rsidRPr="00D54BBD">
          <w:rPr>
            <w:rStyle w:val="Hyperlink"/>
            <w:rFonts w:ascii="Times New Roman" w:hAnsi="Times New Roman"/>
          </w:rPr>
          <w:t>Orientări privind strategiile și planurile de adaptare ale statelor membre</w:t>
        </w:r>
      </w:hyperlink>
      <w:r>
        <w:rPr>
          <w:rFonts w:ascii="Times New Roman" w:hAnsi="Times New Roman"/>
        </w:rPr>
        <w:t>.</w:t>
      </w:r>
    </w:p>
  </w:footnote>
  <w:footnote w:id="81">
    <w:p w14:paraId="29810C52" w14:textId="4ABDAE7D" w:rsidR="00E04B17" w:rsidRPr="007A1C2A" w:rsidRDefault="00E04B17"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0" w:history="1">
        <w:r w:rsidRPr="00D54BBD">
          <w:rPr>
            <w:rStyle w:val="Hyperlink"/>
            <w:rFonts w:ascii="Times New Roman" w:hAnsi="Times New Roman"/>
          </w:rPr>
          <w:t>Evaluarea punerii în aplicare a politicilor de mediu</w:t>
        </w:r>
      </w:hyperlink>
      <w:r>
        <w:rPr>
          <w:rFonts w:ascii="Times New Roman" w:hAnsi="Times New Roman"/>
        </w:rPr>
        <w:t>.</w:t>
      </w:r>
    </w:p>
  </w:footnote>
  <w:footnote w:id="82">
    <w:p w14:paraId="5ABB6B06" w14:textId="2A8AA1C1" w:rsidR="00EB7027" w:rsidRPr="00B459D5" w:rsidRDefault="00EB7027" w:rsidP="00CA33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Europeană, C(</w:t>
      </w:r>
      <w:r w:rsidRPr="00D54BBD">
        <w:rPr>
          <w:rFonts w:ascii="Times New Roman" w:hAnsi="Times New Roman"/>
        </w:rPr>
        <w:t>2022</w:t>
      </w:r>
      <w:r>
        <w:rPr>
          <w:rFonts w:ascii="Times New Roman" w:hAnsi="Times New Roman"/>
        </w:rPr>
        <w:t xml:space="preserve">) </w:t>
      </w:r>
      <w:r w:rsidRPr="00D54BBD">
        <w:rPr>
          <w:rFonts w:ascii="Times New Roman" w:hAnsi="Times New Roman"/>
        </w:rPr>
        <w:t>2230</w:t>
      </w:r>
      <w:r>
        <w:rPr>
          <w:rFonts w:ascii="Times New Roman" w:hAnsi="Times New Roman"/>
        </w:rPr>
        <w:t xml:space="preserve"> final, </w:t>
      </w:r>
      <w:hyperlink r:id="rId101" w:history="1">
        <w:r w:rsidRPr="00D54BBD">
          <w:rPr>
            <w:rStyle w:val="Hyperlink"/>
            <w:rFonts w:ascii="Times New Roman" w:hAnsi="Times New Roman"/>
            <w:i/>
            <w:iCs/>
          </w:rPr>
          <w:t>Greening the Commission</w:t>
        </w:r>
      </w:hyperlink>
      <w:r>
        <w:rPr>
          <w:rFonts w:ascii="Times New Roman" w:hAnsi="Times New Roman"/>
        </w:rPr>
        <w:t xml:space="preserve"> („Înverzirea” Comisiei).</w:t>
      </w:r>
    </w:p>
  </w:footnote>
  <w:footnote w:id="83">
    <w:p w14:paraId="766B9F28" w14:textId="1A6AC916" w:rsidR="00EC36B8" w:rsidRPr="00EF05F2" w:rsidRDefault="00EC36B8" w:rsidP="00CA3355">
      <w:pPr>
        <w:pStyle w:val="FootnoteText"/>
        <w:jc w:val="both"/>
      </w:pPr>
      <w:r>
        <w:rPr>
          <w:rStyle w:val="FootnoteReference"/>
          <w:rFonts w:ascii="Times New Roman" w:hAnsi="Times New Roman" w:cs="Times New Roman"/>
          <w:lang w:val="en-GB"/>
        </w:rPr>
        <w:footnoteRef/>
      </w:r>
      <w:r>
        <w:rPr>
          <w:rFonts w:ascii="Times New Roman" w:hAnsi="Times New Roman"/>
        </w:rPr>
        <w:t xml:space="preserve"> </w:t>
      </w:r>
      <w:hyperlink r:id="rId102" w:history="1">
        <w:r w:rsidRPr="00D54BBD">
          <w:rPr>
            <w:rStyle w:val="Hyperlink"/>
            <w:rFonts w:ascii="Times New Roman" w:hAnsi="Times New Roman"/>
          </w:rPr>
          <w:t>Regulamentul (UE) 2018/1999 privind guvernanța uniunii energetice și a acțiunilor climatice</w:t>
        </w:r>
      </w:hyperlink>
      <w:r>
        <w:rPr>
          <w:rFonts w:ascii="Times New Roman" w:hAnsi="Times New Roman"/>
        </w:rPr>
        <w:t xml:space="preserve"> și Directiva (UE) </w:t>
      </w:r>
      <w:r w:rsidRPr="00D54BBD">
        <w:rPr>
          <w:rFonts w:ascii="Times New Roman" w:hAnsi="Times New Roman"/>
        </w:rPr>
        <w:t>2023</w:t>
      </w:r>
      <w:r>
        <w:rPr>
          <w:rFonts w:ascii="Times New Roman" w:hAnsi="Times New Roman"/>
        </w:rPr>
        <w:t>/</w:t>
      </w:r>
      <w:r w:rsidRPr="00D54BBD">
        <w:rPr>
          <w:rFonts w:ascii="Times New Roman" w:hAnsi="Times New Roman"/>
        </w:rPr>
        <w:t>1791</w:t>
      </w:r>
      <w:r>
        <w:rPr>
          <w:rFonts w:ascii="Times New Roman" w:hAnsi="Times New Roman"/>
        </w:rPr>
        <w:t xml:space="preserve"> a Parlamentului European și a Consiliului privind eficiența energetică.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DECA" w14:textId="77777777" w:rsidR="001174D3" w:rsidRPr="001174D3" w:rsidRDefault="001174D3" w:rsidP="00117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34F0" w14:textId="77777777" w:rsidR="001174D3" w:rsidRPr="001174D3" w:rsidRDefault="001174D3" w:rsidP="001174D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D409" w14:textId="77777777" w:rsidR="001174D3" w:rsidRPr="001174D3" w:rsidRDefault="001174D3" w:rsidP="001174D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5756" w14:textId="77777777" w:rsidR="00902721" w:rsidRDefault="00902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5757" w14:textId="60BB801E" w:rsidR="00902721" w:rsidRDefault="009027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575B" w14:textId="77777777" w:rsidR="00902721" w:rsidRDefault="00902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1128"/>
    <w:multiLevelType w:val="multilevel"/>
    <w:tmpl w:val="949CB0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A43AB3"/>
    <w:multiLevelType w:val="multilevel"/>
    <w:tmpl w:val="DC3453D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960B9"/>
    <w:multiLevelType w:val="hybridMultilevel"/>
    <w:tmpl w:val="D76258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87E50C4"/>
    <w:multiLevelType w:val="multilevel"/>
    <w:tmpl w:val="17DC92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CD560C"/>
    <w:multiLevelType w:val="multilevel"/>
    <w:tmpl w:val="17DC92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2E0C53"/>
    <w:multiLevelType w:val="hybridMultilevel"/>
    <w:tmpl w:val="7012C412"/>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B91043"/>
    <w:multiLevelType w:val="multilevel"/>
    <w:tmpl w:val="1B90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BA4555"/>
    <w:multiLevelType w:val="hybridMultilevel"/>
    <w:tmpl w:val="5EAC6216"/>
    <w:lvl w:ilvl="0" w:tplc="18090001">
      <w:start w:val="1"/>
      <w:numFmt w:val="bullet"/>
      <w:lvlText w:val=""/>
      <w:lvlJc w:val="left"/>
      <w:pPr>
        <w:ind w:left="720" w:hanging="360"/>
      </w:pPr>
      <w:rPr>
        <w:rFonts w:ascii="Symbol" w:hAnsi="Symbol" w:hint="default"/>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4E3C0D"/>
    <w:multiLevelType w:val="multilevel"/>
    <w:tmpl w:val="75166530"/>
    <w:lvl w:ilvl="0">
      <w:start w:val="1"/>
      <w:numFmt w:val="decimal"/>
      <w:lvlText w:val="%1."/>
      <w:lvlJc w:val="left"/>
      <w:pPr>
        <w:ind w:left="360" w:hanging="360"/>
      </w:pPr>
      <w:rPr>
        <w:rFonts w:hint="default"/>
      </w:rPr>
    </w:lvl>
    <w:lvl w:ilvl="1">
      <w:start w:val="1"/>
      <w:numFmt w:val="decimal"/>
      <w:pStyle w:val="Heading2"/>
      <w:lvlText w:val="%1.%2."/>
      <w:lvlJc w:val="left"/>
      <w:pPr>
        <w:ind w:left="785" w:hanging="36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E85718"/>
    <w:multiLevelType w:val="hybridMultilevel"/>
    <w:tmpl w:val="E02ECBBE"/>
    <w:lvl w:ilvl="0" w:tplc="BF1E9272">
      <w:start w:val="1"/>
      <w:numFmt w:val="decimal"/>
      <w:lvlText w:val="%1.1"/>
      <w:lvlJc w:val="left"/>
      <w:pPr>
        <w:ind w:left="720" w:hanging="360"/>
      </w:pPr>
      <w:rPr>
        <w:rFonts w:hint="default"/>
      </w:rPr>
    </w:lvl>
    <w:lvl w:ilvl="1" w:tplc="DC52F580">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4340B6"/>
    <w:multiLevelType w:val="hybridMultilevel"/>
    <w:tmpl w:val="A5AC233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D7740F6"/>
    <w:multiLevelType w:val="hybridMultilevel"/>
    <w:tmpl w:val="C1405AE2"/>
    <w:lvl w:ilvl="0" w:tplc="DC52F580">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7DD10E4"/>
    <w:multiLevelType w:val="hybridMultilevel"/>
    <w:tmpl w:val="B9A0C1EE"/>
    <w:lvl w:ilvl="0" w:tplc="529A3D6E">
      <w:start w:val="1"/>
      <w:numFmt w:val="bullet"/>
      <w:lvlText w:val="·"/>
      <w:lvlJc w:val="left"/>
      <w:pPr>
        <w:ind w:left="720" w:hanging="360"/>
      </w:pPr>
      <w:rPr>
        <w:rFonts w:ascii="Symbol" w:hAnsi="Symbol" w:hint="default"/>
      </w:rPr>
    </w:lvl>
    <w:lvl w:ilvl="1" w:tplc="F5BE2FE4">
      <w:start w:val="1"/>
      <w:numFmt w:val="bullet"/>
      <w:lvlText w:val="o"/>
      <w:lvlJc w:val="left"/>
      <w:pPr>
        <w:ind w:left="1440" w:hanging="360"/>
      </w:pPr>
      <w:rPr>
        <w:rFonts w:ascii="Courier New" w:hAnsi="Courier New" w:hint="default"/>
      </w:rPr>
    </w:lvl>
    <w:lvl w:ilvl="2" w:tplc="8DFC8700">
      <w:start w:val="1"/>
      <w:numFmt w:val="bullet"/>
      <w:lvlText w:val=""/>
      <w:lvlJc w:val="left"/>
      <w:pPr>
        <w:ind w:left="2160" w:hanging="360"/>
      </w:pPr>
      <w:rPr>
        <w:rFonts w:ascii="Wingdings" w:hAnsi="Wingdings" w:hint="default"/>
      </w:rPr>
    </w:lvl>
    <w:lvl w:ilvl="3" w:tplc="8F6A775E">
      <w:start w:val="1"/>
      <w:numFmt w:val="bullet"/>
      <w:lvlText w:val=""/>
      <w:lvlJc w:val="left"/>
      <w:pPr>
        <w:ind w:left="2880" w:hanging="360"/>
      </w:pPr>
      <w:rPr>
        <w:rFonts w:ascii="Symbol" w:hAnsi="Symbol" w:hint="default"/>
      </w:rPr>
    </w:lvl>
    <w:lvl w:ilvl="4" w:tplc="D8B2A7A6">
      <w:start w:val="1"/>
      <w:numFmt w:val="bullet"/>
      <w:lvlText w:val="o"/>
      <w:lvlJc w:val="left"/>
      <w:pPr>
        <w:ind w:left="3600" w:hanging="360"/>
      </w:pPr>
      <w:rPr>
        <w:rFonts w:ascii="Courier New" w:hAnsi="Courier New" w:hint="default"/>
      </w:rPr>
    </w:lvl>
    <w:lvl w:ilvl="5" w:tplc="2B70B75A">
      <w:start w:val="1"/>
      <w:numFmt w:val="bullet"/>
      <w:lvlText w:val=""/>
      <w:lvlJc w:val="left"/>
      <w:pPr>
        <w:ind w:left="4320" w:hanging="360"/>
      </w:pPr>
      <w:rPr>
        <w:rFonts w:ascii="Wingdings" w:hAnsi="Wingdings" w:hint="default"/>
      </w:rPr>
    </w:lvl>
    <w:lvl w:ilvl="6" w:tplc="93C694C2">
      <w:start w:val="1"/>
      <w:numFmt w:val="bullet"/>
      <w:lvlText w:val=""/>
      <w:lvlJc w:val="left"/>
      <w:pPr>
        <w:ind w:left="5040" w:hanging="360"/>
      </w:pPr>
      <w:rPr>
        <w:rFonts w:ascii="Symbol" w:hAnsi="Symbol" w:hint="default"/>
      </w:rPr>
    </w:lvl>
    <w:lvl w:ilvl="7" w:tplc="4588FF80">
      <w:start w:val="1"/>
      <w:numFmt w:val="bullet"/>
      <w:lvlText w:val="o"/>
      <w:lvlJc w:val="left"/>
      <w:pPr>
        <w:ind w:left="5760" w:hanging="360"/>
      </w:pPr>
      <w:rPr>
        <w:rFonts w:ascii="Courier New" w:hAnsi="Courier New" w:hint="default"/>
      </w:rPr>
    </w:lvl>
    <w:lvl w:ilvl="8" w:tplc="5FD294C4">
      <w:start w:val="1"/>
      <w:numFmt w:val="bullet"/>
      <w:lvlText w:val=""/>
      <w:lvlJc w:val="left"/>
      <w:pPr>
        <w:ind w:left="6480" w:hanging="360"/>
      </w:pPr>
      <w:rPr>
        <w:rFonts w:ascii="Wingdings" w:hAnsi="Wingdings" w:hint="default"/>
      </w:rPr>
    </w:lvl>
  </w:abstractNum>
  <w:abstractNum w:abstractNumId="13" w15:restartNumberingAfterBreak="0">
    <w:nsid w:val="78232F4B"/>
    <w:multiLevelType w:val="multilevel"/>
    <w:tmpl w:val="FB0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2045E5"/>
    <w:multiLevelType w:val="hybridMultilevel"/>
    <w:tmpl w:val="6C4CF87A"/>
    <w:lvl w:ilvl="0" w:tplc="3312B684">
      <w:start w:val="1"/>
      <w:numFmt w:val="decimal"/>
      <w:lvlText w:val="%1."/>
      <w:lvlJc w:val="left"/>
      <w:pPr>
        <w:ind w:left="1145" w:hanging="360"/>
      </w:pPr>
      <w:rPr>
        <w:rFonts w:hint="default"/>
      </w:r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5" w15:restartNumberingAfterBreak="0">
    <w:nsid w:val="7CD71840"/>
    <w:multiLevelType w:val="multilevel"/>
    <w:tmpl w:val="17DC92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6"/>
  </w:num>
  <w:num w:numId="4">
    <w:abstractNumId w:val="12"/>
  </w:num>
  <w:num w:numId="5">
    <w:abstractNumId w:val="8"/>
  </w:num>
  <w:num w:numId="6">
    <w:abstractNumId w:val="3"/>
  </w:num>
  <w:num w:numId="7">
    <w:abstractNumId w:val="1"/>
  </w:num>
  <w:num w:numId="8">
    <w:abstractNumId w:val="10"/>
  </w:num>
  <w:num w:numId="9">
    <w:abstractNumId w:val="15"/>
  </w:num>
  <w:num w:numId="10">
    <w:abstractNumId w:val="5"/>
  </w:num>
  <w:num w:numId="11">
    <w:abstractNumId w:val="11"/>
  </w:num>
  <w:num w:numId="12">
    <w:abstractNumId w:val="4"/>
  </w:num>
  <w:num w:numId="13">
    <w:abstractNumId w:val="9"/>
  </w:num>
  <w:num w:numId="14">
    <w:abstractNumId w:val="7"/>
  </w:num>
  <w:num w:numId="15">
    <w:abstractNumId w:val="14"/>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cumentProtection w:edit="readOnly"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4FAF02C-16BF-4B7C-B429-4B0ED65F8722"/>
    <w:docVar w:name="LW_COVERPAGE_TYPE" w:val="1"/>
    <w:docVar w:name="LW_CROSSREFERENCE" w:val="&lt;UNUSED&gt;"/>
    <w:docVar w:name="LW_DocType" w:val="NORMAL"/>
    <w:docVar w:name="LW_EMISSION" w:val="25.10.2023"/>
    <w:docVar w:name="LW_EMISSION_ISODATE" w:val="2023-10-25"/>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66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nsolidarea spațiului administrativ european (ComPAct)_x000b_"/>
    <w:docVar w:name="LW_TYPE.DOC.CP" w:val="COMUNICARE A COMISIEI CĂTRE PARLAMENTUL EUROPEAN, CONSILIU, COMITETUL ECONOMIC ȘI SOCIAL EUROPEAN ȘI COMITETUL REGIUNILOR"/>
    <w:docVar w:name="LW_TYPE.DOC.CP.USERTEXT" w:val="&lt;EMPTY&gt;"/>
    <w:docVar w:name="LwApiVersions" w:val="LW4CoDe 1.23.2.0; LW 8.0, Build 20211117"/>
  </w:docVars>
  <w:rsids>
    <w:rsidRoot w:val="00902721"/>
    <w:rsid w:val="00000119"/>
    <w:rsid w:val="0000139D"/>
    <w:rsid w:val="0000217F"/>
    <w:rsid w:val="00003B21"/>
    <w:rsid w:val="00004633"/>
    <w:rsid w:val="000059A3"/>
    <w:rsid w:val="00006BAB"/>
    <w:rsid w:val="00007A67"/>
    <w:rsid w:val="00007FA9"/>
    <w:rsid w:val="00010A40"/>
    <w:rsid w:val="00010BC2"/>
    <w:rsid w:val="00011B3D"/>
    <w:rsid w:val="00011D25"/>
    <w:rsid w:val="0001200E"/>
    <w:rsid w:val="00012179"/>
    <w:rsid w:val="000129BF"/>
    <w:rsid w:val="00012B9C"/>
    <w:rsid w:val="000133CF"/>
    <w:rsid w:val="000141B0"/>
    <w:rsid w:val="0001431D"/>
    <w:rsid w:val="000143B1"/>
    <w:rsid w:val="000149D3"/>
    <w:rsid w:val="000149E5"/>
    <w:rsid w:val="00014B20"/>
    <w:rsid w:val="00014CEE"/>
    <w:rsid w:val="000153DB"/>
    <w:rsid w:val="000166BC"/>
    <w:rsid w:val="00017ECB"/>
    <w:rsid w:val="000215C8"/>
    <w:rsid w:val="00023032"/>
    <w:rsid w:val="00023E0A"/>
    <w:rsid w:val="000240D1"/>
    <w:rsid w:val="00024286"/>
    <w:rsid w:val="00024DAC"/>
    <w:rsid w:val="00024E1D"/>
    <w:rsid w:val="000252AD"/>
    <w:rsid w:val="00025EB6"/>
    <w:rsid w:val="000261B4"/>
    <w:rsid w:val="00026314"/>
    <w:rsid w:val="000264A5"/>
    <w:rsid w:val="00026711"/>
    <w:rsid w:val="00026763"/>
    <w:rsid w:val="000267F1"/>
    <w:rsid w:val="00030A7A"/>
    <w:rsid w:val="00031A2F"/>
    <w:rsid w:val="0003258D"/>
    <w:rsid w:val="00033B89"/>
    <w:rsid w:val="00034D7C"/>
    <w:rsid w:val="00036DF3"/>
    <w:rsid w:val="00037218"/>
    <w:rsid w:val="00040454"/>
    <w:rsid w:val="0004066E"/>
    <w:rsid w:val="0004106A"/>
    <w:rsid w:val="0004144C"/>
    <w:rsid w:val="00041544"/>
    <w:rsid w:val="000418AB"/>
    <w:rsid w:val="0004192C"/>
    <w:rsid w:val="000425F5"/>
    <w:rsid w:val="000426E7"/>
    <w:rsid w:val="000428F0"/>
    <w:rsid w:val="00042917"/>
    <w:rsid w:val="00042CB2"/>
    <w:rsid w:val="00043067"/>
    <w:rsid w:val="000443C7"/>
    <w:rsid w:val="000448D6"/>
    <w:rsid w:val="00044956"/>
    <w:rsid w:val="00044E4F"/>
    <w:rsid w:val="00045518"/>
    <w:rsid w:val="00045D90"/>
    <w:rsid w:val="000461FE"/>
    <w:rsid w:val="0004669C"/>
    <w:rsid w:val="00046BB0"/>
    <w:rsid w:val="00046C67"/>
    <w:rsid w:val="00047036"/>
    <w:rsid w:val="00047063"/>
    <w:rsid w:val="0004707F"/>
    <w:rsid w:val="00047B3A"/>
    <w:rsid w:val="00047D7A"/>
    <w:rsid w:val="00047DD0"/>
    <w:rsid w:val="0005002F"/>
    <w:rsid w:val="0005023D"/>
    <w:rsid w:val="00050438"/>
    <w:rsid w:val="00050B8A"/>
    <w:rsid w:val="00052560"/>
    <w:rsid w:val="00054008"/>
    <w:rsid w:val="00054A1A"/>
    <w:rsid w:val="00054C58"/>
    <w:rsid w:val="00055CBD"/>
    <w:rsid w:val="00055DA4"/>
    <w:rsid w:val="00060020"/>
    <w:rsid w:val="000616EC"/>
    <w:rsid w:val="00061E36"/>
    <w:rsid w:val="00063296"/>
    <w:rsid w:val="000660F0"/>
    <w:rsid w:val="000677C1"/>
    <w:rsid w:val="000724DE"/>
    <w:rsid w:val="00072678"/>
    <w:rsid w:val="00072768"/>
    <w:rsid w:val="00072D33"/>
    <w:rsid w:val="00073290"/>
    <w:rsid w:val="0007374E"/>
    <w:rsid w:val="00073CB6"/>
    <w:rsid w:val="000743CC"/>
    <w:rsid w:val="00074649"/>
    <w:rsid w:val="00075246"/>
    <w:rsid w:val="0007581A"/>
    <w:rsid w:val="00075CD0"/>
    <w:rsid w:val="0007621A"/>
    <w:rsid w:val="000765A1"/>
    <w:rsid w:val="00076BD4"/>
    <w:rsid w:val="000773E2"/>
    <w:rsid w:val="000773F9"/>
    <w:rsid w:val="00077B9C"/>
    <w:rsid w:val="00080192"/>
    <w:rsid w:val="000810C1"/>
    <w:rsid w:val="000815F8"/>
    <w:rsid w:val="00081774"/>
    <w:rsid w:val="00081B53"/>
    <w:rsid w:val="00081F34"/>
    <w:rsid w:val="00082110"/>
    <w:rsid w:val="00082E04"/>
    <w:rsid w:val="00083549"/>
    <w:rsid w:val="0008466A"/>
    <w:rsid w:val="00084987"/>
    <w:rsid w:val="000859AC"/>
    <w:rsid w:val="00085EC7"/>
    <w:rsid w:val="00086B88"/>
    <w:rsid w:val="000907D2"/>
    <w:rsid w:val="000910A6"/>
    <w:rsid w:val="00091533"/>
    <w:rsid w:val="000916F7"/>
    <w:rsid w:val="0009198C"/>
    <w:rsid w:val="00091FFE"/>
    <w:rsid w:val="00092134"/>
    <w:rsid w:val="00092B6D"/>
    <w:rsid w:val="00092CBA"/>
    <w:rsid w:val="00093359"/>
    <w:rsid w:val="00093AC5"/>
    <w:rsid w:val="00094E1D"/>
    <w:rsid w:val="000975FC"/>
    <w:rsid w:val="00097CE8"/>
    <w:rsid w:val="000A1078"/>
    <w:rsid w:val="000A3187"/>
    <w:rsid w:val="000A3A82"/>
    <w:rsid w:val="000A3DE3"/>
    <w:rsid w:val="000A487B"/>
    <w:rsid w:val="000A4D92"/>
    <w:rsid w:val="000A536D"/>
    <w:rsid w:val="000A5674"/>
    <w:rsid w:val="000A5839"/>
    <w:rsid w:val="000A5B90"/>
    <w:rsid w:val="000A6949"/>
    <w:rsid w:val="000A6B34"/>
    <w:rsid w:val="000A72BB"/>
    <w:rsid w:val="000A79F7"/>
    <w:rsid w:val="000B0051"/>
    <w:rsid w:val="000B05B8"/>
    <w:rsid w:val="000B0A9D"/>
    <w:rsid w:val="000B147A"/>
    <w:rsid w:val="000B1A7A"/>
    <w:rsid w:val="000B2500"/>
    <w:rsid w:val="000B3590"/>
    <w:rsid w:val="000B3AE1"/>
    <w:rsid w:val="000B4469"/>
    <w:rsid w:val="000B48EE"/>
    <w:rsid w:val="000B61D4"/>
    <w:rsid w:val="000B7C13"/>
    <w:rsid w:val="000B7D26"/>
    <w:rsid w:val="000B7E94"/>
    <w:rsid w:val="000C0009"/>
    <w:rsid w:val="000C02C1"/>
    <w:rsid w:val="000C0780"/>
    <w:rsid w:val="000C11B5"/>
    <w:rsid w:val="000C247D"/>
    <w:rsid w:val="000C3A68"/>
    <w:rsid w:val="000C3C34"/>
    <w:rsid w:val="000C42DB"/>
    <w:rsid w:val="000C4304"/>
    <w:rsid w:val="000C4341"/>
    <w:rsid w:val="000C6F65"/>
    <w:rsid w:val="000C6FAF"/>
    <w:rsid w:val="000C7257"/>
    <w:rsid w:val="000C73A3"/>
    <w:rsid w:val="000C7AB8"/>
    <w:rsid w:val="000C7E6D"/>
    <w:rsid w:val="000D07F9"/>
    <w:rsid w:val="000D1347"/>
    <w:rsid w:val="000D1A93"/>
    <w:rsid w:val="000D1BE4"/>
    <w:rsid w:val="000D1CA8"/>
    <w:rsid w:val="000D1FAA"/>
    <w:rsid w:val="000D2676"/>
    <w:rsid w:val="000D353E"/>
    <w:rsid w:val="000D4B83"/>
    <w:rsid w:val="000D5607"/>
    <w:rsid w:val="000D652B"/>
    <w:rsid w:val="000D6540"/>
    <w:rsid w:val="000D6CE8"/>
    <w:rsid w:val="000D6F93"/>
    <w:rsid w:val="000D7797"/>
    <w:rsid w:val="000E00EB"/>
    <w:rsid w:val="000E0E09"/>
    <w:rsid w:val="000E1848"/>
    <w:rsid w:val="000E1EBC"/>
    <w:rsid w:val="000E3361"/>
    <w:rsid w:val="000E3419"/>
    <w:rsid w:val="000E39D0"/>
    <w:rsid w:val="000E5979"/>
    <w:rsid w:val="000E6542"/>
    <w:rsid w:val="000E688F"/>
    <w:rsid w:val="000E72AC"/>
    <w:rsid w:val="000E7CB6"/>
    <w:rsid w:val="000E7FDD"/>
    <w:rsid w:val="000F041E"/>
    <w:rsid w:val="000F047B"/>
    <w:rsid w:val="000F0AEB"/>
    <w:rsid w:val="000F0EE6"/>
    <w:rsid w:val="000F17B0"/>
    <w:rsid w:val="000F1D9F"/>
    <w:rsid w:val="000F244F"/>
    <w:rsid w:val="000F39E7"/>
    <w:rsid w:val="000F5053"/>
    <w:rsid w:val="000F5185"/>
    <w:rsid w:val="000F59AD"/>
    <w:rsid w:val="000F5AF9"/>
    <w:rsid w:val="000F5C4A"/>
    <w:rsid w:val="000F6EF9"/>
    <w:rsid w:val="000F759C"/>
    <w:rsid w:val="000F7B6C"/>
    <w:rsid w:val="00102B7C"/>
    <w:rsid w:val="00103685"/>
    <w:rsid w:val="001044C5"/>
    <w:rsid w:val="00104B41"/>
    <w:rsid w:val="00105D48"/>
    <w:rsid w:val="00106633"/>
    <w:rsid w:val="00106702"/>
    <w:rsid w:val="00106838"/>
    <w:rsid w:val="00106FE9"/>
    <w:rsid w:val="00107E8D"/>
    <w:rsid w:val="00110CDF"/>
    <w:rsid w:val="00111737"/>
    <w:rsid w:val="00111F03"/>
    <w:rsid w:val="001122F7"/>
    <w:rsid w:val="001128BC"/>
    <w:rsid w:val="00112A8C"/>
    <w:rsid w:val="00112C6F"/>
    <w:rsid w:val="00112DF4"/>
    <w:rsid w:val="001135B7"/>
    <w:rsid w:val="00113AE0"/>
    <w:rsid w:val="00113DBC"/>
    <w:rsid w:val="00113E0E"/>
    <w:rsid w:val="001141FC"/>
    <w:rsid w:val="00114956"/>
    <w:rsid w:val="00116A5F"/>
    <w:rsid w:val="00116EA3"/>
    <w:rsid w:val="001174D3"/>
    <w:rsid w:val="00117E53"/>
    <w:rsid w:val="00117FF8"/>
    <w:rsid w:val="00120A19"/>
    <w:rsid w:val="00120B1D"/>
    <w:rsid w:val="001217A4"/>
    <w:rsid w:val="00122FA1"/>
    <w:rsid w:val="00124FDB"/>
    <w:rsid w:val="00126E3D"/>
    <w:rsid w:val="001272A7"/>
    <w:rsid w:val="001274D2"/>
    <w:rsid w:val="00130088"/>
    <w:rsid w:val="00130158"/>
    <w:rsid w:val="001302C5"/>
    <w:rsid w:val="00130A70"/>
    <w:rsid w:val="00131A98"/>
    <w:rsid w:val="0013234F"/>
    <w:rsid w:val="0013247F"/>
    <w:rsid w:val="0013261D"/>
    <w:rsid w:val="00132E24"/>
    <w:rsid w:val="00133682"/>
    <w:rsid w:val="00134027"/>
    <w:rsid w:val="001349B1"/>
    <w:rsid w:val="00135205"/>
    <w:rsid w:val="00137FDA"/>
    <w:rsid w:val="001400FB"/>
    <w:rsid w:val="00140119"/>
    <w:rsid w:val="00140BBF"/>
    <w:rsid w:val="001416CD"/>
    <w:rsid w:val="00141D8E"/>
    <w:rsid w:val="0014256C"/>
    <w:rsid w:val="00143301"/>
    <w:rsid w:val="00143883"/>
    <w:rsid w:val="00144948"/>
    <w:rsid w:val="0014507C"/>
    <w:rsid w:val="0014518B"/>
    <w:rsid w:val="001475A1"/>
    <w:rsid w:val="00147EB3"/>
    <w:rsid w:val="001501D4"/>
    <w:rsid w:val="0015022E"/>
    <w:rsid w:val="001502F4"/>
    <w:rsid w:val="00151632"/>
    <w:rsid w:val="001518F0"/>
    <w:rsid w:val="00151BA1"/>
    <w:rsid w:val="0015253C"/>
    <w:rsid w:val="00152F51"/>
    <w:rsid w:val="00153948"/>
    <w:rsid w:val="001549F0"/>
    <w:rsid w:val="00154A64"/>
    <w:rsid w:val="0015699E"/>
    <w:rsid w:val="001570E5"/>
    <w:rsid w:val="00162284"/>
    <w:rsid w:val="00162F75"/>
    <w:rsid w:val="00163D38"/>
    <w:rsid w:val="0016434F"/>
    <w:rsid w:val="001648FF"/>
    <w:rsid w:val="00165A95"/>
    <w:rsid w:val="00167D3D"/>
    <w:rsid w:val="00167DD1"/>
    <w:rsid w:val="001708D4"/>
    <w:rsid w:val="00170955"/>
    <w:rsid w:val="00170C95"/>
    <w:rsid w:val="00170D2D"/>
    <w:rsid w:val="00171099"/>
    <w:rsid w:val="00171530"/>
    <w:rsid w:val="001722C3"/>
    <w:rsid w:val="001730A2"/>
    <w:rsid w:val="00173A2F"/>
    <w:rsid w:val="0017561A"/>
    <w:rsid w:val="00176061"/>
    <w:rsid w:val="0017606A"/>
    <w:rsid w:val="001767DF"/>
    <w:rsid w:val="00176905"/>
    <w:rsid w:val="00176E76"/>
    <w:rsid w:val="00181793"/>
    <w:rsid w:val="00182C69"/>
    <w:rsid w:val="00182E74"/>
    <w:rsid w:val="001835D5"/>
    <w:rsid w:val="00183B3F"/>
    <w:rsid w:val="00183E75"/>
    <w:rsid w:val="00184359"/>
    <w:rsid w:val="00184B4A"/>
    <w:rsid w:val="0018500C"/>
    <w:rsid w:val="0018582C"/>
    <w:rsid w:val="00185B03"/>
    <w:rsid w:val="0018650E"/>
    <w:rsid w:val="0018665F"/>
    <w:rsid w:val="00187EC4"/>
    <w:rsid w:val="00187F72"/>
    <w:rsid w:val="00190353"/>
    <w:rsid w:val="0019167B"/>
    <w:rsid w:val="001918E8"/>
    <w:rsid w:val="00191DE5"/>
    <w:rsid w:val="001927B6"/>
    <w:rsid w:val="0019445C"/>
    <w:rsid w:val="00196B3C"/>
    <w:rsid w:val="00196E4B"/>
    <w:rsid w:val="001970EA"/>
    <w:rsid w:val="001978AC"/>
    <w:rsid w:val="001A1655"/>
    <w:rsid w:val="001A18D0"/>
    <w:rsid w:val="001A19AB"/>
    <w:rsid w:val="001A26DD"/>
    <w:rsid w:val="001A29C6"/>
    <w:rsid w:val="001A3543"/>
    <w:rsid w:val="001A3DAE"/>
    <w:rsid w:val="001A406F"/>
    <w:rsid w:val="001A4B97"/>
    <w:rsid w:val="001A4E85"/>
    <w:rsid w:val="001A56C5"/>
    <w:rsid w:val="001A5F9A"/>
    <w:rsid w:val="001A7577"/>
    <w:rsid w:val="001A7797"/>
    <w:rsid w:val="001A789E"/>
    <w:rsid w:val="001B014C"/>
    <w:rsid w:val="001B1996"/>
    <w:rsid w:val="001B21AD"/>
    <w:rsid w:val="001B296A"/>
    <w:rsid w:val="001B2AAF"/>
    <w:rsid w:val="001B4576"/>
    <w:rsid w:val="001B5014"/>
    <w:rsid w:val="001B52FD"/>
    <w:rsid w:val="001B588F"/>
    <w:rsid w:val="001B65F7"/>
    <w:rsid w:val="001B757A"/>
    <w:rsid w:val="001B7A6B"/>
    <w:rsid w:val="001B7BFF"/>
    <w:rsid w:val="001C0983"/>
    <w:rsid w:val="001C0C34"/>
    <w:rsid w:val="001C1160"/>
    <w:rsid w:val="001C19B5"/>
    <w:rsid w:val="001C2287"/>
    <w:rsid w:val="001C2879"/>
    <w:rsid w:val="001C28B9"/>
    <w:rsid w:val="001C371D"/>
    <w:rsid w:val="001C4041"/>
    <w:rsid w:val="001C4600"/>
    <w:rsid w:val="001C4950"/>
    <w:rsid w:val="001C4AC8"/>
    <w:rsid w:val="001C5352"/>
    <w:rsid w:val="001C5BA5"/>
    <w:rsid w:val="001C64A8"/>
    <w:rsid w:val="001C7CFB"/>
    <w:rsid w:val="001D0A67"/>
    <w:rsid w:val="001D0B98"/>
    <w:rsid w:val="001D0BE7"/>
    <w:rsid w:val="001D0C5F"/>
    <w:rsid w:val="001D2459"/>
    <w:rsid w:val="001D27E5"/>
    <w:rsid w:val="001D2CC1"/>
    <w:rsid w:val="001D3A97"/>
    <w:rsid w:val="001D513F"/>
    <w:rsid w:val="001D5150"/>
    <w:rsid w:val="001D5160"/>
    <w:rsid w:val="001D5647"/>
    <w:rsid w:val="001D57E7"/>
    <w:rsid w:val="001D5C27"/>
    <w:rsid w:val="001D63FA"/>
    <w:rsid w:val="001D6754"/>
    <w:rsid w:val="001D797D"/>
    <w:rsid w:val="001E05B4"/>
    <w:rsid w:val="001E10C6"/>
    <w:rsid w:val="001E2097"/>
    <w:rsid w:val="001E23C5"/>
    <w:rsid w:val="001E27F6"/>
    <w:rsid w:val="001E318A"/>
    <w:rsid w:val="001E3367"/>
    <w:rsid w:val="001E418D"/>
    <w:rsid w:val="001E42D7"/>
    <w:rsid w:val="001E44CD"/>
    <w:rsid w:val="001E5AAA"/>
    <w:rsid w:val="001E6627"/>
    <w:rsid w:val="001E6E15"/>
    <w:rsid w:val="001F079E"/>
    <w:rsid w:val="001F07BA"/>
    <w:rsid w:val="001F1219"/>
    <w:rsid w:val="001F1B9D"/>
    <w:rsid w:val="001F1F9C"/>
    <w:rsid w:val="001F2C23"/>
    <w:rsid w:val="001F3120"/>
    <w:rsid w:val="001F3FD2"/>
    <w:rsid w:val="001F5F1D"/>
    <w:rsid w:val="001F6EFB"/>
    <w:rsid w:val="002002F6"/>
    <w:rsid w:val="002008E9"/>
    <w:rsid w:val="002013FA"/>
    <w:rsid w:val="0020235E"/>
    <w:rsid w:val="002027D2"/>
    <w:rsid w:val="002052D3"/>
    <w:rsid w:val="00206E2F"/>
    <w:rsid w:val="00207EDD"/>
    <w:rsid w:val="0021068A"/>
    <w:rsid w:val="00210724"/>
    <w:rsid w:val="002113E7"/>
    <w:rsid w:val="002121AA"/>
    <w:rsid w:val="002122A5"/>
    <w:rsid w:val="00212730"/>
    <w:rsid w:val="00212E17"/>
    <w:rsid w:val="002133F5"/>
    <w:rsid w:val="002138EE"/>
    <w:rsid w:val="0021480D"/>
    <w:rsid w:val="00215B9E"/>
    <w:rsid w:val="00217299"/>
    <w:rsid w:val="002177B6"/>
    <w:rsid w:val="00217F41"/>
    <w:rsid w:val="00221C3A"/>
    <w:rsid w:val="002241F9"/>
    <w:rsid w:val="002245E9"/>
    <w:rsid w:val="00224AF0"/>
    <w:rsid w:val="00224EB2"/>
    <w:rsid w:val="00225E18"/>
    <w:rsid w:val="00225F0C"/>
    <w:rsid w:val="00226100"/>
    <w:rsid w:val="00227220"/>
    <w:rsid w:val="002309BB"/>
    <w:rsid w:val="00230E11"/>
    <w:rsid w:val="00231B00"/>
    <w:rsid w:val="00231CF1"/>
    <w:rsid w:val="00232B31"/>
    <w:rsid w:val="00233370"/>
    <w:rsid w:val="0023365C"/>
    <w:rsid w:val="00233709"/>
    <w:rsid w:val="002345EB"/>
    <w:rsid w:val="00234C96"/>
    <w:rsid w:val="00235CAC"/>
    <w:rsid w:val="00235D16"/>
    <w:rsid w:val="00236167"/>
    <w:rsid w:val="00236FD5"/>
    <w:rsid w:val="00236FE4"/>
    <w:rsid w:val="00237181"/>
    <w:rsid w:val="00237EB4"/>
    <w:rsid w:val="00240809"/>
    <w:rsid w:val="00241177"/>
    <w:rsid w:val="00243096"/>
    <w:rsid w:val="00243CBC"/>
    <w:rsid w:val="00244A20"/>
    <w:rsid w:val="00244A87"/>
    <w:rsid w:val="00245FE2"/>
    <w:rsid w:val="00246F9C"/>
    <w:rsid w:val="00247014"/>
    <w:rsid w:val="00247450"/>
    <w:rsid w:val="00250611"/>
    <w:rsid w:val="002508E6"/>
    <w:rsid w:val="00250A0C"/>
    <w:rsid w:val="00251DF3"/>
    <w:rsid w:val="00253103"/>
    <w:rsid w:val="00253419"/>
    <w:rsid w:val="00254240"/>
    <w:rsid w:val="002544A8"/>
    <w:rsid w:val="00254BCA"/>
    <w:rsid w:val="00254C0A"/>
    <w:rsid w:val="0025600D"/>
    <w:rsid w:val="00256D32"/>
    <w:rsid w:val="00257105"/>
    <w:rsid w:val="00260B22"/>
    <w:rsid w:val="00260D89"/>
    <w:rsid w:val="002611F5"/>
    <w:rsid w:val="002613E6"/>
    <w:rsid w:val="0026149B"/>
    <w:rsid w:val="00261BB4"/>
    <w:rsid w:val="00262C25"/>
    <w:rsid w:val="002631ED"/>
    <w:rsid w:val="0026391F"/>
    <w:rsid w:val="00265830"/>
    <w:rsid w:val="00270274"/>
    <w:rsid w:val="002704F9"/>
    <w:rsid w:val="00270AB6"/>
    <w:rsid w:val="00270CD7"/>
    <w:rsid w:val="00270D63"/>
    <w:rsid w:val="002719A8"/>
    <w:rsid w:val="00271C34"/>
    <w:rsid w:val="00272BD1"/>
    <w:rsid w:val="00273882"/>
    <w:rsid w:val="00274218"/>
    <w:rsid w:val="00274981"/>
    <w:rsid w:val="00275D78"/>
    <w:rsid w:val="002771B8"/>
    <w:rsid w:val="00277384"/>
    <w:rsid w:val="00282B16"/>
    <w:rsid w:val="002834B1"/>
    <w:rsid w:val="002838FC"/>
    <w:rsid w:val="002863A3"/>
    <w:rsid w:val="00287280"/>
    <w:rsid w:val="002872DF"/>
    <w:rsid w:val="002902C0"/>
    <w:rsid w:val="002905DB"/>
    <w:rsid w:val="00291065"/>
    <w:rsid w:val="00291AB8"/>
    <w:rsid w:val="00292423"/>
    <w:rsid w:val="00292C86"/>
    <w:rsid w:val="00292D90"/>
    <w:rsid w:val="00292F00"/>
    <w:rsid w:val="00294941"/>
    <w:rsid w:val="0029504B"/>
    <w:rsid w:val="002967CE"/>
    <w:rsid w:val="00297E02"/>
    <w:rsid w:val="002A02A3"/>
    <w:rsid w:val="002A0E21"/>
    <w:rsid w:val="002A1823"/>
    <w:rsid w:val="002A2019"/>
    <w:rsid w:val="002A30F7"/>
    <w:rsid w:val="002A38A3"/>
    <w:rsid w:val="002A407F"/>
    <w:rsid w:val="002A4B20"/>
    <w:rsid w:val="002A6BA5"/>
    <w:rsid w:val="002A7A00"/>
    <w:rsid w:val="002B020D"/>
    <w:rsid w:val="002B1877"/>
    <w:rsid w:val="002B1C4F"/>
    <w:rsid w:val="002B425A"/>
    <w:rsid w:val="002B447C"/>
    <w:rsid w:val="002B46ED"/>
    <w:rsid w:val="002B5FD8"/>
    <w:rsid w:val="002B6403"/>
    <w:rsid w:val="002B72BF"/>
    <w:rsid w:val="002B77B5"/>
    <w:rsid w:val="002C1F7E"/>
    <w:rsid w:val="002C285F"/>
    <w:rsid w:val="002C33AB"/>
    <w:rsid w:val="002C4180"/>
    <w:rsid w:val="002C4625"/>
    <w:rsid w:val="002C4E75"/>
    <w:rsid w:val="002C55E3"/>
    <w:rsid w:val="002C585D"/>
    <w:rsid w:val="002C5C99"/>
    <w:rsid w:val="002C5D72"/>
    <w:rsid w:val="002C6166"/>
    <w:rsid w:val="002C62A1"/>
    <w:rsid w:val="002C692E"/>
    <w:rsid w:val="002C6B09"/>
    <w:rsid w:val="002C6E62"/>
    <w:rsid w:val="002D00D7"/>
    <w:rsid w:val="002D056A"/>
    <w:rsid w:val="002D184F"/>
    <w:rsid w:val="002D1CA5"/>
    <w:rsid w:val="002D20F0"/>
    <w:rsid w:val="002D22FA"/>
    <w:rsid w:val="002D3E0C"/>
    <w:rsid w:val="002D431D"/>
    <w:rsid w:val="002D5318"/>
    <w:rsid w:val="002D5433"/>
    <w:rsid w:val="002D6972"/>
    <w:rsid w:val="002D6E9F"/>
    <w:rsid w:val="002D78BC"/>
    <w:rsid w:val="002D7A96"/>
    <w:rsid w:val="002E06F8"/>
    <w:rsid w:val="002E122A"/>
    <w:rsid w:val="002E1D1C"/>
    <w:rsid w:val="002E3469"/>
    <w:rsid w:val="002E444E"/>
    <w:rsid w:val="002E4C12"/>
    <w:rsid w:val="002E5D45"/>
    <w:rsid w:val="002E6F2C"/>
    <w:rsid w:val="002E744E"/>
    <w:rsid w:val="002E7C7B"/>
    <w:rsid w:val="002E7D35"/>
    <w:rsid w:val="002E7D92"/>
    <w:rsid w:val="002F08C1"/>
    <w:rsid w:val="002F0CDB"/>
    <w:rsid w:val="002F0DD0"/>
    <w:rsid w:val="002F0F58"/>
    <w:rsid w:val="002F1046"/>
    <w:rsid w:val="002F17B6"/>
    <w:rsid w:val="002F2623"/>
    <w:rsid w:val="002F2C18"/>
    <w:rsid w:val="002F2F61"/>
    <w:rsid w:val="002F32BC"/>
    <w:rsid w:val="002F3AAC"/>
    <w:rsid w:val="002F3D93"/>
    <w:rsid w:val="002F4522"/>
    <w:rsid w:val="002F5075"/>
    <w:rsid w:val="002F5595"/>
    <w:rsid w:val="002F56BB"/>
    <w:rsid w:val="002F606A"/>
    <w:rsid w:val="002F6A77"/>
    <w:rsid w:val="002F73B2"/>
    <w:rsid w:val="003008B0"/>
    <w:rsid w:val="00300E1D"/>
    <w:rsid w:val="00301316"/>
    <w:rsid w:val="003017B7"/>
    <w:rsid w:val="00302938"/>
    <w:rsid w:val="0030353A"/>
    <w:rsid w:val="00304458"/>
    <w:rsid w:val="0030491E"/>
    <w:rsid w:val="00304C99"/>
    <w:rsid w:val="0030596B"/>
    <w:rsid w:val="00306935"/>
    <w:rsid w:val="003074DF"/>
    <w:rsid w:val="00310E23"/>
    <w:rsid w:val="0031157E"/>
    <w:rsid w:val="00311618"/>
    <w:rsid w:val="003118E2"/>
    <w:rsid w:val="00311B19"/>
    <w:rsid w:val="0031201E"/>
    <w:rsid w:val="00312969"/>
    <w:rsid w:val="00313207"/>
    <w:rsid w:val="00313235"/>
    <w:rsid w:val="0031404F"/>
    <w:rsid w:val="00314138"/>
    <w:rsid w:val="003142B7"/>
    <w:rsid w:val="00314D80"/>
    <w:rsid w:val="003151BB"/>
    <w:rsid w:val="00315E0F"/>
    <w:rsid w:val="003167FB"/>
    <w:rsid w:val="00316D96"/>
    <w:rsid w:val="00317A80"/>
    <w:rsid w:val="0032012B"/>
    <w:rsid w:val="00320A47"/>
    <w:rsid w:val="00320CB2"/>
    <w:rsid w:val="003211E2"/>
    <w:rsid w:val="003213C2"/>
    <w:rsid w:val="003222AE"/>
    <w:rsid w:val="00322A08"/>
    <w:rsid w:val="00322FC7"/>
    <w:rsid w:val="00323358"/>
    <w:rsid w:val="0032340C"/>
    <w:rsid w:val="00323A4E"/>
    <w:rsid w:val="00323F7C"/>
    <w:rsid w:val="00324103"/>
    <w:rsid w:val="00324B9A"/>
    <w:rsid w:val="00324FA6"/>
    <w:rsid w:val="003258FB"/>
    <w:rsid w:val="003260A1"/>
    <w:rsid w:val="00326CB8"/>
    <w:rsid w:val="00326F59"/>
    <w:rsid w:val="003270E4"/>
    <w:rsid w:val="003279C6"/>
    <w:rsid w:val="00330300"/>
    <w:rsid w:val="0033086C"/>
    <w:rsid w:val="00330B95"/>
    <w:rsid w:val="0033131E"/>
    <w:rsid w:val="003320A4"/>
    <w:rsid w:val="003335C2"/>
    <w:rsid w:val="003337CD"/>
    <w:rsid w:val="00334BBF"/>
    <w:rsid w:val="00335E4D"/>
    <w:rsid w:val="00336255"/>
    <w:rsid w:val="00336FF0"/>
    <w:rsid w:val="00340202"/>
    <w:rsid w:val="0034021A"/>
    <w:rsid w:val="0034121E"/>
    <w:rsid w:val="00341534"/>
    <w:rsid w:val="00341EF5"/>
    <w:rsid w:val="00341FDB"/>
    <w:rsid w:val="00342F9A"/>
    <w:rsid w:val="00343A69"/>
    <w:rsid w:val="00343B6F"/>
    <w:rsid w:val="003440BD"/>
    <w:rsid w:val="00346586"/>
    <w:rsid w:val="00346A4D"/>
    <w:rsid w:val="00347179"/>
    <w:rsid w:val="003476A4"/>
    <w:rsid w:val="00347E40"/>
    <w:rsid w:val="00347FC5"/>
    <w:rsid w:val="003500C4"/>
    <w:rsid w:val="0035189B"/>
    <w:rsid w:val="00351BE7"/>
    <w:rsid w:val="003523D8"/>
    <w:rsid w:val="00352471"/>
    <w:rsid w:val="0035289D"/>
    <w:rsid w:val="0035314C"/>
    <w:rsid w:val="00354B5B"/>
    <w:rsid w:val="00354C97"/>
    <w:rsid w:val="00355080"/>
    <w:rsid w:val="00355258"/>
    <w:rsid w:val="003554C4"/>
    <w:rsid w:val="00355B04"/>
    <w:rsid w:val="00355F93"/>
    <w:rsid w:val="00356A14"/>
    <w:rsid w:val="003617E6"/>
    <w:rsid w:val="00361844"/>
    <w:rsid w:val="00363B32"/>
    <w:rsid w:val="00364A7F"/>
    <w:rsid w:val="003650CE"/>
    <w:rsid w:val="00365BFF"/>
    <w:rsid w:val="0036614E"/>
    <w:rsid w:val="0036630C"/>
    <w:rsid w:val="00366511"/>
    <w:rsid w:val="003665C4"/>
    <w:rsid w:val="003674DB"/>
    <w:rsid w:val="003704D1"/>
    <w:rsid w:val="00371092"/>
    <w:rsid w:val="003711FF"/>
    <w:rsid w:val="003717E6"/>
    <w:rsid w:val="00371811"/>
    <w:rsid w:val="00371CB2"/>
    <w:rsid w:val="003722E2"/>
    <w:rsid w:val="00373142"/>
    <w:rsid w:val="00373783"/>
    <w:rsid w:val="0037450D"/>
    <w:rsid w:val="00374C65"/>
    <w:rsid w:val="003751D5"/>
    <w:rsid w:val="00375BB8"/>
    <w:rsid w:val="00375DF2"/>
    <w:rsid w:val="00376646"/>
    <w:rsid w:val="00376811"/>
    <w:rsid w:val="00376C11"/>
    <w:rsid w:val="003778EE"/>
    <w:rsid w:val="00380CBF"/>
    <w:rsid w:val="003816B9"/>
    <w:rsid w:val="00381A05"/>
    <w:rsid w:val="00381ADB"/>
    <w:rsid w:val="00382318"/>
    <w:rsid w:val="00382A33"/>
    <w:rsid w:val="00382A48"/>
    <w:rsid w:val="00382CEE"/>
    <w:rsid w:val="00382F4F"/>
    <w:rsid w:val="003834EA"/>
    <w:rsid w:val="00384559"/>
    <w:rsid w:val="0038493B"/>
    <w:rsid w:val="00385FD9"/>
    <w:rsid w:val="00386462"/>
    <w:rsid w:val="003872FD"/>
    <w:rsid w:val="00392621"/>
    <w:rsid w:val="00392D21"/>
    <w:rsid w:val="00394FF5"/>
    <w:rsid w:val="00395420"/>
    <w:rsid w:val="00397866"/>
    <w:rsid w:val="0039793D"/>
    <w:rsid w:val="003A0247"/>
    <w:rsid w:val="003A0328"/>
    <w:rsid w:val="003A0410"/>
    <w:rsid w:val="003A1E0C"/>
    <w:rsid w:val="003A2EB7"/>
    <w:rsid w:val="003A34C9"/>
    <w:rsid w:val="003A55EB"/>
    <w:rsid w:val="003A5BD4"/>
    <w:rsid w:val="003A64D2"/>
    <w:rsid w:val="003A7C23"/>
    <w:rsid w:val="003A7F5E"/>
    <w:rsid w:val="003B0552"/>
    <w:rsid w:val="003B0A3E"/>
    <w:rsid w:val="003B0C66"/>
    <w:rsid w:val="003B15CA"/>
    <w:rsid w:val="003B1C37"/>
    <w:rsid w:val="003B1F19"/>
    <w:rsid w:val="003B2B93"/>
    <w:rsid w:val="003B2D40"/>
    <w:rsid w:val="003B3F11"/>
    <w:rsid w:val="003B6595"/>
    <w:rsid w:val="003B6A2B"/>
    <w:rsid w:val="003B70BE"/>
    <w:rsid w:val="003C00BB"/>
    <w:rsid w:val="003C0742"/>
    <w:rsid w:val="003C0C34"/>
    <w:rsid w:val="003C1190"/>
    <w:rsid w:val="003C134E"/>
    <w:rsid w:val="003C167F"/>
    <w:rsid w:val="003C2233"/>
    <w:rsid w:val="003C24F1"/>
    <w:rsid w:val="003C2959"/>
    <w:rsid w:val="003C3027"/>
    <w:rsid w:val="003C4537"/>
    <w:rsid w:val="003C4F47"/>
    <w:rsid w:val="003C4F5C"/>
    <w:rsid w:val="003C56D4"/>
    <w:rsid w:val="003C59DF"/>
    <w:rsid w:val="003C7381"/>
    <w:rsid w:val="003D177F"/>
    <w:rsid w:val="003D2B85"/>
    <w:rsid w:val="003D2E5D"/>
    <w:rsid w:val="003D36A6"/>
    <w:rsid w:val="003D495F"/>
    <w:rsid w:val="003D4CF9"/>
    <w:rsid w:val="003D4FBE"/>
    <w:rsid w:val="003D507D"/>
    <w:rsid w:val="003D50DF"/>
    <w:rsid w:val="003D5873"/>
    <w:rsid w:val="003D66A4"/>
    <w:rsid w:val="003D6AF7"/>
    <w:rsid w:val="003D78AD"/>
    <w:rsid w:val="003D7AEC"/>
    <w:rsid w:val="003E047D"/>
    <w:rsid w:val="003E051A"/>
    <w:rsid w:val="003E0AFC"/>
    <w:rsid w:val="003E106F"/>
    <w:rsid w:val="003E1F66"/>
    <w:rsid w:val="003E4CB1"/>
    <w:rsid w:val="003E5636"/>
    <w:rsid w:val="003E5AD4"/>
    <w:rsid w:val="003E627A"/>
    <w:rsid w:val="003E62D4"/>
    <w:rsid w:val="003E6364"/>
    <w:rsid w:val="003E738F"/>
    <w:rsid w:val="003E74BD"/>
    <w:rsid w:val="003E77F5"/>
    <w:rsid w:val="003F0A77"/>
    <w:rsid w:val="003F1560"/>
    <w:rsid w:val="003F1828"/>
    <w:rsid w:val="003F25A6"/>
    <w:rsid w:val="003F297C"/>
    <w:rsid w:val="003F3232"/>
    <w:rsid w:val="003F33E5"/>
    <w:rsid w:val="003F3E59"/>
    <w:rsid w:val="003F4E7C"/>
    <w:rsid w:val="003F5016"/>
    <w:rsid w:val="003F5726"/>
    <w:rsid w:val="003F63ED"/>
    <w:rsid w:val="003F6628"/>
    <w:rsid w:val="003F6D34"/>
    <w:rsid w:val="003F7D82"/>
    <w:rsid w:val="004021DC"/>
    <w:rsid w:val="00402533"/>
    <w:rsid w:val="00403092"/>
    <w:rsid w:val="004030D2"/>
    <w:rsid w:val="00403153"/>
    <w:rsid w:val="004032C6"/>
    <w:rsid w:val="00403B79"/>
    <w:rsid w:val="00403C92"/>
    <w:rsid w:val="00403F26"/>
    <w:rsid w:val="004042E7"/>
    <w:rsid w:val="00404748"/>
    <w:rsid w:val="00404A56"/>
    <w:rsid w:val="00404C5D"/>
    <w:rsid w:val="004052EE"/>
    <w:rsid w:val="004062D8"/>
    <w:rsid w:val="004064B9"/>
    <w:rsid w:val="00406C7A"/>
    <w:rsid w:val="00407036"/>
    <w:rsid w:val="00407297"/>
    <w:rsid w:val="00407E26"/>
    <w:rsid w:val="004100B6"/>
    <w:rsid w:val="004106DC"/>
    <w:rsid w:val="0041162C"/>
    <w:rsid w:val="004116D5"/>
    <w:rsid w:val="004128CB"/>
    <w:rsid w:val="00413219"/>
    <w:rsid w:val="00415029"/>
    <w:rsid w:val="00415CA2"/>
    <w:rsid w:val="00416007"/>
    <w:rsid w:val="004161E6"/>
    <w:rsid w:val="00416467"/>
    <w:rsid w:val="00417592"/>
    <w:rsid w:val="004200F6"/>
    <w:rsid w:val="0042016F"/>
    <w:rsid w:val="00420E1D"/>
    <w:rsid w:val="00420F79"/>
    <w:rsid w:val="00421A5F"/>
    <w:rsid w:val="00421C19"/>
    <w:rsid w:val="00422A53"/>
    <w:rsid w:val="004237BA"/>
    <w:rsid w:val="004240F6"/>
    <w:rsid w:val="00424673"/>
    <w:rsid w:val="0042516C"/>
    <w:rsid w:val="00425D49"/>
    <w:rsid w:val="004262F2"/>
    <w:rsid w:val="004272CD"/>
    <w:rsid w:val="004307CA"/>
    <w:rsid w:val="00431BA3"/>
    <w:rsid w:val="00432018"/>
    <w:rsid w:val="0043245E"/>
    <w:rsid w:val="00432777"/>
    <w:rsid w:val="00432CC8"/>
    <w:rsid w:val="00433B40"/>
    <w:rsid w:val="00433E6B"/>
    <w:rsid w:val="00435128"/>
    <w:rsid w:val="00435603"/>
    <w:rsid w:val="00436166"/>
    <w:rsid w:val="00436327"/>
    <w:rsid w:val="004363DB"/>
    <w:rsid w:val="00436773"/>
    <w:rsid w:val="004375B5"/>
    <w:rsid w:val="00437733"/>
    <w:rsid w:val="0043781C"/>
    <w:rsid w:val="00440244"/>
    <w:rsid w:val="00440532"/>
    <w:rsid w:val="00440735"/>
    <w:rsid w:val="0044104D"/>
    <w:rsid w:val="004412A3"/>
    <w:rsid w:val="004416A7"/>
    <w:rsid w:val="00441C13"/>
    <w:rsid w:val="00441CF8"/>
    <w:rsid w:val="0044206F"/>
    <w:rsid w:val="0044253B"/>
    <w:rsid w:val="00443524"/>
    <w:rsid w:val="004437B8"/>
    <w:rsid w:val="00443E1F"/>
    <w:rsid w:val="00444AEC"/>
    <w:rsid w:val="00445D87"/>
    <w:rsid w:val="0044629A"/>
    <w:rsid w:val="00446B9D"/>
    <w:rsid w:val="00447183"/>
    <w:rsid w:val="0045158B"/>
    <w:rsid w:val="00451846"/>
    <w:rsid w:val="00451EE2"/>
    <w:rsid w:val="00451FCF"/>
    <w:rsid w:val="00452F09"/>
    <w:rsid w:val="00453261"/>
    <w:rsid w:val="00453594"/>
    <w:rsid w:val="00453C9F"/>
    <w:rsid w:val="00454D95"/>
    <w:rsid w:val="004551D6"/>
    <w:rsid w:val="00455FFC"/>
    <w:rsid w:val="004570B6"/>
    <w:rsid w:val="004571E4"/>
    <w:rsid w:val="00457562"/>
    <w:rsid w:val="004577BE"/>
    <w:rsid w:val="00457A13"/>
    <w:rsid w:val="00457A56"/>
    <w:rsid w:val="00460010"/>
    <w:rsid w:val="00460482"/>
    <w:rsid w:val="00460731"/>
    <w:rsid w:val="00460AEA"/>
    <w:rsid w:val="00462040"/>
    <w:rsid w:val="0046224C"/>
    <w:rsid w:val="0046264F"/>
    <w:rsid w:val="0046325E"/>
    <w:rsid w:val="0046355B"/>
    <w:rsid w:val="00463E52"/>
    <w:rsid w:val="004648E2"/>
    <w:rsid w:val="00464CBD"/>
    <w:rsid w:val="00465663"/>
    <w:rsid w:val="004661E9"/>
    <w:rsid w:val="0046662E"/>
    <w:rsid w:val="00467461"/>
    <w:rsid w:val="004702C1"/>
    <w:rsid w:val="0047033C"/>
    <w:rsid w:val="00470E73"/>
    <w:rsid w:val="00470F0F"/>
    <w:rsid w:val="004719D3"/>
    <w:rsid w:val="00472578"/>
    <w:rsid w:val="0047277C"/>
    <w:rsid w:val="00473D82"/>
    <w:rsid w:val="004758FE"/>
    <w:rsid w:val="004761B7"/>
    <w:rsid w:val="00476340"/>
    <w:rsid w:val="00476D4F"/>
    <w:rsid w:val="0047702D"/>
    <w:rsid w:val="00477935"/>
    <w:rsid w:val="00480F01"/>
    <w:rsid w:val="00481004"/>
    <w:rsid w:val="00481810"/>
    <w:rsid w:val="00481E5D"/>
    <w:rsid w:val="00482CB7"/>
    <w:rsid w:val="00483833"/>
    <w:rsid w:val="00484332"/>
    <w:rsid w:val="004863D8"/>
    <w:rsid w:val="00486C03"/>
    <w:rsid w:val="00486CC7"/>
    <w:rsid w:val="004872A4"/>
    <w:rsid w:val="00487638"/>
    <w:rsid w:val="004906DF"/>
    <w:rsid w:val="00490B0A"/>
    <w:rsid w:val="00490CBC"/>
    <w:rsid w:val="004919DA"/>
    <w:rsid w:val="004922BF"/>
    <w:rsid w:val="0049351F"/>
    <w:rsid w:val="004950C8"/>
    <w:rsid w:val="00495357"/>
    <w:rsid w:val="00495657"/>
    <w:rsid w:val="00495CA3"/>
    <w:rsid w:val="004A06F2"/>
    <w:rsid w:val="004A093F"/>
    <w:rsid w:val="004A15F7"/>
    <w:rsid w:val="004A1699"/>
    <w:rsid w:val="004A21C9"/>
    <w:rsid w:val="004A21CA"/>
    <w:rsid w:val="004A3040"/>
    <w:rsid w:val="004A507A"/>
    <w:rsid w:val="004A5A37"/>
    <w:rsid w:val="004A5CD6"/>
    <w:rsid w:val="004A60CA"/>
    <w:rsid w:val="004A65B5"/>
    <w:rsid w:val="004A69B3"/>
    <w:rsid w:val="004A7763"/>
    <w:rsid w:val="004B0747"/>
    <w:rsid w:val="004B0780"/>
    <w:rsid w:val="004B1436"/>
    <w:rsid w:val="004B1CED"/>
    <w:rsid w:val="004B21B7"/>
    <w:rsid w:val="004B22C6"/>
    <w:rsid w:val="004B2434"/>
    <w:rsid w:val="004B2626"/>
    <w:rsid w:val="004B3243"/>
    <w:rsid w:val="004B3EA8"/>
    <w:rsid w:val="004B40AA"/>
    <w:rsid w:val="004B4E09"/>
    <w:rsid w:val="004B592F"/>
    <w:rsid w:val="004B5E17"/>
    <w:rsid w:val="004B63E7"/>
    <w:rsid w:val="004B74A5"/>
    <w:rsid w:val="004C0472"/>
    <w:rsid w:val="004C132D"/>
    <w:rsid w:val="004C2B81"/>
    <w:rsid w:val="004C456F"/>
    <w:rsid w:val="004C4BF8"/>
    <w:rsid w:val="004C4DDD"/>
    <w:rsid w:val="004C53CD"/>
    <w:rsid w:val="004C67B3"/>
    <w:rsid w:val="004C6AF8"/>
    <w:rsid w:val="004C6CBB"/>
    <w:rsid w:val="004D094B"/>
    <w:rsid w:val="004D0CA1"/>
    <w:rsid w:val="004D13A8"/>
    <w:rsid w:val="004D1A8D"/>
    <w:rsid w:val="004D1B89"/>
    <w:rsid w:val="004D2CA9"/>
    <w:rsid w:val="004D340D"/>
    <w:rsid w:val="004D36EB"/>
    <w:rsid w:val="004D403F"/>
    <w:rsid w:val="004D4A9A"/>
    <w:rsid w:val="004D4B0E"/>
    <w:rsid w:val="004D68B7"/>
    <w:rsid w:val="004D6E73"/>
    <w:rsid w:val="004D7C13"/>
    <w:rsid w:val="004E0542"/>
    <w:rsid w:val="004E0A18"/>
    <w:rsid w:val="004E13D5"/>
    <w:rsid w:val="004E153B"/>
    <w:rsid w:val="004E17F4"/>
    <w:rsid w:val="004E2070"/>
    <w:rsid w:val="004E35C1"/>
    <w:rsid w:val="004E3A75"/>
    <w:rsid w:val="004E3CE3"/>
    <w:rsid w:val="004E4ECC"/>
    <w:rsid w:val="004E682C"/>
    <w:rsid w:val="004E6C7F"/>
    <w:rsid w:val="004E75B7"/>
    <w:rsid w:val="004E7C7A"/>
    <w:rsid w:val="004E7E28"/>
    <w:rsid w:val="004E7FA5"/>
    <w:rsid w:val="004F0347"/>
    <w:rsid w:val="004F1330"/>
    <w:rsid w:val="004F262F"/>
    <w:rsid w:val="004F3769"/>
    <w:rsid w:val="004F3C83"/>
    <w:rsid w:val="004F42AE"/>
    <w:rsid w:val="004F433B"/>
    <w:rsid w:val="004F4CF5"/>
    <w:rsid w:val="004F57FE"/>
    <w:rsid w:val="004F597E"/>
    <w:rsid w:val="004F64A4"/>
    <w:rsid w:val="004F697B"/>
    <w:rsid w:val="004F6D3D"/>
    <w:rsid w:val="0050081F"/>
    <w:rsid w:val="00500A8C"/>
    <w:rsid w:val="005019B5"/>
    <w:rsid w:val="00501B25"/>
    <w:rsid w:val="00502C83"/>
    <w:rsid w:val="005030F7"/>
    <w:rsid w:val="00503BBB"/>
    <w:rsid w:val="00505DBA"/>
    <w:rsid w:val="0050617C"/>
    <w:rsid w:val="005067DE"/>
    <w:rsid w:val="005069D7"/>
    <w:rsid w:val="00506A0F"/>
    <w:rsid w:val="005070A6"/>
    <w:rsid w:val="00510264"/>
    <w:rsid w:val="00511085"/>
    <w:rsid w:val="005128B8"/>
    <w:rsid w:val="00512BB4"/>
    <w:rsid w:val="005135CD"/>
    <w:rsid w:val="00513A56"/>
    <w:rsid w:val="005147D2"/>
    <w:rsid w:val="00514965"/>
    <w:rsid w:val="00514CCA"/>
    <w:rsid w:val="00515198"/>
    <w:rsid w:val="005152DF"/>
    <w:rsid w:val="005158C8"/>
    <w:rsid w:val="00516F60"/>
    <w:rsid w:val="00517741"/>
    <w:rsid w:val="0052025E"/>
    <w:rsid w:val="005203DF"/>
    <w:rsid w:val="005206C3"/>
    <w:rsid w:val="0052076E"/>
    <w:rsid w:val="00521789"/>
    <w:rsid w:val="005221D6"/>
    <w:rsid w:val="00522B2F"/>
    <w:rsid w:val="005235E0"/>
    <w:rsid w:val="00523B9A"/>
    <w:rsid w:val="00524D0B"/>
    <w:rsid w:val="00526F56"/>
    <w:rsid w:val="00527573"/>
    <w:rsid w:val="00527ABD"/>
    <w:rsid w:val="00527B9B"/>
    <w:rsid w:val="0053087F"/>
    <w:rsid w:val="0053133F"/>
    <w:rsid w:val="00531E1B"/>
    <w:rsid w:val="0053200C"/>
    <w:rsid w:val="00532445"/>
    <w:rsid w:val="005331BA"/>
    <w:rsid w:val="0053510F"/>
    <w:rsid w:val="00535274"/>
    <w:rsid w:val="00535DA7"/>
    <w:rsid w:val="00536ED8"/>
    <w:rsid w:val="00536F4A"/>
    <w:rsid w:val="00537778"/>
    <w:rsid w:val="00540015"/>
    <w:rsid w:val="005407E7"/>
    <w:rsid w:val="00540AD9"/>
    <w:rsid w:val="00541052"/>
    <w:rsid w:val="005411E5"/>
    <w:rsid w:val="0054185E"/>
    <w:rsid w:val="00542F68"/>
    <w:rsid w:val="00543AF5"/>
    <w:rsid w:val="00543B5A"/>
    <w:rsid w:val="00544882"/>
    <w:rsid w:val="00545016"/>
    <w:rsid w:val="00545A16"/>
    <w:rsid w:val="00545D91"/>
    <w:rsid w:val="00545FA4"/>
    <w:rsid w:val="005468A8"/>
    <w:rsid w:val="00546CD2"/>
    <w:rsid w:val="00546F22"/>
    <w:rsid w:val="005479D2"/>
    <w:rsid w:val="00547DAB"/>
    <w:rsid w:val="00547DBC"/>
    <w:rsid w:val="0055012C"/>
    <w:rsid w:val="00550309"/>
    <w:rsid w:val="00550795"/>
    <w:rsid w:val="00550D37"/>
    <w:rsid w:val="00551E6A"/>
    <w:rsid w:val="00552949"/>
    <w:rsid w:val="00552E22"/>
    <w:rsid w:val="00554C7E"/>
    <w:rsid w:val="00554FAB"/>
    <w:rsid w:val="00555A2B"/>
    <w:rsid w:val="00555AA4"/>
    <w:rsid w:val="00556A19"/>
    <w:rsid w:val="00556F18"/>
    <w:rsid w:val="00557AB7"/>
    <w:rsid w:val="00560329"/>
    <w:rsid w:val="005656F6"/>
    <w:rsid w:val="00565B23"/>
    <w:rsid w:val="00566EAA"/>
    <w:rsid w:val="005671AA"/>
    <w:rsid w:val="00570209"/>
    <w:rsid w:val="005715DF"/>
    <w:rsid w:val="00571FAB"/>
    <w:rsid w:val="00573857"/>
    <w:rsid w:val="00573F85"/>
    <w:rsid w:val="00575FFE"/>
    <w:rsid w:val="00576524"/>
    <w:rsid w:val="00577143"/>
    <w:rsid w:val="0057719E"/>
    <w:rsid w:val="00577420"/>
    <w:rsid w:val="0057753A"/>
    <w:rsid w:val="00580D0F"/>
    <w:rsid w:val="005823C2"/>
    <w:rsid w:val="0058257A"/>
    <w:rsid w:val="005835AA"/>
    <w:rsid w:val="005837A6"/>
    <w:rsid w:val="00584BD2"/>
    <w:rsid w:val="00585257"/>
    <w:rsid w:val="00586A12"/>
    <w:rsid w:val="005906A8"/>
    <w:rsid w:val="005908B0"/>
    <w:rsid w:val="00590E44"/>
    <w:rsid w:val="00591C2B"/>
    <w:rsid w:val="005929A1"/>
    <w:rsid w:val="00592C0F"/>
    <w:rsid w:val="005947B4"/>
    <w:rsid w:val="00594891"/>
    <w:rsid w:val="00594D99"/>
    <w:rsid w:val="00594FCA"/>
    <w:rsid w:val="005954AA"/>
    <w:rsid w:val="00595724"/>
    <w:rsid w:val="005958DF"/>
    <w:rsid w:val="00595DC5"/>
    <w:rsid w:val="00595E6E"/>
    <w:rsid w:val="0059677B"/>
    <w:rsid w:val="00596E70"/>
    <w:rsid w:val="00597325"/>
    <w:rsid w:val="005976F7"/>
    <w:rsid w:val="005A0832"/>
    <w:rsid w:val="005A0F7A"/>
    <w:rsid w:val="005A1C58"/>
    <w:rsid w:val="005A32CB"/>
    <w:rsid w:val="005A33BB"/>
    <w:rsid w:val="005A435E"/>
    <w:rsid w:val="005A48A5"/>
    <w:rsid w:val="005A5091"/>
    <w:rsid w:val="005A53E7"/>
    <w:rsid w:val="005A6284"/>
    <w:rsid w:val="005A7312"/>
    <w:rsid w:val="005A7921"/>
    <w:rsid w:val="005B02E4"/>
    <w:rsid w:val="005B0D47"/>
    <w:rsid w:val="005B1830"/>
    <w:rsid w:val="005B1FA1"/>
    <w:rsid w:val="005B2955"/>
    <w:rsid w:val="005B2A71"/>
    <w:rsid w:val="005B2AF4"/>
    <w:rsid w:val="005B2B4F"/>
    <w:rsid w:val="005B3A82"/>
    <w:rsid w:val="005B3D54"/>
    <w:rsid w:val="005B45EB"/>
    <w:rsid w:val="005B5D35"/>
    <w:rsid w:val="005B70DF"/>
    <w:rsid w:val="005C028E"/>
    <w:rsid w:val="005C0D29"/>
    <w:rsid w:val="005C0E1D"/>
    <w:rsid w:val="005C0FBB"/>
    <w:rsid w:val="005C19B1"/>
    <w:rsid w:val="005C308C"/>
    <w:rsid w:val="005C31DA"/>
    <w:rsid w:val="005C3E55"/>
    <w:rsid w:val="005C4917"/>
    <w:rsid w:val="005C5837"/>
    <w:rsid w:val="005C5DC4"/>
    <w:rsid w:val="005C6875"/>
    <w:rsid w:val="005D03AC"/>
    <w:rsid w:val="005D0893"/>
    <w:rsid w:val="005D1F00"/>
    <w:rsid w:val="005D26FD"/>
    <w:rsid w:val="005D2773"/>
    <w:rsid w:val="005D37F5"/>
    <w:rsid w:val="005D4576"/>
    <w:rsid w:val="005D4618"/>
    <w:rsid w:val="005D5428"/>
    <w:rsid w:val="005D552E"/>
    <w:rsid w:val="005D5F9A"/>
    <w:rsid w:val="005D6FE6"/>
    <w:rsid w:val="005D70C1"/>
    <w:rsid w:val="005D7AFB"/>
    <w:rsid w:val="005E157A"/>
    <w:rsid w:val="005E1CB0"/>
    <w:rsid w:val="005E3886"/>
    <w:rsid w:val="005E447A"/>
    <w:rsid w:val="005E44FE"/>
    <w:rsid w:val="005E56C5"/>
    <w:rsid w:val="005E5A0D"/>
    <w:rsid w:val="005E62CA"/>
    <w:rsid w:val="005E7317"/>
    <w:rsid w:val="005E7CE1"/>
    <w:rsid w:val="005E7D48"/>
    <w:rsid w:val="005F02DB"/>
    <w:rsid w:val="005F0360"/>
    <w:rsid w:val="005F0906"/>
    <w:rsid w:val="005F126A"/>
    <w:rsid w:val="005F165C"/>
    <w:rsid w:val="005F1844"/>
    <w:rsid w:val="005F29B4"/>
    <w:rsid w:val="005F2CCC"/>
    <w:rsid w:val="005F3E72"/>
    <w:rsid w:val="005F4627"/>
    <w:rsid w:val="005F4ACB"/>
    <w:rsid w:val="005F574D"/>
    <w:rsid w:val="005F689F"/>
    <w:rsid w:val="005F6DB4"/>
    <w:rsid w:val="005F7899"/>
    <w:rsid w:val="00600047"/>
    <w:rsid w:val="00600EAF"/>
    <w:rsid w:val="00600EC2"/>
    <w:rsid w:val="00600FA4"/>
    <w:rsid w:val="006010C8"/>
    <w:rsid w:val="00601A4D"/>
    <w:rsid w:val="006026E8"/>
    <w:rsid w:val="006029E0"/>
    <w:rsid w:val="00602B76"/>
    <w:rsid w:val="006030CC"/>
    <w:rsid w:val="00603576"/>
    <w:rsid w:val="00603A52"/>
    <w:rsid w:val="0060404B"/>
    <w:rsid w:val="006044F2"/>
    <w:rsid w:val="0060511A"/>
    <w:rsid w:val="00605978"/>
    <w:rsid w:val="00605B87"/>
    <w:rsid w:val="00605E2E"/>
    <w:rsid w:val="00606544"/>
    <w:rsid w:val="00607786"/>
    <w:rsid w:val="0061026C"/>
    <w:rsid w:val="00612037"/>
    <w:rsid w:val="0061235F"/>
    <w:rsid w:val="00612428"/>
    <w:rsid w:val="0061288F"/>
    <w:rsid w:val="00612941"/>
    <w:rsid w:val="00612D8F"/>
    <w:rsid w:val="00613B5E"/>
    <w:rsid w:val="00614720"/>
    <w:rsid w:val="0061642D"/>
    <w:rsid w:val="00616455"/>
    <w:rsid w:val="0061694B"/>
    <w:rsid w:val="00616F61"/>
    <w:rsid w:val="00617A54"/>
    <w:rsid w:val="00617E7D"/>
    <w:rsid w:val="006213BE"/>
    <w:rsid w:val="006214AC"/>
    <w:rsid w:val="00621E73"/>
    <w:rsid w:val="00622C83"/>
    <w:rsid w:val="006239DD"/>
    <w:rsid w:val="00623B99"/>
    <w:rsid w:val="006241DC"/>
    <w:rsid w:val="006247ED"/>
    <w:rsid w:val="00624ED2"/>
    <w:rsid w:val="006277DB"/>
    <w:rsid w:val="00630C3D"/>
    <w:rsid w:val="00630DC7"/>
    <w:rsid w:val="0063101A"/>
    <w:rsid w:val="006311E0"/>
    <w:rsid w:val="006329CF"/>
    <w:rsid w:val="00632CCE"/>
    <w:rsid w:val="00633DB4"/>
    <w:rsid w:val="006347DE"/>
    <w:rsid w:val="006349C0"/>
    <w:rsid w:val="0063513F"/>
    <w:rsid w:val="0063521B"/>
    <w:rsid w:val="00635880"/>
    <w:rsid w:val="00635B31"/>
    <w:rsid w:val="0063601E"/>
    <w:rsid w:val="00636231"/>
    <w:rsid w:val="00637036"/>
    <w:rsid w:val="00640118"/>
    <w:rsid w:val="00640589"/>
    <w:rsid w:val="00641081"/>
    <w:rsid w:val="00641EB9"/>
    <w:rsid w:val="00641F7A"/>
    <w:rsid w:val="0064273B"/>
    <w:rsid w:val="00642CE3"/>
    <w:rsid w:val="00642F63"/>
    <w:rsid w:val="006432D6"/>
    <w:rsid w:val="0064384E"/>
    <w:rsid w:val="0064411F"/>
    <w:rsid w:val="006449EB"/>
    <w:rsid w:val="00645782"/>
    <w:rsid w:val="00646CAC"/>
    <w:rsid w:val="00646D22"/>
    <w:rsid w:val="00647B92"/>
    <w:rsid w:val="0065074B"/>
    <w:rsid w:val="00651AF0"/>
    <w:rsid w:val="00651EF9"/>
    <w:rsid w:val="00652113"/>
    <w:rsid w:val="00653776"/>
    <w:rsid w:val="006538AA"/>
    <w:rsid w:val="00653E8E"/>
    <w:rsid w:val="00655543"/>
    <w:rsid w:val="00656B46"/>
    <w:rsid w:val="00657761"/>
    <w:rsid w:val="00661E30"/>
    <w:rsid w:val="006624C8"/>
    <w:rsid w:val="00662E67"/>
    <w:rsid w:val="0066574E"/>
    <w:rsid w:val="006658DB"/>
    <w:rsid w:val="006661B8"/>
    <w:rsid w:val="00666B41"/>
    <w:rsid w:val="0066758B"/>
    <w:rsid w:val="00667902"/>
    <w:rsid w:val="006679E3"/>
    <w:rsid w:val="00670AD6"/>
    <w:rsid w:val="00670E6E"/>
    <w:rsid w:val="006714AA"/>
    <w:rsid w:val="00673030"/>
    <w:rsid w:val="0067307A"/>
    <w:rsid w:val="006730CA"/>
    <w:rsid w:val="00673316"/>
    <w:rsid w:val="00673B2E"/>
    <w:rsid w:val="00673CC3"/>
    <w:rsid w:val="0067636F"/>
    <w:rsid w:val="0067697E"/>
    <w:rsid w:val="00676A0A"/>
    <w:rsid w:val="00676B81"/>
    <w:rsid w:val="00677757"/>
    <w:rsid w:val="00680579"/>
    <w:rsid w:val="006815CE"/>
    <w:rsid w:val="00681A8B"/>
    <w:rsid w:val="00682DB1"/>
    <w:rsid w:val="00683234"/>
    <w:rsid w:val="006839B3"/>
    <w:rsid w:val="00683CCC"/>
    <w:rsid w:val="00683E77"/>
    <w:rsid w:val="00684070"/>
    <w:rsid w:val="00684DCA"/>
    <w:rsid w:val="00685359"/>
    <w:rsid w:val="00687123"/>
    <w:rsid w:val="00687B16"/>
    <w:rsid w:val="00687C07"/>
    <w:rsid w:val="006908AF"/>
    <w:rsid w:val="00690951"/>
    <w:rsid w:val="00691020"/>
    <w:rsid w:val="00691990"/>
    <w:rsid w:val="00691D07"/>
    <w:rsid w:val="006928CE"/>
    <w:rsid w:val="00693228"/>
    <w:rsid w:val="006936CD"/>
    <w:rsid w:val="006943CE"/>
    <w:rsid w:val="00695169"/>
    <w:rsid w:val="006974E9"/>
    <w:rsid w:val="006976A3"/>
    <w:rsid w:val="00697EBF"/>
    <w:rsid w:val="006A028A"/>
    <w:rsid w:val="006A1E82"/>
    <w:rsid w:val="006A27B0"/>
    <w:rsid w:val="006A2E8A"/>
    <w:rsid w:val="006A526B"/>
    <w:rsid w:val="006A5735"/>
    <w:rsid w:val="006A6E5B"/>
    <w:rsid w:val="006B044B"/>
    <w:rsid w:val="006B121A"/>
    <w:rsid w:val="006B2AD9"/>
    <w:rsid w:val="006B34E4"/>
    <w:rsid w:val="006B41CE"/>
    <w:rsid w:val="006B5289"/>
    <w:rsid w:val="006B5B39"/>
    <w:rsid w:val="006B6260"/>
    <w:rsid w:val="006B6399"/>
    <w:rsid w:val="006B6462"/>
    <w:rsid w:val="006B6AB4"/>
    <w:rsid w:val="006B70F2"/>
    <w:rsid w:val="006B7741"/>
    <w:rsid w:val="006C01F0"/>
    <w:rsid w:val="006C0762"/>
    <w:rsid w:val="006C0B10"/>
    <w:rsid w:val="006C0F48"/>
    <w:rsid w:val="006C1250"/>
    <w:rsid w:val="006C13B3"/>
    <w:rsid w:val="006C1690"/>
    <w:rsid w:val="006C2AA0"/>
    <w:rsid w:val="006C2E8F"/>
    <w:rsid w:val="006C3428"/>
    <w:rsid w:val="006C405A"/>
    <w:rsid w:val="006C7231"/>
    <w:rsid w:val="006C79A3"/>
    <w:rsid w:val="006C7F66"/>
    <w:rsid w:val="006D004A"/>
    <w:rsid w:val="006D0A00"/>
    <w:rsid w:val="006D1CA1"/>
    <w:rsid w:val="006D2D1B"/>
    <w:rsid w:val="006D2E9E"/>
    <w:rsid w:val="006D2EBF"/>
    <w:rsid w:val="006D3012"/>
    <w:rsid w:val="006D3571"/>
    <w:rsid w:val="006D3B22"/>
    <w:rsid w:val="006D3D59"/>
    <w:rsid w:val="006D46B2"/>
    <w:rsid w:val="006D5775"/>
    <w:rsid w:val="006D57F8"/>
    <w:rsid w:val="006D5FC5"/>
    <w:rsid w:val="006D61B8"/>
    <w:rsid w:val="006D64C6"/>
    <w:rsid w:val="006D6E4F"/>
    <w:rsid w:val="006D7CBE"/>
    <w:rsid w:val="006E0179"/>
    <w:rsid w:val="006E10A3"/>
    <w:rsid w:val="006E1CF2"/>
    <w:rsid w:val="006E3825"/>
    <w:rsid w:val="006E388B"/>
    <w:rsid w:val="006E40C8"/>
    <w:rsid w:val="006E4340"/>
    <w:rsid w:val="006E5C28"/>
    <w:rsid w:val="006E6973"/>
    <w:rsid w:val="006E69B7"/>
    <w:rsid w:val="006E79A4"/>
    <w:rsid w:val="006F0A96"/>
    <w:rsid w:val="006F0CA8"/>
    <w:rsid w:val="006F0FA0"/>
    <w:rsid w:val="006F12A3"/>
    <w:rsid w:val="006F1A43"/>
    <w:rsid w:val="006F20E7"/>
    <w:rsid w:val="006F2278"/>
    <w:rsid w:val="006F2422"/>
    <w:rsid w:val="006F2DCF"/>
    <w:rsid w:val="006F305A"/>
    <w:rsid w:val="006F408F"/>
    <w:rsid w:val="006F4471"/>
    <w:rsid w:val="006F46E3"/>
    <w:rsid w:val="006F4F4E"/>
    <w:rsid w:val="006F5024"/>
    <w:rsid w:val="006F52E0"/>
    <w:rsid w:val="006F5A33"/>
    <w:rsid w:val="006F5D52"/>
    <w:rsid w:val="006F68B0"/>
    <w:rsid w:val="006F6BF7"/>
    <w:rsid w:val="006F7AE2"/>
    <w:rsid w:val="00700293"/>
    <w:rsid w:val="0070086A"/>
    <w:rsid w:val="00700EF7"/>
    <w:rsid w:val="00702863"/>
    <w:rsid w:val="00704EAA"/>
    <w:rsid w:val="00705DD0"/>
    <w:rsid w:val="00706A6B"/>
    <w:rsid w:val="00707B43"/>
    <w:rsid w:val="00710576"/>
    <w:rsid w:val="0071067E"/>
    <w:rsid w:val="00711377"/>
    <w:rsid w:val="007118A8"/>
    <w:rsid w:val="00711ADE"/>
    <w:rsid w:val="00711D2A"/>
    <w:rsid w:val="0071244E"/>
    <w:rsid w:val="0071265A"/>
    <w:rsid w:val="0071373A"/>
    <w:rsid w:val="00713B86"/>
    <w:rsid w:val="00715684"/>
    <w:rsid w:val="00715EFE"/>
    <w:rsid w:val="0071643B"/>
    <w:rsid w:val="00717275"/>
    <w:rsid w:val="007173D1"/>
    <w:rsid w:val="007209AD"/>
    <w:rsid w:val="00721647"/>
    <w:rsid w:val="00722AC9"/>
    <w:rsid w:val="00722F0D"/>
    <w:rsid w:val="00723E96"/>
    <w:rsid w:val="00723EBA"/>
    <w:rsid w:val="0072628C"/>
    <w:rsid w:val="00727B1B"/>
    <w:rsid w:val="00731F4F"/>
    <w:rsid w:val="0073281A"/>
    <w:rsid w:val="00732CB5"/>
    <w:rsid w:val="007338A2"/>
    <w:rsid w:val="00733E7F"/>
    <w:rsid w:val="00734547"/>
    <w:rsid w:val="00736F9F"/>
    <w:rsid w:val="00737684"/>
    <w:rsid w:val="00737B85"/>
    <w:rsid w:val="0074043A"/>
    <w:rsid w:val="00741B66"/>
    <w:rsid w:val="00741ED6"/>
    <w:rsid w:val="00743363"/>
    <w:rsid w:val="007434BE"/>
    <w:rsid w:val="00744310"/>
    <w:rsid w:val="0074484F"/>
    <w:rsid w:val="00744E37"/>
    <w:rsid w:val="00744E91"/>
    <w:rsid w:val="007454F4"/>
    <w:rsid w:val="0074642C"/>
    <w:rsid w:val="00747D94"/>
    <w:rsid w:val="00751E85"/>
    <w:rsid w:val="0075218A"/>
    <w:rsid w:val="00752421"/>
    <w:rsid w:val="00754A40"/>
    <w:rsid w:val="00754D73"/>
    <w:rsid w:val="0075509A"/>
    <w:rsid w:val="00755AB1"/>
    <w:rsid w:val="00756995"/>
    <w:rsid w:val="00756B50"/>
    <w:rsid w:val="007578D9"/>
    <w:rsid w:val="00757CC5"/>
    <w:rsid w:val="00757DDF"/>
    <w:rsid w:val="007606F1"/>
    <w:rsid w:val="0076097A"/>
    <w:rsid w:val="007621BF"/>
    <w:rsid w:val="00762F43"/>
    <w:rsid w:val="00764068"/>
    <w:rsid w:val="007644D9"/>
    <w:rsid w:val="007647A7"/>
    <w:rsid w:val="00764CC4"/>
    <w:rsid w:val="00767AD8"/>
    <w:rsid w:val="00767B5E"/>
    <w:rsid w:val="00770073"/>
    <w:rsid w:val="00770284"/>
    <w:rsid w:val="00770855"/>
    <w:rsid w:val="00771B87"/>
    <w:rsid w:val="00771E42"/>
    <w:rsid w:val="007726D9"/>
    <w:rsid w:val="00773572"/>
    <w:rsid w:val="0077475F"/>
    <w:rsid w:val="00774B9D"/>
    <w:rsid w:val="0077569F"/>
    <w:rsid w:val="007757D2"/>
    <w:rsid w:val="00775AF9"/>
    <w:rsid w:val="00776DE1"/>
    <w:rsid w:val="00776DE7"/>
    <w:rsid w:val="007771D5"/>
    <w:rsid w:val="00780364"/>
    <w:rsid w:val="00780697"/>
    <w:rsid w:val="007806AD"/>
    <w:rsid w:val="00780751"/>
    <w:rsid w:val="00780D6A"/>
    <w:rsid w:val="00781211"/>
    <w:rsid w:val="007814E1"/>
    <w:rsid w:val="007819DD"/>
    <w:rsid w:val="00781FC5"/>
    <w:rsid w:val="00782527"/>
    <w:rsid w:val="00782901"/>
    <w:rsid w:val="0078388D"/>
    <w:rsid w:val="00783A32"/>
    <w:rsid w:val="00783E22"/>
    <w:rsid w:val="007845A8"/>
    <w:rsid w:val="00784EA2"/>
    <w:rsid w:val="0078558F"/>
    <w:rsid w:val="00785D3C"/>
    <w:rsid w:val="00785E53"/>
    <w:rsid w:val="007879B1"/>
    <w:rsid w:val="007879BF"/>
    <w:rsid w:val="00787EA0"/>
    <w:rsid w:val="0079030B"/>
    <w:rsid w:val="00790F14"/>
    <w:rsid w:val="00792F07"/>
    <w:rsid w:val="007931E5"/>
    <w:rsid w:val="007936C6"/>
    <w:rsid w:val="00795449"/>
    <w:rsid w:val="007959C2"/>
    <w:rsid w:val="007968B0"/>
    <w:rsid w:val="00797C96"/>
    <w:rsid w:val="00797D50"/>
    <w:rsid w:val="007A01D6"/>
    <w:rsid w:val="007A0675"/>
    <w:rsid w:val="007A0A27"/>
    <w:rsid w:val="007A0C3E"/>
    <w:rsid w:val="007A0D5E"/>
    <w:rsid w:val="007A1C2A"/>
    <w:rsid w:val="007A1D85"/>
    <w:rsid w:val="007A2F87"/>
    <w:rsid w:val="007A3B6D"/>
    <w:rsid w:val="007A5179"/>
    <w:rsid w:val="007A52EE"/>
    <w:rsid w:val="007A5970"/>
    <w:rsid w:val="007A5AE4"/>
    <w:rsid w:val="007A5B81"/>
    <w:rsid w:val="007A5C2F"/>
    <w:rsid w:val="007A5FB1"/>
    <w:rsid w:val="007A67D6"/>
    <w:rsid w:val="007A6E3E"/>
    <w:rsid w:val="007A6F5F"/>
    <w:rsid w:val="007A742D"/>
    <w:rsid w:val="007A7483"/>
    <w:rsid w:val="007A758D"/>
    <w:rsid w:val="007A7747"/>
    <w:rsid w:val="007B0310"/>
    <w:rsid w:val="007B03A5"/>
    <w:rsid w:val="007B10A5"/>
    <w:rsid w:val="007B113A"/>
    <w:rsid w:val="007B1549"/>
    <w:rsid w:val="007B1B7E"/>
    <w:rsid w:val="007B32F2"/>
    <w:rsid w:val="007B3370"/>
    <w:rsid w:val="007B3C0E"/>
    <w:rsid w:val="007B4019"/>
    <w:rsid w:val="007B4897"/>
    <w:rsid w:val="007B48E8"/>
    <w:rsid w:val="007B6071"/>
    <w:rsid w:val="007B75CC"/>
    <w:rsid w:val="007B798D"/>
    <w:rsid w:val="007C000B"/>
    <w:rsid w:val="007C106C"/>
    <w:rsid w:val="007C337F"/>
    <w:rsid w:val="007C3598"/>
    <w:rsid w:val="007C3D07"/>
    <w:rsid w:val="007C4CEE"/>
    <w:rsid w:val="007C4EEB"/>
    <w:rsid w:val="007C5218"/>
    <w:rsid w:val="007C6516"/>
    <w:rsid w:val="007C72B6"/>
    <w:rsid w:val="007C7587"/>
    <w:rsid w:val="007C7E96"/>
    <w:rsid w:val="007D0AC3"/>
    <w:rsid w:val="007D181A"/>
    <w:rsid w:val="007D1C03"/>
    <w:rsid w:val="007D275F"/>
    <w:rsid w:val="007D4530"/>
    <w:rsid w:val="007D5B07"/>
    <w:rsid w:val="007D694A"/>
    <w:rsid w:val="007D7127"/>
    <w:rsid w:val="007D71C7"/>
    <w:rsid w:val="007D727C"/>
    <w:rsid w:val="007D72ED"/>
    <w:rsid w:val="007E0BE1"/>
    <w:rsid w:val="007E14E0"/>
    <w:rsid w:val="007E223F"/>
    <w:rsid w:val="007E311A"/>
    <w:rsid w:val="007E3980"/>
    <w:rsid w:val="007E3A13"/>
    <w:rsid w:val="007E3F7D"/>
    <w:rsid w:val="007E4529"/>
    <w:rsid w:val="007E453C"/>
    <w:rsid w:val="007E493A"/>
    <w:rsid w:val="007E5BBA"/>
    <w:rsid w:val="007E6A70"/>
    <w:rsid w:val="007E6D33"/>
    <w:rsid w:val="007E7B35"/>
    <w:rsid w:val="007F02C6"/>
    <w:rsid w:val="007F0A54"/>
    <w:rsid w:val="007F3125"/>
    <w:rsid w:val="007F35AB"/>
    <w:rsid w:val="007F3881"/>
    <w:rsid w:val="007F42AE"/>
    <w:rsid w:val="007F506C"/>
    <w:rsid w:val="007F510F"/>
    <w:rsid w:val="007F68CD"/>
    <w:rsid w:val="007F7973"/>
    <w:rsid w:val="00800647"/>
    <w:rsid w:val="008010B3"/>
    <w:rsid w:val="00801DDD"/>
    <w:rsid w:val="00802354"/>
    <w:rsid w:val="00802440"/>
    <w:rsid w:val="0080269E"/>
    <w:rsid w:val="00803184"/>
    <w:rsid w:val="0080358A"/>
    <w:rsid w:val="00803BB0"/>
    <w:rsid w:val="00803BBE"/>
    <w:rsid w:val="00803C0E"/>
    <w:rsid w:val="00803E8B"/>
    <w:rsid w:val="00803F01"/>
    <w:rsid w:val="00804215"/>
    <w:rsid w:val="008046F5"/>
    <w:rsid w:val="00805299"/>
    <w:rsid w:val="00805681"/>
    <w:rsid w:val="00805B28"/>
    <w:rsid w:val="008067B4"/>
    <w:rsid w:val="008075C0"/>
    <w:rsid w:val="00807B59"/>
    <w:rsid w:val="00807E87"/>
    <w:rsid w:val="0081065E"/>
    <w:rsid w:val="00810C6B"/>
    <w:rsid w:val="00812560"/>
    <w:rsid w:val="00812765"/>
    <w:rsid w:val="008135FC"/>
    <w:rsid w:val="00813794"/>
    <w:rsid w:val="00814EFB"/>
    <w:rsid w:val="00815753"/>
    <w:rsid w:val="00817481"/>
    <w:rsid w:val="00817DBD"/>
    <w:rsid w:val="00821762"/>
    <w:rsid w:val="00822FCA"/>
    <w:rsid w:val="00824EC4"/>
    <w:rsid w:val="008256FA"/>
    <w:rsid w:val="008262E8"/>
    <w:rsid w:val="00826E03"/>
    <w:rsid w:val="00827259"/>
    <w:rsid w:val="0082797B"/>
    <w:rsid w:val="00827CC3"/>
    <w:rsid w:val="00831215"/>
    <w:rsid w:val="00831AA7"/>
    <w:rsid w:val="00831FC6"/>
    <w:rsid w:val="008321A4"/>
    <w:rsid w:val="00832414"/>
    <w:rsid w:val="00833461"/>
    <w:rsid w:val="008337CD"/>
    <w:rsid w:val="008348E6"/>
    <w:rsid w:val="00835442"/>
    <w:rsid w:val="00835BFE"/>
    <w:rsid w:val="008360BF"/>
    <w:rsid w:val="00836152"/>
    <w:rsid w:val="00836271"/>
    <w:rsid w:val="00836313"/>
    <w:rsid w:val="008365B4"/>
    <w:rsid w:val="00836878"/>
    <w:rsid w:val="00836C91"/>
    <w:rsid w:val="00836D6E"/>
    <w:rsid w:val="0083714C"/>
    <w:rsid w:val="0084058C"/>
    <w:rsid w:val="00840C19"/>
    <w:rsid w:val="00840C74"/>
    <w:rsid w:val="008413A7"/>
    <w:rsid w:val="00843FB5"/>
    <w:rsid w:val="0084422C"/>
    <w:rsid w:val="0084435D"/>
    <w:rsid w:val="00844A76"/>
    <w:rsid w:val="00844E33"/>
    <w:rsid w:val="0084543B"/>
    <w:rsid w:val="00846AE4"/>
    <w:rsid w:val="00847B85"/>
    <w:rsid w:val="00850496"/>
    <w:rsid w:val="008508C3"/>
    <w:rsid w:val="008515D9"/>
    <w:rsid w:val="0085276F"/>
    <w:rsid w:val="008528C8"/>
    <w:rsid w:val="00853132"/>
    <w:rsid w:val="00854A43"/>
    <w:rsid w:val="00854CB0"/>
    <w:rsid w:val="008550B1"/>
    <w:rsid w:val="00855F13"/>
    <w:rsid w:val="008562A9"/>
    <w:rsid w:val="008572DC"/>
    <w:rsid w:val="00857777"/>
    <w:rsid w:val="008578B3"/>
    <w:rsid w:val="008603DE"/>
    <w:rsid w:val="00860596"/>
    <w:rsid w:val="008606C8"/>
    <w:rsid w:val="008619BC"/>
    <w:rsid w:val="00861CF5"/>
    <w:rsid w:val="00863633"/>
    <w:rsid w:val="00863CDF"/>
    <w:rsid w:val="008642FA"/>
    <w:rsid w:val="0086447F"/>
    <w:rsid w:val="00864B17"/>
    <w:rsid w:val="00864F7F"/>
    <w:rsid w:val="008651FA"/>
    <w:rsid w:val="0086587E"/>
    <w:rsid w:val="008669E5"/>
    <w:rsid w:val="00866C64"/>
    <w:rsid w:val="00867D20"/>
    <w:rsid w:val="00867EAE"/>
    <w:rsid w:val="00870779"/>
    <w:rsid w:val="00870878"/>
    <w:rsid w:val="00870B40"/>
    <w:rsid w:val="00872E70"/>
    <w:rsid w:val="008730D2"/>
    <w:rsid w:val="00874C5F"/>
    <w:rsid w:val="00874D99"/>
    <w:rsid w:val="00875222"/>
    <w:rsid w:val="008766FD"/>
    <w:rsid w:val="0087674B"/>
    <w:rsid w:val="00876B76"/>
    <w:rsid w:val="00876BA4"/>
    <w:rsid w:val="00876CBA"/>
    <w:rsid w:val="008770C7"/>
    <w:rsid w:val="00877AB1"/>
    <w:rsid w:val="00877CF8"/>
    <w:rsid w:val="00880239"/>
    <w:rsid w:val="00880C3B"/>
    <w:rsid w:val="0088163C"/>
    <w:rsid w:val="00881784"/>
    <w:rsid w:val="00881E87"/>
    <w:rsid w:val="00882469"/>
    <w:rsid w:val="00882869"/>
    <w:rsid w:val="00882BD8"/>
    <w:rsid w:val="00883021"/>
    <w:rsid w:val="008835A9"/>
    <w:rsid w:val="00883AF1"/>
    <w:rsid w:val="0088419A"/>
    <w:rsid w:val="00886999"/>
    <w:rsid w:val="00886AA3"/>
    <w:rsid w:val="00886B7C"/>
    <w:rsid w:val="0088736C"/>
    <w:rsid w:val="00887738"/>
    <w:rsid w:val="008905CE"/>
    <w:rsid w:val="00890624"/>
    <w:rsid w:val="00891E40"/>
    <w:rsid w:val="0089370D"/>
    <w:rsid w:val="0089410B"/>
    <w:rsid w:val="00894840"/>
    <w:rsid w:val="00894875"/>
    <w:rsid w:val="00894A92"/>
    <w:rsid w:val="00894B43"/>
    <w:rsid w:val="00895889"/>
    <w:rsid w:val="00897AAB"/>
    <w:rsid w:val="00897E7D"/>
    <w:rsid w:val="008A0AC0"/>
    <w:rsid w:val="008A1147"/>
    <w:rsid w:val="008A1BC9"/>
    <w:rsid w:val="008A25F6"/>
    <w:rsid w:val="008A26DB"/>
    <w:rsid w:val="008A304F"/>
    <w:rsid w:val="008A30B0"/>
    <w:rsid w:val="008A360D"/>
    <w:rsid w:val="008A3669"/>
    <w:rsid w:val="008A3B0E"/>
    <w:rsid w:val="008A4FCE"/>
    <w:rsid w:val="008A4FE4"/>
    <w:rsid w:val="008A5218"/>
    <w:rsid w:val="008A5711"/>
    <w:rsid w:val="008A585E"/>
    <w:rsid w:val="008A591A"/>
    <w:rsid w:val="008A5ADD"/>
    <w:rsid w:val="008A5BD7"/>
    <w:rsid w:val="008A62F2"/>
    <w:rsid w:val="008A634C"/>
    <w:rsid w:val="008A6372"/>
    <w:rsid w:val="008A67AE"/>
    <w:rsid w:val="008A688C"/>
    <w:rsid w:val="008A6DF1"/>
    <w:rsid w:val="008A6E57"/>
    <w:rsid w:val="008A768A"/>
    <w:rsid w:val="008B06FD"/>
    <w:rsid w:val="008B0982"/>
    <w:rsid w:val="008B0D3B"/>
    <w:rsid w:val="008B0F6A"/>
    <w:rsid w:val="008B1A8F"/>
    <w:rsid w:val="008B21FA"/>
    <w:rsid w:val="008B2EC0"/>
    <w:rsid w:val="008B4E21"/>
    <w:rsid w:val="008B7008"/>
    <w:rsid w:val="008B75F2"/>
    <w:rsid w:val="008C07FF"/>
    <w:rsid w:val="008C0CC7"/>
    <w:rsid w:val="008C1155"/>
    <w:rsid w:val="008C28EE"/>
    <w:rsid w:val="008C2E52"/>
    <w:rsid w:val="008C3611"/>
    <w:rsid w:val="008C37C9"/>
    <w:rsid w:val="008C38CA"/>
    <w:rsid w:val="008C3AD5"/>
    <w:rsid w:val="008C3AE8"/>
    <w:rsid w:val="008C4017"/>
    <w:rsid w:val="008C54AE"/>
    <w:rsid w:val="008C5960"/>
    <w:rsid w:val="008C70F3"/>
    <w:rsid w:val="008D07A6"/>
    <w:rsid w:val="008D1513"/>
    <w:rsid w:val="008D1FE4"/>
    <w:rsid w:val="008D235D"/>
    <w:rsid w:val="008D236D"/>
    <w:rsid w:val="008D2400"/>
    <w:rsid w:val="008D3616"/>
    <w:rsid w:val="008D4253"/>
    <w:rsid w:val="008D4B0A"/>
    <w:rsid w:val="008D5050"/>
    <w:rsid w:val="008D5135"/>
    <w:rsid w:val="008D548C"/>
    <w:rsid w:val="008D5524"/>
    <w:rsid w:val="008D5A3F"/>
    <w:rsid w:val="008D5BE0"/>
    <w:rsid w:val="008D5CA0"/>
    <w:rsid w:val="008D60FB"/>
    <w:rsid w:val="008D692E"/>
    <w:rsid w:val="008D743A"/>
    <w:rsid w:val="008D7607"/>
    <w:rsid w:val="008E04B0"/>
    <w:rsid w:val="008E11DB"/>
    <w:rsid w:val="008E1636"/>
    <w:rsid w:val="008E1DCC"/>
    <w:rsid w:val="008E23BC"/>
    <w:rsid w:val="008E29A1"/>
    <w:rsid w:val="008E497E"/>
    <w:rsid w:val="008E4B04"/>
    <w:rsid w:val="008E537B"/>
    <w:rsid w:val="008E691D"/>
    <w:rsid w:val="008F062D"/>
    <w:rsid w:val="008F1094"/>
    <w:rsid w:val="008F12B5"/>
    <w:rsid w:val="008F1564"/>
    <w:rsid w:val="008F18CE"/>
    <w:rsid w:val="008F223A"/>
    <w:rsid w:val="008F28D7"/>
    <w:rsid w:val="008F444F"/>
    <w:rsid w:val="008F5E45"/>
    <w:rsid w:val="008F6065"/>
    <w:rsid w:val="008F6545"/>
    <w:rsid w:val="008F6E59"/>
    <w:rsid w:val="008F6EAD"/>
    <w:rsid w:val="008F72F5"/>
    <w:rsid w:val="008F77FB"/>
    <w:rsid w:val="008F7B18"/>
    <w:rsid w:val="00900586"/>
    <w:rsid w:val="009017DB"/>
    <w:rsid w:val="0090191F"/>
    <w:rsid w:val="00901B25"/>
    <w:rsid w:val="00901F6A"/>
    <w:rsid w:val="00902721"/>
    <w:rsid w:val="00904FA0"/>
    <w:rsid w:val="0090578C"/>
    <w:rsid w:val="00906C8E"/>
    <w:rsid w:val="0090773F"/>
    <w:rsid w:val="00907A3E"/>
    <w:rsid w:val="0091026F"/>
    <w:rsid w:val="009103B5"/>
    <w:rsid w:val="00910435"/>
    <w:rsid w:val="00910C6B"/>
    <w:rsid w:val="00911DEF"/>
    <w:rsid w:val="009125B4"/>
    <w:rsid w:val="00912D1F"/>
    <w:rsid w:val="009130CE"/>
    <w:rsid w:val="009137CE"/>
    <w:rsid w:val="00914FE6"/>
    <w:rsid w:val="00915D62"/>
    <w:rsid w:val="00916618"/>
    <w:rsid w:val="0091718D"/>
    <w:rsid w:val="009175EA"/>
    <w:rsid w:val="009178FA"/>
    <w:rsid w:val="00917B75"/>
    <w:rsid w:val="00917EFD"/>
    <w:rsid w:val="0092009B"/>
    <w:rsid w:val="009209DD"/>
    <w:rsid w:val="00921848"/>
    <w:rsid w:val="00922197"/>
    <w:rsid w:val="00922CBD"/>
    <w:rsid w:val="009230AA"/>
    <w:rsid w:val="00924117"/>
    <w:rsid w:val="009241FF"/>
    <w:rsid w:val="00924F4D"/>
    <w:rsid w:val="009251D9"/>
    <w:rsid w:val="00925A79"/>
    <w:rsid w:val="00925C8D"/>
    <w:rsid w:val="00926905"/>
    <w:rsid w:val="00926CE2"/>
    <w:rsid w:val="00927503"/>
    <w:rsid w:val="00930E4A"/>
    <w:rsid w:val="00932C11"/>
    <w:rsid w:val="00933069"/>
    <w:rsid w:val="00933696"/>
    <w:rsid w:val="00935355"/>
    <w:rsid w:val="00935AD5"/>
    <w:rsid w:val="0093636E"/>
    <w:rsid w:val="009366C0"/>
    <w:rsid w:val="00936851"/>
    <w:rsid w:val="00936EE5"/>
    <w:rsid w:val="0093759E"/>
    <w:rsid w:val="00937B4D"/>
    <w:rsid w:val="009404A2"/>
    <w:rsid w:val="00940C2D"/>
    <w:rsid w:val="0094129A"/>
    <w:rsid w:val="00941B47"/>
    <w:rsid w:val="00941D85"/>
    <w:rsid w:val="00942AA3"/>
    <w:rsid w:val="00942C88"/>
    <w:rsid w:val="0094354F"/>
    <w:rsid w:val="00944035"/>
    <w:rsid w:val="00944BB6"/>
    <w:rsid w:val="00945672"/>
    <w:rsid w:val="0094699D"/>
    <w:rsid w:val="00947479"/>
    <w:rsid w:val="00947937"/>
    <w:rsid w:val="00947A05"/>
    <w:rsid w:val="00947ECC"/>
    <w:rsid w:val="009502DA"/>
    <w:rsid w:val="00950A35"/>
    <w:rsid w:val="00953288"/>
    <w:rsid w:val="009535D4"/>
    <w:rsid w:val="00953A02"/>
    <w:rsid w:val="00954182"/>
    <w:rsid w:val="00954596"/>
    <w:rsid w:val="00954941"/>
    <w:rsid w:val="00955245"/>
    <w:rsid w:val="009558BC"/>
    <w:rsid w:val="0095616B"/>
    <w:rsid w:val="00956D91"/>
    <w:rsid w:val="00957B18"/>
    <w:rsid w:val="00957C34"/>
    <w:rsid w:val="009607C6"/>
    <w:rsid w:val="009624DD"/>
    <w:rsid w:val="0096267D"/>
    <w:rsid w:val="0096307B"/>
    <w:rsid w:val="00966B32"/>
    <w:rsid w:val="009677FD"/>
    <w:rsid w:val="009704F8"/>
    <w:rsid w:val="00970E02"/>
    <w:rsid w:val="00971063"/>
    <w:rsid w:val="009716AC"/>
    <w:rsid w:val="009726E7"/>
    <w:rsid w:val="00972770"/>
    <w:rsid w:val="009728F2"/>
    <w:rsid w:val="0097324C"/>
    <w:rsid w:val="00974131"/>
    <w:rsid w:val="0097481C"/>
    <w:rsid w:val="00975F04"/>
    <w:rsid w:val="0097619A"/>
    <w:rsid w:val="009769AA"/>
    <w:rsid w:val="00977214"/>
    <w:rsid w:val="0097751A"/>
    <w:rsid w:val="0097794E"/>
    <w:rsid w:val="00977E41"/>
    <w:rsid w:val="00980293"/>
    <w:rsid w:val="00980413"/>
    <w:rsid w:val="00982DDD"/>
    <w:rsid w:val="009839D8"/>
    <w:rsid w:val="009856ED"/>
    <w:rsid w:val="00985E38"/>
    <w:rsid w:val="00985FC4"/>
    <w:rsid w:val="009867B7"/>
    <w:rsid w:val="0099168D"/>
    <w:rsid w:val="00992260"/>
    <w:rsid w:val="00993478"/>
    <w:rsid w:val="00993B6E"/>
    <w:rsid w:val="00993E27"/>
    <w:rsid w:val="00994481"/>
    <w:rsid w:val="00994B52"/>
    <w:rsid w:val="009950AA"/>
    <w:rsid w:val="00995FA8"/>
    <w:rsid w:val="00996124"/>
    <w:rsid w:val="0099691E"/>
    <w:rsid w:val="00996D26"/>
    <w:rsid w:val="00997CF0"/>
    <w:rsid w:val="009A0B48"/>
    <w:rsid w:val="009A15A7"/>
    <w:rsid w:val="009A16D0"/>
    <w:rsid w:val="009A3D4D"/>
    <w:rsid w:val="009A4AC6"/>
    <w:rsid w:val="009A4F65"/>
    <w:rsid w:val="009A5855"/>
    <w:rsid w:val="009A6A7C"/>
    <w:rsid w:val="009A7138"/>
    <w:rsid w:val="009A7B91"/>
    <w:rsid w:val="009B0ADC"/>
    <w:rsid w:val="009B2375"/>
    <w:rsid w:val="009B31A8"/>
    <w:rsid w:val="009B4854"/>
    <w:rsid w:val="009B5FD1"/>
    <w:rsid w:val="009B6222"/>
    <w:rsid w:val="009B7D49"/>
    <w:rsid w:val="009C1937"/>
    <w:rsid w:val="009C19F3"/>
    <w:rsid w:val="009C21D1"/>
    <w:rsid w:val="009C2D60"/>
    <w:rsid w:val="009C3C5C"/>
    <w:rsid w:val="009C4218"/>
    <w:rsid w:val="009C49DA"/>
    <w:rsid w:val="009C4B0C"/>
    <w:rsid w:val="009C60A5"/>
    <w:rsid w:val="009C758B"/>
    <w:rsid w:val="009C7F8A"/>
    <w:rsid w:val="009D1105"/>
    <w:rsid w:val="009D25FC"/>
    <w:rsid w:val="009D3B4D"/>
    <w:rsid w:val="009D3B9D"/>
    <w:rsid w:val="009D3F60"/>
    <w:rsid w:val="009D51F4"/>
    <w:rsid w:val="009D5E65"/>
    <w:rsid w:val="009D79EA"/>
    <w:rsid w:val="009E24F0"/>
    <w:rsid w:val="009E2682"/>
    <w:rsid w:val="009E53CC"/>
    <w:rsid w:val="009E5446"/>
    <w:rsid w:val="009E62CB"/>
    <w:rsid w:val="009E6EA0"/>
    <w:rsid w:val="009E7467"/>
    <w:rsid w:val="009E7981"/>
    <w:rsid w:val="009E7C6B"/>
    <w:rsid w:val="009F1856"/>
    <w:rsid w:val="009F1C63"/>
    <w:rsid w:val="009F1FF6"/>
    <w:rsid w:val="009F20D2"/>
    <w:rsid w:val="009F2864"/>
    <w:rsid w:val="009F398E"/>
    <w:rsid w:val="009F432F"/>
    <w:rsid w:val="009F5663"/>
    <w:rsid w:val="009F5C54"/>
    <w:rsid w:val="009F5FA3"/>
    <w:rsid w:val="009F64CE"/>
    <w:rsid w:val="009F651A"/>
    <w:rsid w:val="009F66F8"/>
    <w:rsid w:val="009F6808"/>
    <w:rsid w:val="00A00B24"/>
    <w:rsid w:val="00A01210"/>
    <w:rsid w:val="00A019EB"/>
    <w:rsid w:val="00A0337A"/>
    <w:rsid w:val="00A03B2D"/>
    <w:rsid w:val="00A03C17"/>
    <w:rsid w:val="00A0654C"/>
    <w:rsid w:val="00A0713D"/>
    <w:rsid w:val="00A07D19"/>
    <w:rsid w:val="00A07D47"/>
    <w:rsid w:val="00A10E01"/>
    <w:rsid w:val="00A11114"/>
    <w:rsid w:val="00A111BC"/>
    <w:rsid w:val="00A11B71"/>
    <w:rsid w:val="00A125BC"/>
    <w:rsid w:val="00A13170"/>
    <w:rsid w:val="00A13A4B"/>
    <w:rsid w:val="00A13D2E"/>
    <w:rsid w:val="00A147B5"/>
    <w:rsid w:val="00A14AE4"/>
    <w:rsid w:val="00A15FA7"/>
    <w:rsid w:val="00A166EA"/>
    <w:rsid w:val="00A17183"/>
    <w:rsid w:val="00A179BB"/>
    <w:rsid w:val="00A179CD"/>
    <w:rsid w:val="00A20700"/>
    <w:rsid w:val="00A20EB2"/>
    <w:rsid w:val="00A2126C"/>
    <w:rsid w:val="00A219A0"/>
    <w:rsid w:val="00A22BEF"/>
    <w:rsid w:val="00A22E36"/>
    <w:rsid w:val="00A23D44"/>
    <w:rsid w:val="00A25743"/>
    <w:rsid w:val="00A25BB1"/>
    <w:rsid w:val="00A26399"/>
    <w:rsid w:val="00A27910"/>
    <w:rsid w:val="00A27D97"/>
    <w:rsid w:val="00A27E89"/>
    <w:rsid w:val="00A302C7"/>
    <w:rsid w:val="00A30D48"/>
    <w:rsid w:val="00A3188B"/>
    <w:rsid w:val="00A31B5A"/>
    <w:rsid w:val="00A31C24"/>
    <w:rsid w:val="00A31DF2"/>
    <w:rsid w:val="00A32D25"/>
    <w:rsid w:val="00A332D2"/>
    <w:rsid w:val="00A34E8D"/>
    <w:rsid w:val="00A35873"/>
    <w:rsid w:val="00A35BFF"/>
    <w:rsid w:val="00A41EF1"/>
    <w:rsid w:val="00A423F8"/>
    <w:rsid w:val="00A42519"/>
    <w:rsid w:val="00A435CF"/>
    <w:rsid w:val="00A4411A"/>
    <w:rsid w:val="00A44684"/>
    <w:rsid w:val="00A446A3"/>
    <w:rsid w:val="00A44CFC"/>
    <w:rsid w:val="00A45201"/>
    <w:rsid w:val="00A45D0C"/>
    <w:rsid w:val="00A4695B"/>
    <w:rsid w:val="00A46A49"/>
    <w:rsid w:val="00A46DE4"/>
    <w:rsid w:val="00A47A4C"/>
    <w:rsid w:val="00A47AAE"/>
    <w:rsid w:val="00A500F9"/>
    <w:rsid w:val="00A5027C"/>
    <w:rsid w:val="00A508F6"/>
    <w:rsid w:val="00A50D12"/>
    <w:rsid w:val="00A51DE9"/>
    <w:rsid w:val="00A53688"/>
    <w:rsid w:val="00A5368C"/>
    <w:rsid w:val="00A53CB3"/>
    <w:rsid w:val="00A55EC0"/>
    <w:rsid w:val="00A5625E"/>
    <w:rsid w:val="00A563DC"/>
    <w:rsid w:val="00A564F5"/>
    <w:rsid w:val="00A56F65"/>
    <w:rsid w:val="00A6059E"/>
    <w:rsid w:val="00A60A04"/>
    <w:rsid w:val="00A61037"/>
    <w:rsid w:val="00A6126C"/>
    <w:rsid w:val="00A613B4"/>
    <w:rsid w:val="00A61531"/>
    <w:rsid w:val="00A61C0D"/>
    <w:rsid w:val="00A62A6F"/>
    <w:rsid w:val="00A62E73"/>
    <w:rsid w:val="00A634D3"/>
    <w:rsid w:val="00A642DD"/>
    <w:rsid w:val="00A643BB"/>
    <w:rsid w:val="00A645CC"/>
    <w:rsid w:val="00A6617B"/>
    <w:rsid w:val="00A6635E"/>
    <w:rsid w:val="00A66A07"/>
    <w:rsid w:val="00A66CB7"/>
    <w:rsid w:val="00A675F2"/>
    <w:rsid w:val="00A7024C"/>
    <w:rsid w:val="00A70BB9"/>
    <w:rsid w:val="00A70BC1"/>
    <w:rsid w:val="00A7137A"/>
    <w:rsid w:val="00A74187"/>
    <w:rsid w:val="00A751CD"/>
    <w:rsid w:val="00A757A9"/>
    <w:rsid w:val="00A75A31"/>
    <w:rsid w:val="00A77452"/>
    <w:rsid w:val="00A77C64"/>
    <w:rsid w:val="00A8068D"/>
    <w:rsid w:val="00A80A7D"/>
    <w:rsid w:val="00A82378"/>
    <w:rsid w:val="00A82BF8"/>
    <w:rsid w:val="00A82D21"/>
    <w:rsid w:val="00A833D5"/>
    <w:rsid w:val="00A8398A"/>
    <w:rsid w:val="00A8401A"/>
    <w:rsid w:val="00A8549E"/>
    <w:rsid w:val="00A85D95"/>
    <w:rsid w:val="00A87B55"/>
    <w:rsid w:val="00A92367"/>
    <w:rsid w:val="00A92A66"/>
    <w:rsid w:val="00A92E86"/>
    <w:rsid w:val="00A93134"/>
    <w:rsid w:val="00A93700"/>
    <w:rsid w:val="00A949F3"/>
    <w:rsid w:val="00A9587D"/>
    <w:rsid w:val="00A95BA6"/>
    <w:rsid w:val="00A95F57"/>
    <w:rsid w:val="00A963EA"/>
    <w:rsid w:val="00A96C6F"/>
    <w:rsid w:val="00A97ACD"/>
    <w:rsid w:val="00AA0122"/>
    <w:rsid w:val="00AA05A9"/>
    <w:rsid w:val="00AA05E1"/>
    <w:rsid w:val="00AA0FDE"/>
    <w:rsid w:val="00AA202E"/>
    <w:rsid w:val="00AA2E96"/>
    <w:rsid w:val="00AA3581"/>
    <w:rsid w:val="00AA387B"/>
    <w:rsid w:val="00AA3C23"/>
    <w:rsid w:val="00AA40FF"/>
    <w:rsid w:val="00AA48F4"/>
    <w:rsid w:val="00AA4ECF"/>
    <w:rsid w:val="00AA5980"/>
    <w:rsid w:val="00AA6567"/>
    <w:rsid w:val="00AA75C5"/>
    <w:rsid w:val="00AA76E3"/>
    <w:rsid w:val="00AA77D0"/>
    <w:rsid w:val="00AA792E"/>
    <w:rsid w:val="00AA7D1D"/>
    <w:rsid w:val="00AA7DA4"/>
    <w:rsid w:val="00AB01A0"/>
    <w:rsid w:val="00AB1284"/>
    <w:rsid w:val="00AB1D32"/>
    <w:rsid w:val="00AB1EC0"/>
    <w:rsid w:val="00AB2932"/>
    <w:rsid w:val="00AB2CDC"/>
    <w:rsid w:val="00AB2D31"/>
    <w:rsid w:val="00AB2E91"/>
    <w:rsid w:val="00AB30E7"/>
    <w:rsid w:val="00AB386B"/>
    <w:rsid w:val="00AB420C"/>
    <w:rsid w:val="00AB50C2"/>
    <w:rsid w:val="00AB5167"/>
    <w:rsid w:val="00AB6A0C"/>
    <w:rsid w:val="00AC09A3"/>
    <w:rsid w:val="00AC0C80"/>
    <w:rsid w:val="00AC1310"/>
    <w:rsid w:val="00AC2079"/>
    <w:rsid w:val="00AC274C"/>
    <w:rsid w:val="00AC292E"/>
    <w:rsid w:val="00AC2CCA"/>
    <w:rsid w:val="00AC34CC"/>
    <w:rsid w:val="00AC371B"/>
    <w:rsid w:val="00AC3DED"/>
    <w:rsid w:val="00AC3EA8"/>
    <w:rsid w:val="00AC43A8"/>
    <w:rsid w:val="00AC4407"/>
    <w:rsid w:val="00AC4779"/>
    <w:rsid w:val="00AC5A2B"/>
    <w:rsid w:val="00AC606B"/>
    <w:rsid w:val="00AC6399"/>
    <w:rsid w:val="00AC6499"/>
    <w:rsid w:val="00AC650C"/>
    <w:rsid w:val="00AC7AF9"/>
    <w:rsid w:val="00AD0993"/>
    <w:rsid w:val="00AD1431"/>
    <w:rsid w:val="00AD1FFA"/>
    <w:rsid w:val="00AD373C"/>
    <w:rsid w:val="00AD3C82"/>
    <w:rsid w:val="00AD3F79"/>
    <w:rsid w:val="00AD4C5B"/>
    <w:rsid w:val="00AD5816"/>
    <w:rsid w:val="00AD5F7B"/>
    <w:rsid w:val="00AD74BF"/>
    <w:rsid w:val="00AD7928"/>
    <w:rsid w:val="00AD7BBF"/>
    <w:rsid w:val="00AE0C80"/>
    <w:rsid w:val="00AE0F59"/>
    <w:rsid w:val="00AE11FB"/>
    <w:rsid w:val="00AE2524"/>
    <w:rsid w:val="00AE2BB3"/>
    <w:rsid w:val="00AE3D13"/>
    <w:rsid w:val="00AE5155"/>
    <w:rsid w:val="00AE581E"/>
    <w:rsid w:val="00AE6505"/>
    <w:rsid w:val="00AE6644"/>
    <w:rsid w:val="00AE6981"/>
    <w:rsid w:val="00AE79E7"/>
    <w:rsid w:val="00AE7F99"/>
    <w:rsid w:val="00AF03C7"/>
    <w:rsid w:val="00AF04EA"/>
    <w:rsid w:val="00AF0E0D"/>
    <w:rsid w:val="00AF299B"/>
    <w:rsid w:val="00AF45B0"/>
    <w:rsid w:val="00AF4FC7"/>
    <w:rsid w:val="00AF5EFC"/>
    <w:rsid w:val="00AF6E18"/>
    <w:rsid w:val="00B00210"/>
    <w:rsid w:val="00B0052A"/>
    <w:rsid w:val="00B00A01"/>
    <w:rsid w:val="00B02CC2"/>
    <w:rsid w:val="00B03B27"/>
    <w:rsid w:val="00B040A7"/>
    <w:rsid w:val="00B0436E"/>
    <w:rsid w:val="00B05750"/>
    <w:rsid w:val="00B0644C"/>
    <w:rsid w:val="00B10366"/>
    <w:rsid w:val="00B104C3"/>
    <w:rsid w:val="00B10F68"/>
    <w:rsid w:val="00B1186C"/>
    <w:rsid w:val="00B12039"/>
    <w:rsid w:val="00B120F9"/>
    <w:rsid w:val="00B13A59"/>
    <w:rsid w:val="00B13DF4"/>
    <w:rsid w:val="00B15520"/>
    <w:rsid w:val="00B15715"/>
    <w:rsid w:val="00B15CCE"/>
    <w:rsid w:val="00B15EA9"/>
    <w:rsid w:val="00B164B6"/>
    <w:rsid w:val="00B16F79"/>
    <w:rsid w:val="00B17924"/>
    <w:rsid w:val="00B20030"/>
    <w:rsid w:val="00B209B4"/>
    <w:rsid w:val="00B22239"/>
    <w:rsid w:val="00B23376"/>
    <w:rsid w:val="00B24105"/>
    <w:rsid w:val="00B24BF7"/>
    <w:rsid w:val="00B25918"/>
    <w:rsid w:val="00B26AF2"/>
    <w:rsid w:val="00B2706F"/>
    <w:rsid w:val="00B278FE"/>
    <w:rsid w:val="00B27EC5"/>
    <w:rsid w:val="00B3091C"/>
    <w:rsid w:val="00B30BB6"/>
    <w:rsid w:val="00B30CC3"/>
    <w:rsid w:val="00B30ED2"/>
    <w:rsid w:val="00B30F84"/>
    <w:rsid w:val="00B311B3"/>
    <w:rsid w:val="00B326C5"/>
    <w:rsid w:val="00B3528D"/>
    <w:rsid w:val="00B3566F"/>
    <w:rsid w:val="00B3584C"/>
    <w:rsid w:val="00B36218"/>
    <w:rsid w:val="00B36593"/>
    <w:rsid w:val="00B36871"/>
    <w:rsid w:val="00B37057"/>
    <w:rsid w:val="00B373D1"/>
    <w:rsid w:val="00B40866"/>
    <w:rsid w:val="00B4309B"/>
    <w:rsid w:val="00B4388D"/>
    <w:rsid w:val="00B44840"/>
    <w:rsid w:val="00B452E4"/>
    <w:rsid w:val="00B453D4"/>
    <w:rsid w:val="00B4554B"/>
    <w:rsid w:val="00B45791"/>
    <w:rsid w:val="00B459D5"/>
    <w:rsid w:val="00B459D7"/>
    <w:rsid w:val="00B45A5F"/>
    <w:rsid w:val="00B46CA9"/>
    <w:rsid w:val="00B47F65"/>
    <w:rsid w:val="00B50863"/>
    <w:rsid w:val="00B50C7C"/>
    <w:rsid w:val="00B516EC"/>
    <w:rsid w:val="00B5286B"/>
    <w:rsid w:val="00B5298C"/>
    <w:rsid w:val="00B536A8"/>
    <w:rsid w:val="00B54023"/>
    <w:rsid w:val="00B54462"/>
    <w:rsid w:val="00B545DC"/>
    <w:rsid w:val="00B547EC"/>
    <w:rsid w:val="00B54B25"/>
    <w:rsid w:val="00B54E92"/>
    <w:rsid w:val="00B552DA"/>
    <w:rsid w:val="00B56A6F"/>
    <w:rsid w:val="00B572C2"/>
    <w:rsid w:val="00B579C3"/>
    <w:rsid w:val="00B6014E"/>
    <w:rsid w:val="00B604D1"/>
    <w:rsid w:val="00B61CE9"/>
    <w:rsid w:val="00B61D37"/>
    <w:rsid w:val="00B62044"/>
    <w:rsid w:val="00B62117"/>
    <w:rsid w:val="00B62319"/>
    <w:rsid w:val="00B626F7"/>
    <w:rsid w:val="00B62936"/>
    <w:rsid w:val="00B63700"/>
    <w:rsid w:val="00B64A29"/>
    <w:rsid w:val="00B64C7B"/>
    <w:rsid w:val="00B650E2"/>
    <w:rsid w:val="00B6532C"/>
    <w:rsid w:val="00B65519"/>
    <w:rsid w:val="00B663C8"/>
    <w:rsid w:val="00B669DF"/>
    <w:rsid w:val="00B66CD9"/>
    <w:rsid w:val="00B7045E"/>
    <w:rsid w:val="00B70A34"/>
    <w:rsid w:val="00B71037"/>
    <w:rsid w:val="00B723A0"/>
    <w:rsid w:val="00B73018"/>
    <w:rsid w:val="00B7354B"/>
    <w:rsid w:val="00B75347"/>
    <w:rsid w:val="00B75E67"/>
    <w:rsid w:val="00B75F29"/>
    <w:rsid w:val="00B761B2"/>
    <w:rsid w:val="00B76984"/>
    <w:rsid w:val="00B77708"/>
    <w:rsid w:val="00B77D74"/>
    <w:rsid w:val="00B8126F"/>
    <w:rsid w:val="00B82492"/>
    <w:rsid w:val="00B82720"/>
    <w:rsid w:val="00B83F39"/>
    <w:rsid w:val="00B84643"/>
    <w:rsid w:val="00B84E8E"/>
    <w:rsid w:val="00B853F8"/>
    <w:rsid w:val="00B860A9"/>
    <w:rsid w:val="00B860F1"/>
    <w:rsid w:val="00B86AE2"/>
    <w:rsid w:val="00B86EA3"/>
    <w:rsid w:val="00B8772E"/>
    <w:rsid w:val="00B900EE"/>
    <w:rsid w:val="00B90E3F"/>
    <w:rsid w:val="00B914C6"/>
    <w:rsid w:val="00B92013"/>
    <w:rsid w:val="00B920F0"/>
    <w:rsid w:val="00B9278B"/>
    <w:rsid w:val="00B92A44"/>
    <w:rsid w:val="00B93946"/>
    <w:rsid w:val="00B93D81"/>
    <w:rsid w:val="00B94A98"/>
    <w:rsid w:val="00B94C3E"/>
    <w:rsid w:val="00B950F7"/>
    <w:rsid w:val="00B956E5"/>
    <w:rsid w:val="00BA08E4"/>
    <w:rsid w:val="00BA0DE3"/>
    <w:rsid w:val="00BA1A7B"/>
    <w:rsid w:val="00BA3F0C"/>
    <w:rsid w:val="00BA403E"/>
    <w:rsid w:val="00BA40A8"/>
    <w:rsid w:val="00BA5276"/>
    <w:rsid w:val="00BA6281"/>
    <w:rsid w:val="00BA63C3"/>
    <w:rsid w:val="00BA63F3"/>
    <w:rsid w:val="00BA6558"/>
    <w:rsid w:val="00BA687D"/>
    <w:rsid w:val="00BA6F5D"/>
    <w:rsid w:val="00BB044E"/>
    <w:rsid w:val="00BB0478"/>
    <w:rsid w:val="00BB0512"/>
    <w:rsid w:val="00BB1055"/>
    <w:rsid w:val="00BB1C1F"/>
    <w:rsid w:val="00BB215E"/>
    <w:rsid w:val="00BB26F4"/>
    <w:rsid w:val="00BB2F01"/>
    <w:rsid w:val="00BB4B98"/>
    <w:rsid w:val="00BB4E41"/>
    <w:rsid w:val="00BB5A5F"/>
    <w:rsid w:val="00BB5D41"/>
    <w:rsid w:val="00BB6137"/>
    <w:rsid w:val="00BB62F7"/>
    <w:rsid w:val="00BB7A14"/>
    <w:rsid w:val="00BC0626"/>
    <w:rsid w:val="00BC1845"/>
    <w:rsid w:val="00BC19E5"/>
    <w:rsid w:val="00BC27EF"/>
    <w:rsid w:val="00BC5E56"/>
    <w:rsid w:val="00BC6D6D"/>
    <w:rsid w:val="00BC79C7"/>
    <w:rsid w:val="00BD0A39"/>
    <w:rsid w:val="00BD126C"/>
    <w:rsid w:val="00BD17A1"/>
    <w:rsid w:val="00BD263D"/>
    <w:rsid w:val="00BD2992"/>
    <w:rsid w:val="00BD2CD6"/>
    <w:rsid w:val="00BD36C7"/>
    <w:rsid w:val="00BD3A74"/>
    <w:rsid w:val="00BD3C72"/>
    <w:rsid w:val="00BD4B41"/>
    <w:rsid w:val="00BD52BC"/>
    <w:rsid w:val="00BD54B6"/>
    <w:rsid w:val="00BD5D4C"/>
    <w:rsid w:val="00BD5F28"/>
    <w:rsid w:val="00BD6182"/>
    <w:rsid w:val="00BD6224"/>
    <w:rsid w:val="00BD6F02"/>
    <w:rsid w:val="00BD72BA"/>
    <w:rsid w:val="00BE0200"/>
    <w:rsid w:val="00BE0BA1"/>
    <w:rsid w:val="00BE1564"/>
    <w:rsid w:val="00BE2807"/>
    <w:rsid w:val="00BE28F5"/>
    <w:rsid w:val="00BE2C58"/>
    <w:rsid w:val="00BE623E"/>
    <w:rsid w:val="00BE7839"/>
    <w:rsid w:val="00BF0A22"/>
    <w:rsid w:val="00BF193A"/>
    <w:rsid w:val="00BF1D54"/>
    <w:rsid w:val="00BF1DDA"/>
    <w:rsid w:val="00BF2D5E"/>
    <w:rsid w:val="00BF34BB"/>
    <w:rsid w:val="00BF3F2D"/>
    <w:rsid w:val="00BF4746"/>
    <w:rsid w:val="00BF50E0"/>
    <w:rsid w:val="00BF5C4C"/>
    <w:rsid w:val="00BF5C7E"/>
    <w:rsid w:val="00BF63A2"/>
    <w:rsid w:val="00BF6C8B"/>
    <w:rsid w:val="00BF7663"/>
    <w:rsid w:val="00BF76F0"/>
    <w:rsid w:val="00BF7FDA"/>
    <w:rsid w:val="00C00A80"/>
    <w:rsid w:val="00C00E2A"/>
    <w:rsid w:val="00C00F7D"/>
    <w:rsid w:val="00C01DCF"/>
    <w:rsid w:val="00C02288"/>
    <w:rsid w:val="00C025D4"/>
    <w:rsid w:val="00C02920"/>
    <w:rsid w:val="00C03439"/>
    <w:rsid w:val="00C06305"/>
    <w:rsid w:val="00C063B5"/>
    <w:rsid w:val="00C0789C"/>
    <w:rsid w:val="00C07FF5"/>
    <w:rsid w:val="00C10250"/>
    <w:rsid w:val="00C106CE"/>
    <w:rsid w:val="00C107E5"/>
    <w:rsid w:val="00C109B7"/>
    <w:rsid w:val="00C10BA3"/>
    <w:rsid w:val="00C10C3B"/>
    <w:rsid w:val="00C1100E"/>
    <w:rsid w:val="00C1183C"/>
    <w:rsid w:val="00C12C25"/>
    <w:rsid w:val="00C1349A"/>
    <w:rsid w:val="00C13E85"/>
    <w:rsid w:val="00C13FB7"/>
    <w:rsid w:val="00C145B6"/>
    <w:rsid w:val="00C14C8C"/>
    <w:rsid w:val="00C157D2"/>
    <w:rsid w:val="00C15DDD"/>
    <w:rsid w:val="00C1636F"/>
    <w:rsid w:val="00C16BA0"/>
    <w:rsid w:val="00C170BD"/>
    <w:rsid w:val="00C1745F"/>
    <w:rsid w:val="00C217E6"/>
    <w:rsid w:val="00C21A32"/>
    <w:rsid w:val="00C22468"/>
    <w:rsid w:val="00C23E07"/>
    <w:rsid w:val="00C248BE"/>
    <w:rsid w:val="00C24E74"/>
    <w:rsid w:val="00C25662"/>
    <w:rsid w:val="00C257A1"/>
    <w:rsid w:val="00C263D0"/>
    <w:rsid w:val="00C26835"/>
    <w:rsid w:val="00C27292"/>
    <w:rsid w:val="00C274F3"/>
    <w:rsid w:val="00C27C4D"/>
    <w:rsid w:val="00C27F70"/>
    <w:rsid w:val="00C308A0"/>
    <w:rsid w:val="00C314D5"/>
    <w:rsid w:val="00C318B0"/>
    <w:rsid w:val="00C31FD5"/>
    <w:rsid w:val="00C32074"/>
    <w:rsid w:val="00C32189"/>
    <w:rsid w:val="00C324DA"/>
    <w:rsid w:val="00C32EF7"/>
    <w:rsid w:val="00C3306E"/>
    <w:rsid w:val="00C336DD"/>
    <w:rsid w:val="00C339D9"/>
    <w:rsid w:val="00C33D30"/>
    <w:rsid w:val="00C354D6"/>
    <w:rsid w:val="00C369A2"/>
    <w:rsid w:val="00C36DA2"/>
    <w:rsid w:val="00C37549"/>
    <w:rsid w:val="00C37EA7"/>
    <w:rsid w:val="00C40281"/>
    <w:rsid w:val="00C40377"/>
    <w:rsid w:val="00C40CEF"/>
    <w:rsid w:val="00C40D1B"/>
    <w:rsid w:val="00C41FE0"/>
    <w:rsid w:val="00C45455"/>
    <w:rsid w:val="00C46111"/>
    <w:rsid w:val="00C47150"/>
    <w:rsid w:val="00C47583"/>
    <w:rsid w:val="00C47803"/>
    <w:rsid w:val="00C47D63"/>
    <w:rsid w:val="00C5091C"/>
    <w:rsid w:val="00C5125F"/>
    <w:rsid w:val="00C51483"/>
    <w:rsid w:val="00C516E5"/>
    <w:rsid w:val="00C5336D"/>
    <w:rsid w:val="00C53675"/>
    <w:rsid w:val="00C53815"/>
    <w:rsid w:val="00C541D0"/>
    <w:rsid w:val="00C54686"/>
    <w:rsid w:val="00C5574C"/>
    <w:rsid w:val="00C557F4"/>
    <w:rsid w:val="00C559BE"/>
    <w:rsid w:val="00C5607E"/>
    <w:rsid w:val="00C56115"/>
    <w:rsid w:val="00C5629F"/>
    <w:rsid w:val="00C56A53"/>
    <w:rsid w:val="00C56B99"/>
    <w:rsid w:val="00C60F33"/>
    <w:rsid w:val="00C61B0A"/>
    <w:rsid w:val="00C61CCA"/>
    <w:rsid w:val="00C61FB8"/>
    <w:rsid w:val="00C621FF"/>
    <w:rsid w:val="00C62470"/>
    <w:rsid w:val="00C6340A"/>
    <w:rsid w:val="00C641F3"/>
    <w:rsid w:val="00C644D5"/>
    <w:rsid w:val="00C645B7"/>
    <w:rsid w:val="00C64AFE"/>
    <w:rsid w:val="00C64DF5"/>
    <w:rsid w:val="00C659FC"/>
    <w:rsid w:val="00C65E9B"/>
    <w:rsid w:val="00C67D6E"/>
    <w:rsid w:val="00C71728"/>
    <w:rsid w:val="00C724D3"/>
    <w:rsid w:val="00C727CD"/>
    <w:rsid w:val="00C747FB"/>
    <w:rsid w:val="00C7519C"/>
    <w:rsid w:val="00C7569F"/>
    <w:rsid w:val="00C7584A"/>
    <w:rsid w:val="00C759D4"/>
    <w:rsid w:val="00C76006"/>
    <w:rsid w:val="00C76455"/>
    <w:rsid w:val="00C7652B"/>
    <w:rsid w:val="00C77364"/>
    <w:rsid w:val="00C817D3"/>
    <w:rsid w:val="00C81831"/>
    <w:rsid w:val="00C81AA4"/>
    <w:rsid w:val="00C81FB3"/>
    <w:rsid w:val="00C82699"/>
    <w:rsid w:val="00C83572"/>
    <w:rsid w:val="00C8499A"/>
    <w:rsid w:val="00C858D4"/>
    <w:rsid w:val="00C86844"/>
    <w:rsid w:val="00C87D2D"/>
    <w:rsid w:val="00C87DB5"/>
    <w:rsid w:val="00C900C2"/>
    <w:rsid w:val="00C90871"/>
    <w:rsid w:val="00C90F66"/>
    <w:rsid w:val="00C9191B"/>
    <w:rsid w:val="00C91D15"/>
    <w:rsid w:val="00C921EE"/>
    <w:rsid w:val="00C923EE"/>
    <w:rsid w:val="00C93994"/>
    <w:rsid w:val="00C9504E"/>
    <w:rsid w:val="00C95567"/>
    <w:rsid w:val="00C957B2"/>
    <w:rsid w:val="00C965AD"/>
    <w:rsid w:val="00C9689B"/>
    <w:rsid w:val="00C96C87"/>
    <w:rsid w:val="00C96D6E"/>
    <w:rsid w:val="00C9733B"/>
    <w:rsid w:val="00C977DC"/>
    <w:rsid w:val="00CA2DD4"/>
    <w:rsid w:val="00CA3355"/>
    <w:rsid w:val="00CA4BAE"/>
    <w:rsid w:val="00CB0597"/>
    <w:rsid w:val="00CB0693"/>
    <w:rsid w:val="00CB0AA9"/>
    <w:rsid w:val="00CB0B8D"/>
    <w:rsid w:val="00CB18BE"/>
    <w:rsid w:val="00CB2826"/>
    <w:rsid w:val="00CB315F"/>
    <w:rsid w:val="00CB34F4"/>
    <w:rsid w:val="00CB4609"/>
    <w:rsid w:val="00CB63DC"/>
    <w:rsid w:val="00CB64B1"/>
    <w:rsid w:val="00CB6A46"/>
    <w:rsid w:val="00CB7496"/>
    <w:rsid w:val="00CB7818"/>
    <w:rsid w:val="00CB7B70"/>
    <w:rsid w:val="00CC0D7A"/>
    <w:rsid w:val="00CC1B0B"/>
    <w:rsid w:val="00CC1B77"/>
    <w:rsid w:val="00CC1E4B"/>
    <w:rsid w:val="00CC2259"/>
    <w:rsid w:val="00CC34BE"/>
    <w:rsid w:val="00CC36E6"/>
    <w:rsid w:val="00CC464D"/>
    <w:rsid w:val="00CC4D1C"/>
    <w:rsid w:val="00CC5973"/>
    <w:rsid w:val="00CC5E69"/>
    <w:rsid w:val="00CC6BA6"/>
    <w:rsid w:val="00CC6E45"/>
    <w:rsid w:val="00CC7495"/>
    <w:rsid w:val="00CD0396"/>
    <w:rsid w:val="00CD1306"/>
    <w:rsid w:val="00CD1471"/>
    <w:rsid w:val="00CD1ABC"/>
    <w:rsid w:val="00CD25D3"/>
    <w:rsid w:val="00CD2DA3"/>
    <w:rsid w:val="00CD37C7"/>
    <w:rsid w:val="00CD3AC5"/>
    <w:rsid w:val="00CD4129"/>
    <w:rsid w:val="00CD41C0"/>
    <w:rsid w:val="00CD5A3C"/>
    <w:rsid w:val="00CD7AE3"/>
    <w:rsid w:val="00CE068B"/>
    <w:rsid w:val="00CE2990"/>
    <w:rsid w:val="00CE4890"/>
    <w:rsid w:val="00CE5D60"/>
    <w:rsid w:val="00CE6497"/>
    <w:rsid w:val="00CE6BBD"/>
    <w:rsid w:val="00CE6E6C"/>
    <w:rsid w:val="00CF0683"/>
    <w:rsid w:val="00CF0766"/>
    <w:rsid w:val="00CF0E0E"/>
    <w:rsid w:val="00CF1022"/>
    <w:rsid w:val="00CF1214"/>
    <w:rsid w:val="00CF179F"/>
    <w:rsid w:val="00CF196F"/>
    <w:rsid w:val="00CF242A"/>
    <w:rsid w:val="00CF2DED"/>
    <w:rsid w:val="00CF3975"/>
    <w:rsid w:val="00CF45C1"/>
    <w:rsid w:val="00CF49AE"/>
    <w:rsid w:val="00CF4B1D"/>
    <w:rsid w:val="00CF4FEE"/>
    <w:rsid w:val="00CF54EF"/>
    <w:rsid w:val="00CF5775"/>
    <w:rsid w:val="00CF5A99"/>
    <w:rsid w:val="00CF5C59"/>
    <w:rsid w:val="00CF624A"/>
    <w:rsid w:val="00CF626B"/>
    <w:rsid w:val="00CF67A8"/>
    <w:rsid w:val="00CF67C0"/>
    <w:rsid w:val="00CF6BA3"/>
    <w:rsid w:val="00CF6BFB"/>
    <w:rsid w:val="00CF7DA4"/>
    <w:rsid w:val="00CF7F5A"/>
    <w:rsid w:val="00D039B1"/>
    <w:rsid w:val="00D04C2A"/>
    <w:rsid w:val="00D051EA"/>
    <w:rsid w:val="00D052D6"/>
    <w:rsid w:val="00D052E7"/>
    <w:rsid w:val="00D05865"/>
    <w:rsid w:val="00D05A6E"/>
    <w:rsid w:val="00D05D65"/>
    <w:rsid w:val="00D06184"/>
    <w:rsid w:val="00D0672D"/>
    <w:rsid w:val="00D078B3"/>
    <w:rsid w:val="00D1060F"/>
    <w:rsid w:val="00D108AC"/>
    <w:rsid w:val="00D11302"/>
    <w:rsid w:val="00D11391"/>
    <w:rsid w:val="00D1290E"/>
    <w:rsid w:val="00D13247"/>
    <w:rsid w:val="00D135E3"/>
    <w:rsid w:val="00D146D4"/>
    <w:rsid w:val="00D14870"/>
    <w:rsid w:val="00D1718F"/>
    <w:rsid w:val="00D177FD"/>
    <w:rsid w:val="00D17A74"/>
    <w:rsid w:val="00D17BB3"/>
    <w:rsid w:val="00D17C19"/>
    <w:rsid w:val="00D20947"/>
    <w:rsid w:val="00D21546"/>
    <w:rsid w:val="00D215EB"/>
    <w:rsid w:val="00D232E9"/>
    <w:rsid w:val="00D236E0"/>
    <w:rsid w:val="00D23B44"/>
    <w:rsid w:val="00D243B7"/>
    <w:rsid w:val="00D249C6"/>
    <w:rsid w:val="00D2561E"/>
    <w:rsid w:val="00D256AA"/>
    <w:rsid w:val="00D2587C"/>
    <w:rsid w:val="00D26F6B"/>
    <w:rsid w:val="00D27D7F"/>
    <w:rsid w:val="00D30334"/>
    <w:rsid w:val="00D30536"/>
    <w:rsid w:val="00D307E2"/>
    <w:rsid w:val="00D30AE9"/>
    <w:rsid w:val="00D3109E"/>
    <w:rsid w:val="00D31A4A"/>
    <w:rsid w:val="00D325B5"/>
    <w:rsid w:val="00D3290F"/>
    <w:rsid w:val="00D32BB0"/>
    <w:rsid w:val="00D32CA6"/>
    <w:rsid w:val="00D32EA7"/>
    <w:rsid w:val="00D33677"/>
    <w:rsid w:val="00D33944"/>
    <w:rsid w:val="00D352DC"/>
    <w:rsid w:val="00D365C0"/>
    <w:rsid w:val="00D36989"/>
    <w:rsid w:val="00D36CB7"/>
    <w:rsid w:val="00D37BEA"/>
    <w:rsid w:val="00D37F5D"/>
    <w:rsid w:val="00D40158"/>
    <w:rsid w:val="00D40327"/>
    <w:rsid w:val="00D40E58"/>
    <w:rsid w:val="00D426B6"/>
    <w:rsid w:val="00D429FB"/>
    <w:rsid w:val="00D43A85"/>
    <w:rsid w:val="00D43D80"/>
    <w:rsid w:val="00D4453C"/>
    <w:rsid w:val="00D44B35"/>
    <w:rsid w:val="00D44B7E"/>
    <w:rsid w:val="00D44BBD"/>
    <w:rsid w:val="00D45DFD"/>
    <w:rsid w:val="00D4640C"/>
    <w:rsid w:val="00D46E38"/>
    <w:rsid w:val="00D470B6"/>
    <w:rsid w:val="00D5015E"/>
    <w:rsid w:val="00D50628"/>
    <w:rsid w:val="00D510CF"/>
    <w:rsid w:val="00D51B06"/>
    <w:rsid w:val="00D52202"/>
    <w:rsid w:val="00D54BBD"/>
    <w:rsid w:val="00D54E90"/>
    <w:rsid w:val="00D54E98"/>
    <w:rsid w:val="00D553AC"/>
    <w:rsid w:val="00D57216"/>
    <w:rsid w:val="00D574CE"/>
    <w:rsid w:val="00D5764E"/>
    <w:rsid w:val="00D57FC4"/>
    <w:rsid w:val="00D602A9"/>
    <w:rsid w:val="00D605E8"/>
    <w:rsid w:val="00D60F30"/>
    <w:rsid w:val="00D60F3A"/>
    <w:rsid w:val="00D61137"/>
    <w:rsid w:val="00D61ADC"/>
    <w:rsid w:val="00D61E0D"/>
    <w:rsid w:val="00D621E2"/>
    <w:rsid w:val="00D623E2"/>
    <w:rsid w:val="00D6518E"/>
    <w:rsid w:val="00D65CEA"/>
    <w:rsid w:val="00D66605"/>
    <w:rsid w:val="00D66650"/>
    <w:rsid w:val="00D669F3"/>
    <w:rsid w:val="00D67649"/>
    <w:rsid w:val="00D67B7B"/>
    <w:rsid w:val="00D7030D"/>
    <w:rsid w:val="00D703B9"/>
    <w:rsid w:val="00D70675"/>
    <w:rsid w:val="00D70DFA"/>
    <w:rsid w:val="00D71515"/>
    <w:rsid w:val="00D718A9"/>
    <w:rsid w:val="00D71C6A"/>
    <w:rsid w:val="00D72CEC"/>
    <w:rsid w:val="00D756B8"/>
    <w:rsid w:val="00D76887"/>
    <w:rsid w:val="00D76C50"/>
    <w:rsid w:val="00D7723E"/>
    <w:rsid w:val="00D77669"/>
    <w:rsid w:val="00D77A70"/>
    <w:rsid w:val="00D801B6"/>
    <w:rsid w:val="00D80A4D"/>
    <w:rsid w:val="00D81586"/>
    <w:rsid w:val="00D81722"/>
    <w:rsid w:val="00D817E0"/>
    <w:rsid w:val="00D81D23"/>
    <w:rsid w:val="00D81EF9"/>
    <w:rsid w:val="00D834F5"/>
    <w:rsid w:val="00D8463C"/>
    <w:rsid w:val="00D85174"/>
    <w:rsid w:val="00D85387"/>
    <w:rsid w:val="00D854C2"/>
    <w:rsid w:val="00D861CA"/>
    <w:rsid w:val="00D86938"/>
    <w:rsid w:val="00D87A3A"/>
    <w:rsid w:val="00D87DF6"/>
    <w:rsid w:val="00D90A9A"/>
    <w:rsid w:val="00D90C0E"/>
    <w:rsid w:val="00D910F0"/>
    <w:rsid w:val="00D91592"/>
    <w:rsid w:val="00D920EC"/>
    <w:rsid w:val="00D9245F"/>
    <w:rsid w:val="00D92A52"/>
    <w:rsid w:val="00D92CCB"/>
    <w:rsid w:val="00D93F82"/>
    <w:rsid w:val="00D953DD"/>
    <w:rsid w:val="00D962FA"/>
    <w:rsid w:val="00D96617"/>
    <w:rsid w:val="00D96DCB"/>
    <w:rsid w:val="00D9770C"/>
    <w:rsid w:val="00DA04D9"/>
    <w:rsid w:val="00DA0544"/>
    <w:rsid w:val="00DA1B33"/>
    <w:rsid w:val="00DA2016"/>
    <w:rsid w:val="00DA515D"/>
    <w:rsid w:val="00DA5D33"/>
    <w:rsid w:val="00DA60E7"/>
    <w:rsid w:val="00DA66AE"/>
    <w:rsid w:val="00DA6861"/>
    <w:rsid w:val="00DA6DCC"/>
    <w:rsid w:val="00DA711E"/>
    <w:rsid w:val="00DA71D6"/>
    <w:rsid w:val="00DA742F"/>
    <w:rsid w:val="00DB0806"/>
    <w:rsid w:val="00DB104F"/>
    <w:rsid w:val="00DB2729"/>
    <w:rsid w:val="00DB29BA"/>
    <w:rsid w:val="00DB3C57"/>
    <w:rsid w:val="00DB4664"/>
    <w:rsid w:val="00DB466B"/>
    <w:rsid w:val="00DB5C1C"/>
    <w:rsid w:val="00DB63E8"/>
    <w:rsid w:val="00DB691E"/>
    <w:rsid w:val="00DB6D28"/>
    <w:rsid w:val="00DB7360"/>
    <w:rsid w:val="00DB7A8E"/>
    <w:rsid w:val="00DB7BA5"/>
    <w:rsid w:val="00DB7E2B"/>
    <w:rsid w:val="00DC017D"/>
    <w:rsid w:val="00DC125E"/>
    <w:rsid w:val="00DC150F"/>
    <w:rsid w:val="00DC1869"/>
    <w:rsid w:val="00DC1D26"/>
    <w:rsid w:val="00DC1FF5"/>
    <w:rsid w:val="00DC2F6E"/>
    <w:rsid w:val="00DC31B4"/>
    <w:rsid w:val="00DC3241"/>
    <w:rsid w:val="00DC4A85"/>
    <w:rsid w:val="00DC5194"/>
    <w:rsid w:val="00DC5230"/>
    <w:rsid w:val="00DC535B"/>
    <w:rsid w:val="00DC5B1D"/>
    <w:rsid w:val="00DC6612"/>
    <w:rsid w:val="00DD071E"/>
    <w:rsid w:val="00DD23CA"/>
    <w:rsid w:val="00DD2BB7"/>
    <w:rsid w:val="00DD3F10"/>
    <w:rsid w:val="00DD4008"/>
    <w:rsid w:val="00DD4610"/>
    <w:rsid w:val="00DD505D"/>
    <w:rsid w:val="00DD5B6F"/>
    <w:rsid w:val="00DD602E"/>
    <w:rsid w:val="00DD636A"/>
    <w:rsid w:val="00DD6EFC"/>
    <w:rsid w:val="00DD7874"/>
    <w:rsid w:val="00DD792F"/>
    <w:rsid w:val="00DE121F"/>
    <w:rsid w:val="00DE12E2"/>
    <w:rsid w:val="00DE323D"/>
    <w:rsid w:val="00DE32EA"/>
    <w:rsid w:val="00DE44F8"/>
    <w:rsid w:val="00DE45B3"/>
    <w:rsid w:val="00DE4FA8"/>
    <w:rsid w:val="00DE66FE"/>
    <w:rsid w:val="00DE7474"/>
    <w:rsid w:val="00DF02F4"/>
    <w:rsid w:val="00DF0781"/>
    <w:rsid w:val="00DF0A42"/>
    <w:rsid w:val="00DF13F1"/>
    <w:rsid w:val="00DF259F"/>
    <w:rsid w:val="00DF294D"/>
    <w:rsid w:val="00DF3B02"/>
    <w:rsid w:val="00DF3DCC"/>
    <w:rsid w:val="00DF4182"/>
    <w:rsid w:val="00DF4671"/>
    <w:rsid w:val="00DF53EC"/>
    <w:rsid w:val="00DF5A4C"/>
    <w:rsid w:val="00DF5CAE"/>
    <w:rsid w:val="00DF7A77"/>
    <w:rsid w:val="00DF7E00"/>
    <w:rsid w:val="00E00044"/>
    <w:rsid w:val="00E00210"/>
    <w:rsid w:val="00E0064E"/>
    <w:rsid w:val="00E02A7B"/>
    <w:rsid w:val="00E02CBD"/>
    <w:rsid w:val="00E04B17"/>
    <w:rsid w:val="00E06AF6"/>
    <w:rsid w:val="00E075D4"/>
    <w:rsid w:val="00E07FCC"/>
    <w:rsid w:val="00E11998"/>
    <w:rsid w:val="00E11ACE"/>
    <w:rsid w:val="00E12394"/>
    <w:rsid w:val="00E12CCD"/>
    <w:rsid w:val="00E12DD5"/>
    <w:rsid w:val="00E12F84"/>
    <w:rsid w:val="00E138DB"/>
    <w:rsid w:val="00E151D2"/>
    <w:rsid w:val="00E1539E"/>
    <w:rsid w:val="00E1555D"/>
    <w:rsid w:val="00E160FE"/>
    <w:rsid w:val="00E161E0"/>
    <w:rsid w:val="00E163A3"/>
    <w:rsid w:val="00E16E8C"/>
    <w:rsid w:val="00E17AB8"/>
    <w:rsid w:val="00E17EA7"/>
    <w:rsid w:val="00E2122C"/>
    <w:rsid w:val="00E21AA7"/>
    <w:rsid w:val="00E21E5E"/>
    <w:rsid w:val="00E22764"/>
    <w:rsid w:val="00E234B2"/>
    <w:rsid w:val="00E24952"/>
    <w:rsid w:val="00E24CDD"/>
    <w:rsid w:val="00E24D5B"/>
    <w:rsid w:val="00E258CB"/>
    <w:rsid w:val="00E2665D"/>
    <w:rsid w:val="00E266FD"/>
    <w:rsid w:val="00E26E64"/>
    <w:rsid w:val="00E26F91"/>
    <w:rsid w:val="00E26FCE"/>
    <w:rsid w:val="00E27347"/>
    <w:rsid w:val="00E2766E"/>
    <w:rsid w:val="00E302CE"/>
    <w:rsid w:val="00E3093A"/>
    <w:rsid w:val="00E309A1"/>
    <w:rsid w:val="00E32D4B"/>
    <w:rsid w:val="00E340EC"/>
    <w:rsid w:val="00E35D82"/>
    <w:rsid w:val="00E35E3F"/>
    <w:rsid w:val="00E3678F"/>
    <w:rsid w:val="00E36C77"/>
    <w:rsid w:val="00E36E53"/>
    <w:rsid w:val="00E370A7"/>
    <w:rsid w:val="00E37914"/>
    <w:rsid w:val="00E41202"/>
    <w:rsid w:val="00E412BC"/>
    <w:rsid w:val="00E420DD"/>
    <w:rsid w:val="00E42290"/>
    <w:rsid w:val="00E42990"/>
    <w:rsid w:val="00E42A11"/>
    <w:rsid w:val="00E42C1B"/>
    <w:rsid w:val="00E43973"/>
    <w:rsid w:val="00E44180"/>
    <w:rsid w:val="00E44678"/>
    <w:rsid w:val="00E4489F"/>
    <w:rsid w:val="00E475DA"/>
    <w:rsid w:val="00E47632"/>
    <w:rsid w:val="00E4769E"/>
    <w:rsid w:val="00E50490"/>
    <w:rsid w:val="00E50498"/>
    <w:rsid w:val="00E508BB"/>
    <w:rsid w:val="00E509DA"/>
    <w:rsid w:val="00E5129F"/>
    <w:rsid w:val="00E5132A"/>
    <w:rsid w:val="00E5219C"/>
    <w:rsid w:val="00E552D4"/>
    <w:rsid w:val="00E55584"/>
    <w:rsid w:val="00E5569C"/>
    <w:rsid w:val="00E56DC6"/>
    <w:rsid w:val="00E573B9"/>
    <w:rsid w:val="00E57D8B"/>
    <w:rsid w:val="00E57D9F"/>
    <w:rsid w:val="00E602E3"/>
    <w:rsid w:val="00E60BE5"/>
    <w:rsid w:val="00E611F7"/>
    <w:rsid w:val="00E61217"/>
    <w:rsid w:val="00E61710"/>
    <w:rsid w:val="00E625B7"/>
    <w:rsid w:val="00E6333B"/>
    <w:rsid w:val="00E63F73"/>
    <w:rsid w:val="00E64863"/>
    <w:rsid w:val="00E64A0C"/>
    <w:rsid w:val="00E64A50"/>
    <w:rsid w:val="00E65531"/>
    <w:rsid w:val="00E66ACD"/>
    <w:rsid w:val="00E66D2B"/>
    <w:rsid w:val="00E66E37"/>
    <w:rsid w:val="00E70514"/>
    <w:rsid w:val="00E707AC"/>
    <w:rsid w:val="00E7084C"/>
    <w:rsid w:val="00E71578"/>
    <w:rsid w:val="00E72529"/>
    <w:rsid w:val="00E745CB"/>
    <w:rsid w:val="00E748AB"/>
    <w:rsid w:val="00E75499"/>
    <w:rsid w:val="00E77D96"/>
    <w:rsid w:val="00E81216"/>
    <w:rsid w:val="00E8183B"/>
    <w:rsid w:val="00E81EFD"/>
    <w:rsid w:val="00E823C3"/>
    <w:rsid w:val="00E82A73"/>
    <w:rsid w:val="00E83C59"/>
    <w:rsid w:val="00E83DF1"/>
    <w:rsid w:val="00E8404E"/>
    <w:rsid w:val="00E8409C"/>
    <w:rsid w:val="00E84751"/>
    <w:rsid w:val="00E8479D"/>
    <w:rsid w:val="00E85013"/>
    <w:rsid w:val="00E86792"/>
    <w:rsid w:val="00E86910"/>
    <w:rsid w:val="00E87595"/>
    <w:rsid w:val="00E90946"/>
    <w:rsid w:val="00E91517"/>
    <w:rsid w:val="00E920EE"/>
    <w:rsid w:val="00E930A2"/>
    <w:rsid w:val="00E93E33"/>
    <w:rsid w:val="00E945E1"/>
    <w:rsid w:val="00E9515E"/>
    <w:rsid w:val="00E95D03"/>
    <w:rsid w:val="00E96203"/>
    <w:rsid w:val="00E96923"/>
    <w:rsid w:val="00E97FA5"/>
    <w:rsid w:val="00EA14C3"/>
    <w:rsid w:val="00EA3BAA"/>
    <w:rsid w:val="00EA4B77"/>
    <w:rsid w:val="00EA5565"/>
    <w:rsid w:val="00EA59DC"/>
    <w:rsid w:val="00EA667B"/>
    <w:rsid w:val="00EA70FA"/>
    <w:rsid w:val="00EA726A"/>
    <w:rsid w:val="00EB04AA"/>
    <w:rsid w:val="00EB05DB"/>
    <w:rsid w:val="00EB072C"/>
    <w:rsid w:val="00EB0A49"/>
    <w:rsid w:val="00EB0FF8"/>
    <w:rsid w:val="00EB182B"/>
    <w:rsid w:val="00EB3BE9"/>
    <w:rsid w:val="00EB3C07"/>
    <w:rsid w:val="00EB3E5A"/>
    <w:rsid w:val="00EB3FF4"/>
    <w:rsid w:val="00EB4126"/>
    <w:rsid w:val="00EB4AA9"/>
    <w:rsid w:val="00EB55C3"/>
    <w:rsid w:val="00EB5B78"/>
    <w:rsid w:val="00EB5D66"/>
    <w:rsid w:val="00EB6967"/>
    <w:rsid w:val="00EB6BBB"/>
    <w:rsid w:val="00EB6BFE"/>
    <w:rsid w:val="00EB6CFF"/>
    <w:rsid w:val="00EB7027"/>
    <w:rsid w:val="00EB748D"/>
    <w:rsid w:val="00EC0F1A"/>
    <w:rsid w:val="00EC101D"/>
    <w:rsid w:val="00EC14A6"/>
    <w:rsid w:val="00EC16AA"/>
    <w:rsid w:val="00EC1E0B"/>
    <w:rsid w:val="00EC1E33"/>
    <w:rsid w:val="00EC2374"/>
    <w:rsid w:val="00EC238F"/>
    <w:rsid w:val="00EC241D"/>
    <w:rsid w:val="00EC2450"/>
    <w:rsid w:val="00EC257F"/>
    <w:rsid w:val="00EC2A06"/>
    <w:rsid w:val="00EC36B8"/>
    <w:rsid w:val="00EC41F5"/>
    <w:rsid w:val="00EC565F"/>
    <w:rsid w:val="00ED035F"/>
    <w:rsid w:val="00ED0F4A"/>
    <w:rsid w:val="00ED12B0"/>
    <w:rsid w:val="00ED1EC5"/>
    <w:rsid w:val="00ED2134"/>
    <w:rsid w:val="00ED23C2"/>
    <w:rsid w:val="00ED3336"/>
    <w:rsid w:val="00ED3CF8"/>
    <w:rsid w:val="00ED450B"/>
    <w:rsid w:val="00ED53FC"/>
    <w:rsid w:val="00ED6B2F"/>
    <w:rsid w:val="00ED7A01"/>
    <w:rsid w:val="00EE0889"/>
    <w:rsid w:val="00EE1469"/>
    <w:rsid w:val="00EE1EAD"/>
    <w:rsid w:val="00EE2023"/>
    <w:rsid w:val="00EE268D"/>
    <w:rsid w:val="00EE293C"/>
    <w:rsid w:val="00EE3D29"/>
    <w:rsid w:val="00EE40F1"/>
    <w:rsid w:val="00EE5419"/>
    <w:rsid w:val="00EE55D5"/>
    <w:rsid w:val="00EE5718"/>
    <w:rsid w:val="00EE5B14"/>
    <w:rsid w:val="00EE5F31"/>
    <w:rsid w:val="00EE7FEB"/>
    <w:rsid w:val="00EF05F2"/>
    <w:rsid w:val="00EF07CB"/>
    <w:rsid w:val="00EF17BB"/>
    <w:rsid w:val="00EF1D40"/>
    <w:rsid w:val="00EF222C"/>
    <w:rsid w:val="00EF3E75"/>
    <w:rsid w:val="00EF3E87"/>
    <w:rsid w:val="00EF5D59"/>
    <w:rsid w:val="00EF6D04"/>
    <w:rsid w:val="00F0061E"/>
    <w:rsid w:val="00F016C5"/>
    <w:rsid w:val="00F01747"/>
    <w:rsid w:val="00F02712"/>
    <w:rsid w:val="00F028C0"/>
    <w:rsid w:val="00F02EC9"/>
    <w:rsid w:val="00F02F49"/>
    <w:rsid w:val="00F03742"/>
    <w:rsid w:val="00F03B60"/>
    <w:rsid w:val="00F03C68"/>
    <w:rsid w:val="00F042BA"/>
    <w:rsid w:val="00F06985"/>
    <w:rsid w:val="00F06E5C"/>
    <w:rsid w:val="00F07FBC"/>
    <w:rsid w:val="00F1115D"/>
    <w:rsid w:val="00F116BD"/>
    <w:rsid w:val="00F11E9F"/>
    <w:rsid w:val="00F12A72"/>
    <w:rsid w:val="00F140CA"/>
    <w:rsid w:val="00F1436A"/>
    <w:rsid w:val="00F14B6C"/>
    <w:rsid w:val="00F153D0"/>
    <w:rsid w:val="00F1559D"/>
    <w:rsid w:val="00F15676"/>
    <w:rsid w:val="00F15EBB"/>
    <w:rsid w:val="00F16DB1"/>
    <w:rsid w:val="00F16F1F"/>
    <w:rsid w:val="00F174F8"/>
    <w:rsid w:val="00F17848"/>
    <w:rsid w:val="00F179DC"/>
    <w:rsid w:val="00F17B81"/>
    <w:rsid w:val="00F17C23"/>
    <w:rsid w:val="00F20511"/>
    <w:rsid w:val="00F20573"/>
    <w:rsid w:val="00F212A3"/>
    <w:rsid w:val="00F21EDB"/>
    <w:rsid w:val="00F22230"/>
    <w:rsid w:val="00F22932"/>
    <w:rsid w:val="00F23133"/>
    <w:rsid w:val="00F23379"/>
    <w:rsid w:val="00F2384A"/>
    <w:rsid w:val="00F23AF6"/>
    <w:rsid w:val="00F24B5C"/>
    <w:rsid w:val="00F251A3"/>
    <w:rsid w:val="00F25BE1"/>
    <w:rsid w:val="00F2629D"/>
    <w:rsid w:val="00F26C74"/>
    <w:rsid w:val="00F271FD"/>
    <w:rsid w:val="00F27280"/>
    <w:rsid w:val="00F279B3"/>
    <w:rsid w:val="00F27C5C"/>
    <w:rsid w:val="00F30139"/>
    <w:rsid w:val="00F30687"/>
    <w:rsid w:val="00F3094D"/>
    <w:rsid w:val="00F30C7C"/>
    <w:rsid w:val="00F311BB"/>
    <w:rsid w:val="00F31A21"/>
    <w:rsid w:val="00F31C8C"/>
    <w:rsid w:val="00F322DB"/>
    <w:rsid w:val="00F32584"/>
    <w:rsid w:val="00F33297"/>
    <w:rsid w:val="00F33CC5"/>
    <w:rsid w:val="00F3416D"/>
    <w:rsid w:val="00F35FE8"/>
    <w:rsid w:val="00F37132"/>
    <w:rsid w:val="00F37A4E"/>
    <w:rsid w:val="00F37CCA"/>
    <w:rsid w:val="00F40D3E"/>
    <w:rsid w:val="00F41E74"/>
    <w:rsid w:val="00F41F2C"/>
    <w:rsid w:val="00F42A28"/>
    <w:rsid w:val="00F431B4"/>
    <w:rsid w:val="00F432FB"/>
    <w:rsid w:val="00F440A2"/>
    <w:rsid w:val="00F441BF"/>
    <w:rsid w:val="00F45671"/>
    <w:rsid w:val="00F458EC"/>
    <w:rsid w:val="00F461D0"/>
    <w:rsid w:val="00F46231"/>
    <w:rsid w:val="00F46BCB"/>
    <w:rsid w:val="00F4746B"/>
    <w:rsid w:val="00F503A3"/>
    <w:rsid w:val="00F50734"/>
    <w:rsid w:val="00F52789"/>
    <w:rsid w:val="00F52C4E"/>
    <w:rsid w:val="00F52C59"/>
    <w:rsid w:val="00F53454"/>
    <w:rsid w:val="00F544B8"/>
    <w:rsid w:val="00F55EA8"/>
    <w:rsid w:val="00F561BE"/>
    <w:rsid w:val="00F56644"/>
    <w:rsid w:val="00F56F76"/>
    <w:rsid w:val="00F571DA"/>
    <w:rsid w:val="00F577E4"/>
    <w:rsid w:val="00F57B07"/>
    <w:rsid w:val="00F6052E"/>
    <w:rsid w:val="00F607B6"/>
    <w:rsid w:val="00F60D5F"/>
    <w:rsid w:val="00F61238"/>
    <w:rsid w:val="00F6218C"/>
    <w:rsid w:val="00F627F8"/>
    <w:rsid w:val="00F629CA"/>
    <w:rsid w:val="00F62E54"/>
    <w:rsid w:val="00F62EED"/>
    <w:rsid w:val="00F63133"/>
    <w:rsid w:val="00F632EE"/>
    <w:rsid w:val="00F6415E"/>
    <w:rsid w:val="00F65E2D"/>
    <w:rsid w:val="00F661D0"/>
    <w:rsid w:val="00F66A6D"/>
    <w:rsid w:val="00F701AA"/>
    <w:rsid w:val="00F708F9"/>
    <w:rsid w:val="00F70BAA"/>
    <w:rsid w:val="00F711B5"/>
    <w:rsid w:val="00F72C89"/>
    <w:rsid w:val="00F73147"/>
    <w:rsid w:val="00F733C7"/>
    <w:rsid w:val="00F739E6"/>
    <w:rsid w:val="00F74088"/>
    <w:rsid w:val="00F7409E"/>
    <w:rsid w:val="00F74C66"/>
    <w:rsid w:val="00F75389"/>
    <w:rsid w:val="00F75653"/>
    <w:rsid w:val="00F77378"/>
    <w:rsid w:val="00F779AC"/>
    <w:rsid w:val="00F77AEC"/>
    <w:rsid w:val="00F77CAE"/>
    <w:rsid w:val="00F8047E"/>
    <w:rsid w:val="00F8065A"/>
    <w:rsid w:val="00F80EF5"/>
    <w:rsid w:val="00F81122"/>
    <w:rsid w:val="00F813A6"/>
    <w:rsid w:val="00F8142C"/>
    <w:rsid w:val="00F8151D"/>
    <w:rsid w:val="00F81832"/>
    <w:rsid w:val="00F81ED1"/>
    <w:rsid w:val="00F8204F"/>
    <w:rsid w:val="00F82E47"/>
    <w:rsid w:val="00F82F8F"/>
    <w:rsid w:val="00F83ED5"/>
    <w:rsid w:val="00F8413C"/>
    <w:rsid w:val="00F84ED4"/>
    <w:rsid w:val="00F8555D"/>
    <w:rsid w:val="00F8561F"/>
    <w:rsid w:val="00F85934"/>
    <w:rsid w:val="00F85E2D"/>
    <w:rsid w:val="00F86F3B"/>
    <w:rsid w:val="00F92AF0"/>
    <w:rsid w:val="00F92F63"/>
    <w:rsid w:val="00F9348D"/>
    <w:rsid w:val="00F9363A"/>
    <w:rsid w:val="00F94E39"/>
    <w:rsid w:val="00F954A5"/>
    <w:rsid w:val="00F962F8"/>
    <w:rsid w:val="00F96487"/>
    <w:rsid w:val="00F97939"/>
    <w:rsid w:val="00FA00B7"/>
    <w:rsid w:val="00FA01C2"/>
    <w:rsid w:val="00FA0E05"/>
    <w:rsid w:val="00FA2655"/>
    <w:rsid w:val="00FA2EF2"/>
    <w:rsid w:val="00FA4004"/>
    <w:rsid w:val="00FA4147"/>
    <w:rsid w:val="00FA4B1F"/>
    <w:rsid w:val="00FA5CCC"/>
    <w:rsid w:val="00FA68AE"/>
    <w:rsid w:val="00FA6AB0"/>
    <w:rsid w:val="00FA7B4F"/>
    <w:rsid w:val="00FB0775"/>
    <w:rsid w:val="00FB079A"/>
    <w:rsid w:val="00FB1A98"/>
    <w:rsid w:val="00FB2B0C"/>
    <w:rsid w:val="00FB2B7E"/>
    <w:rsid w:val="00FB2DDC"/>
    <w:rsid w:val="00FB2EBD"/>
    <w:rsid w:val="00FB326B"/>
    <w:rsid w:val="00FB4198"/>
    <w:rsid w:val="00FB5864"/>
    <w:rsid w:val="00FB5D4D"/>
    <w:rsid w:val="00FB64E9"/>
    <w:rsid w:val="00FB68AB"/>
    <w:rsid w:val="00FB6ECF"/>
    <w:rsid w:val="00FB7F5C"/>
    <w:rsid w:val="00FC095F"/>
    <w:rsid w:val="00FC1BBC"/>
    <w:rsid w:val="00FC304D"/>
    <w:rsid w:val="00FC46BF"/>
    <w:rsid w:val="00FC4723"/>
    <w:rsid w:val="00FC521B"/>
    <w:rsid w:val="00FC5906"/>
    <w:rsid w:val="00FC674E"/>
    <w:rsid w:val="00FC6C79"/>
    <w:rsid w:val="00FC7464"/>
    <w:rsid w:val="00FC79A3"/>
    <w:rsid w:val="00FD0A5A"/>
    <w:rsid w:val="00FD12FB"/>
    <w:rsid w:val="00FD1321"/>
    <w:rsid w:val="00FD14B1"/>
    <w:rsid w:val="00FD2CDA"/>
    <w:rsid w:val="00FD3732"/>
    <w:rsid w:val="00FD4227"/>
    <w:rsid w:val="00FD4F49"/>
    <w:rsid w:val="00FD54B2"/>
    <w:rsid w:val="00FD57FB"/>
    <w:rsid w:val="00FD6B05"/>
    <w:rsid w:val="00FD721E"/>
    <w:rsid w:val="00FD75A1"/>
    <w:rsid w:val="00FD765E"/>
    <w:rsid w:val="00FE08BC"/>
    <w:rsid w:val="00FE0F84"/>
    <w:rsid w:val="00FE1025"/>
    <w:rsid w:val="00FE2C59"/>
    <w:rsid w:val="00FE311F"/>
    <w:rsid w:val="00FE31CF"/>
    <w:rsid w:val="00FE39C1"/>
    <w:rsid w:val="00FE4485"/>
    <w:rsid w:val="00FE4778"/>
    <w:rsid w:val="00FE4B3D"/>
    <w:rsid w:val="00FE5302"/>
    <w:rsid w:val="00FE6DFF"/>
    <w:rsid w:val="00FE6F43"/>
    <w:rsid w:val="00FE7E73"/>
    <w:rsid w:val="00FF06D0"/>
    <w:rsid w:val="00FF0D10"/>
    <w:rsid w:val="00FF133C"/>
    <w:rsid w:val="00FF1A6C"/>
    <w:rsid w:val="00FF1D4A"/>
    <w:rsid w:val="00FF239A"/>
    <w:rsid w:val="00FF27F2"/>
    <w:rsid w:val="00FF2AD4"/>
    <w:rsid w:val="00FF323F"/>
    <w:rsid w:val="00FF3389"/>
    <w:rsid w:val="00FF4282"/>
    <w:rsid w:val="00FF4E1A"/>
    <w:rsid w:val="00FF5A54"/>
    <w:rsid w:val="00FF5EE5"/>
    <w:rsid w:val="00FF610A"/>
    <w:rsid w:val="00FF6C0B"/>
    <w:rsid w:val="00FF6ECF"/>
    <w:rsid w:val="00FF79EF"/>
    <w:rsid w:val="00FF7F3C"/>
    <w:rsid w:val="00FF7FF8"/>
    <w:rsid w:val="0AE9D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635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A1"/>
  </w:style>
  <w:style w:type="paragraph" w:styleId="Heading1">
    <w:name w:val="heading 1"/>
    <w:basedOn w:val="ListParagraph"/>
    <w:next w:val="Normal"/>
    <w:link w:val="Heading1Char"/>
    <w:uiPriority w:val="9"/>
    <w:qFormat/>
    <w:rsid w:val="000975FC"/>
    <w:pPr>
      <w:spacing w:before="360" w:after="240" w:line="240" w:lineRule="auto"/>
      <w:ind w:left="0"/>
      <w:outlineLvl w:val="0"/>
    </w:pPr>
    <w:rPr>
      <w:rFonts w:ascii="Times New Roman" w:eastAsia="Calibri" w:hAnsi="Times New Roman" w:cs="Times New Roman"/>
      <w:b/>
      <w:bCs/>
      <w:sz w:val="28"/>
      <w:szCs w:val="24"/>
    </w:rPr>
  </w:style>
  <w:style w:type="paragraph" w:styleId="Heading2">
    <w:name w:val="heading 2"/>
    <w:basedOn w:val="Corps"/>
    <w:next w:val="Normal"/>
    <w:link w:val="Heading2Char"/>
    <w:uiPriority w:val="9"/>
    <w:unhideWhenUsed/>
    <w:qFormat/>
    <w:pPr>
      <w:numPr>
        <w:ilvl w:val="1"/>
        <w:numId w:val="5"/>
      </w:numPr>
      <w:spacing w:before="240"/>
      <w:outlineLvl w:val="1"/>
    </w:pPr>
    <w:rPr>
      <w:b/>
      <w:bCs/>
    </w:rPr>
  </w:style>
  <w:style w:type="paragraph" w:styleId="Heading3">
    <w:name w:val="heading 3"/>
    <w:basedOn w:val="Normal"/>
    <w:link w:val="Heading3Char"/>
    <w:uiPriority w:val="9"/>
    <w:qFormat/>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ro-RO"/>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ro-RO"/>
    </w:rPr>
  </w:style>
  <w:style w:type="paragraph" w:customStyle="1" w:styleId="Pagedecouverture">
    <w:name w:val="Page de couverture"/>
    <w:basedOn w:val="Normal"/>
    <w:next w:val="Normal"/>
    <w:link w:val="PagedecouvertureChar"/>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Pr>
      <w:rFonts w:ascii="Times New Roman" w:hAnsi="Times New Roman" w:cs="Times New Roman"/>
      <w:sz w:val="24"/>
      <w:lang w:val="ro-RO"/>
    </w:rPr>
  </w:style>
  <w:style w:type="character" w:customStyle="1" w:styleId="FooterCoverPageChar">
    <w:name w:val="Footer Cover Page Char"/>
    <w:basedOn w:val="PagedecouvertureChar"/>
    <w:link w:val="FooterCoverPage"/>
    <w:rPr>
      <w:rFonts w:ascii="Times New Roman" w:hAnsi="Times New Roman" w:cs="Times New Roman"/>
      <w:sz w:val="24"/>
      <w:lang w:val="ro-R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Pr>
      <w:rFonts w:ascii="Times New Roman" w:hAnsi="Times New Roman" w:cs="Times New Roman"/>
      <w:b/>
      <w:sz w:val="32"/>
      <w:lang w:val="ro-R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Pr>
      <w:rFonts w:ascii="Times New Roman" w:hAnsi="Times New Roman" w:cs="Times New Roman"/>
      <w:sz w:val="24"/>
      <w:lang w:val="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Pr>
      <w:rFonts w:ascii="Times New Roman" w:hAnsi="Times New Roman" w:cs="Times New Roman"/>
      <w:b/>
      <w:sz w:val="32"/>
      <w:lang w:val="ro-RO"/>
    </w:rPr>
  </w:style>
  <w:style w:type="paragraph" w:customStyle="1" w:styleId="HeaderSensitivityRight">
    <w:name w:val="Header Sensitivity Right"/>
    <w:basedOn w:val="Normal"/>
    <w:link w:val="HeaderSensitivityRightChar"/>
    <w:rsid w:val="009535D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Pr>
      <w:rFonts w:ascii="Times New Roman" w:hAnsi="Times New Roman" w:cs="Times New Roman"/>
      <w:sz w:val="28"/>
      <w:lang w:val="ro-RO"/>
    </w:rPr>
  </w:style>
  <w:style w:type="paragraph" w:styleId="ListParagraph">
    <w:name w:val="List Paragraph"/>
    <w:basedOn w:val="Normal"/>
    <w:uiPriority w:val="34"/>
    <w:qFormat/>
    <w:pPr>
      <w:ind w:left="720"/>
      <w:contextualSpacing/>
    </w:p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Referen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qFormat/>
    <w:rPr>
      <w:sz w:val="20"/>
      <w:szCs w:val="20"/>
    </w:rPr>
  </w:style>
  <w:style w:type="character" w:styleId="FootnoteReference">
    <w:name w:val="footnote reference"/>
    <w:aliases w:val="Footnote Reference Number,Footnote symbol,stylish,Footnote Refernece,BVI fnr,Fußnotenzeichen_Raxen,callout,Footnote Reference Superscript,Footnote Reference_LVL6,Footnote Reference_LVL61,Footnote Reference_LVL62,EN Footnote Reference"/>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character" w:customStyle="1" w:styleId="Heading1Char">
    <w:name w:val="Heading 1 Char"/>
    <w:basedOn w:val="DefaultParagraphFont"/>
    <w:link w:val="Heading1"/>
    <w:uiPriority w:val="9"/>
    <w:rsid w:val="000975FC"/>
    <w:rPr>
      <w:rFonts w:ascii="Times New Roman" w:eastAsia="Calibri" w:hAnsi="Times New Roman" w:cs="Times New Roman"/>
      <w:b/>
      <w:bCs/>
      <w:sz w:val="28"/>
      <w:szCs w:val="24"/>
      <w:lang w:val="ro-RO"/>
    </w:rPr>
  </w:style>
  <w:style w:type="character" w:customStyle="1" w:styleId="Heading2Char">
    <w:name w:val="Heading 2 Char"/>
    <w:basedOn w:val="DefaultParagraphFont"/>
    <w:link w:val="Heading2"/>
    <w:uiPriority w:val="9"/>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Corps">
    <w:name w:val="Corps"/>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ro-RO"/>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Revision">
    <w:name w:val="Revision"/>
    <w:hidden/>
    <w:uiPriority w:val="99"/>
    <w:semiHidden/>
    <w:pPr>
      <w:spacing w:after="0" w:line="240" w:lineRule="auto"/>
    </w:pPr>
  </w:style>
  <w:style w:type="character" w:customStyle="1" w:styleId="superscript">
    <w:name w:val="superscript"/>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ecl-paragraph">
    <w:name w:val="ecl-paragraph"/>
    <w:basedOn w:val="Normal"/>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customStyle="1" w:styleId="Mention1">
    <w:name w:val="Mention1"/>
    <w:basedOn w:val="DefaultParagraphFont"/>
    <w:uiPriority w:val="99"/>
    <w:unhideWhenUsed/>
    <w:rPr>
      <w:color w:val="2B579A"/>
      <w:shd w:val="clear" w:color="auto" w:fill="E1DFDD"/>
    </w:rPr>
  </w:style>
  <w:style w:type="paragraph" w:styleId="NoSpacing">
    <w:name w:val="No Spacing"/>
    <w:uiPriority w:val="1"/>
    <w:qFormat/>
    <w:pPr>
      <w:spacing w:after="0" w:line="240" w:lineRule="auto"/>
    </w:pPr>
  </w:style>
  <w:style w:type="table" w:styleId="TableGrid">
    <w:name w:val="Table Grid"/>
    <w:basedOn w:val="TableNormal"/>
    <w:uiPriority w:val="39"/>
    <w:rsid w:val="00BA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525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isclaimer">
    <w:name w:val="Disclaimer"/>
    <w:basedOn w:val="Normal"/>
    <w:rsid w:val="000D1A9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9535D4"/>
    <w:pPr>
      <w:spacing w:after="0" w:line="276" w:lineRule="auto"/>
      <w:ind w:left="5103"/>
    </w:pPr>
    <w:rPr>
      <w:rFonts w:ascii="Times New Roman" w:hAnsi="Times New Roman" w:cs="Times New Roman"/>
      <w:sz w:val="28"/>
    </w:rPr>
  </w:style>
  <w:style w:type="paragraph" w:customStyle="1" w:styleId="DateMarking">
    <w:name w:val="DateMarking"/>
    <w:basedOn w:val="Normal"/>
    <w:rsid w:val="009535D4"/>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9535D4"/>
    <w:pPr>
      <w:spacing w:after="0" w:line="276" w:lineRule="auto"/>
      <w:ind w:left="5103"/>
    </w:pPr>
    <w:rPr>
      <w:rFonts w:ascii="Times New Roman" w:hAnsi="Times New Roman" w:cs="Times New Roman"/>
      <w:i/>
      <w:sz w:val="28"/>
    </w:rPr>
  </w:style>
  <w:style w:type="paragraph" w:styleId="TOCHeading">
    <w:name w:val="TOC Heading"/>
    <w:basedOn w:val="Heading1"/>
    <w:next w:val="Normal"/>
    <w:uiPriority w:val="39"/>
    <w:unhideWhenUsed/>
    <w:qFormat/>
    <w:rsid w:val="00C41FE0"/>
    <w:pPr>
      <w:keepNext/>
      <w:keepLines/>
      <w:spacing w:before="240" w:after="0" w:line="259" w:lineRule="auto"/>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41FE0"/>
    <w:pPr>
      <w:spacing w:after="100"/>
    </w:pPr>
  </w:style>
  <w:style w:type="paragraph" w:styleId="TOC2">
    <w:name w:val="toc 2"/>
    <w:basedOn w:val="Normal"/>
    <w:next w:val="Normal"/>
    <w:autoRedefine/>
    <w:uiPriority w:val="39"/>
    <w:unhideWhenUsed/>
    <w:rsid w:val="00C41FE0"/>
    <w:pPr>
      <w:spacing w:after="100"/>
      <w:ind w:left="220"/>
    </w:pPr>
  </w:style>
  <w:style w:type="character" w:customStyle="1" w:styleId="cf01">
    <w:name w:val="cf01"/>
    <w:basedOn w:val="DefaultParagraphFont"/>
    <w:rsid w:val="00451846"/>
    <w:rPr>
      <w:rFonts w:ascii="Segoe UI" w:hAnsi="Segoe UI" w:cs="Segoe UI" w:hint="default"/>
      <w:sz w:val="18"/>
      <w:szCs w:val="18"/>
    </w:rPr>
  </w:style>
  <w:style w:type="character" w:customStyle="1" w:styleId="cf11">
    <w:name w:val="cf11"/>
    <w:basedOn w:val="DefaultParagraphFont"/>
    <w:rsid w:val="00940C2D"/>
    <w:rPr>
      <w:rFonts w:ascii="Segoe UI" w:hAnsi="Segoe UI" w:cs="Segoe UI" w:hint="default"/>
      <w:sz w:val="18"/>
      <w:szCs w:val="18"/>
      <w:u w:val="single"/>
    </w:rPr>
  </w:style>
  <w:style w:type="character" w:customStyle="1" w:styleId="ui-provider">
    <w:name w:val="ui-provider"/>
    <w:basedOn w:val="DefaultParagraphFont"/>
    <w:rsid w:val="00EF222C"/>
  </w:style>
  <w:style w:type="character" w:customStyle="1" w:styleId="UnresolvedMention">
    <w:name w:val="Unresolved Mention"/>
    <w:basedOn w:val="DefaultParagraphFont"/>
    <w:uiPriority w:val="99"/>
    <w:semiHidden/>
    <w:unhideWhenUsed/>
    <w:rsid w:val="00D96617"/>
    <w:rPr>
      <w:color w:val="605E5C"/>
      <w:shd w:val="clear" w:color="auto" w:fill="E1DFDD"/>
    </w:rPr>
  </w:style>
  <w:style w:type="paragraph" w:customStyle="1" w:styleId="pf0">
    <w:name w:val="pf0"/>
    <w:basedOn w:val="Normal"/>
    <w:rsid w:val="00C32189"/>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1828">
      <w:bodyDiv w:val="1"/>
      <w:marLeft w:val="0"/>
      <w:marRight w:val="0"/>
      <w:marTop w:val="0"/>
      <w:marBottom w:val="0"/>
      <w:divBdr>
        <w:top w:val="none" w:sz="0" w:space="0" w:color="auto"/>
        <w:left w:val="none" w:sz="0" w:space="0" w:color="auto"/>
        <w:bottom w:val="none" w:sz="0" w:space="0" w:color="auto"/>
        <w:right w:val="none" w:sz="0" w:space="0" w:color="auto"/>
      </w:divBdr>
      <w:divsChild>
        <w:div w:id="175968724">
          <w:marLeft w:val="0"/>
          <w:marRight w:val="0"/>
          <w:marTop w:val="0"/>
          <w:marBottom w:val="0"/>
          <w:divBdr>
            <w:top w:val="none" w:sz="0" w:space="0" w:color="auto"/>
            <w:left w:val="none" w:sz="0" w:space="0" w:color="auto"/>
            <w:bottom w:val="none" w:sz="0" w:space="0" w:color="auto"/>
            <w:right w:val="none" w:sz="0" w:space="0" w:color="auto"/>
          </w:divBdr>
        </w:div>
        <w:div w:id="576405378">
          <w:marLeft w:val="0"/>
          <w:marRight w:val="0"/>
          <w:marTop w:val="0"/>
          <w:marBottom w:val="0"/>
          <w:divBdr>
            <w:top w:val="none" w:sz="0" w:space="0" w:color="auto"/>
            <w:left w:val="none" w:sz="0" w:space="0" w:color="auto"/>
            <w:bottom w:val="none" w:sz="0" w:space="0" w:color="auto"/>
            <w:right w:val="none" w:sz="0" w:space="0" w:color="auto"/>
          </w:divBdr>
        </w:div>
        <w:div w:id="2041934938">
          <w:marLeft w:val="0"/>
          <w:marRight w:val="0"/>
          <w:marTop w:val="0"/>
          <w:marBottom w:val="0"/>
          <w:divBdr>
            <w:top w:val="none" w:sz="0" w:space="0" w:color="auto"/>
            <w:left w:val="none" w:sz="0" w:space="0" w:color="auto"/>
            <w:bottom w:val="none" w:sz="0" w:space="0" w:color="auto"/>
            <w:right w:val="none" w:sz="0" w:space="0" w:color="auto"/>
          </w:divBdr>
        </w:div>
      </w:divsChild>
    </w:div>
    <w:div w:id="80413870">
      <w:bodyDiv w:val="1"/>
      <w:marLeft w:val="0"/>
      <w:marRight w:val="0"/>
      <w:marTop w:val="0"/>
      <w:marBottom w:val="0"/>
      <w:divBdr>
        <w:top w:val="none" w:sz="0" w:space="0" w:color="auto"/>
        <w:left w:val="none" w:sz="0" w:space="0" w:color="auto"/>
        <w:bottom w:val="none" w:sz="0" w:space="0" w:color="auto"/>
        <w:right w:val="none" w:sz="0" w:space="0" w:color="auto"/>
      </w:divBdr>
    </w:div>
    <w:div w:id="133186353">
      <w:bodyDiv w:val="1"/>
      <w:marLeft w:val="0"/>
      <w:marRight w:val="0"/>
      <w:marTop w:val="0"/>
      <w:marBottom w:val="0"/>
      <w:divBdr>
        <w:top w:val="none" w:sz="0" w:space="0" w:color="auto"/>
        <w:left w:val="none" w:sz="0" w:space="0" w:color="auto"/>
        <w:bottom w:val="none" w:sz="0" w:space="0" w:color="auto"/>
        <w:right w:val="none" w:sz="0" w:space="0" w:color="auto"/>
      </w:divBdr>
      <w:divsChild>
        <w:div w:id="255476966">
          <w:marLeft w:val="0"/>
          <w:marRight w:val="0"/>
          <w:marTop w:val="0"/>
          <w:marBottom w:val="0"/>
          <w:divBdr>
            <w:top w:val="none" w:sz="0" w:space="0" w:color="auto"/>
            <w:left w:val="none" w:sz="0" w:space="0" w:color="auto"/>
            <w:bottom w:val="none" w:sz="0" w:space="0" w:color="auto"/>
            <w:right w:val="none" w:sz="0" w:space="0" w:color="auto"/>
          </w:divBdr>
        </w:div>
        <w:div w:id="340621315">
          <w:marLeft w:val="0"/>
          <w:marRight w:val="0"/>
          <w:marTop w:val="0"/>
          <w:marBottom w:val="0"/>
          <w:divBdr>
            <w:top w:val="none" w:sz="0" w:space="0" w:color="auto"/>
            <w:left w:val="none" w:sz="0" w:space="0" w:color="auto"/>
            <w:bottom w:val="none" w:sz="0" w:space="0" w:color="auto"/>
            <w:right w:val="none" w:sz="0" w:space="0" w:color="auto"/>
          </w:divBdr>
        </w:div>
        <w:div w:id="488403950">
          <w:marLeft w:val="0"/>
          <w:marRight w:val="0"/>
          <w:marTop w:val="0"/>
          <w:marBottom w:val="0"/>
          <w:divBdr>
            <w:top w:val="none" w:sz="0" w:space="0" w:color="auto"/>
            <w:left w:val="none" w:sz="0" w:space="0" w:color="auto"/>
            <w:bottom w:val="none" w:sz="0" w:space="0" w:color="auto"/>
            <w:right w:val="none" w:sz="0" w:space="0" w:color="auto"/>
          </w:divBdr>
          <w:divsChild>
            <w:div w:id="533884654">
              <w:marLeft w:val="0"/>
              <w:marRight w:val="0"/>
              <w:marTop w:val="0"/>
              <w:marBottom w:val="0"/>
              <w:divBdr>
                <w:top w:val="none" w:sz="0" w:space="0" w:color="auto"/>
                <w:left w:val="none" w:sz="0" w:space="0" w:color="auto"/>
                <w:bottom w:val="none" w:sz="0" w:space="0" w:color="auto"/>
                <w:right w:val="none" w:sz="0" w:space="0" w:color="auto"/>
              </w:divBdr>
            </w:div>
            <w:div w:id="971979520">
              <w:marLeft w:val="0"/>
              <w:marRight w:val="0"/>
              <w:marTop w:val="0"/>
              <w:marBottom w:val="0"/>
              <w:divBdr>
                <w:top w:val="none" w:sz="0" w:space="0" w:color="auto"/>
                <w:left w:val="none" w:sz="0" w:space="0" w:color="auto"/>
                <w:bottom w:val="none" w:sz="0" w:space="0" w:color="auto"/>
                <w:right w:val="none" w:sz="0" w:space="0" w:color="auto"/>
              </w:divBdr>
            </w:div>
            <w:div w:id="1141263385">
              <w:marLeft w:val="0"/>
              <w:marRight w:val="0"/>
              <w:marTop w:val="0"/>
              <w:marBottom w:val="0"/>
              <w:divBdr>
                <w:top w:val="none" w:sz="0" w:space="0" w:color="auto"/>
                <w:left w:val="none" w:sz="0" w:space="0" w:color="auto"/>
                <w:bottom w:val="none" w:sz="0" w:space="0" w:color="auto"/>
                <w:right w:val="none" w:sz="0" w:space="0" w:color="auto"/>
              </w:divBdr>
            </w:div>
            <w:div w:id="1961183118">
              <w:marLeft w:val="0"/>
              <w:marRight w:val="0"/>
              <w:marTop w:val="0"/>
              <w:marBottom w:val="0"/>
              <w:divBdr>
                <w:top w:val="none" w:sz="0" w:space="0" w:color="auto"/>
                <w:left w:val="none" w:sz="0" w:space="0" w:color="auto"/>
                <w:bottom w:val="none" w:sz="0" w:space="0" w:color="auto"/>
                <w:right w:val="none" w:sz="0" w:space="0" w:color="auto"/>
              </w:divBdr>
            </w:div>
            <w:div w:id="2073649576">
              <w:marLeft w:val="0"/>
              <w:marRight w:val="0"/>
              <w:marTop w:val="0"/>
              <w:marBottom w:val="0"/>
              <w:divBdr>
                <w:top w:val="none" w:sz="0" w:space="0" w:color="auto"/>
                <w:left w:val="none" w:sz="0" w:space="0" w:color="auto"/>
                <w:bottom w:val="none" w:sz="0" w:space="0" w:color="auto"/>
                <w:right w:val="none" w:sz="0" w:space="0" w:color="auto"/>
              </w:divBdr>
            </w:div>
          </w:divsChild>
        </w:div>
        <w:div w:id="803041536">
          <w:marLeft w:val="0"/>
          <w:marRight w:val="0"/>
          <w:marTop w:val="0"/>
          <w:marBottom w:val="0"/>
          <w:divBdr>
            <w:top w:val="none" w:sz="0" w:space="0" w:color="auto"/>
            <w:left w:val="none" w:sz="0" w:space="0" w:color="auto"/>
            <w:bottom w:val="none" w:sz="0" w:space="0" w:color="auto"/>
            <w:right w:val="none" w:sz="0" w:space="0" w:color="auto"/>
          </w:divBdr>
        </w:div>
        <w:div w:id="810827348">
          <w:marLeft w:val="0"/>
          <w:marRight w:val="0"/>
          <w:marTop w:val="0"/>
          <w:marBottom w:val="0"/>
          <w:divBdr>
            <w:top w:val="none" w:sz="0" w:space="0" w:color="auto"/>
            <w:left w:val="none" w:sz="0" w:space="0" w:color="auto"/>
            <w:bottom w:val="none" w:sz="0" w:space="0" w:color="auto"/>
            <w:right w:val="none" w:sz="0" w:space="0" w:color="auto"/>
          </w:divBdr>
        </w:div>
        <w:div w:id="842748359">
          <w:marLeft w:val="0"/>
          <w:marRight w:val="0"/>
          <w:marTop w:val="0"/>
          <w:marBottom w:val="0"/>
          <w:divBdr>
            <w:top w:val="none" w:sz="0" w:space="0" w:color="auto"/>
            <w:left w:val="none" w:sz="0" w:space="0" w:color="auto"/>
            <w:bottom w:val="none" w:sz="0" w:space="0" w:color="auto"/>
            <w:right w:val="none" w:sz="0" w:space="0" w:color="auto"/>
          </w:divBdr>
          <w:divsChild>
            <w:div w:id="404180906">
              <w:marLeft w:val="0"/>
              <w:marRight w:val="0"/>
              <w:marTop w:val="0"/>
              <w:marBottom w:val="0"/>
              <w:divBdr>
                <w:top w:val="none" w:sz="0" w:space="0" w:color="auto"/>
                <w:left w:val="none" w:sz="0" w:space="0" w:color="auto"/>
                <w:bottom w:val="none" w:sz="0" w:space="0" w:color="auto"/>
                <w:right w:val="none" w:sz="0" w:space="0" w:color="auto"/>
              </w:divBdr>
            </w:div>
            <w:div w:id="635261860">
              <w:marLeft w:val="0"/>
              <w:marRight w:val="0"/>
              <w:marTop w:val="0"/>
              <w:marBottom w:val="0"/>
              <w:divBdr>
                <w:top w:val="none" w:sz="0" w:space="0" w:color="auto"/>
                <w:left w:val="none" w:sz="0" w:space="0" w:color="auto"/>
                <w:bottom w:val="none" w:sz="0" w:space="0" w:color="auto"/>
                <w:right w:val="none" w:sz="0" w:space="0" w:color="auto"/>
              </w:divBdr>
            </w:div>
            <w:div w:id="684483412">
              <w:marLeft w:val="0"/>
              <w:marRight w:val="0"/>
              <w:marTop w:val="0"/>
              <w:marBottom w:val="0"/>
              <w:divBdr>
                <w:top w:val="none" w:sz="0" w:space="0" w:color="auto"/>
                <w:left w:val="none" w:sz="0" w:space="0" w:color="auto"/>
                <w:bottom w:val="none" w:sz="0" w:space="0" w:color="auto"/>
                <w:right w:val="none" w:sz="0" w:space="0" w:color="auto"/>
              </w:divBdr>
            </w:div>
            <w:div w:id="1251542847">
              <w:marLeft w:val="0"/>
              <w:marRight w:val="0"/>
              <w:marTop w:val="0"/>
              <w:marBottom w:val="0"/>
              <w:divBdr>
                <w:top w:val="none" w:sz="0" w:space="0" w:color="auto"/>
                <w:left w:val="none" w:sz="0" w:space="0" w:color="auto"/>
                <w:bottom w:val="none" w:sz="0" w:space="0" w:color="auto"/>
                <w:right w:val="none" w:sz="0" w:space="0" w:color="auto"/>
              </w:divBdr>
            </w:div>
            <w:div w:id="1390377281">
              <w:marLeft w:val="0"/>
              <w:marRight w:val="0"/>
              <w:marTop w:val="0"/>
              <w:marBottom w:val="0"/>
              <w:divBdr>
                <w:top w:val="none" w:sz="0" w:space="0" w:color="auto"/>
                <w:left w:val="none" w:sz="0" w:space="0" w:color="auto"/>
                <w:bottom w:val="none" w:sz="0" w:space="0" w:color="auto"/>
                <w:right w:val="none" w:sz="0" w:space="0" w:color="auto"/>
              </w:divBdr>
            </w:div>
          </w:divsChild>
        </w:div>
        <w:div w:id="1086420956">
          <w:marLeft w:val="0"/>
          <w:marRight w:val="0"/>
          <w:marTop w:val="0"/>
          <w:marBottom w:val="0"/>
          <w:divBdr>
            <w:top w:val="none" w:sz="0" w:space="0" w:color="auto"/>
            <w:left w:val="none" w:sz="0" w:space="0" w:color="auto"/>
            <w:bottom w:val="none" w:sz="0" w:space="0" w:color="auto"/>
            <w:right w:val="none" w:sz="0" w:space="0" w:color="auto"/>
          </w:divBdr>
        </w:div>
        <w:div w:id="1124735245">
          <w:marLeft w:val="0"/>
          <w:marRight w:val="0"/>
          <w:marTop w:val="0"/>
          <w:marBottom w:val="0"/>
          <w:divBdr>
            <w:top w:val="none" w:sz="0" w:space="0" w:color="auto"/>
            <w:left w:val="none" w:sz="0" w:space="0" w:color="auto"/>
            <w:bottom w:val="none" w:sz="0" w:space="0" w:color="auto"/>
            <w:right w:val="none" w:sz="0" w:space="0" w:color="auto"/>
          </w:divBdr>
        </w:div>
        <w:div w:id="1155224920">
          <w:marLeft w:val="0"/>
          <w:marRight w:val="0"/>
          <w:marTop w:val="0"/>
          <w:marBottom w:val="0"/>
          <w:divBdr>
            <w:top w:val="none" w:sz="0" w:space="0" w:color="auto"/>
            <w:left w:val="none" w:sz="0" w:space="0" w:color="auto"/>
            <w:bottom w:val="none" w:sz="0" w:space="0" w:color="auto"/>
            <w:right w:val="none" w:sz="0" w:space="0" w:color="auto"/>
          </w:divBdr>
        </w:div>
        <w:div w:id="1196381580">
          <w:marLeft w:val="0"/>
          <w:marRight w:val="0"/>
          <w:marTop w:val="0"/>
          <w:marBottom w:val="0"/>
          <w:divBdr>
            <w:top w:val="none" w:sz="0" w:space="0" w:color="auto"/>
            <w:left w:val="none" w:sz="0" w:space="0" w:color="auto"/>
            <w:bottom w:val="none" w:sz="0" w:space="0" w:color="auto"/>
            <w:right w:val="none" w:sz="0" w:space="0" w:color="auto"/>
          </w:divBdr>
        </w:div>
        <w:div w:id="1823083436">
          <w:marLeft w:val="0"/>
          <w:marRight w:val="0"/>
          <w:marTop w:val="0"/>
          <w:marBottom w:val="0"/>
          <w:divBdr>
            <w:top w:val="none" w:sz="0" w:space="0" w:color="auto"/>
            <w:left w:val="none" w:sz="0" w:space="0" w:color="auto"/>
            <w:bottom w:val="none" w:sz="0" w:space="0" w:color="auto"/>
            <w:right w:val="none" w:sz="0" w:space="0" w:color="auto"/>
          </w:divBdr>
        </w:div>
        <w:div w:id="1867907186">
          <w:marLeft w:val="0"/>
          <w:marRight w:val="0"/>
          <w:marTop w:val="0"/>
          <w:marBottom w:val="0"/>
          <w:divBdr>
            <w:top w:val="none" w:sz="0" w:space="0" w:color="auto"/>
            <w:left w:val="none" w:sz="0" w:space="0" w:color="auto"/>
            <w:bottom w:val="none" w:sz="0" w:space="0" w:color="auto"/>
            <w:right w:val="none" w:sz="0" w:space="0" w:color="auto"/>
          </w:divBdr>
        </w:div>
      </w:divsChild>
    </w:div>
    <w:div w:id="160388275">
      <w:bodyDiv w:val="1"/>
      <w:marLeft w:val="0"/>
      <w:marRight w:val="0"/>
      <w:marTop w:val="0"/>
      <w:marBottom w:val="0"/>
      <w:divBdr>
        <w:top w:val="none" w:sz="0" w:space="0" w:color="auto"/>
        <w:left w:val="none" w:sz="0" w:space="0" w:color="auto"/>
        <w:bottom w:val="none" w:sz="0" w:space="0" w:color="auto"/>
        <w:right w:val="none" w:sz="0" w:space="0" w:color="auto"/>
      </w:divBdr>
    </w:div>
    <w:div w:id="284436228">
      <w:bodyDiv w:val="1"/>
      <w:marLeft w:val="0"/>
      <w:marRight w:val="0"/>
      <w:marTop w:val="0"/>
      <w:marBottom w:val="0"/>
      <w:divBdr>
        <w:top w:val="none" w:sz="0" w:space="0" w:color="auto"/>
        <w:left w:val="none" w:sz="0" w:space="0" w:color="auto"/>
        <w:bottom w:val="none" w:sz="0" w:space="0" w:color="auto"/>
        <w:right w:val="none" w:sz="0" w:space="0" w:color="auto"/>
      </w:divBdr>
    </w:div>
    <w:div w:id="297345514">
      <w:bodyDiv w:val="1"/>
      <w:marLeft w:val="0"/>
      <w:marRight w:val="0"/>
      <w:marTop w:val="0"/>
      <w:marBottom w:val="0"/>
      <w:divBdr>
        <w:top w:val="none" w:sz="0" w:space="0" w:color="auto"/>
        <w:left w:val="none" w:sz="0" w:space="0" w:color="auto"/>
        <w:bottom w:val="none" w:sz="0" w:space="0" w:color="auto"/>
        <w:right w:val="none" w:sz="0" w:space="0" w:color="auto"/>
      </w:divBdr>
    </w:div>
    <w:div w:id="640885872">
      <w:bodyDiv w:val="1"/>
      <w:marLeft w:val="0"/>
      <w:marRight w:val="0"/>
      <w:marTop w:val="0"/>
      <w:marBottom w:val="0"/>
      <w:divBdr>
        <w:top w:val="none" w:sz="0" w:space="0" w:color="auto"/>
        <w:left w:val="none" w:sz="0" w:space="0" w:color="auto"/>
        <w:bottom w:val="none" w:sz="0" w:space="0" w:color="auto"/>
        <w:right w:val="none" w:sz="0" w:space="0" w:color="auto"/>
      </w:divBdr>
      <w:divsChild>
        <w:div w:id="626013489">
          <w:marLeft w:val="0"/>
          <w:marRight w:val="0"/>
          <w:marTop w:val="0"/>
          <w:marBottom w:val="0"/>
          <w:divBdr>
            <w:top w:val="none" w:sz="0" w:space="0" w:color="auto"/>
            <w:left w:val="none" w:sz="0" w:space="0" w:color="auto"/>
            <w:bottom w:val="none" w:sz="0" w:space="0" w:color="auto"/>
            <w:right w:val="none" w:sz="0" w:space="0" w:color="auto"/>
          </w:divBdr>
        </w:div>
        <w:div w:id="1040670738">
          <w:marLeft w:val="0"/>
          <w:marRight w:val="0"/>
          <w:marTop w:val="0"/>
          <w:marBottom w:val="0"/>
          <w:divBdr>
            <w:top w:val="none" w:sz="0" w:space="0" w:color="auto"/>
            <w:left w:val="none" w:sz="0" w:space="0" w:color="auto"/>
            <w:bottom w:val="none" w:sz="0" w:space="0" w:color="auto"/>
            <w:right w:val="none" w:sz="0" w:space="0" w:color="auto"/>
          </w:divBdr>
        </w:div>
      </w:divsChild>
    </w:div>
    <w:div w:id="675621339">
      <w:bodyDiv w:val="1"/>
      <w:marLeft w:val="0"/>
      <w:marRight w:val="0"/>
      <w:marTop w:val="0"/>
      <w:marBottom w:val="0"/>
      <w:divBdr>
        <w:top w:val="none" w:sz="0" w:space="0" w:color="auto"/>
        <w:left w:val="none" w:sz="0" w:space="0" w:color="auto"/>
        <w:bottom w:val="none" w:sz="0" w:space="0" w:color="auto"/>
        <w:right w:val="none" w:sz="0" w:space="0" w:color="auto"/>
      </w:divBdr>
    </w:div>
    <w:div w:id="766584708">
      <w:bodyDiv w:val="1"/>
      <w:marLeft w:val="0"/>
      <w:marRight w:val="0"/>
      <w:marTop w:val="0"/>
      <w:marBottom w:val="0"/>
      <w:divBdr>
        <w:top w:val="none" w:sz="0" w:space="0" w:color="auto"/>
        <w:left w:val="none" w:sz="0" w:space="0" w:color="auto"/>
        <w:bottom w:val="none" w:sz="0" w:space="0" w:color="auto"/>
        <w:right w:val="none" w:sz="0" w:space="0" w:color="auto"/>
      </w:divBdr>
    </w:div>
    <w:div w:id="975450860">
      <w:bodyDiv w:val="1"/>
      <w:marLeft w:val="0"/>
      <w:marRight w:val="0"/>
      <w:marTop w:val="0"/>
      <w:marBottom w:val="0"/>
      <w:divBdr>
        <w:top w:val="none" w:sz="0" w:space="0" w:color="auto"/>
        <w:left w:val="none" w:sz="0" w:space="0" w:color="auto"/>
        <w:bottom w:val="none" w:sz="0" w:space="0" w:color="auto"/>
        <w:right w:val="none" w:sz="0" w:space="0" w:color="auto"/>
      </w:divBdr>
    </w:div>
    <w:div w:id="977956113">
      <w:bodyDiv w:val="1"/>
      <w:marLeft w:val="0"/>
      <w:marRight w:val="0"/>
      <w:marTop w:val="0"/>
      <w:marBottom w:val="0"/>
      <w:divBdr>
        <w:top w:val="none" w:sz="0" w:space="0" w:color="auto"/>
        <w:left w:val="none" w:sz="0" w:space="0" w:color="auto"/>
        <w:bottom w:val="none" w:sz="0" w:space="0" w:color="auto"/>
        <w:right w:val="none" w:sz="0" w:space="0" w:color="auto"/>
      </w:divBdr>
    </w:div>
    <w:div w:id="1026440284">
      <w:bodyDiv w:val="1"/>
      <w:marLeft w:val="0"/>
      <w:marRight w:val="0"/>
      <w:marTop w:val="0"/>
      <w:marBottom w:val="0"/>
      <w:divBdr>
        <w:top w:val="none" w:sz="0" w:space="0" w:color="auto"/>
        <w:left w:val="none" w:sz="0" w:space="0" w:color="auto"/>
        <w:bottom w:val="none" w:sz="0" w:space="0" w:color="auto"/>
        <w:right w:val="none" w:sz="0" w:space="0" w:color="auto"/>
      </w:divBdr>
    </w:div>
    <w:div w:id="1035274709">
      <w:bodyDiv w:val="1"/>
      <w:marLeft w:val="0"/>
      <w:marRight w:val="0"/>
      <w:marTop w:val="0"/>
      <w:marBottom w:val="0"/>
      <w:divBdr>
        <w:top w:val="none" w:sz="0" w:space="0" w:color="auto"/>
        <w:left w:val="none" w:sz="0" w:space="0" w:color="auto"/>
        <w:bottom w:val="none" w:sz="0" w:space="0" w:color="auto"/>
        <w:right w:val="none" w:sz="0" w:space="0" w:color="auto"/>
      </w:divBdr>
    </w:div>
    <w:div w:id="1057775216">
      <w:bodyDiv w:val="1"/>
      <w:marLeft w:val="0"/>
      <w:marRight w:val="0"/>
      <w:marTop w:val="0"/>
      <w:marBottom w:val="0"/>
      <w:divBdr>
        <w:top w:val="none" w:sz="0" w:space="0" w:color="auto"/>
        <w:left w:val="none" w:sz="0" w:space="0" w:color="auto"/>
        <w:bottom w:val="none" w:sz="0" w:space="0" w:color="auto"/>
        <w:right w:val="none" w:sz="0" w:space="0" w:color="auto"/>
      </w:divBdr>
    </w:div>
    <w:div w:id="1065840987">
      <w:bodyDiv w:val="1"/>
      <w:marLeft w:val="0"/>
      <w:marRight w:val="0"/>
      <w:marTop w:val="0"/>
      <w:marBottom w:val="0"/>
      <w:divBdr>
        <w:top w:val="none" w:sz="0" w:space="0" w:color="auto"/>
        <w:left w:val="none" w:sz="0" w:space="0" w:color="auto"/>
        <w:bottom w:val="none" w:sz="0" w:space="0" w:color="auto"/>
        <w:right w:val="none" w:sz="0" w:space="0" w:color="auto"/>
      </w:divBdr>
      <w:divsChild>
        <w:div w:id="1991250070">
          <w:marLeft w:val="0"/>
          <w:marRight w:val="0"/>
          <w:marTop w:val="0"/>
          <w:marBottom w:val="0"/>
          <w:divBdr>
            <w:top w:val="none" w:sz="0" w:space="0" w:color="auto"/>
            <w:left w:val="none" w:sz="0" w:space="0" w:color="auto"/>
            <w:bottom w:val="none" w:sz="0" w:space="0" w:color="auto"/>
            <w:right w:val="none" w:sz="0" w:space="0" w:color="auto"/>
          </w:divBdr>
          <w:divsChild>
            <w:div w:id="661006388">
              <w:marLeft w:val="0"/>
              <w:marRight w:val="0"/>
              <w:marTop w:val="0"/>
              <w:marBottom w:val="0"/>
              <w:divBdr>
                <w:top w:val="none" w:sz="0" w:space="0" w:color="auto"/>
                <w:left w:val="none" w:sz="0" w:space="0" w:color="auto"/>
                <w:bottom w:val="none" w:sz="0" w:space="0" w:color="auto"/>
                <w:right w:val="none" w:sz="0" w:space="0" w:color="auto"/>
              </w:divBdr>
              <w:divsChild>
                <w:div w:id="1400515444">
                  <w:marLeft w:val="0"/>
                  <w:marRight w:val="0"/>
                  <w:marTop w:val="0"/>
                  <w:marBottom w:val="0"/>
                  <w:divBdr>
                    <w:top w:val="none" w:sz="0" w:space="0" w:color="auto"/>
                    <w:left w:val="none" w:sz="0" w:space="0" w:color="auto"/>
                    <w:bottom w:val="none" w:sz="0" w:space="0" w:color="auto"/>
                    <w:right w:val="none" w:sz="0" w:space="0" w:color="auto"/>
                  </w:divBdr>
                  <w:divsChild>
                    <w:div w:id="1045132128">
                      <w:marLeft w:val="0"/>
                      <w:marRight w:val="0"/>
                      <w:marTop w:val="0"/>
                      <w:marBottom w:val="375"/>
                      <w:divBdr>
                        <w:top w:val="none" w:sz="0" w:space="0" w:color="auto"/>
                        <w:left w:val="none" w:sz="0" w:space="0" w:color="auto"/>
                        <w:bottom w:val="none" w:sz="0" w:space="0" w:color="auto"/>
                        <w:right w:val="none" w:sz="0" w:space="0" w:color="auto"/>
                      </w:divBdr>
                      <w:divsChild>
                        <w:div w:id="13738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00323">
      <w:bodyDiv w:val="1"/>
      <w:marLeft w:val="0"/>
      <w:marRight w:val="0"/>
      <w:marTop w:val="0"/>
      <w:marBottom w:val="0"/>
      <w:divBdr>
        <w:top w:val="none" w:sz="0" w:space="0" w:color="auto"/>
        <w:left w:val="none" w:sz="0" w:space="0" w:color="auto"/>
        <w:bottom w:val="none" w:sz="0" w:space="0" w:color="auto"/>
        <w:right w:val="none" w:sz="0" w:space="0" w:color="auto"/>
      </w:divBdr>
    </w:div>
    <w:div w:id="1237201674">
      <w:bodyDiv w:val="1"/>
      <w:marLeft w:val="0"/>
      <w:marRight w:val="0"/>
      <w:marTop w:val="0"/>
      <w:marBottom w:val="0"/>
      <w:divBdr>
        <w:top w:val="none" w:sz="0" w:space="0" w:color="auto"/>
        <w:left w:val="none" w:sz="0" w:space="0" w:color="auto"/>
        <w:bottom w:val="none" w:sz="0" w:space="0" w:color="auto"/>
        <w:right w:val="none" w:sz="0" w:space="0" w:color="auto"/>
      </w:divBdr>
    </w:div>
    <w:div w:id="1252928906">
      <w:bodyDiv w:val="1"/>
      <w:marLeft w:val="0"/>
      <w:marRight w:val="0"/>
      <w:marTop w:val="0"/>
      <w:marBottom w:val="0"/>
      <w:divBdr>
        <w:top w:val="none" w:sz="0" w:space="0" w:color="auto"/>
        <w:left w:val="none" w:sz="0" w:space="0" w:color="auto"/>
        <w:bottom w:val="none" w:sz="0" w:space="0" w:color="auto"/>
        <w:right w:val="none" w:sz="0" w:space="0" w:color="auto"/>
      </w:divBdr>
      <w:divsChild>
        <w:div w:id="445657537">
          <w:marLeft w:val="0"/>
          <w:marRight w:val="0"/>
          <w:marTop w:val="0"/>
          <w:marBottom w:val="0"/>
          <w:divBdr>
            <w:top w:val="none" w:sz="0" w:space="0" w:color="auto"/>
            <w:left w:val="none" w:sz="0" w:space="0" w:color="auto"/>
            <w:bottom w:val="none" w:sz="0" w:space="0" w:color="auto"/>
            <w:right w:val="none" w:sz="0" w:space="0" w:color="auto"/>
          </w:divBdr>
        </w:div>
        <w:div w:id="1667199578">
          <w:marLeft w:val="0"/>
          <w:marRight w:val="0"/>
          <w:marTop w:val="0"/>
          <w:marBottom w:val="0"/>
          <w:divBdr>
            <w:top w:val="none" w:sz="0" w:space="0" w:color="auto"/>
            <w:left w:val="none" w:sz="0" w:space="0" w:color="auto"/>
            <w:bottom w:val="none" w:sz="0" w:space="0" w:color="auto"/>
            <w:right w:val="none" w:sz="0" w:space="0" w:color="auto"/>
          </w:divBdr>
        </w:div>
      </w:divsChild>
    </w:div>
    <w:div w:id="1272085465">
      <w:bodyDiv w:val="1"/>
      <w:marLeft w:val="0"/>
      <w:marRight w:val="0"/>
      <w:marTop w:val="0"/>
      <w:marBottom w:val="0"/>
      <w:divBdr>
        <w:top w:val="none" w:sz="0" w:space="0" w:color="auto"/>
        <w:left w:val="none" w:sz="0" w:space="0" w:color="auto"/>
        <w:bottom w:val="none" w:sz="0" w:space="0" w:color="auto"/>
        <w:right w:val="none" w:sz="0" w:space="0" w:color="auto"/>
      </w:divBdr>
    </w:div>
    <w:div w:id="1318798624">
      <w:bodyDiv w:val="1"/>
      <w:marLeft w:val="0"/>
      <w:marRight w:val="0"/>
      <w:marTop w:val="0"/>
      <w:marBottom w:val="0"/>
      <w:divBdr>
        <w:top w:val="none" w:sz="0" w:space="0" w:color="auto"/>
        <w:left w:val="none" w:sz="0" w:space="0" w:color="auto"/>
        <w:bottom w:val="none" w:sz="0" w:space="0" w:color="auto"/>
        <w:right w:val="none" w:sz="0" w:space="0" w:color="auto"/>
      </w:divBdr>
    </w:div>
    <w:div w:id="1401447001">
      <w:bodyDiv w:val="1"/>
      <w:marLeft w:val="0"/>
      <w:marRight w:val="0"/>
      <w:marTop w:val="0"/>
      <w:marBottom w:val="0"/>
      <w:divBdr>
        <w:top w:val="none" w:sz="0" w:space="0" w:color="auto"/>
        <w:left w:val="none" w:sz="0" w:space="0" w:color="auto"/>
        <w:bottom w:val="none" w:sz="0" w:space="0" w:color="auto"/>
        <w:right w:val="none" w:sz="0" w:space="0" w:color="auto"/>
      </w:divBdr>
      <w:divsChild>
        <w:div w:id="618685419">
          <w:marLeft w:val="0"/>
          <w:marRight w:val="0"/>
          <w:marTop w:val="0"/>
          <w:marBottom w:val="0"/>
          <w:divBdr>
            <w:top w:val="none" w:sz="0" w:space="0" w:color="auto"/>
            <w:left w:val="none" w:sz="0" w:space="0" w:color="auto"/>
            <w:bottom w:val="none" w:sz="0" w:space="0" w:color="auto"/>
            <w:right w:val="none" w:sz="0" w:space="0" w:color="auto"/>
          </w:divBdr>
        </w:div>
        <w:div w:id="1362778858">
          <w:marLeft w:val="0"/>
          <w:marRight w:val="0"/>
          <w:marTop w:val="0"/>
          <w:marBottom w:val="0"/>
          <w:divBdr>
            <w:top w:val="none" w:sz="0" w:space="0" w:color="auto"/>
            <w:left w:val="none" w:sz="0" w:space="0" w:color="auto"/>
            <w:bottom w:val="none" w:sz="0" w:space="0" w:color="auto"/>
            <w:right w:val="none" w:sz="0" w:space="0" w:color="auto"/>
          </w:divBdr>
        </w:div>
      </w:divsChild>
    </w:div>
    <w:div w:id="1496727888">
      <w:bodyDiv w:val="1"/>
      <w:marLeft w:val="0"/>
      <w:marRight w:val="0"/>
      <w:marTop w:val="0"/>
      <w:marBottom w:val="0"/>
      <w:divBdr>
        <w:top w:val="none" w:sz="0" w:space="0" w:color="auto"/>
        <w:left w:val="none" w:sz="0" w:space="0" w:color="auto"/>
        <w:bottom w:val="none" w:sz="0" w:space="0" w:color="auto"/>
        <w:right w:val="none" w:sz="0" w:space="0" w:color="auto"/>
      </w:divBdr>
      <w:divsChild>
        <w:div w:id="176582556">
          <w:marLeft w:val="0"/>
          <w:marRight w:val="0"/>
          <w:marTop w:val="0"/>
          <w:marBottom w:val="0"/>
          <w:divBdr>
            <w:top w:val="none" w:sz="0" w:space="0" w:color="auto"/>
            <w:left w:val="none" w:sz="0" w:space="0" w:color="auto"/>
            <w:bottom w:val="none" w:sz="0" w:space="0" w:color="auto"/>
            <w:right w:val="none" w:sz="0" w:space="0" w:color="auto"/>
          </w:divBdr>
        </w:div>
        <w:div w:id="1455559053">
          <w:marLeft w:val="0"/>
          <w:marRight w:val="0"/>
          <w:marTop w:val="0"/>
          <w:marBottom w:val="0"/>
          <w:divBdr>
            <w:top w:val="none" w:sz="0" w:space="0" w:color="auto"/>
            <w:left w:val="none" w:sz="0" w:space="0" w:color="auto"/>
            <w:bottom w:val="none" w:sz="0" w:space="0" w:color="auto"/>
            <w:right w:val="none" w:sz="0" w:space="0" w:color="auto"/>
          </w:divBdr>
        </w:div>
        <w:div w:id="1731297062">
          <w:marLeft w:val="0"/>
          <w:marRight w:val="0"/>
          <w:marTop w:val="0"/>
          <w:marBottom w:val="0"/>
          <w:divBdr>
            <w:top w:val="none" w:sz="0" w:space="0" w:color="auto"/>
            <w:left w:val="none" w:sz="0" w:space="0" w:color="auto"/>
            <w:bottom w:val="none" w:sz="0" w:space="0" w:color="auto"/>
            <w:right w:val="none" w:sz="0" w:space="0" w:color="auto"/>
          </w:divBdr>
        </w:div>
      </w:divsChild>
    </w:div>
    <w:div w:id="1518544746">
      <w:bodyDiv w:val="1"/>
      <w:marLeft w:val="0"/>
      <w:marRight w:val="0"/>
      <w:marTop w:val="0"/>
      <w:marBottom w:val="0"/>
      <w:divBdr>
        <w:top w:val="none" w:sz="0" w:space="0" w:color="auto"/>
        <w:left w:val="none" w:sz="0" w:space="0" w:color="auto"/>
        <w:bottom w:val="none" w:sz="0" w:space="0" w:color="auto"/>
        <w:right w:val="none" w:sz="0" w:space="0" w:color="auto"/>
      </w:divBdr>
    </w:div>
    <w:div w:id="1540168899">
      <w:bodyDiv w:val="1"/>
      <w:marLeft w:val="0"/>
      <w:marRight w:val="0"/>
      <w:marTop w:val="0"/>
      <w:marBottom w:val="0"/>
      <w:divBdr>
        <w:top w:val="none" w:sz="0" w:space="0" w:color="auto"/>
        <w:left w:val="none" w:sz="0" w:space="0" w:color="auto"/>
        <w:bottom w:val="none" w:sz="0" w:space="0" w:color="auto"/>
        <w:right w:val="none" w:sz="0" w:space="0" w:color="auto"/>
      </w:divBdr>
    </w:div>
    <w:div w:id="1577933009">
      <w:bodyDiv w:val="1"/>
      <w:marLeft w:val="0"/>
      <w:marRight w:val="0"/>
      <w:marTop w:val="0"/>
      <w:marBottom w:val="0"/>
      <w:divBdr>
        <w:top w:val="none" w:sz="0" w:space="0" w:color="auto"/>
        <w:left w:val="none" w:sz="0" w:space="0" w:color="auto"/>
        <w:bottom w:val="none" w:sz="0" w:space="0" w:color="auto"/>
        <w:right w:val="none" w:sz="0" w:space="0" w:color="auto"/>
      </w:divBdr>
      <w:divsChild>
        <w:div w:id="2099596516">
          <w:marLeft w:val="0"/>
          <w:marRight w:val="0"/>
          <w:marTop w:val="0"/>
          <w:marBottom w:val="0"/>
          <w:divBdr>
            <w:top w:val="none" w:sz="0" w:space="0" w:color="auto"/>
            <w:left w:val="none" w:sz="0" w:space="0" w:color="auto"/>
            <w:bottom w:val="none" w:sz="0" w:space="0" w:color="auto"/>
            <w:right w:val="none" w:sz="0" w:space="0" w:color="auto"/>
          </w:divBdr>
        </w:div>
      </w:divsChild>
    </w:div>
    <w:div w:id="1601988125">
      <w:bodyDiv w:val="1"/>
      <w:marLeft w:val="0"/>
      <w:marRight w:val="0"/>
      <w:marTop w:val="0"/>
      <w:marBottom w:val="0"/>
      <w:divBdr>
        <w:top w:val="none" w:sz="0" w:space="0" w:color="auto"/>
        <w:left w:val="none" w:sz="0" w:space="0" w:color="auto"/>
        <w:bottom w:val="none" w:sz="0" w:space="0" w:color="auto"/>
        <w:right w:val="none" w:sz="0" w:space="0" w:color="auto"/>
      </w:divBdr>
      <w:divsChild>
        <w:div w:id="508107767">
          <w:marLeft w:val="0"/>
          <w:marRight w:val="0"/>
          <w:marTop w:val="0"/>
          <w:marBottom w:val="0"/>
          <w:divBdr>
            <w:top w:val="none" w:sz="0" w:space="0" w:color="auto"/>
            <w:left w:val="none" w:sz="0" w:space="0" w:color="auto"/>
            <w:bottom w:val="none" w:sz="0" w:space="0" w:color="auto"/>
            <w:right w:val="none" w:sz="0" w:space="0" w:color="auto"/>
          </w:divBdr>
        </w:div>
        <w:div w:id="1614552756">
          <w:marLeft w:val="0"/>
          <w:marRight w:val="0"/>
          <w:marTop w:val="0"/>
          <w:marBottom w:val="0"/>
          <w:divBdr>
            <w:top w:val="none" w:sz="0" w:space="0" w:color="auto"/>
            <w:left w:val="none" w:sz="0" w:space="0" w:color="auto"/>
            <w:bottom w:val="none" w:sz="0" w:space="0" w:color="auto"/>
            <w:right w:val="none" w:sz="0" w:space="0" w:color="auto"/>
          </w:divBdr>
        </w:div>
      </w:divsChild>
    </w:div>
    <w:div w:id="1634209157">
      <w:bodyDiv w:val="1"/>
      <w:marLeft w:val="0"/>
      <w:marRight w:val="0"/>
      <w:marTop w:val="0"/>
      <w:marBottom w:val="0"/>
      <w:divBdr>
        <w:top w:val="none" w:sz="0" w:space="0" w:color="auto"/>
        <w:left w:val="none" w:sz="0" w:space="0" w:color="auto"/>
        <w:bottom w:val="none" w:sz="0" w:space="0" w:color="auto"/>
        <w:right w:val="none" w:sz="0" w:space="0" w:color="auto"/>
      </w:divBdr>
    </w:div>
    <w:div w:id="1670864249">
      <w:bodyDiv w:val="1"/>
      <w:marLeft w:val="0"/>
      <w:marRight w:val="0"/>
      <w:marTop w:val="0"/>
      <w:marBottom w:val="0"/>
      <w:divBdr>
        <w:top w:val="none" w:sz="0" w:space="0" w:color="auto"/>
        <w:left w:val="none" w:sz="0" w:space="0" w:color="auto"/>
        <w:bottom w:val="none" w:sz="0" w:space="0" w:color="auto"/>
        <w:right w:val="none" w:sz="0" w:space="0" w:color="auto"/>
      </w:divBdr>
      <w:divsChild>
        <w:div w:id="359862364">
          <w:marLeft w:val="0"/>
          <w:marRight w:val="0"/>
          <w:marTop w:val="0"/>
          <w:marBottom w:val="0"/>
          <w:divBdr>
            <w:top w:val="none" w:sz="0" w:space="0" w:color="auto"/>
            <w:left w:val="none" w:sz="0" w:space="0" w:color="auto"/>
            <w:bottom w:val="none" w:sz="0" w:space="0" w:color="auto"/>
            <w:right w:val="none" w:sz="0" w:space="0" w:color="auto"/>
          </w:divBdr>
        </w:div>
        <w:div w:id="484592992">
          <w:marLeft w:val="0"/>
          <w:marRight w:val="0"/>
          <w:marTop w:val="0"/>
          <w:marBottom w:val="0"/>
          <w:divBdr>
            <w:top w:val="none" w:sz="0" w:space="0" w:color="auto"/>
            <w:left w:val="none" w:sz="0" w:space="0" w:color="auto"/>
            <w:bottom w:val="none" w:sz="0" w:space="0" w:color="auto"/>
            <w:right w:val="none" w:sz="0" w:space="0" w:color="auto"/>
          </w:divBdr>
        </w:div>
        <w:div w:id="517499578">
          <w:marLeft w:val="0"/>
          <w:marRight w:val="0"/>
          <w:marTop w:val="0"/>
          <w:marBottom w:val="0"/>
          <w:divBdr>
            <w:top w:val="none" w:sz="0" w:space="0" w:color="auto"/>
            <w:left w:val="none" w:sz="0" w:space="0" w:color="auto"/>
            <w:bottom w:val="none" w:sz="0" w:space="0" w:color="auto"/>
            <w:right w:val="none" w:sz="0" w:space="0" w:color="auto"/>
          </w:divBdr>
        </w:div>
        <w:div w:id="740522453">
          <w:marLeft w:val="0"/>
          <w:marRight w:val="0"/>
          <w:marTop w:val="0"/>
          <w:marBottom w:val="0"/>
          <w:divBdr>
            <w:top w:val="none" w:sz="0" w:space="0" w:color="auto"/>
            <w:left w:val="none" w:sz="0" w:space="0" w:color="auto"/>
            <w:bottom w:val="none" w:sz="0" w:space="0" w:color="auto"/>
            <w:right w:val="none" w:sz="0" w:space="0" w:color="auto"/>
          </w:divBdr>
        </w:div>
        <w:div w:id="1095249010">
          <w:marLeft w:val="0"/>
          <w:marRight w:val="0"/>
          <w:marTop w:val="0"/>
          <w:marBottom w:val="0"/>
          <w:divBdr>
            <w:top w:val="none" w:sz="0" w:space="0" w:color="auto"/>
            <w:left w:val="none" w:sz="0" w:space="0" w:color="auto"/>
            <w:bottom w:val="none" w:sz="0" w:space="0" w:color="auto"/>
            <w:right w:val="none" w:sz="0" w:space="0" w:color="auto"/>
          </w:divBdr>
        </w:div>
        <w:div w:id="1891501309">
          <w:marLeft w:val="0"/>
          <w:marRight w:val="0"/>
          <w:marTop w:val="0"/>
          <w:marBottom w:val="0"/>
          <w:divBdr>
            <w:top w:val="none" w:sz="0" w:space="0" w:color="auto"/>
            <w:left w:val="none" w:sz="0" w:space="0" w:color="auto"/>
            <w:bottom w:val="none" w:sz="0" w:space="0" w:color="auto"/>
            <w:right w:val="none" w:sz="0" w:space="0" w:color="auto"/>
          </w:divBdr>
        </w:div>
        <w:div w:id="2132747837">
          <w:marLeft w:val="0"/>
          <w:marRight w:val="0"/>
          <w:marTop w:val="0"/>
          <w:marBottom w:val="0"/>
          <w:divBdr>
            <w:top w:val="none" w:sz="0" w:space="0" w:color="auto"/>
            <w:left w:val="none" w:sz="0" w:space="0" w:color="auto"/>
            <w:bottom w:val="none" w:sz="0" w:space="0" w:color="auto"/>
            <w:right w:val="none" w:sz="0" w:space="0" w:color="auto"/>
          </w:divBdr>
        </w:div>
        <w:div w:id="2134325389">
          <w:marLeft w:val="0"/>
          <w:marRight w:val="0"/>
          <w:marTop w:val="0"/>
          <w:marBottom w:val="0"/>
          <w:divBdr>
            <w:top w:val="none" w:sz="0" w:space="0" w:color="auto"/>
            <w:left w:val="none" w:sz="0" w:space="0" w:color="auto"/>
            <w:bottom w:val="none" w:sz="0" w:space="0" w:color="auto"/>
            <w:right w:val="none" w:sz="0" w:space="0" w:color="auto"/>
          </w:divBdr>
        </w:div>
      </w:divsChild>
    </w:div>
    <w:div w:id="1711564349">
      <w:bodyDiv w:val="1"/>
      <w:marLeft w:val="0"/>
      <w:marRight w:val="0"/>
      <w:marTop w:val="0"/>
      <w:marBottom w:val="0"/>
      <w:divBdr>
        <w:top w:val="none" w:sz="0" w:space="0" w:color="auto"/>
        <w:left w:val="none" w:sz="0" w:space="0" w:color="auto"/>
        <w:bottom w:val="none" w:sz="0" w:space="0" w:color="auto"/>
        <w:right w:val="none" w:sz="0" w:space="0" w:color="auto"/>
      </w:divBdr>
    </w:div>
    <w:div w:id="1728720597">
      <w:bodyDiv w:val="1"/>
      <w:marLeft w:val="0"/>
      <w:marRight w:val="0"/>
      <w:marTop w:val="0"/>
      <w:marBottom w:val="0"/>
      <w:divBdr>
        <w:top w:val="none" w:sz="0" w:space="0" w:color="auto"/>
        <w:left w:val="none" w:sz="0" w:space="0" w:color="auto"/>
        <w:bottom w:val="none" w:sz="0" w:space="0" w:color="auto"/>
        <w:right w:val="none" w:sz="0" w:space="0" w:color="auto"/>
      </w:divBdr>
    </w:div>
    <w:div w:id="1744178441">
      <w:bodyDiv w:val="1"/>
      <w:marLeft w:val="0"/>
      <w:marRight w:val="0"/>
      <w:marTop w:val="0"/>
      <w:marBottom w:val="0"/>
      <w:divBdr>
        <w:top w:val="none" w:sz="0" w:space="0" w:color="auto"/>
        <w:left w:val="none" w:sz="0" w:space="0" w:color="auto"/>
        <w:bottom w:val="none" w:sz="0" w:space="0" w:color="auto"/>
        <w:right w:val="none" w:sz="0" w:space="0" w:color="auto"/>
      </w:divBdr>
      <w:divsChild>
        <w:div w:id="775247358">
          <w:marLeft w:val="0"/>
          <w:marRight w:val="0"/>
          <w:marTop w:val="0"/>
          <w:marBottom w:val="0"/>
          <w:divBdr>
            <w:top w:val="none" w:sz="0" w:space="0" w:color="auto"/>
            <w:left w:val="none" w:sz="0" w:space="0" w:color="auto"/>
            <w:bottom w:val="none" w:sz="0" w:space="0" w:color="auto"/>
            <w:right w:val="none" w:sz="0" w:space="0" w:color="auto"/>
          </w:divBdr>
        </w:div>
        <w:div w:id="1096052562">
          <w:marLeft w:val="0"/>
          <w:marRight w:val="0"/>
          <w:marTop w:val="0"/>
          <w:marBottom w:val="0"/>
          <w:divBdr>
            <w:top w:val="none" w:sz="0" w:space="0" w:color="auto"/>
            <w:left w:val="none" w:sz="0" w:space="0" w:color="auto"/>
            <w:bottom w:val="none" w:sz="0" w:space="0" w:color="auto"/>
            <w:right w:val="none" w:sz="0" w:space="0" w:color="auto"/>
          </w:divBdr>
        </w:div>
        <w:div w:id="2136019205">
          <w:marLeft w:val="0"/>
          <w:marRight w:val="0"/>
          <w:marTop w:val="0"/>
          <w:marBottom w:val="0"/>
          <w:divBdr>
            <w:top w:val="none" w:sz="0" w:space="0" w:color="auto"/>
            <w:left w:val="none" w:sz="0" w:space="0" w:color="auto"/>
            <w:bottom w:val="none" w:sz="0" w:space="0" w:color="auto"/>
            <w:right w:val="none" w:sz="0" w:space="0" w:color="auto"/>
          </w:divBdr>
        </w:div>
      </w:divsChild>
    </w:div>
    <w:div w:id="1765834158">
      <w:bodyDiv w:val="1"/>
      <w:marLeft w:val="0"/>
      <w:marRight w:val="0"/>
      <w:marTop w:val="0"/>
      <w:marBottom w:val="0"/>
      <w:divBdr>
        <w:top w:val="none" w:sz="0" w:space="0" w:color="auto"/>
        <w:left w:val="none" w:sz="0" w:space="0" w:color="auto"/>
        <w:bottom w:val="none" w:sz="0" w:space="0" w:color="auto"/>
        <w:right w:val="none" w:sz="0" w:space="0" w:color="auto"/>
      </w:divBdr>
    </w:div>
    <w:div w:id="1858350213">
      <w:bodyDiv w:val="1"/>
      <w:marLeft w:val="0"/>
      <w:marRight w:val="0"/>
      <w:marTop w:val="0"/>
      <w:marBottom w:val="0"/>
      <w:divBdr>
        <w:top w:val="none" w:sz="0" w:space="0" w:color="auto"/>
        <w:left w:val="none" w:sz="0" w:space="0" w:color="auto"/>
        <w:bottom w:val="none" w:sz="0" w:space="0" w:color="auto"/>
        <w:right w:val="none" w:sz="0" w:space="0" w:color="auto"/>
      </w:divBdr>
    </w:div>
    <w:div w:id="1861311031">
      <w:bodyDiv w:val="1"/>
      <w:marLeft w:val="0"/>
      <w:marRight w:val="0"/>
      <w:marTop w:val="0"/>
      <w:marBottom w:val="0"/>
      <w:divBdr>
        <w:top w:val="none" w:sz="0" w:space="0" w:color="auto"/>
        <w:left w:val="none" w:sz="0" w:space="0" w:color="auto"/>
        <w:bottom w:val="none" w:sz="0" w:space="0" w:color="auto"/>
        <w:right w:val="none" w:sz="0" w:space="0" w:color="auto"/>
      </w:divBdr>
    </w:div>
    <w:div w:id="1863780703">
      <w:bodyDiv w:val="1"/>
      <w:marLeft w:val="0"/>
      <w:marRight w:val="0"/>
      <w:marTop w:val="0"/>
      <w:marBottom w:val="0"/>
      <w:divBdr>
        <w:top w:val="none" w:sz="0" w:space="0" w:color="auto"/>
        <w:left w:val="none" w:sz="0" w:space="0" w:color="auto"/>
        <w:bottom w:val="none" w:sz="0" w:space="0" w:color="auto"/>
        <w:right w:val="none" w:sz="0" w:space="0" w:color="auto"/>
      </w:divBdr>
    </w:div>
    <w:div w:id="1900744024">
      <w:bodyDiv w:val="1"/>
      <w:marLeft w:val="0"/>
      <w:marRight w:val="0"/>
      <w:marTop w:val="0"/>
      <w:marBottom w:val="0"/>
      <w:divBdr>
        <w:top w:val="none" w:sz="0" w:space="0" w:color="auto"/>
        <w:left w:val="none" w:sz="0" w:space="0" w:color="auto"/>
        <w:bottom w:val="none" w:sz="0" w:space="0" w:color="auto"/>
        <w:right w:val="none" w:sz="0" w:space="0" w:color="auto"/>
      </w:divBdr>
      <w:divsChild>
        <w:div w:id="572815298">
          <w:marLeft w:val="0"/>
          <w:marRight w:val="0"/>
          <w:marTop w:val="0"/>
          <w:marBottom w:val="0"/>
          <w:divBdr>
            <w:top w:val="none" w:sz="0" w:space="0" w:color="auto"/>
            <w:left w:val="none" w:sz="0" w:space="0" w:color="auto"/>
            <w:bottom w:val="none" w:sz="0" w:space="0" w:color="auto"/>
            <w:right w:val="none" w:sz="0" w:space="0" w:color="auto"/>
          </w:divBdr>
        </w:div>
        <w:div w:id="595947479">
          <w:marLeft w:val="0"/>
          <w:marRight w:val="0"/>
          <w:marTop w:val="0"/>
          <w:marBottom w:val="0"/>
          <w:divBdr>
            <w:top w:val="none" w:sz="0" w:space="0" w:color="auto"/>
            <w:left w:val="none" w:sz="0" w:space="0" w:color="auto"/>
            <w:bottom w:val="none" w:sz="0" w:space="0" w:color="auto"/>
            <w:right w:val="none" w:sz="0" w:space="0" w:color="auto"/>
          </w:divBdr>
        </w:div>
        <w:div w:id="1471315904">
          <w:marLeft w:val="0"/>
          <w:marRight w:val="0"/>
          <w:marTop w:val="0"/>
          <w:marBottom w:val="0"/>
          <w:divBdr>
            <w:top w:val="none" w:sz="0" w:space="0" w:color="auto"/>
            <w:left w:val="none" w:sz="0" w:space="0" w:color="auto"/>
            <w:bottom w:val="none" w:sz="0" w:space="0" w:color="auto"/>
            <w:right w:val="none" w:sz="0" w:space="0" w:color="auto"/>
          </w:divBdr>
        </w:div>
        <w:div w:id="1583105254">
          <w:marLeft w:val="0"/>
          <w:marRight w:val="0"/>
          <w:marTop w:val="0"/>
          <w:marBottom w:val="0"/>
          <w:divBdr>
            <w:top w:val="none" w:sz="0" w:space="0" w:color="auto"/>
            <w:left w:val="none" w:sz="0" w:space="0" w:color="auto"/>
            <w:bottom w:val="none" w:sz="0" w:space="0" w:color="auto"/>
            <w:right w:val="none" w:sz="0" w:space="0" w:color="auto"/>
          </w:divBdr>
        </w:div>
        <w:div w:id="1899169565">
          <w:marLeft w:val="0"/>
          <w:marRight w:val="0"/>
          <w:marTop w:val="0"/>
          <w:marBottom w:val="0"/>
          <w:divBdr>
            <w:top w:val="none" w:sz="0" w:space="0" w:color="auto"/>
            <w:left w:val="none" w:sz="0" w:space="0" w:color="auto"/>
            <w:bottom w:val="none" w:sz="0" w:space="0" w:color="auto"/>
            <w:right w:val="none" w:sz="0" w:space="0" w:color="auto"/>
          </w:divBdr>
        </w:div>
      </w:divsChild>
    </w:div>
    <w:div w:id="1924794709">
      <w:bodyDiv w:val="1"/>
      <w:marLeft w:val="0"/>
      <w:marRight w:val="0"/>
      <w:marTop w:val="0"/>
      <w:marBottom w:val="0"/>
      <w:divBdr>
        <w:top w:val="none" w:sz="0" w:space="0" w:color="auto"/>
        <w:left w:val="none" w:sz="0" w:space="0" w:color="auto"/>
        <w:bottom w:val="none" w:sz="0" w:space="0" w:color="auto"/>
        <w:right w:val="none" w:sz="0" w:space="0" w:color="auto"/>
      </w:divBdr>
      <w:divsChild>
        <w:div w:id="57367153">
          <w:marLeft w:val="0"/>
          <w:marRight w:val="0"/>
          <w:marTop w:val="0"/>
          <w:marBottom w:val="0"/>
          <w:divBdr>
            <w:top w:val="none" w:sz="0" w:space="0" w:color="auto"/>
            <w:left w:val="none" w:sz="0" w:space="0" w:color="auto"/>
            <w:bottom w:val="none" w:sz="0" w:space="0" w:color="auto"/>
            <w:right w:val="none" w:sz="0" w:space="0" w:color="auto"/>
          </w:divBdr>
        </w:div>
        <w:div w:id="868956948">
          <w:marLeft w:val="0"/>
          <w:marRight w:val="0"/>
          <w:marTop w:val="0"/>
          <w:marBottom w:val="0"/>
          <w:divBdr>
            <w:top w:val="none" w:sz="0" w:space="0" w:color="auto"/>
            <w:left w:val="none" w:sz="0" w:space="0" w:color="auto"/>
            <w:bottom w:val="none" w:sz="0" w:space="0" w:color="auto"/>
            <w:right w:val="none" w:sz="0" w:space="0" w:color="auto"/>
          </w:divBdr>
        </w:div>
        <w:div w:id="1632782064">
          <w:marLeft w:val="0"/>
          <w:marRight w:val="0"/>
          <w:marTop w:val="0"/>
          <w:marBottom w:val="0"/>
          <w:divBdr>
            <w:top w:val="none" w:sz="0" w:space="0" w:color="auto"/>
            <w:left w:val="none" w:sz="0" w:space="0" w:color="auto"/>
            <w:bottom w:val="none" w:sz="0" w:space="0" w:color="auto"/>
            <w:right w:val="none" w:sz="0" w:space="0" w:color="auto"/>
          </w:divBdr>
        </w:div>
        <w:div w:id="1931039502">
          <w:marLeft w:val="0"/>
          <w:marRight w:val="0"/>
          <w:marTop w:val="0"/>
          <w:marBottom w:val="0"/>
          <w:divBdr>
            <w:top w:val="none" w:sz="0" w:space="0" w:color="auto"/>
            <w:left w:val="none" w:sz="0" w:space="0" w:color="auto"/>
            <w:bottom w:val="none" w:sz="0" w:space="0" w:color="auto"/>
            <w:right w:val="none" w:sz="0" w:space="0" w:color="auto"/>
          </w:divBdr>
        </w:div>
        <w:div w:id="2073771415">
          <w:marLeft w:val="0"/>
          <w:marRight w:val="0"/>
          <w:marTop w:val="0"/>
          <w:marBottom w:val="0"/>
          <w:divBdr>
            <w:top w:val="none" w:sz="0" w:space="0" w:color="auto"/>
            <w:left w:val="none" w:sz="0" w:space="0" w:color="auto"/>
            <w:bottom w:val="none" w:sz="0" w:space="0" w:color="auto"/>
            <w:right w:val="none" w:sz="0" w:space="0" w:color="auto"/>
          </w:divBdr>
        </w:div>
      </w:divsChild>
    </w:div>
    <w:div w:id="1985770292">
      <w:bodyDiv w:val="1"/>
      <w:marLeft w:val="0"/>
      <w:marRight w:val="0"/>
      <w:marTop w:val="0"/>
      <w:marBottom w:val="0"/>
      <w:divBdr>
        <w:top w:val="none" w:sz="0" w:space="0" w:color="auto"/>
        <w:left w:val="none" w:sz="0" w:space="0" w:color="auto"/>
        <w:bottom w:val="none" w:sz="0" w:space="0" w:color="auto"/>
        <w:right w:val="none" w:sz="0" w:space="0" w:color="auto"/>
      </w:divBdr>
      <w:divsChild>
        <w:div w:id="158810957">
          <w:marLeft w:val="0"/>
          <w:marRight w:val="0"/>
          <w:marTop w:val="0"/>
          <w:marBottom w:val="0"/>
          <w:divBdr>
            <w:top w:val="none" w:sz="0" w:space="0" w:color="auto"/>
            <w:left w:val="none" w:sz="0" w:space="0" w:color="auto"/>
            <w:bottom w:val="none" w:sz="0" w:space="0" w:color="auto"/>
            <w:right w:val="none" w:sz="0" w:space="0" w:color="auto"/>
          </w:divBdr>
        </w:div>
        <w:div w:id="708070034">
          <w:marLeft w:val="0"/>
          <w:marRight w:val="0"/>
          <w:marTop w:val="0"/>
          <w:marBottom w:val="0"/>
          <w:divBdr>
            <w:top w:val="none" w:sz="0" w:space="0" w:color="auto"/>
            <w:left w:val="none" w:sz="0" w:space="0" w:color="auto"/>
            <w:bottom w:val="none" w:sz="0" w:space="0" w:color="auto"/>
            <w:right w:val="none" w:sz="0" w:space="0" w:color="auto"/>
          </w:divBdr>
        </w:div>
      </w:divsChild>
    </w:div>
    <w:div w:id="2082365110">
      <w:bodyDiv w:val="1"/>
      <w:marLeft w:val="0"/>
      <w:marRight w:val="0"/>
      <w:marTop w:val="0"/>
      <w:marBottom w:val="0"/>
      <w:divBdr>
        <w:top w:val="none" w:sz="0" w:space="0" w:color="auto"/>
        <w:left w:val="none" w:sz="0" w:space="0" w:color="auto"/>
        <w:bottom w:val="none" w:sz="0" w:space="0" w:color="auto"/>
        <w:right w:val="none" w:sz="0" w:space="0" w:color="auto"/>
      </w:divBdr>
    </w:div>
    <w:div w:id="2135250885">
      <w:bodyDiv w:val="1"/>
      <w:marLeft w:val="0"/>
      <w:marRight w:val="0"/>
      <w:marTop w:val="0"/>
      <w:marBottom w:val="0"/>
      <w:divBdr>
        <w:top w:val="none" w:sz="0" w:space="0" w:color="auto"/>
        <w:left w:val="none" w:sz="0" w:space="0" w:color="auto"/>
        <w:bottom w:val="none" w:sz="0" w:space="0" w:color="auto"/>
        <w:right w:val="none" w:sz="0" w:space="0" w:color="auto"/>
      </w:divBdr>
      <w:divsChild>
        <w:div w:id="917595413">
          <w:marLeft w:val="0"/>
          <w:marRight w:val="0"/>
          <w:marTop w:val="0"/>
          <w:marBottom w:val="0"/>
          <w:divBdr>
            <w:top w:val="none" w:sz="0" w:space="0" w:color="auto"/>
            <w:left w:val="none" w:sz="0" w:space="0" w:color="auto"/>
            <w:bottom w:val="none" w:sz="0" w:space="0" w:color="auto"/>
            <w:right w:val="none" w:sz="0" w:space="0" w:color="auto"/>
          </w:divBdr>
        </w:div>
        <w:div w:id="947006489">
          <w:marLeft w:val="0"/>
          <w:marRight w:val="0"/>
          <w:marTop w:val="0"/>
          <w:marBottom w:val="0"/>
          <w:divBdr>
            <w:top w:val="none" w:sz="0" w:space="0" w:color="auto"/>
            <w:left w:val="none" w:sz="0" w:space="0" w:color="auto"/>
            <w:bottom w:val="none" w:sz="0" w:space="0" w:color="auto"/>
            <w:right w:val="none" w:sz="0" w:space="0" w:color="auto"/>
          </w:divBdr>
        </w:div>
        <w:div w:id="1645696079">
          <w:marLeft w:val="0"/>
          <w:marRight w:val="0"/>
          <w:marTop w:val="0"/>
          <w:marBottom w:val="0"/>
          <w:divBdr>
            <w:top w:val="none" w:sz="0" w:space="0" w:color="auto"/>
            <w:left w:val="none" w:sz="0" w:space="0" w:color="auto"/>
            <w:bottom w:val="none" w:sz="0" w:space="0" w:color="auto"/>
            <w:right w:val="none" w:sz="0" w:space="0" w:color="auto"/>
          </w:divBdr>
        </w:div>
        <w:div w:id="2021157395">
          <w:marLeft w:val="0"/>
          <w:marRight w:val="0"/>
          <w:marTop w:val="0"/>
          <w:marBottom w:val="0"/>
          <w:divBdr>
            <w:top w:val="none" w:sz="0" w:space="0" w:color="auto"/>
            <w:left w:val="none" w:sz="0" w:space="0" w:color="auto"/>
            <w:bottom w:val="none" w:sz="0" w:space="0" w:color="auto"/>
            <w:right w:val="none" w:sz="0" w:space="0" w:color="auto"/>
          </w:divBdr>
        </w:div>
        <w:div w:id="2073037859">
          <w:marLeft w:val="0"/>
          <w:marRight w:val="0"/>
          <w:marTop w:val="0"/>
          <w:marBottom w:val="0"/>
          <w:divBdr>
            <w:top w:val="none" w:sz="0" w:space="0" w:color="auto"/>
            <w:left w:val="none" w:sz="0" w:space="0" w:color="auto"/>
            <w:bottom w:val="none" w:sz="0" w:space="0" w:color="auto"/>
            <w:right w:val="none" w:sz="0" w:space="0" w:color="auto"/>
          </w:divBdr>
        </w:div>
        <w:div w:id="214029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knowledge4policy.ec.europa.eu/visualisation/competence-framework-innovative-policymaking_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single-market-economy.ec.europa.eu/single-market/single-digital-gateway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neighbourhood-enlargement.ec.europa.eu/funding-and-technical-assistance/taiex_en" TargetMode="External"/><Relationship Id="rId21" Type="http://schemas.openxmlformats.org/officeDocument/2006/relationships/hyperlink" Target="https://europa.eu/!jK33jF" TargetMode="External"/><Relationship Id="rId34" Type="http://schemas.openxmlformats.org/officeDocument/2006/relationships/hyperlink" Target="https://commission.europa.eu/publications/european-commission-digital-strategy_ro" TargetMode="External"/><Relationship Id="rId42" Type="http://schemas.openxmlformats.org/officeDocument/2006/relationships/hyperlink" Target="https://ec.europa.eu/commission/presscorner/detail/ro/ip_22_3782" TargetMode="External"/><Relationship Id="rId47" Type="http://schemas.openxmlformats.org/officeDocument/2006/relationships/hyperlink" Target="https://european-digital-innovation-hubs.ec.europa.eu/knowledge-hub/thematic-groups/public-administration-main-focus-artificial-intelligence" TargetMode="External"/><Relationship Id="rId50" Type="http://schemas.openxmlformats.org/officeDocument/2006/relationships/hyperlink" Target="https://reform-support.ec.europa.eu/pace-public-administration-cooperation-exchange_en" TargetMode="External"/><Relationship Id="rId55" Type="http://schemas.openxmlformats.org/officeDocument/2006/relationships/hyperlink" Target="https://www.eib.org/en/publications/20230043-eib-municipalities-survey-2022" TargetMode="External"/><Relationship Id="rId63" Type="http://schemas.openxmlformats.org/officeDocument/2006/relationships/hyperlink" Target="https://pm2.europa.eu/index_en" TargetMode="External"/><Relationship Id="rId68" Type="http://schemas.openxmlformats.org/officeDocument/2006/relationships/hyperlink" Target="https://eur-lex.europa.eu/legal-content/RO/TXT/?uri=CELEX:32022R1463" TargetMode="External"/><Relationship Id="rId76" Type="http://schemas.openxmlformats.org/officeDocument/2006/relationships/hyperlink" Target="https://eur-lex.europa.eu/legal-content/RO/TXT/?from=RO&amp;uri=CELEX%3A32022R1925" TargetMode="External"/><Relationship Id="rId84" Type="http://schemas.openxmlformats.org/officeDocument/2006/relationships/hyperlink" Target="https://joint-research-centre.ec.europa.eu/jrc-news-and-updates/next-generation-virtual-worlds-opportunities-challenges-and-policy-implications-2023-07-03_en" TargetMode="External"/><Relationship Id="rId89" Type="http://schemas.openxmlformats.org/officeDocument/2006/relationships/hyperlink" Target="https://single-market-economy.ec.europa.eu/single-market/public-procurement/digital-procurement/public-procurement-data-space-ppds_en" TargetMode="External"/><Relationship Id="rId97" Type="http://schemas.openxmlformats.org/officeDocument/2006/relationships/hyperlink" Target="https://eu-mayors.ec.europa.eu/ro/home?etrans=ro" TargetMode="External"/><Relationship Id="rId7" Type="http://schemas.openxmlformats.org/officeDocument/2006/relationships/hyperlink" Target="https://ec.europa.eu/eurostat/web/products-eurostat-news/-/ddn-20220106-1" TargetMode="External"/><Relationship Id="rId71" Type="http://schemas.openxmlformats.org/officeDocument/2006/relationships/hyperlink" Target="https://eur-lex.europa.eu/legal-content/RO/TXT/?uri=CELEX:32019L1024" TargetMode="External"/><Relationship Id="rId92" Type="http://schemas.openxmlformats.org/officeDocument/2006/relationships/hyperlink" Target="https://digital-strategy.ec.europa.eu/ro/library/staff-working-document-data-spaces" TargetMode="External"/><Relationship Id="rId2" Type="http://schemas.openxmlformats.org/officeDocument/2006/relationships/hyperlink" Target="https://eur-lex.europa.eu/legal-content/RO/TXT/?uri=CELEX%3A52023DC0168" TargetMode="External"/><Relationship Id="rId16" Type="http://schemas.openxmlformats.org/officeDocument/2006/relationships/hyperlink" Target="https://oecd-opsi.org/" TargetMode="External"/><Relationship Id="rId29" Type="http://schemas.openxmlformats.org/officeDocument/2006/relationships/hyperlink" Target="https://www.eupan.eu/wp-content/uploads/2021/07/EUPAN_Portuguese_Presidency_Final_Report.pdf" TargetMode="External"/><Relationship Id="rId11" Type="http://schemas.openxmlformats.org/officeDocument/2006/relationships/hyperlink" Target="https://commission.europa.eu/strategy-and-policy/priorities-2019-2024/new-push-european-democracy/european-democracy-action-plan_ro" TargetMode="External"/><Relationship Id="rId24" Type="http://schemas.openxmlformats.org/officeDocument/2006/relationships/hyperlink" Target="https://eur-lex.europa.eu/legal-content/RO/TXT/?uri=CELEX:32021R0240" TargetMode="External"/><Relationship Id="rId32" Type="http://schemas.openxmlformats.org/officeDocument/2006/relationships/hyperlink" Target="https://www.sigmaweb.org/" TargetMode="External"/><Relationship Id="rId37" Type="http://schemas.openxmlformats.org/officeDocument/2006/relationships/hyperlink" Target="https://eur-lex.europa.eu/legal-content/RO/TXT/?uri=CELEX%3A52019IR2043" TargetMode="External"/><Relationship Id="rId40" Type="http://schemas.openxmlformats.org/officeDocument/2006/relationships/hyperlink" Target="https://europa.eu/!KJ38CJ" TargetMode="External"/><Relationship Id="rId45" Type="http://schemas.openxmlformats.org/officeDocument/2006/relationships/hyperlink" Target="https://ec.europa.eu/regional_policy/policy/how/improving-investment/regio-peer-2-peer_en" TargetMode="External"/><Relationship Id="rId53" Type="http://schemas.openxmlformats.org/officeDocument/2006/relationships/hyperlink" Target="https://academy.europa.eu/?lang=ro" TargetMode="External"/><Relationship Id="rId58" Type="http://schemas.openxmlformats.org/officeDocument/2006/relationships/hyperlink" Target="https://ec.europa.eu/regional_policy/en/information/publications/studies/2016/eu-competency-framework-for-the-management-and-implementation-of-the-erdf-and-the-cohesion-fund" TargetMode="External"/><Relationship Id="rId66" Type="http://schemas.openxmlformats.org/officeDocument/2006/relationships/hyperlink" Target="https://joint-research-centre.ec.europa.eu/greencomp-european-sustainability-competence-framework_en" TargetMode="External"/><Relationship Id="rId74" Type="http://schemas.openxmlformats.org/officeDocument/2006/relationships/hyperlink" Target="https://eur-lex.europa.eu/legal-content/RO/TXT/?uri=celex:52021PC0206" TargetMode="External"/><Relationship Id="rId79" Type="http://schemas.openxmlformats.org/officeDocument/2006/relationships/hyperlink" Target="https://eur-lex.europa.eu/eli/dir/2022/2555" TargetMode="External"/><Relationship Id="rId87" Type="http://schemas.openxmlformats.org/officeDocument/2006/relationships/hyperlink" Target="https://joinup.ec.europa.eu" TargetMode="External"/><Relationship Id="rId102" Type="http://schemas.openxmlformats.org/officeDocument/2006/relationships/hyperlink" Target="https://eur-lex.europa.eu/legal-content/RO/TXT/?uri=CELEX:32018R1999" TargetMode="External"/><Relationship Id="rId5" Type="http://schemas.openxmlformats.org/officeDocument/2006/relationships/hyperlink" Target="https://ec.europa.eu/eurostat/statistics-explained/index.php?title=Government_expenditure_by_function_%E2%80%93_COFOG" TargetMode="External"/><Relationship Id="rId61" Type="http://schemas.openxmlformats.org/officeDocument/2006/relationships/hyperlink" Target="https://customs-taxation.learning.europa.eu/local/mvpdgtaxud/pages/competencyframework.php" TargetMode="External"/><Relationship Id="rId82" Type="http://schemas.openxmlformats.org/officeDocument/2006/relationships/hyperlink" Target="https://publications.jrc.ec.europa.eu/repository/handle/JRC131202" TargetMode="External"/><Relationship Id="rId90" Type="http://schemas.openxmlformats.org/officeDocument/2006/relationships/hyperlink" Target="https://eur-lex.europa.eu/legal-content/RO/TXT/?uri=COM%3A2023%3A501%3AFIN&amp;qid=1694108608084" TargetMode="External"/><Relationship Id="rId95" Type="http://schemas.openxmlformats.org/officeDocument/2006/relationships/hyperlink" Target="https://research-and-innovation.ec.europa.eu/funding/funding-opportunities/funding-programmes-and-open-calls/horizon-europe/eu-missions-horizon-europe/climate-neutral-and-smart-cities_en" TargetMode="External"/><Relationship Id="rId19" Type="http://schemas.openxmlformats.org/officeDocument/2006/relationships/hyperlink" Target="https://www.oecd-ilibrary.org/governance/strengthening-the-attractiveness-of-the-public-service-in-france_ab9ebe85-en" TargetMode="External"/><Relationship Id="rId14" Type="http://schemas.openxmlformats.org/officeDocument/2006/relationships/hyperlink" Target="https://reform-support.ec.europa.eu/publications-0/more-resilient-public-administrations-after-covid-19_en" TargetMode="External"/><Relationship Id="rId22" Type="http://schemas.openxmlformats.org/officeDocument/2006/relationships/hyperlink" Target="https://europa.eu/!jK33jF" TargetMode="External"/><Relationship Id="rId27" Type="http://schemas.openxmlformats.org/officeDocument/2006/relationships/hyperlink" Target="https://ec.europa.eu/transparency/expert-groups-register/screen/expert-groups/consult?lang=ro&amp;groupID=3831" TargetMode="External"/><Relationship Id="rId30" Type="http://schemas.openxmlformats.org/officeDocument/2006/relationships/hyperlink" Target="https://www.transformation.gouv.fr/files/presse/Declaration_common_values_challenges_european%20public_administrations_1.pdf" TargetMode="External"/><Relationship Id="rId35" Type="http://schemas.openxmlformats.org/officeDocument/2006/relationships/hyperlink" Target="https://commission.europa.eu/document/24c26f7d-2c51-4f69-8b06-2d5be859c7fc_ro" TargetMode="External"/><Relationship Id="rId43" Type="http://schemas.openxmlformats.org/officeDocument/2006/relationships/hyperlink" Target="https://customs-taxation.learning.europa.eu/local/mvpdgtaxud/pages/news/view.php?key=27" TargetMode="External"/><Relationship Id="rId48" Type="http://schemas.openxmlformats.org/officeDocument/2006/relationships/hyperlink" Target="https://ec.europa.eu/research-and-innovation/en/statistics/policy-support-facility/psf-challenge" TargetMode="External"/><Relationship Id="rId56" Type="http://schemas.openxmlformats.org/officeDocument/2006/relationships/hyperlink" Target="https://reform-support.ec.europa.eu/tsi-2024-flagship-overcoming-barriers-regional-development_en" TargetMode="External"/><Relationship Id="rId64" Type="http://schemas.openxmlformats.org/officeDocument/2006/relationships/hyperlink" Target="https://joint-research-centre.ec.europa.eu/digcomp/digcomp-framework_en" TargetMode="External"/><Relationship Id="rId69" Type="http://schemas.openxmlformats.org/officeDocument/2006/relationships/hyperlink" Target="https://commission.europa.eu/system/files/2022-11/swd_2022_721_f1_impact_assesment_en_v3_p1_2253149.pdf" TargetMode="External"/><Relationship Id="rId77" Type="http://schemas.openxmlformats.org/officeDocument/2006/relationships/hyperlink" Target="https://eur-lex.europa.eu/legal-content/RO/TXT/?uri=celex%3A32022R2065" TargetMode="External"/><Relationship Id="rId100" Type="http://schemas.openxmlformats.org/officeDocument/2006/relationships/hyperlink" Target="https://environment.ec.europa.eu/law-and-governance/environmental-implementation-review_en" TargetMode="External"/><Relationship Id="rId8" Type="http://schemas.openxmlformats.org/officeDocument/2006/relationships/hyperlink" Target="https://simap.ted.europa.eu/web/simap/european-public-procurement" TargetMode="External"/><Relationship Id="rId51" Type="http://schemas.openxmlformats.org/officeDocument/2006/relationships/hyperlink" Target="https://civil-protection-humanitarian-aid.ec.europa.eu/what/civil-protection/eu-civil-protection-knowledge-network_en" TargetMode="External"/><Relationship Id="rId72" Type="http://schemas.openxmlformats.org/officeDocument/2006/relationships/hyperlink" Target="https://eur-lex.europa.eu/legal-content/RO/TXT/?uri=CELEX:32023R0138" TargetMode="External"/><Relationship Id="rId80" Type="http://schemas.openxmlformats.org/officeDocument/2006/relationships/hyperlink" Target="https://ai-watch.ec.europa.eu/publications/ai-watch-european-landscape-use-artificial-intelligence-public-sector_en" TargetMode="External"/><Relationship Id="rId85" Type="http://schemas.openxmlformats.org/officeDocument/2006/relationships/hyperlink" Target="https://joinup.ec.europa.eu/" TargetMode="External"/><Relationship Id="rId93" Type="http://schemas.openxmlformats.org/officeDocument/2006/relationships/hyperlink" Target="https://eur-lex.europa.eu/legal-content/RO/TXT/?uri=celex%3A32018R1724" TargetMode="External"/><Relationship Id="rId98" Type="http://schemas.openxmlformats.org/officeDocument/2006/relationships/hyperlink" Target="https://energy-cities.eu/project/life-necplatform/" TargetMode="External"/><Relationship Id="rId3" Type="http://schemas.openxmlformats.org/officeDocument/2006/relationships/hyperlink" Target="https://eur-lex.europa.eu/legal-content/RO/TXT/?uri=CELEX%3A52023DC0168" TargetMode="External"/><Relationship Id="rId12" Type="http://schemas.openxmlformats.org/officeDocument/2006/relationships/hyperlink" Target="https://ec.europa.eu/commission/presscorner/detail/ro/ip_23_2516" TargetMode="External"/><Relationship Id="rId17" Type="http://schemas.openxmlformats.org/officeDocument/2006/relationships/hyperlink" Target="https://knowledge4policy.ec.europa.eu/file/staff-working-document-supporting-connecting-policymaking-member-states-scientific-research_en" TargetMode="External"/><Relationship Id="rId25" Type="http://schemas.openxmlformats.org/officeDocument/2006/relationships/hyperlink" Target="https://commission.europa.eu/about-european-commission/departments-and-executive-agencies/structural-reform-support/supporting-public-administrations-eu-member-states-deliver-reforms-and-prepare-future_en" TargetMode="External"/><Relationship Id="rId33" Type="http://schemas.openxmlformats.org/officeDocument/2006/relationships/hyperlink" Target="https://commission.europa.eu/document/3d1dc4df-7995-44b8-bf08-396930fb8c9d_ro" TargetMode="External"/><Relationship Id="rId38" Type="http://schemas.openxmlformats.org/officeDocument/2006/relationships/hyperlink" Target="https://commission.europa.eu/publications/communication-demographic-change-europe-toolbox-action_ro" TargetMode="External"/><Relationship Id="rId46" Type="http://schemas.openxmlformats.org/officeDocument/2006/relationships/hyperlink" Target="https://ec.europa.eu/internal_market/imi-net/index_ro.htm" TargetMode="External"/><Relationship Id="rId59" Type="http://schemas.openxmlformats.org/officeDocument/2006/relationships/hyperlink" Target="https://commission.europa.eu/funding-tenders/tools-public-buyers/professionalisation-public-buyers/procurcompeu-european-competency-framework-public-procurement-professionals_ro" TargetMode="External"/><Relationship Id="rId67" Type="http://schemas.openxmlformats.org/officeDocument/2006/relationships/hyperlink" Target="https://ec.europa.eu/social/main.jsp?catId=738&amp;langId=en&amp;pubId=8055&amp;type=2&amp;furtherPubs=no" TargetMode="External"/><Relationship Id="rId20" Type="http://schemas.openxmlformats.org/officeDocument/2006/relationships/hyperlink" Target="https://eur-lex.europa.eu/legal-content/RO/ALL/?uri=CELEX%3A32021G0226%2801%29" TargetMode="External"/><Relationship Id="rId41" Type="http://schemas.openxmlformats.org/officeDocument/2006/relationships/hyperlink" Target="https://joinup.ec.europa.eu/collection/govtechconnect/about" TargetMode="External"/><Relationship Id="rId54" Type="http://schemas.openxmlformats.org/officeDocument/2006/relationships/hyperlink" Target="https://eur-lex.europa.eu/legal-content/RO/TXT/?uri=CELEX:52019XR4351" TargetMode="External"/><Relationship Id="rId62" Type="http://schemas.openxmlformats.org/officeDocument/2006/relationships/hyperlink" Target="https://op.europa.eu/ro/publication-detail/-/publication/4e07a84f-abbf-11eb-927e-01aa75ed71a1" TargetMode="External"/><Relationship Id="rId70" Type="http://schemas.openxmlformats.org/officeDocument/2006/relationships/hyperlink" Target="https://eur-lex.europa.eu/legal-content/RO/TXT/?uri=COM:2022:68:FIN" TargetMode="External"/><Relationship Id="rId75" Type="http://schemas.openxmlformats.org/officeDocument/2006/relationships/hyperlink" Target="https://eur-lex.europa.eu/legal-content/RO/TXT/?uri=CELEX:52022PC0720" TargetMode="External"/><Relationship Id="rId83" Type="http://schemas.openxmlformats.org/officeDocument/2006/relationships/hyperlink" Target="https://joint-research-centre.ec.europa.eu/jrc-news-and-updates/next-generation-virtual-worlds-opportunities-challenges-and-policy-implications-2023-07-03_en" TargetMode="External"/><Relationship Id="rId88" Type="http://schemas.openxmlformats.org/officeDocument/2006/relationships/hyperlink" Target="https://taxation-customs.ec.europa.eu/eu-single-window-environment-customs_en" TargetMode="External"/><Relationship Id="rId91" Type="http://schemas.openxmlformats.org/officeDocument/2006/relationships/hyperlink" Target="https://eur-lex.europa.eu/legal-content/RO/TXT/?uri=COM%3A2023%3A501%3AFIN&amp;qid=1694108608084" TargetMode="External"/><Relationship Id="rId96" Type="http://schemas.openxmlformats.org/officeDocument/2006/relationships/hyperlink" Target="https://research-and-innovation.ec.europa.eu/funding/funding-opportunities/funding-programmes-and-open-calls/horizon-europe/eu-missions-horizon-europe/climate-neutral-and-smart-cities_en" TargetMode="External"/><Relationship Id="rId1" Type="http://schemas.openxmlformats.org/officeDocument/2006/relationships/hyperlink" Target="https://commission.europa.eu/strategy-and-policy/strategic-planning/strategic-foresight/2021-strategic-foresight-report_ro" TargetMode="External"/><Relationship Id="rId6" Type="http://schemas.openxmlformats.org/officeDocument/2006/relationships/hyperlink" Target="https://europa.eu/!cnDxNM" TargetMode="External"/><Relationship Id="rId15" Type="http://schemas.openxmlformats.org/officeDocument/2006/relationships/hyperlink" Target="https://europa.eu/eurobarometer/surveys/detail/3054" TargetMode="External"/><Relationship Id="rId23" Type="http://schemas.openxmlformats.org/officeDocument/2006/relationships/hyperlink" Target="https://ec.europa.eu/economy_finance/recovery-and-resilience-scoreboard/thematic_analysis.html?lang=en" TargetMode="External"/><Relationship Id="rId28" Type="http://schemas.openxmlformats.org/officeDocument/2006/relationships/hyperlink" Target="https://www.eupan.eu/" TargetMode="External"/><Relationship Id="rId36" Type="http://schemas.openxmlformats.org/officeDocument/2006/relationships/hyperlink" Target="https://www.europarl.europa.eu/doceo/document/TA-8-2019-0012_RO.html" TargetMode="External"/><Relationship Id="rId49" Type="http://schemas.openxmlformats.org/officeDocument/2006/relationships/hyperlink" Target="https://op.europa.eu/en/web/forum" TargetMode="External"/><Relationship Id="rId57" Type="http://schemas.openxmlformats.org/officeDocument/2006/relationships/hyperlink" Target="https://knowledge4policy.ec.europa.eu/projects-activities/competence-frameworks-policymakers-researchers_en" TargetMode="External"/><Relationship Id="rId10" Type="http://schemas.openxmlformats.org/officeDocument/2006/relationships/hyperlink" Target="https://eur-lex.europa.eu/legal-content/RO/TXT/?uri=CELEX%3A52023DC0032" TargetMode="External"/><Relationship Id="rId31" Type="http://schemas.openxmlformats.org/officeDocument/2006/relationships/hyperlink" Target="https://www.statskontoret.se/in-english/publications/2023/good-administration-in-european-countries" TargetMode="External"/><Relationship Id="rId44" Type="http://schemas.openxmlformats.org/officeDocument/2006/relationships/hyperlink" Target="https://ec.europa.eu/social/main.jsp?catId=1100&amp;langId=en" TargetMode="External"/><Relationship Id="rId52" Type="http://schemas.openxmlformats.org/officeDocument/2006/relationships/hyperlink" Target="https://public-buyers-community.ec.europa.eu/" TargetMode="External"/><Relationship Id="rId60" Type="http://schemas.openxmlformats.org/officeDocument/2006/relationships/hyperlink" Target="https://taxation-customs.ec.europa.eu/taxation-1/eu-training/taxcompeu-eu-competency-framework-taxation_en" TargetMode="External"/><Relationship Id="rId65" Type="http://schemas.openxmlformats.org/officeDocument/2006/relationships/hyperlink" Target="https://ec.europa.eu/social/main.jsp?catId=1317&amp;langId=en" TargetMode="External"/><Relationship Id="rId73" Type="http://schemas.openxmlformats.org/officeDocument/2006/relationships/hyperlink" Target="https://eur-lex.europa.eu/legal-content/RO/TXT/?uri=celex:52020PC0767" TargetMode="External"/><Relationship Id="rId78" Type="http://schemas.openxmlformats.org/officeDocument/2006/relationships/hyperlink" Target="https://eur-lex.europa.eu/legal-content/RO/TXT/?uri=COM:2022:710:FIN" TargetMode="External"/><Relationship Id="rId81" Type="http://schemas.openxmlformats.org/officeDocument/2006/relationships/hyperlink" Target="https://ai-watch.ec.europa.eu/publications/ai-watch-european-landscape-use-artificial-intelligence-public-sector_en" TargetMode="External"/><Relationship Id="rId86" Type="http://schemas.openxmlformats.org/officeDocument/2006/relationships/hyperlink" Target="https://digital-strategy.ec.europa.eu/en/news/berlin-declaration-digital-society-and-value-based-digital-government" TargetMode="External"/><Relationship Id="rId94" Type="http://schemas.openxmlformats.org/officeDocument/2006/relationships/hyperlink" Target="https://climate-adapt.eea.europa.eu/?set_language=en" TargetMode="External"/><Relationship Id="rId99" Type="http://schemas.openxmlformats.org/officeDocument/2006/relationships/hyperlink" Target="https://climate.ec.europa.eu/system/files/2023-07/Guidelines%20on%20MS%20adaptation%20strategies%20and%20plans.pdf" TargetMode="External"/><Relationship Id="rId101" Type="http://schemas.openxmlformats.org/officeDocument/2006/relationships/hyperlink" Target="https://commission.europa.eu/about-european-commission/organisational-structure/people-first-modernising-european-commission/people-first-greening-european-commission_ro" TargetMode="External"/><Relationship Id="rId4" Type="http://schemas.openxmlformats.org/officeDocument/2006/relationships/hyperlink" Target="https://eur-lex.europa.eu/legal-content/RO/TXT/?uri=CELEX:52020DC0274R(01)" TargetMode="External"/><Relationship Id="rId9" Type="http://schemas.openxmlformats.org/officeDocument/2006/relationships/hyperlink" Target="https://ec.europa.eu/regional_policy/information-sources/publications/reports/2022/eighth-report-on-economic-social-and-territorial-cohesion_ro" TargetMode="External"/><Relationship Id="rId13" Type="http://schemas.openxmlformats.org/officeDocument/2006/relationships/hyperlink" Target="https://eur-lex.europa.eu/legal-content/RO/TXT/?uri=CELEX%3A52023DC0062" TargetMode="External"/><Relationship Id="rId18" Type="http://schemas.openxmlformats.org/officeDocument/2006/relationships/hyperlink" Target="https://www.oecd-ilibrary.org/governance/strengthening-the-attractiveness-of-the-public-service-in-france_ab9ebe85-en" TargetMode="External"/><Relationship Id="rId39" Type="http://schemas.openxmlformats.org/officeDocument/2006/relationships/hyperlink" Target="https://commission.europa.eu/publications/communication-demographic-change-europe-toolbox-action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9" ma:contentTypeDescription="Create a new document." ma:contentTypeScope="" ma:versionID="cc090c3857d789b67f5918e6e13efd22">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857c8b8599e7d4dd0f32086feed92a6b"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f1531-bbbc-4241-84c6-e44cd566c758}"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D864-8671-4187-B3B6-3FC0E5BE6ACE}">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2.xml><?xml version="1.0" encoding="utf-8"?>
<ds:datastoreItem xmlns:ds="http://schemas.openxmlformats.org/officeDocument/2006/customXml" ds:itemID="{38BC5566-2FCE-400D-A000-DC949E46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3EA3A-6C5A-4BF4-BC7E-3FA8E7C351CC}">
  <ds:schemaRefs>
    <ds:schemaRef ds:uri="http://schemas.microsoft.com/sharepoint/v3/contenttype/forms"/>
  </ds:schemaRefs>
</ds:datastoreItem>
</file>

<file path=customXml/itemProps4.xml><?xml version="1.0" encoding="utf-8"?>
<ds:datastoreItem xmlns:ds="http://schemas.openxmlformats.org/officeDocument/2006/customXml" ds:itemID="{A3EFAD90-60E1-4574-846A-226044F1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8615</Words>
  <Characters>53160</Characters>
  <Application>Microsoft Office Word</Application>
  <DocSecurity>0</DocSecurity>
  <Lines>718</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61622</CharactersWithSpaces>
  <SharedDoc>false</SharedDoc>
  <HLinks>
    <vt:vector size="372" baseType="variant">
      <vt:variant>
        <vt:i4>5898290</vt:i4>
      </vt:variant>
      <vt:variant>
        <vt:i4>3</vt:i4>
      </vt:variant>
      <vt:variant>
        <vt:i4>0</vt:i4>
      </vt:variant>
      <vt:variant>
        <vt:i4>5</vt:i4>
      </vt:variant>
      <vt:variant>
        <vt:lpwstr>https://single-market-economy.ec.europa.eu/single-market/single-digital-gateway_en</vt:lpwstr>
      </vt:variant>
      <vt:variant>
        <vt:lpwstr/>
      </vt:variant>
      <vt:variant>
        <vt:i4>2162719</vt:i4>
      </vt:variant>
      <vt:variant>
        <vt:i4>0</vt:i4>
      </vt:variant>
      <vt:variant>
        <vt:i4>0</vt:i4>
      </vt:variant>
      <vt:variant>
        <vt:i4>5</vt:i4>
      </vt:variant>
      <vt:variant>
        <vt:lpwstr>https://knowledge4policy.ec.europa.eu/visualisation/competence-framework-innovative-policymaking_en</vt:lpwstr>
      </vt:variant>
      <vt:variant>
        <vt:lpwstr/>
      </vt:variant>
      <vt:variant>
        <vt:i4>6094947</vt:i4>
      </vt:variant>
      <vt:variant>
        <vt:i4>177</vt:i4>
      </vt:variant>
      <vt:variant>
        <vt:i4>0</vt:i4>
      </vt:variant>
      <vt:variant>
        <vt:i4>5</vt:i4>
      </vt:variant>
      <vt:variant>
        <vt:lpwstr>https://energy.ec.europa.eu/topics/energy-efficiency/energy-efficiency-targets-directive-and-rules/energy-efficiency-directive_en</vt:lpwstr>
      </vt:variant>
      <vt:variant>
        <vt:lpwstr/>
      </vt:variant>
      <vt:variant>
        <vt:i4>3342436</vt:i4>
      </vt:variant>
      <vt:variant>
        <vt:i4>174</vt:i4>
      </vt:variant>
      <vt:variant>
        <vt:i4>0</vt:i4>
      </vt:variant>
      <vt:variant>
        <vt:i4>5</vt:i4>
      </vt:variant>
      <vt:variant>
        <vt:lpwstr>https://eu-mayors.ec.europa.eu/en/home</vt:lpwstr>
      </vt:variant>
      <vt:variant>
        <vt:lpwstr/>
      </vt:variant>
      <vt:variant>
        <vt:i4>3932264</vt:i4>
      </vt:variant>
      <vt:variant>
        <vt:i4>171</vt:i4>
      </vt:variant>
      <vt:variant>
        <vt:i4>0</vt:i4>
      </vt:variant>
      <vt:variant>
        <vt:i4>5</vt:i4>
      </vt:variant>
      <vt:variant>
        <vt:lpwstr>https://ec.europa.eu/regional_policy/funding/just-transition-fund/just-transition-platform_en</vt:lpwstr>
      </vt:variant>
      <vt:variant>
        <vt:lpwstr/>
      </vt:variant>
      <vt:variant>
        <vt:i4>393312</vt:i4>
      </vt:variant>
      <vt:variant>
        <vt:i4>168</vt:i4>
      </vt:variant>
      <vt:variant>
        <vt:i4>0</vt:i4>
      </vt:variant>
      <vt:variant>
        <vt:i4>5</vt:i4>
      </vt:variant>
      <vt:variant>
        <vt:lpwstr>https://research-and-innovation.ec.europa.eu/funding/funding-opportunities/funding-programmes-and-open-calls/horizon-europe/eu-missions-horizon-europe/climate-neutral-and-smart-cities_en</vt:lpwstr>
      </vt:variant>
      <vt:variant>
        <vt:lpwstr/>
      </vt:variant>
      <vt:variant>
        <vt:i4>5046368</vt:i4>
      </vt:variant>
      <vt:variant>
        <vt:i4>165</vt:i4>
      </vt:variant>
      <vt:variant>
        <vt:i4>0</vt:i4>
      </vt:variant>
      <vt:variant>
        <vt:i4>5</vt:i4>
      </vt:variant>
      <vt:variant>
        <vt:lpwstr>https://climate-adapt.eea.europa.eu/?set_language=en</vt:lpwstr>
      </vt:variant>
      <vt:variant>
        <vt:lpwstr/>
      </vt:variant>
      <vt:variant>
        <vt:i4>7798889</vt:i4>
      </vt:variant>
      <vt:variant>
        <vt:i4>162</vt:i4>
      </vt:variant>
      <vt:variant>
        <vt:i4>0</vt:i4>
      </vt:variant>
      <vt:variant>
        <vt:i4>5</vt:i4>
      </vt:variant>
      <vt:variant>
        <vt:lpwstr>https://digital-strategy.ec.europa.eu/en/library/staff-working-document-data-spaces</vt:lpwstr>
      </vt:variant>
      <vt:variant>
        <vt:lpwstr/>
      </vt:variant>
      <vt:variant>
        <vt:i4>1704007</vt:i4>
      </vt:variant>
      <vt:variant>
        <vt:i4>159</vt:i4>
      </vt:variant>
      <vt:variant>
        <vt:i4>0</vt:i4>
      </vt:variant>
      <vt:variant>
        <vt:i4>5</vt:i4>
      </vt:variant>
      <vt:variant>
        <vt:lpwstr>https://joinup.ec.europa.eu/</vt:lpwstr>
      </vt:variant>
      <vt:variant>
        <vt:lpwstr/>
      </vt:variant>
      <vt:variant>
        <vt:i4>7471216</vt:i4>
      </vt:variant>
      <vt:variant>
        <vt:i4>156</vt:i4>
      </vt:variant>
      <vt:variant>
        <vt:i4>0</vt:i4>
      </vt:variant>
      <vt:variant>
        <vt:i4>5</vt:i4>
      </vt:variant>
      <vt:variant>
        <vt:lpwstr>https://digital-strategy.ec.europa.eu/en/news/berlin-declaration-digital-society-and-value-based-digital-government</vt:lpwstr>
      </vt:variant>
      <vt:variant>
        <vt:lpwstr/>
      </vt:variant>
      <vt:variant>
        <vt:i4>7012383</vt:i4>
      </vt:variant>
      <vt:variant>
        <vt:i4>153</vt:i4>
      </vt:variant>
      <vt:variant>
        <vt:i4>0</vt:i4>
      </vt:variant>
      <vt:variant>
        <vt:i4>5</vt:i4>
      </vt:variant>
      <vt:variant>
        <vt:lpwstr>https://ai-watch.ec.europa.eu/publications/ai-watch-european-landscape-use-artificial-intelligence-public-sector_en</vt:lpwstr>
      </vt:variant>
      <vt:variant>
        <vt:lpwstr/>
      </vt:variant>
      <vt:variant>
        <vt:i4>7143540</vt:i4>
      </vt:variant>
      <vt:variant>
        <vt:i4>150</vt:i4>
      </vt:variant>
      <vt:variant>
        <vt:i4>0</vt:i4>
      </vt:variant>
      <vt:variant>
        <vt:i4>5</vt:i4>
      </vt:variant>
      <vt:variant>
        <vt:lpwstr>https://eur-lex.europa.eu/legal-content/EN/TXT/?uri=celex%3A32022R2065</vt:lpwstr>
      </vt:variant>
      <vt:variant>
        <vt:lpwstr/>
      </vt:variant>
      <vt:variant>
        <vt:i4>2818138</vt:i4>
      </vt:variant>
      <vt:variant>
        <vt:i4>147</vt:i4>
      </vt:variant>
      <vt:variant>
        <vt:i4>0</vt:i4>
      </vt:variant>
      <vt:variant>
        <vt:i4>5</vt:i4>
      </vt:variant>
      <vt:variant>
        <vt:lpwstr>https://eur-lex.europa.eu/legal-content/EN/TXT/?uri=uriserv%3AOJ.L_.2022.265.01.0001.01.ENG</vt:lpwstr>
      </vt:variant>
      <vt:variant>
        <vt:lpwstr/>
      </vt:variant>
      <vt:variant>
        <vt:i4>1441809</vt:i4>
      </vt:variant>
      <vt:variant>
        <vt:i4>144</vt:i4>
      </vt:variant>
      <vt:variant>
        <vt:i4>0</vt:i4>
      </vt:variant>
      <vt:variant>
        <vt:i4>5</vt:i4>
      </vt:variant>
      <vt:variant>
        <vt:lpwstr>https://eur-lex.europa.eu/legal-content/EN/TXT/?uri=CELEX:52022PC0720</vt:lpwstr>
      </vt:variant>
      <vt:variant>
        <vt:lpwstr/>
      </vt:variant>
      <vt:variant>
        <vt:i4>1310743</vt:i4>
      </vt:variant>
      <vt:variant>
        <vt:i4>141</vt:i4>
      </vt:variant>
      <vt:variant>
        <vt:i4>0</vt:i4>
      </vt:variant>
      <vt:variant>
        <vt:i4>5</vt:i4>
      </vt:variant>
      <vt:variant>
        <vt:lpwstr>https://eur-lex.europa.eu/legal-content/EN/TXT/?uri=celex:52021PC0206</vt:lpwstr>
      </vt:variant>
      <vt:variant>
        <vt:lpwstr/>
      </vt:variant>
      <vt:variant>
        <vt:i4>1179667</vt:i4>
      </vt:variant>
      <vt:variant>
        <vt:i4>138</vt:i4>
      </vt:variant>
      <vt:variant>
        <vt:i4>0</vt:i4>
      </vt:variant>
      <vt:variant>
        <vt:i4>5</vt:i4>
      </vt:variant>
      <vt:variant>
        <vt:lpwstr>https://eur-lex.europa.eu/legal-content/EN/TXT/?uri=celex:52020PC0767</vt:lpwstr>
      </vt:variant>
      <vt:variant>
        <vt:lpwstr/>
      </vt:variant>
      <vt:variant>
        <vt:i4>5767274</vt:i4>
      </vt:variant>
      <vt:variant>
        <vt:i4>135</vt:i4>
      </vt:variant>
      <vt:variant>
        <vt:i4>0</vt:i4>
      </vt:variant>
      <vt:variant>
        <vt:i4>5</vt:i4>
      </vt:variant>
      <vt:variant>
        <vt:lpwstr>https://eur-lex.europa.eu/legal-content/EN/TXT/?uri=uriserv:OJ.L_.2023.019.01.0043.01.ENG</vt:lpwstr>
      </vt:variant>
      <vt:variant>
        <vt:lpwstr/>
      </vt:variant>
      <vt:variant>
        <vt:i4>7929890</vt:i4>
      </vt:variant>
      <vt:variant>
        <vt:i4>132</vt:i4>
      </vt:variant>
      <vt:variant>
        <vt:i4>0</vt:i4>
      </vt:variant>
      <vt:variant>
        <vt:i4>5</vt:i4>
      </vt:variant>
      <vt:variant>
        <vt:lpwstr>https://eur-lex.europa.eu/eli/dir/2019/1024/oj</vt:lpwstr>
      </vt:variant>
      <vt:variant>
        <vt:lpwstr/>
      </vt:variant>
      <vt:variant>
        <vt:i4>7077999</vt:i4>
      </vt:variant>
      <vt:variant>
        <vt:i4>129</vt:i4>
      </vt:variant>
      <vt:variant>
        <vt:i4>0</vt:i4>
      </vt:variant>
      <vt:variant>
        <vt:i4>5</vt:i4>
      </vt:variant>
      <vt:variant>
        <vt:lpwstr>https://eur-lex.europa.eu/legal-content/EN/TXT/?uri=COM:2022:68:FIN</vt:lpwstr>
      </vt:variant>
      <vt:variant>
        <vt:lpwstr/>
      </vt:variant>
      <vt:variant>
        <vt:i4>5505095</vt:i4>
      </vt:variant>
      <vt:variant>
        <vt:i4>126</vt:i4>
      </vt:variant>
      <vt:variant>
        <vt:i4>0</vt:i4>
      </vt:variant>
      <vt:variant>
        <vt:i4>5</vt:i4>
      </vt:variant>
      <vt:variant>
        <vt:lpwstr>https://ec.europa.eu/social/main.jsp?catId=738&amp;langId=en&amp;pubId=8055&amp;type=2&amp;furtherPubs=no</vt:lpwstr>
      </vt:variant>
      <vt:variant>
        <vt:lpwstr/>
      </vt:variant>
      <vt:variant>
        <vt:i4>6946825</vt:i4>
      </vt:variant>
      <vt:variant>
        <vt:i4>123</vt:i4>
      </vt:variant>
      <vt:variant>
        <vt:i4>0</vt:i4>
      </vt:variant>
      <vt:variant>
        <vt:i4>5</vt:i4>
      </vt:variant>
      <vt:variant>
        <vt:lpwstr>https://joint-research-centre.ec.europa.eu/greencomp-european-sustainability-competence-framework_en</vt:lpwstr>
      </vt:variant>
      <vt:variant>
        <vt:lpwstr/>
      </vt:variant>
      <vt:variant>
        <vt:i4>5701713</vt:i4>
      </vt:variant>
      <vt:variant>
        <vt:i4>120</vt:i4>
      </vt:variant>
      <vt:variant>
        <vt:i4>0</vt:i4>
      </vt:variant>
      <vt:variant>
        <vt:i4>5</vt:i4>
      </vt:variant>
      <vt:variant>
        <vt:lpwstr>https://ec.europa.eu/social/main.jsp?catId=1317&amp;langId=en</vt:lpwstr>
      </vt:variant>
      <vt:variant>
        <vt:lpwstr/>
      </vt:variant>
      <vt:variant>
        <vt:i4>2949126</vt:i4>
      </vt:variant>
      <vt:variant>
        <vt:i4>117</vt:i4>
      </vt:variant>
      <vt:variant>
        <vt:i4>0</vt:i4>
      </vt:variant>
      <vt:variant>
        <vt:i4>5</vt:i4>
      </vt:variant>
      <vt:variant>
        <vt:lpwstr>https://joint-research-centre.ec.europa.eu/digcomp/digcomp-framework_en</vt:lpwstr>
      </vt:variant>
      <vt:variant>
        <vt:lpwstr>:~:text=The%20DigComp%20framework%20identifies%20the,the%20source%20and%20its%20content.</vt:lpwstr>
      </vt:variant>
      <vt:variant>
        <vt:i4>5832750</vt:i4>
      </vt:variant>
      <vt:variant>
        <vt:i4>114</vt:i4>
      </vt:variant>
      <vt:variant>
        <vt:i4>0</vt:i4>
      </vt:variant>
      <vt:variant>
        <vt:i4>5</vt:i4>
      </vt:variant>
      <vt:variant>
        <vt:lpwstr>https://pm2.europa.eu/index_en</vt:lpwstr>
      </vt:variant>
      <vt:variant>
        <vt:lpwstr/>
      </vt:variant>
      <vt:variant>
        <vt:i4>4718618</vt:i4>
      </vt:variant>
      <vt:variant>
        <vt:i4>111</vt:i4>
      </vt:variant>
      <vt:variant>
        <vt:i4>0</vt:i4>
      </vt:variant>
      <vt:variant>
        <vt:i4>5</vt:i4>
      </vt:variant>
      <vt:variant>
        <vt:lpwstr>https://op.europa.eu/en/publication-detail/-/publication/4e07a84f-abbf-11eb-927e-01aa75ed71a1/language-en</vt:lpwstr>
      </vt:variant>
      <vt:variant>
        <vt:lpwstr/>
      </vt:variant>
      <vt:variant>
        <vt:i4>5308417</vt:i4>
      </vt:variant>
      <vt:variant>
        <vt:i4>108</vt:i4>
      </vt:variant>
      <vt:variant>
        <vt:i4>0</vt:i4>
      </vt:variant>
      <vt:variant>
        <vt:i4>5</vt:i4>
      </vt:variant>
      <vt:variant>
        <vt:lpwstr>https://customs-taxation.learning.europa.eu/local/mvpdgtaxud/pages/competencyframework.php</vt:lpwstr>
      </vt:variant>
      <vt:variant>
        <vt:lpwstr>customs-tab</vt:lpwstr>
      </vt:variant>
      <vt:variant>
        <vt:i4>1638522</vt:i4>
      </vt:variant>
      <vt:variant>
        <vt:i4>105</vt:i4>
      </vt:variant>
      <vt:variant>
        <vt:i4>0</vt:i4>
      </vt:variant>
      <vt:variant>
        <vt:i4>5</vt:i4>
      </vt:variant>
      <vt:variant>
        <vt:lpwstr>https://taxation-customs.ec.europa.eu/taxation-1/eu-training/taxcompeu-eu-competency-framework-taxation_en</vt:lpwstr>
      </vt:variant>
      <vt:variant>
        <vt:lpwstr/>
      </vt:variant>
      <vt:variant>
        <vt:i4>917565</vt:i4>
      </vt:variant>
      <vt:variant>
        <vt:i4>102</vt:i4>
      </vt:variant>
      <vt:variant>
        <vt:i4>0</vt:i4>
      </vt:variant>
      <vt:variant>
        <vt:i4>5</vt:i4>
      </vt:variant>
      <vt:variant>
        <vt:lpwstr>https://commission.europa.eu/funding-tenders/tools-public-buyers/professionalisation-public-buyers/procurcompeu-european-competency-framework-public-procurement-professionals_en</vt:lpwstr>
      </vt:variant>
      <vt:variant>
        <vt:lpwstr/>
      </vt:variant>
      <vt:variant>
        <vt:i4>3276813</vt:i4>
      </vt:variant>
      <vt:variant>
        <vt:i4>99</vt:i4>
      </vt:variant>
      <vt:variant>
        <vt:i4>0</vt:i4>
      </vt:variant>
      <vt:variant>
        <vt:i4>5</vt:i4>
      </vt:variant>
      <vt:variant>
        <vt:lpwstr>https://ec.europa.eu/regional_policy/en/information/publications/studies/2016/eu-competency-framework-for-the-management-and-implementation-of-the-erdf-and-the-cohesion-fund</vt:lpwstr>
      </vt:variant>
      <vt:variant>
        <vt:lpwstr/>
      </vt:variant>
      <vt:variant>
        <vt:i4>3997765</vt:i4>
      </vt:variant>
      <vt:variant>
        <vt:i4>96</vt:i4>
      </vt:variant>
      <vt:variant>
        <vt:i4>0</vt:i4>
      </vt:variant>
      <vt:variant>
        <vt:i4>5</vt:i4>
      </vt:variant>
      <vt:variant>
        <vt:lpwstr>https://knowledge4policy.ec.europa.eu/projects-activities/competence-frameworks-policymakers-researchers_en</vt:lpwstr>
      </vt:variant>
      <vt:variant>
        <vt:lpwstr/>
      </vt:variant>
      <vt:variant>
        <vt:i4>6553696</vt:i4>
      </vt:variant>
      <vt:variant>
        <vt:i4>93</vt:i4>
      </vt:variant>
      <vt:variant>
        <vt:i4>0</vt:i4>
      </vt:variant>
      <vt:variant>
        <vt:i4>5</vt:i4>
      </vt:variant>
      <vt:variant>
        <vt:lpwstr>https://academy.europa.eu/</vt:lpwstr>
      </vt:variant>
      <vt:variant>
        <vt:lpwstr/>
      </vt:variant>
      <vt:variant>
        <vt:i4>4587595</vt:i4>
      </vt:variant>
      <vt:variant>
        <vt:i4>90</vt:i4>
      </vt:variant>
      <vt:variant>
        <vt:i4>0</vt:i4>
      </vt:variant>
      <vt:variant>
        <vt:i4>5</vt:i4>
      </vt:variant>
      <vt:variant>
        <vt:lpwstr>https://public-buyers-community.ec.europa.eu/</vt:lpwstr>
      </vt:variant>
      <vt:variant>
        <vt:lpwstr/>
      </vt:variant>
      <vt:variant>
        <vt:i4>262259</vt:i4>
      </vt:variant>
      <vt:variant>
        <vt:i4>87</vt:i4>
      </vt:variant>
      <vt:variant>
        <vt:i4>0</vt:i4>
      </vt:variant>
      <vt:variant>
        <vt:i4>5</vt:i4>
      </vt:variant>
      <vt:variant>
        <vt:lpwstr>https://civil-protection-humanitarian-aid.ec.europa.eu/what/civil-protection/eu-civil-protection-knowledge-network_en</vt:lpwstr>
      </vt:variant>
      <vt:variant>
        <vt:lpwstr/>
      </vt:variant>
      <vt:variant>
        <vt:i4>917561</vt:i4>
      </vt:variant>
      <vt:variant>
        <vt:i4>84</vt:i4>
      </vt:variant>
      <vt:variant>
        <vt:i4>0</vt:i4>
      </vt:variant>
      <vt:variant>
        <vt:i4>5</vt:i4>
      </vt:variant>
      <vt:variant>
        <vt:lpwstr>https://reform-support.ec.europa.eu/pace-public-administration-cooperation-exchange_en</vt:lpwstr>
      </vt:variant>
      <vt:variant>
        <vt:lpwstr/>
      </vt:variant>
      <vt:variant>
        <vt:i4>4653151</vt:i4>
      </vt:variant>
      <vt:variant>
        <vt:i4>81</vt:i4>
      </vt:variant>
      <vt:variant>
        <vt:i4>0</vt:i4>
      </vt:variant>
      <vt:variant>
        <vt:i4>5</vt:i4>
      </vt:variant>
      <vt:variant>
        <vt:lpwstr>https://op.europa.eu/en/web/forum</vt:lpwstr>
      </vt:variant>
      <vt:variant>
        <vt:lpwstr/>
      </vt:variant>
      <vt:variant>
        <vt:i4>262208</vt:i4>
      </vt:variant>
      <vt:variant>
        <vt:i4>78</vt:i4>
      </vt:variant>
      <vt:variant>
        <vt:i4>0</vt:i4>
      </vt:variant>
      <vt:variant>
        <vt:i4>5</vt:i4>
      </vt:variant>
      <vt:variant>
        <vt:lpwstr>https://ec.europa.eu/research-and-innovation/en/statistics/policy-support-facility/psf-challenge</vt:lpwstr>
      </vt:variant>
      <vt:variant>
        <vt:lpwstr/>
      </vt:variant>
      <vt:variant>
        <vt:i4>524367</vt:i4>
      </vt:variant>
      <vt:variant>
        <vt:i4>75</vt:i4>
      </vt:variant>
      <vt:variant>
        <vt:i4>0</vt:i4>
      </vt:variant>
      <vt:variant>
        <vt:i4>5</vt:i4>
      </vt:variant>
      <vt:variant>
        <vt:lpwstr>https://european-digital-innovation-hubs.ec.europa.eu/knowledge-hub/thematic-groups/public-administration-main-focus-artificial-intelligence</vt:lpwstr>
      </vt:variant>
      <vt:variant>
        <vt:lpwstr/>
      </vt:variant>
      <vt:variant>
        <vt:i4>3211326</vt:i4>
      </vt:variant>
      <vt:variant>
        <vt:i4>72</vt:i4>
      </vt:variant>
      <vt:variant>
        <vt:i4>0</vt:i4>
      </vt:variant>
      <vt:variant>
        <vt:i4>5</vt:i4>
      </vt:variant>
      <vt:variant>
        <vt:lpwstr>https://ec.europa.eu/internal_market/imi-net/index_en.htm</vt:lpwstr>
      </vt:variant>
      <vt:variant>
        <vt:lpwstr/>
      </vt:variant>
      <vt:variant>
        <vt:i4>3932274</vt:i4>
      </vt:variant>
      <vt:variant>
        <vt:i4>69</vt:i4>
      </vt:variant>
      <vt:variant>
        <vt:i4>0</vt:i4>
      </vt:variant>
      <vt:variant>
        <vt:i4>5</vt:i4>
      </vt:variant>
      <vt:variant>
        <vt:lpwstr>https://ec.europa.eu/regional_policy/policy/how/improving-investment/regio-peer-2-peer_en</vt:lpwstr>
      </vt:variant>
      <vt:variant>
        <vt:lpwstr/>
      </vt:variant>
      <vt:variant>
        <vt:i4>5636180</vt:i4>
      </vt:variant>
      <vt:variant>
        <vt:i4>66</vt:i4>
      </vt:variant>
      <vt:variant>
        <vt:i4>0</vt:i4>
      </vt:variant>
      <vt:variant>
        <vt:i4>5</vt:i4>
      </vt:variant>
      <vt:variant>
        <vt:lpwstr>https://ec.europa.eu/social/main.jsp?catId=1100&amp;langId=en</vt:lpwstr>
      </vt:variant>
      <vt:variant>
        <vt:lpwstr/>
      </vt:variant>
      <vt:variant>
        <vt:i4>7471229</vt:i4>
      </vt:variant>
      <vt:variant>
        <vt:i4>63</vt:i4>
      </vt:variant>
      <vt:variant>
        <vt:i4>0</vt:i4>
      </vt:variant>
      <vt:variant>
        <vt:i4>5</vt:i4>
      </vt:variant>
      <vt:variant>
        <vt:lpwstr>https://customs-taxation.learning.europa.eu/local/mvpdgtaxud/pages/news/view.php?key=27</vt:lpwstr>
      </vt:variant>
      <vt:variant>
        <vt:lpwstr/>
      </vt:variant>
      <vt:variant>
        <vt:i4>3866739</vt:i4>
      </vt:variant>
      <vt:variant>
        <vt:i4>60</vt:i4>
      </vt:variant>
      <vt:variant>
        <vt:i4>0</vt:i4>
      </vt:variant>
      <vt:variant>
        <vt:i4>5</vt:i4>
      </vt:variant>
      <vt:variant>
        <vt:lpwstr>https://joinup.ec.europa.eu/collection/govtechconnect/about</vt:lpwstr>
      </vt:variant>
      <vt:variant>
        <vt:lpwstr/>
      </vt:variant>
      <vt:variant>
        <vt:i4>1769487</vt:i4>
      </vt:variant>
      <vt:variant>
        <vt:i4>57</vt:i4>
      </vt:variant>
      <vt:variant>
        <vt:i4>0</vt:i4>
      </vt:variant>
      <vt:variant>
        <vt:i4>5</vt:i4>
      </vt:variant>
      <vt:variant>
        <vt:lpwstr>https://europa.eu/!KJ38CJ</vt:lpwstr>
      </vt:variant>
      <vt:variant>
        <vt:lpwstr/>
      </vt:variant>
      <vt:variant>
        <vt:i4>4587585</vt:i4>
      </vt:variant>
      <vt:variant>
        <vt:i4>54</vt:i4>
      </vt:variant>
      <vt:variant>
        <vt:i4>0</vt:i4>
      </vt:variant>
      <vt:variant>
        <vt:i4>5</vt:i4>
      </vt:variant>
      <vt:variant>
        <vt:lpwstr>https://europa.eu/!cJrvwv</vt:lpwstr>
      </vt:variant>
      <vt:variant>
        <vt:lpwstr/>
      </vt:variant>
      <vt:variant>
        <vt:i4>393260</vt:i4>
      </vt:variant>
      <vt:variant>
        <vt:i4>51</vt:i4>
      </vt:variant>
      <vt:variant>
        <vt:i4>0</vt:i4>
      </vt:variant>
      <vt:variant>
        <vt:i4>5</vt:i4>
      </vt:variant>
      <vt:variant>
        <vt:lpwstr>https://www.europarl.europa.eu/doceo/document/TA-8-2019-0012_EN.html</vt:lpwstr>
      </vt:variant>
      <vt:variant>
        <vt:lpwstr/>
      </vt:variant>
      <vt:variant>
        <vt:i4>3014707</vt:i4>
      </vt:variant>
      <vt:variant>
        <vt:i4>48</vt:i4>
      </vt:variant>
      <vt:variant>
        <vt:i4>0</vt:i4>
      </vt:variant>
      <vt:variant>
        <vt:i4>5</vt:i4>
      </vt:variant>
      <vt:variant>
        <vt:lpwstr>https://www.transformation.gouv.fr/files/presse/Declaration_common_values_challenges_european public_administrations_1.pdf</vt:lpwstr>
      </vt:variant>
      <vt:variant>
        <vt:lpwstr/>
      </vt:variant>
      <vt:variant>
        <vt:i4>5308428</vt:i4>
      </vt:variant>
      <vt:variant>
        <vt:i4>45</vt:i4>
      </vt:variant>
      <vt:variant>
        <vt:i4>0</vt:i4>
      </vt:variant>
      <vt:variant>
        <vt:i4>5</vt:i4>
      </vt:variant>
      <vt:variant>
        <vt:lpwstr>https://www.sigmaweb.org/</vt:lpwstr>
      </vt:variant>
      <vt:variant>
        <vt:lpwstr/>
      </vt:variant>
      <vt:variant>
        <vt:i4>2490417</vt:i4>
      </vt:variant>
      <vt:variant>
        <vt:i4>42</vt:i4>
      </vt:variant>
      <vt:variant>
        <vt:i4>0</vt:i4>
      </vt:variant>
      <vt:variant>
        <vt:i4>5</vt:i4>
      </vt:variant>
      <vt:variant>
        <vt:lpwstr>https://www.statskontoret.se/in-english/publications/2023/good-administration-in-european-countries</vt:lpwstr>
      </vt:variant>
      <vt:variant>
        <vt:lpwstr/>
      </vt:variant>
      <vt:variant>
        <vt:i4>4456455</vt:i4>
      </vt:variant>
      <vt:variant>
        <vt:i4>39</vt:i4>
      </vt:variant>
      <vt:variant>
        <vt:i4>0</vt:i4>
      </vt:variant>
      <vt:variant>
        <vt:i4>5</vt:i4>
      </vt:variant>
      <vt:variant>
        <vt:lpwstr>https://europa.eu/!T8FbvW</vt:lpwstr>
      </vt:variant>
      <vt:variant>
        <vt:lpwstr/>
      </vt:variant>
      <vt:variant>
        <vt:i4>6946943</vt:i4>
      </vt:variant>
      <vt:variant>
        <vt:i4>36</vt:i4>
      </vt:variant>
      <vt:variant>
        <vt:i4>0</vt:i4>
      </vt:variant>
      <vt:variant>
        <vt:i4>5</vt:i4>
      </vt:variant>
      <vt:variant>
        <vt:lpwstr>https://ec.europa.eu/economy_finance/recovery-and-resilience-scoreboard/thematic_analysis.html?lang=en</vt:lpwstr>
      </vt:variant>
      <vt:variant>
        <vt:lpwstr/>
      </vt:variant>
      <vt:variant>
        <vt:i4>1245189</vt:i4>
      </vt:variant>
      <vt:variant>
        <vt:i4>33</vt:i4>
      </vt:variant>
      <vt:variant>
        <vt:i4>0</vt:i4>
      </vt:variant>
      <vt:variant>
        <vt:i4>5</vt:i4>
      </vt:variant>
      <vt:variant>
        <vt:lpwstr>https://europa.eu/!jK33jF</vt:lpwstr>
      </vt:variant>
      <vt:variant>
        <vt:lpwstr/>
      </vt:variant>
      <vt:variant>
        <vt:i4>6881370</vt:i4>
      </vt:variant>
      <vt:variant>
        <vt:i4>30</vt:i4>
      </vt:variant>
      <vt:variant>
        <vt:i4>0</vt:i4>
      </vt:variant>
      <vt:variant>
        <vt:i4>5</vt:i4>
      </vt:variant>
      <vt:variant>
        <vt:lpwstr>https://www.oecd-ilibrary.org/governance/strengthening-the-attractiveness-of-the-public-service-in-france_ab9ebe85-en</vt:lpwstr>
      </vt:variant>
      <vt:variant>
        <vt:lpwstr/>
      </vt:variant>
      <vt:variant>
        <vt:i4>4849784</vt:i4>
      </vt:variant>
      <vt:variant>
        <vt:i4>27</vt:i4>
      </vt:variant>
      <vt:variant>
        <vt:i4>0</vt:i4>
      </vt:variant>
      <vt:variant>
        <vt:i4>5</vt:i4>
      </vt:variant>
      <vt:variant>
        <vt:lpwstr>https://knowledge4policy.ec.europa.eu/file/staff-working-document-supporting-connecting-policymaking-member-states-scientific-research_en</vt:lpwstr>
      </vt:variant>
      <vt:variant>
        <vt:lpwstr/>
      </vt:variant>
      <vt:variant>
        <vt:i4>2097249</vt:i4>
      </vt:variant>
      <vt:variant>
        <vt:i4>24</vt:i4>
      </vt:variant>
      <vt:variant>
        <vt:i4>0</vt:i4>
      </vt:variant>
      <vt:variant>
        <vt:i4>5</vt:i4>
      </vt:variant>
      <vt:variant>
        <vt:lpwstr>https://europa.eu/eurobarometer/surveys/detail/3054</vt:lpwstr>
      </vt:variant>
      <vt:variant>
        <vt:lpwstr/>
      </vt:variant>
      <vt:variant>
        <vt:i4>4522032</vt:i4>
      </vt:variant>
      <vt:variant>
        <vt:i4>21</vt:i4>
      </vt:variant>
      <vt:variant>
        <vt:i4>0</vt:i4>
      </vt:variant>
      <vt:variant>
        <vt:i4>5</vt:i4>
      </vt:variant>
      <vt:variant>
        <vt:lpwstr>https://reform-support.ec.europa.eu/publications-0/more-resilient-public-administrations-after-covid-19_en</vt:lpwstr>
      </vt:variant>
      <vt:variant>
        <vt:lpwstr/>
      </vt:variant>
      <vt:variant>
        <vt:i4>8126567</vt:i4>
      </vt:variant>
      <vt:variant>
        <vt:i4>18</vt:i4>
      </vt:variant>
      <vt:variant>
        <vt:i4>0</vt:i4>
      </vt:variant>
      <vt:variant>
        <vt:i4>5</vt:i4>
      </vt:variant>
      <vt:variant>
        <vt:lpwstr>https://ec.europa.eu/commission/presscorner/detail/en/ip_23_2516</vt:lpwstr>
      </vt:variant>
      <vt:variant>
        <vt:lpwstr/>
      </vt:variant>
      <vt:variant>
        <vt:i4>3145823</vt:i4>
      </vt:variant>
      <vt:variant>
        <vt:i4>15</vt:i4>
      </vt:variant>
      <vt:variant>
        <vt:i4>0</vt:i4>
      </vt:variant>
      <vt:variant>
        <vt:i4>5</vt:i4>
      </vt:variant>
      <vt:variant>
        <vt:lpwstr>https://commission.europa.eu/strategy-and-policy/priorities-2019-2024/new-push-european-democracy/european-democracy-action-plan_en</vt:lpwstr>
      </vt:variant>
      <vt:variant>
        <vt:lpwstr/>
      </vt:variant>
      <vt:variant>
        <vt:i4>2162714</vt:i4>
      </vt:variant>
      <vt:variant>
        <vt:i4>12</vt:i4>
      </vt:variant>
      <vt:variant>
        <vt:i4>0</vt:i4>
      </vt:variant>
      <vt:variant>
        <vt:i4>5</vt:i4>
      </vt:variant>
      <vt:variant>
        <vt:lpwstr>https://simap.ted.europa.eu/en_GB/web/simap/european-public-procurement</vt:lpwstr>
      </vt:variant>
      <vt:variant>
        <vt:lpwstr/>
      </vt:variant>
      <vt:variant>
        <vt:i4>1835081</vt:i4>
      </vt:variant>
      <vt:variant>
        <vt:i4>9</vt:i4>
      </vt:variant>
      <vt:variant>
        <vt:i4>0</vt:i4>
      </vt:variant>
      <vt:variant>
        <vt:i4>5</vt:i4>
      </vt:variant>
      <vt:variant>
        <vt:lpwstr>https://ec.europa.eu/eurostat/web/products-eurostat-news/-/ddn-20220106-1</vt:lpwstr>
      </vt:variant>
      <vt:variant>
        <vt:lpwstr/>
      </vt:variant>
      <vt:variant>
        <vt:i4>4784203</vt:i4>
      </vt:variant>
      <vt:variant>
        <vt:i4>6</vt:i4>
      </vt:variant>
      <vt:variant>
        <vt:i4>0</vt:i4>
      </vt:variant>
      <vt:variant>
        <vt:i4>5</vt:i4>
      </vt:variant>
      <vt:variant>
        <vt:lpwstr>https://europa.eu/!cnDxNM</vt:lpwstr>
      </vt:variant>
      <vt:variant>
        <vt:lpwstr/>
      </vt:variant>
      <vt:variant>
        <vt:i4>3801113</vt:i4>
      </vt:variant>
      <vt:variant>
        <vt:i4>3</vt:i4>
      </vt:variant>
      <vt:variant>
        <vt:i4>0</vt:i4>
      </vt:variant>
      <vt:variant>
        <vt:i4>5</vt:i4>
      </vt:variant>
      <vt:variant>
        <vt:lpwstr>https://ec.europa.eu/eurostat/statistics-explained/index.php?title=Government_expenditure_by_function_%E2%80%93_COFOG</vt:lpwstr>
      </vt:variant>
      <vt:variant>
        <vt:lpwstr>General_government_expenditure_by_function</vt:lpwstr>
      </vt:variant>
      <vt:variant>
        <vt:i4>4325473</vt:i4>
      </vt:variant>
      <vt:variant>
        <vt:i4>0</vt:i4>
      </vt:variant>
      <vt:variant>
        <vt:i4>0</vt:i4>
      </vt:variant>
      <vt:variant>
        <vt:i4>5</vt:i4>
      </vt:variant>
      <vt:variant>
        <vt:lpwstr>https://commission.europa.eu/strategy-and-policy/strategic-planning/strategic-foresight/2021-strategic-foresight-report_en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2023-10-23T13:03:00Z</dcterms:created>
  <dcterms:modified xsi:type="dcterms:W3CDTF">2023-10-30T14:21:00Z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2023-10-05T12:44:03Z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529c9b11-cfa6-4e2e-aee9-d10186ec779f</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Level of sensitivity">
    <vt:lpwstr>Standard treatment</vt:lpwstr>
  </property>
  <property fmtid="{D5CDD505-2E9C-101B-9397-08002B2CF9AE}" pid="11" name="DocStatus">
    <vt:lpwstr>Green</vt:lpwstr>
  </property>
  <property fmtid="{D5CDD505-2E9C-101B-9397-08002B2CF9AE}" pid="12" name="Last edited using">
    <vt:lpwstr>LW 9.0, Build 20230317</vt:lpwstr>
  </property>
  <property fmtid="{D5CDD505-2E9C-101B-9397-08002B2CF9AE}" pid="13" name="MediaServiceImageTags">
    <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CP-014</vt:lpwstr>
  </property>
</Properties>
</file>