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C1331" w14:textId="5F7CED52" w:rsidR="00F97218" w:rsidRPr="004B4540" w:rsidRDefault="002F3AE3" w:rsidP="002F3AE3">
      <w:pPr>
        <w:pStyle w:val="Pagedecouverture"/>
        <w:rPr>
          <w:noProof/>
        </w:rPr>
      </w:pPr>
      <w:bookmarkStart w:id="0" w:name="_Hlk145342315"/>
      <w:bookmarkStart w:id="1" w:name="LW_BM_COVERPAGE"/>
      <w:r>
        <w:rPr>
          <w:noProof/>
        </w:rPr>
        <w:pict w14:anchorId="49D2E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9B882D96-072C-4963-A09D-2C14F75A3D2C" style="width:455.25pt;height:336.75pt">
            <v:imagedata r:id="rId8" o:title=""/>
          </v:shape>
        </w:pict>
      </w:r>
    </w:p>
    <w:bookmarkEnd w:id="1"/>
    <w:p w14:paraId="39186F89" w14:textId="77777777" w:rsidR="00F97218" w:rsidRPr="004B4540" w:rsidRDefault="00F97218" w:rsidP="00F97218">
      <w:pPr>
        <w:rPr>
          <w:rFonts w:ascii="Times New Roman" w:hAnsi="Times New Roman" w:cs="Times New Roman"/>
          <w:noProof/>
        </w:rPr>
        <w:sectPr w:rsidR="00F97218" w:rsidRPr="004B4540" w:rsidSect="002F3AE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1EEC50F8" w14:textId="77777777" w:rsidR="00A3785C" w:rsidRPr="004B4540" w:rsidRDefault="00A3785C" w:rsidP="00A3785C">
      <w:pPr>
        <w:pStyle w:val="CMR23-text"/>
        <w:rPr>
          <w:rFonts w:cs="Times New Roman"/>
          <w:noProof/>
          <w:szCs w:val="24"/>
        </w:rPr>
      </w:pPr>
      <w:bookmarkStart w:id="2" w:name="_GoBack"/>
      <w:bookmarkEnd w:id="0"/>
      <w:bookmarkEnd w:id="2"/>
      <w:r w:rsidRPr="004B4540">
        <w:rPr>
          <w:rFonts w:cs="Times New Roman"/>
          <w:noProof/>
          <w:szCs w:val="24"/>
        </w:rPr>
        <w:lastRenderedPageBreak/>
        <w:t>List of 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6614"/>
        <w:gridCol w:w="102"/>
      </w:tblGrid>
      <w:tr w:rsidR="003C2DCE" w:rsidRPr="004B4540" w14:paraId="390D887D" w14:textId="77777777" w:rsidTr="00BC2575">
        <w:tc>
          <w:tcPr>
            <w:tcW w:w="2310" w:type="dxa"/>
            <w:vAlign w:val="center"/>
          </w:tcPr>
          <w:p w14:paraId="678ED98E" w14:textId="77777777" w:rsidR="003C2DCE" w:rsidRPr="004B4540" w:rsidRDefault="003C2DCE">
            <w:pPr>
              <w:pStyle w:val="Bodytext-tables"/>
              <w:jc w:val="left"/>
              <w:rPr>
                <w:noProof/>
                <w:lang w:val="en-GB"/>
              </w:rPr>
            </w:pPr>
            <w:r w:rsidRPr="004B4540">
              <w:rPr>
                <w:noProof/>
                <w:lang w:val="en-GB"/>
              </w:rPr>
              <w:t>CEF DI</w:t>
            </w:r>
          </w:p>
        </w:tc>
        <w:tc>
          <w:tcPr>
            <w:tcW w:w="6716" w:type="dxa"/>
            <w:gridSpan w:val="2"/>
            <w:vAlign w:val="center"/>
          </w:tcPr>
          <w:p w14:paraId="6E3D19A4" w14:textId="77777777" w:rsidR="003C2DCE" w:rsidRPr="004B4540" w:rsidRDefault="003C2DCE">
            <w:pPr>
              <w:pStyle w:val="Bodytext-tables"/>
              <w:jc w:val="left"/>
              <w:rPr>
                <w:noProof/>
                <w:lang w:val="en-GB"/>
              </w:rPr>
            </w:pPr>
            <w:r w:rsidRPr="004B4540">
              <w:rPr>
                <w:noProof/>
                <w:lang w:val="en-GB"/>
              </w:rPr>
              <w:t>Connecting Europe Facility Debt Instrument</w:t>
            </w:r>
          </w:p>
        </w:tc>
      </w:tr>
      <w:tr w:rsidR="003C2DCE" w:rsidRPr="004B4540" w14:paraId="0EAAC01E" w14:textId="77777777" w:rsidTr="00BC2575">
        <w:tc>
          <w:tcPr>
            <w:tcW w:w="2310" w:type="dxa"/>
            <w:vAlign w:val="center"/>
          </w:tcPr>
          <w:p w14:paraId="5739EA11" w14:textId="77777777" w:rsidR="003C2DCE" w:rsidRPr="004B4540" w:rsidRDefault="003C2DCE">
            <w:pPr>
              <w:pStyle w:val="Bodytext-tables"/>
              <w:jc w:val="left"/>
              <w:rPr>
                <w:noProof/>
                <w:lang w:val="en-GB"/>
              </w:rPr>
            </w:pPr>
            <w:r w:rsidRPr="004B4540">
              <w:rPr>
                <w:noProof/>
                <w:lang w:val="en-GB"/>
              </w:rPr>
              <w:t>CEMS</w:t>
            </w:r>
          </w:p>
        </w:tc>
        <w:tc>
          <w:tcPr>
            <w:tcW w:w="6716" w:type="dxa"/>
            <w:gridSpan w:val="2"/>
            <w:vAlign w:val="center"/>
          </w:tcPr>
          <w:p w14:paraId="63D57307" w14:textId="77777777" w:rsidR="003C2DCE" w:rsidRPr="004B4540" w:rsidRDefault="003C2DCE">
            <w:pPr>
              <w:pStyle w:val="Bodytext-tables"/>
              <w:jc w:val="left"/>
              <w:rPr>
                <w:noProof/>
                <w:lang w:val="en-GB"/>
              </w:rPr>
            </w:pPr>
            <w:r w:rsidRPr="004B4540">
              <w:rPr>
                <w:noProof/>
                <w:lang w:val="en-GB"/>
              </w:rPr>
              <w:t>Continuous Emissions Measurement Systems</w:t>
            </w:r>
          </w:p>
        </w:tc>
      </w:tr>
      <w:tr w:rsidR="005E0D40" w:rsidRPr="004B4540" w14:paraId="4E06F5F4" w14:textId="77777777" w:rsidTr="00BC2575">
        <w:tc>
          <w:tcPr>
            <w:tcW w:w="2310" w:type="dxa"/>
            <w:vAlign w:val="center"/>
          </w:tcPr>
          <w:p w14:paraId="4D8E0E38" w14:textId="66266CAE" w:rsidR="005E0D40" w:rsidRPr="004B4540" w:rsidDel="0040166C" w:rsidRDefault="00224B6C">
            <w:pPr>
              <w:pStyle w:val="Bodytext-tables"/>
              <w:jc w:val="left"/>
              <w:rPr>
                <w:noProof/>
                <w:lang w:val="en-GB"/>
              </w:rPr>
            </w:pPr>
            <w:r w:rsidRPr="004B4540">
              <w:rPr>
                <w:noProof/>
                <w:lang w:val="en-GB"/>
              </w:rPr>
              <w:t>CORSIA</w:t>
            </w:r>
          </w:p>
        </w:tc>
        <w:tc>
          <w:tcPr>
            <w:tcW w:w="6716" w:type="dxa"/>
            <w:gridSpan w:val="2"/>
            <w:vAlign w:val="center"/>
          </w:tcPr>
          <w:p w14:paraId="5DC447E5" w14:textId="1E502E5F" w:rsidR="005E0D40" w:rsidRPr="004B4540" w:rsidDel="0040166C" w:rsidRDefault="005E0D40">
            <w:pPr>
              <w:pStyle w:val="Bodytext-tables"/>
              <w:jc w:val="left"/>
              <w:rPr>
                <w:noProof/>
                <w:lang w:val="en-GB"/>
              </w:rPr>
            </w:pPr>
            <w:r w:rsidRPr="004B4540">
              <w:rPr>
                <w:noProof/>
                <w:lang w:val="en-GB"/>
              </w:rPr>
              <w:t xml:space="preserve">Carbon Offsetting and Reduction Scheme for International Aviation </w:t>
            </w:r>
          </w:p>
        </w:tc>
      </w:tr>
      <w:tr w:rsidR="003C2DCE" w:rsidRPr="004B4540" w14:paraId="01C2DC62" w14:textId="77777777" w:rsidTr="00BC2575">
        <w:tc>
          <w:tcPr>
            <w:tcW w:w="2310" w:type="dxa"/>
            <w:vAlign w:val="center"/>
          </w:tcPr>
          <w:p w14:paraId="69C08338" w14:textId="77777777" w:rsidR="003C2DCE" w:rsidRPr="004B4540" w:rsidRDefault="003C2DCE">
            <w:pPr>
              <w:pStyle w:val="Bodytext-tables"/>
              <w:jc w:val="left"/>
              <w:rPr>
                <w:noProof/>
                <w:lang w:val="en-GB"/>
              </w:rPr>
            </w:pPr>
            <w:r w:rsidRPr="004B4540">
              <w:rPr>
                <w:noProof/>
                <w:lang w:val="en-GB"/>
              </w:rPr>
              <w:t>EEA</w:t>
            </w:r>
          </w:p>
        </w:tc>
        <w:tc>
          <w:tcPr>
            <w:tcW w:w="6716" w:type="dxa"/>
            <w:gridSpan w:val="2"/>
            <w:vAlign w:val="center"/>
          </w:tcPr>
          <w:p w14:paraId="1976E884" w14:textId="77777777" w:rsidR="003C2DCE" w:rsidRPr="004B4540" w:rsidRDefault="003C2DCE">
            <w:pPr>
              <w:pStyle w:val="Bodytext-tables"/>
              <w:jc w:val="left"/>
              <w:rPr>
                <w:noProof/>
                <w:lang w:val="en-GB"/>
              </w:rPr>
            </w:pPr>
            <w:r w:rsidRPr="004B4540">
              <w:rPr>
                <w:noProof/>
                <w:lang w:val="en-GB"/>
              </w:rPr>
              <w:t>European Economic Area</w:t>
            </w:r>
          </w:p>
        </w:tc>
      </w:tr>
      <w:tr w:rsidR="003C2DCE" w:rsidRPr="004B4540" w14:paraId="0D976747" w14:textId="77777777" w:rsidTr="00BC2575">
        <w:tc>
          <w:tcPr>
            <w:tcW w:w="2310" w:type="dxa"/>
            <w:vAlign w:val="center"/>
          </w:tcPr>
          <w:p w14:paraId="2B8D5992" w14:textId="77777777" w:rsidR="003C2DCE" w:rsidRPr="004B4540" w:rsidRDefault="003C2DCE">
            <w:pPr>
              <w:pStyle w:val="Bodytext-tables"/>
              <w:jc w:val="left"/>
              <w:rPr>
                <w:noProof/>
                <w:lang w:val="en-GB"/>
              </w:rPr>
            </w:pPr>
            <w:r w:rsidRPr="004B4540">
              <w:rPr>
                <w:noProof/>
                <w:lang w:val="en-GB"/>
              </w:rPr>
              <w:t>EEX</w:t>
            </w:r>
          </w:p>
        </w:tc>
        <w:tc>
          <w:tcPr>
            <w:tcW w:w="6716" w:type="dxa"/>
            <w:gridSpan w:val="2"/>
            <w:vAlign w:val="center"/>
          </w:tcPr>
          <w:p w14:paraId="68B1F1D5" w14:textId="77777777" w:rsidR="003C2DCE" w:rsidRPr="004B4540" w:rsidRDefault="003C2DCE">
            <w:pPr>
              <w:pStyle w:val="Bodytext-tables"/>
              <w:jc w:val="left"/>
              <w:rPr>
                <w:noProof/>
                <w:lang w:val="en-GB"/>
              </w:rPr>
            </w:pPr>
            <w:r w:rsidRPr="004B4540">
              <w:rPr>
                <w:noProof/>
                <w:lang w:val="en-GB"/>
              </w:rPr>
              <w:t>European Energy Exchange</w:t>
            </w:r>
          </w:p>
        </w:tc>
      </w:tr>
      <w:tr w:rsidR="003C2DCE" w:rsidRPr="004B4540" w14:paraId="55499FAC" w14:textId="77777777" w:rsidTr="00BC2575">
        <w:trPr>
          <w:gridAfter w:val="1"/>
          <w:wAfter w:w="102" w:type="dxa"/>
        </w:trPr>
        <w:tc>
          <w:tcPr>
            <w:tcW w:w="2310" w:type="dxa"/>
            <w:vAlign w:val="center"/>
          </w:tcPr>
          <w:p w14:paraId="0461BBAE" w14:textId="77777777" w:rsidR="003C2DCE" w:rsidRPr="004B4540" w:rsidRDefault="003C2DCE">
            <w:pPr>
              <w:pStyle w:val="Bodytext-tables"/>
              <w:jc w:val="left"/>
              <w:rPr>
                <w:noProof/>
                <w:lang w:val="en-GB"/>
              </w:rPr>
            </w:pPr>
            <w:r w:rsidRPr="004B4540">
              <w:rPr>
                <w:noProof/>
                <w:lang w:val="en-GB"/>
              </w:rPr>
              <w:t>EFTA</w:t>
            </w:r>
          </w:p>
        </w:tc>
        <w:tc>
          <w:tcPr>
            <w:tcW w:w="6614" w:type="dxa"/>
            <w:vAlign w:val="center"/>
          </w:tcPr>
          <w:p w14:paraId="3469AE1F" w14:textId="77777777" w:rsidR="003C2DCE" w:rsidRPr="004B4540" w:rsidRDefault="003C2DCE">
            <w:pPr>
              <w:pStyle w:val="Bodytext-tables"/>
              <w:jc w:val="left"/>
              <w:rPr>
                <w:noProof/>
                <w:lang w:val="en-GB"/>
              </w:rPr>
            </w:pPr>
            <w:r w:rsidRPr="004B4540">
              <w:rPr>
                <w:noProof/>
                <w:lang w:val="en-GB"/>
              </w:rPr>
              <w:t>European Free Trade Association</w:t>
            </w:r>
          </w:p>
        </w:tc>
      </w:tr>
      <w:tr w:rsidR="003C2DCE" w:rsidRPr="004B4540" w14:paraId="63467B1D" w14:textId="77777777" w:rsidTr="00BC2575">
        <w:tc>
          <w:tcPr>
            <w:tcW w:w="2310" w:type="dxa"/>
            <w:vAlign w:val="center"/>
          </w:tcPr>
          <w:p w14:paraId="047F5D1C" w14:textId="77777777" w:rsidR="003C2DCE" w:rsidRPr="004B4540" w:rsidRDefault="003C2DCE">
            <w:pPr>
              <w:pStyle w:val="Bodytext-tables"/>
              <w:jc w:val="left"/>
              <w:rPr>
                <w:noProof/>
                <w:lang w:val="en-GB"/>
              </w:rPr>
            </w:pPr>
            <w:r w:rsidRPr="004B4540">
              <w:rPr>
                <w:noProof/>
                <w:lang w:val="en-GB"/>
              </w:rPr>
              <w:t>EIB</w:t>
            </w:r>
          </w:p>
        </w:tc>
        <w:tc>
          <w:tcPr>
            <w:tcW w:w="6716" w:type="dxa"/>
            <w:gridSpan w:val="2"/>
            <w:vAlign w:val="center"/>
          </w:tcPr>
          <w:p w14:paraId="2523A38F" w14:textId="77777777" w:rsidR="003C2DCE" w:rsidRPr="004B4540" w:rsidRDefault="003C2DCE">
            <w:pPr>
              <w:pStyle w:val="Bodytext-tables"/>
              <w:jc w:val="left"/>
              <w:rPr>
                <w:noProof/>
                <w:lang w:val="en-GB"/>
              </w:rPr>
            </w:pPr>
            <w:r w:rsidRPr="004B4540">
              <w:rPr>
                <w:noProof/>
                <w:lang w:val="en-GB"/>
              </w:rPr>
              <w:t>European Investment Bank</w:t>
            </w:r>
          </w:p>
        </w:tc>
      </w:tr>
      <w:tr w:rsidR="003C2DCE" w:rsidRPr="004B4540" w14:paraId="307E2B9C" w14:textId="77777777" w:rsidTr="00BC2575">
        <w:tc>
          <w:tcPr>
            <w:tcW w:w="2310" w:type="dxa"/>
            <w:vAlign w:val="center"/>
          </w:tcPr>
          <w:p w14:paraId="21EE0365" w14:textId="77777777" w:rsidR="003C2DCE" w:rsidRPr="004B4540" w:rsidRDefault="003C2DCE">
            <w:pPr>
              <w:pStyle w:val="Bodytext-tables"/>
              <w:jc w:val="left"/>
              <w:rPr>
                <w:noProof/>
                <w:lang w:val="en-GB"/>
              </w:rPr>
            </w:pPr>
            <w:r w:rsidRPr="004B4540">
              <w:rPr>
                <w:noProof/>
                <w:lang w:val="en-GB"/>
              </w:rPr>
              <w:t>ESMA</w:t>
            </w:r>
          </w:p>
        </w:tc>
        <w:tc>
          <w:tcPr>
            <w:tcW w:w="6716" w:type="dxa"/>
            <w:gridSpan w:val="2"/>
            <w:vAlign w:val="center"/>
          </w:tcPr>
          <w:p w14:paraId="4304F6D5" w14:textId="77777777" w:rsidR="003C2DCE" w:rsidRPr="004B4540" w:rsidRDefault="003C2DCE">
            <w:pPr>
              <w:pStyle w:val="Bodytext-tables"/>
              <w:jc w:val="left"/>
              <w:rPr>
                <w:noProof/>
                <w:lang w:val="en-GB"/>
              </w:rPr>
            </w:pPr>
            <w:r w:rsidRPr="004B4540">
              <w:rPr>
                <w:noProof/>
                <w:lang w:val="en-GB"/>
              </w:rPr>
              <w:t>European Securities and Markets Authority</w:t>
            </w:r>
          </w:p>
        </w:tc>
      </w:tr>
      <w:tr w:rsidR="003C2DCE" w:rsidRPr="004B4540" w14:paraId="6CB2C27A" w14:textId="77777777" w:rsidTr="00BC2575">
        <w:tc>
          <w:tcPr>
            <w:tcW w:w="2310" w:type="dxa"/>
            <w:vAlign w:val="center"/>
          </w:tcPr>
          <w:p w14:paraId="735BDE87" w14:textId="77777777" w:rsidR="003C2DCE" w:rsidRPr="004B4540" w:rsidRDefault="003C2DCE">
            <w:pPr>
              <w:pStyle w:val="Bodytext-tables"/>
              <w:jc w:val="left"/>
              <w:rPr>
                <w:noProof/>
                <w:lang w:val="en-GB"/>
              </w:rPr>
            </w:pPr>
            <w:r w:rsidRPr="004B4540">
              <w:rPr>
                <w:noProof/>
                <w:lang w:val="en-GB"/>
              </w:rPr>
              <w:t xml:space="preserve">EU </w:t>
            </w:r>
          </w:p>
        </w:tc>
        <w:tc>
          <w:tcPr>
            <w:tcW w:w="6716" w:type="dxa"/>
            <w:gridSpan w:val="2"/>
            <w:vAlign w:val="center"/>
          </w:tcPr>
          <w:p w14:paraId="2674DF99" w14:textId="77777777" w:rsidR="003C2DCE" w:rsidRPr="004B4540" w:rsidRDefault="003C2DCE">
            <w:pPr>
              <w:pStyle w:val="Bodytext-tables"/>
              <w:jc w:val="left"/>
              <w:rPr>
                <w:noProof/>
                <w:lang w:val="en-GB"/>
              </w:rPr>
            </w:pPr>
            <w:r w:rsidRPr="004B4540">
              <w:rPr>
                <w:noProof/>
                <w:lang w:val="en-GB"/>
              </w:rPr>
              <w:t>European Union</w:t>
            </w:r>
          </w:p>
        </w:tc>
      </w:tr>
      <w:tr w:rsidR="003C2DCE" w:rsidRPr="004B4540" w14:paraId="2D3A5A38" w14:textId="77777777" w:rsidTr="00BC2575">
        <w:trPr>
          <w:gridAfter w:val="1"/>
          <w:wAfter w:w="102" w:type="dxa"/>
        </w:trPr>
        <w:tc>
          <w:tcPr>
            <w:tcW w:w="2310" w:type="dxa"/>
            <w:vAlign w:val="center"/>
          </w:tcPr>
          <w:p w14:paraId="20DBB09E" w14:textId="77777777" w:rsidR="003C2DCE" w:rsidRPr="004B4540" w:rsidRDefault="003C2DCE">
            <w:pPr>
              <w:pStyle w:val="Bodytext-tables"/>
              <w:jc w:val="left"/>
              <w:rPr>
                <w:noProof/>
                <w:lang w:val="en-GB"/>
              </w:rPr>
            </w:pPr>
            <w:r w:rsidRPr="004B4540">
              <w:rPr>
                <w:noProof/>
                <w:lang w:val="en-GB"/>
              </w:rPr>
              <w:t>EU ETS</w:t>
            </w:r>
          </w:p>
        </w:tc>
        <w:tc>
          <w:tcPr>
            <w:tcW w:w="6614" w:type="dxa"/>
            <w:vAlign w:val="center"/>
          </w:tcPr>
          <w:p w14:paraId="27135F43" w14:textId="77777777" w:rsidR="003C2DCE" w:rsidRPr="004B4540" w:rsidRDefault="003C2DCE">
            <w:pPr>
              <w:pStyle w:val="Bodytext-tables"/>
              <w:jc w:val="left"/>
              <w:rPr>
                <w:noProof/>
                <w:lang w:val="en-GB"/>
              </w:rPr>
            </w:pPr>
            <w:r w:rsidRPr="004B4540">
              <w:rPr>
                <w:noProof/>
                <w:lang w:val="en-GB"/>
              </w:rPr>
              <w:t>EU Emissions Trading System</w:t>
            </w:r>
          </w:p>
        </w:tc>
      </w:tr>
      <w:tr w:rsidR="003C2DCE" w:rsidRPr="004B4540" w14:paraId="5144FC6B" w14:textId="77777777" w:rsidTr="00BC2575">
        <w:tc>
          <w:tcPr>
            <w:tcW w:w="2310" w:type="dxa"/>
            <w:vAlign w:val="center"/>
          </w:tcPr>
          <w:p w14:paraId="32A3D7C2" w14:textId="77777777" w:rsidR="003C2DCE" w:rsidRPr="004B4540" w:rsidRDefault="003C2DCE">
            <w:pPr>
              <w:pStyle w:val="Bodytext-tables"/>
              <w:jc w:val="left"/>
              <w:rPr>
                <w:noProof/>
                <w:lang w:val="en-GB"/>
              </w:rPr>
            </w:pPr>
            <w:r w:rsidRPr="004B4540">
              <w:rPr>
                <w:noProof/>
                <w:lang w:val="en-GB"/>
              </w:rPr>
              <w:t>EU27</w:t>
            </w:r>
          </w:p>
        </w:tc>
        <w:tc>
          <w:tcPr>
            <w:tcW w:w="6716" w:type="dxa"/>
            <w:gridSpan w:val="2"/>
            <w:vAlign w:val="center"/>
          </w:tcPr>
          <w:p w14:paraId="5298F6E8" w14:textId="77777777" w:rsidR="003C2DCE" w:rsidRPr="004B4540" w:rsidRDefault="003C2DCE">
            <w:pPr>
              <w:pStyle w:val="Bodytext-tables"/>
              <w:jc w:val="left"/>
              <w:rPr>
                <w:noProof/>
                <w:lang w:val="en-GB"/>
              </w:rPr>
            </w:pPr>
            <w:r w:rsidRPr="004B4540">
              <w:rPr>
                <w:noProof/>
                <w:lang w:val="en-GB"/>
              </w:rPr>
              <w:t>European Union Member States</w:t>
            </w:r>
          </w:p>
        </w:tc>
      </w:tr>
      <w:tr w:rsidR="003C2DCE" w:rsidRPr="004B4540" w14:paraId="203CA105" w14:textId="77777777" w:rsidTr="00BC2575">
        <w:tc>
          <w:tcPr>
            <w:tcW w:w="2310" w:type="dxa"/>
            <w:vAlign w:val="center"/>
          </w:tcPr>
          <w:p w14:paraId="5E94826A" w14:textId="77777777" w:rsidR="003C2DCE" w:rsidRPr="004B4540" w:rsidRDefault="003C2DCE">
            <w:pPr>
              <w:pStyle w:val="Bodytext-tables"/>
              <w:jc w:val="left"/>
              <w:rPr>
                <w:noProof/>
                <w:lang w:val="en-GB"/>
              </w:rPr>
            </w:pPr>
            <w:r w:rsidRPr="004B4540">
              <w:rPr>
                <w:noProof/>
                <w:lang w:val="en-GB"/>
              </w:rPr>
              <w:t>EUTL</w:t>
            </w:r>
          </w:p>
        </w:tc>
        <w:tc>
          <w:tcPr>
            <w:tcW w:w="6716" w:type="dxa"/>
            <w:gridSpan w:val="2"/>
            <w:vAlign w:val="center"/>
          </w:tcPr>
          <w:p w14:paraId="025C0BC8" w14:textId="77777777" w:rsidR="003C2DCE" w:rsidRPr="004B4540" w:rsidRDefault="003C2DCE">
            <w:pPr>
              <w:pStyle w:val="Bodytext-tables"/>
              <w:jc w:val="left"/>
              <w:rPr>
                <w:noProof/>
                <w:lang w:val="en-GB"/>
              </w:rPr>
            </w:pPr>
            <w:r w:rsidRPr="004B4540">
              <w:rPr>
                <w:noProof/>
                <w:lang w:val="en-GB"/>
              </w:rPr>
              <w:t>European Union Transaction Log</w:t>
            </w:r>
          </w:p>
        </w:tc>
      </w:tr>
      <w:tr w:rsidR="003C2DCE" w:rsidRPr="004B4540" w14:paraId="48495030" w14:textId="77777777" w:rsidTr="00BC2575">
        <w:trPr>
          <w:gridAfter w:val="1"/>
          <w:wAfter w:w="102" w:type="dxa"/>
        </w:trPr>
        <w:tc>
          <w:tcPr>
            <w:tcW w:w="2310" w:type="dxa"/>
            <w:vAlign w:val="center"/>
          </w:tcPr>
          <w:p w14:paraId="50F9FA7C" w14:textId="77777777" w:rsidR="003C2DCE" w:rsidRPr="004B4540" w:rsidRDefault="003C2DCE">
            <w:pPr>
              <w:pStyle w:val="Bodytext-tables"/>
              <w:jc w:val="left"/>
              <w:rPr>
                <w:noProof/>
                <w:lang w:val="en-GB"/>
              </w:rPr>
            </w:pPr>
            <w:r w:rsidRPr="004B4540">
              <w:rPr>
                <w:noProof/>
                <w:lang w:val="en-GB"/>
              </w:rPr>
              <w:t>ICAO</w:t>
            </w:r>
          </w:p>
        </w:tc>
        <w:tc>
          <w:tcPr>
            <w:tcW w:w="6614" w:type="dxa"/>
            <w:vAlign w:val="center"/>
          </w:tcPr>
          <w:p w14:paraId="210B4456" w14:textId="38485BE4" w:rsidR="003C2DCE" w:rsidRPr="004B4540" w:rsidRDefault="003C2DCE">
            <w:pPr>
              <w:pStyle w:val="Bodytext-tables"/>
              <w:jc w:val="left"/>
              <w:rPr>
                <w:noProof/>
                <w:lang w:val="en-GB"/>
              </w:rPr>
            </w:pPr>
            <w:bookmarkStart w:id="3" w:name="_Hlk143590694"/>
            <w:r w:rsidRPr="004B4540">
              <w:rPr>
                <w:noProof/>
                <w:lang w:val="en-GB"/>
              </w:rPr>
              <w:t xml:space="preserve">International Civil Aviation </w:t>
            </w:r>
            <w:r w:rsidR="002D4AEA" w:rsidRPr="004B4540">
              <w:rPr>
                <w:noProof/>
                <w:lang w:val="en-GB"/>
              </w:rPr>
              <w:t>Organization</w:t>
            </w:r>
            <w:bookmarkEnd w:id="3"/>
          </w:p>
        </w:tc>
      </w:tr>
      <w:tr w:rsidR="003C2DCE" w:rsidRPr="004B4540" w14:paraId="28664FFF" w14:textId="77777777" w:rsidTr="00BC2575">
        <w:trPr>
          <w:gridAfter w:val="1"/>
          <w:wAfter w:w="102" w:type="dxa"/>
        </w:trPr>
        <w:tc>
          <w:tcPr>
            <w:tcW w:w="2310" w:type="dxa"/>
            <w:vAlign w:val="center"/>
          </w:tcPr>
          <w:p w14:paraId="3F961D13" w14:textId="77777777" w:rsidR="003C2DCE" w:rsidRPr="004B4540" w:rsidRDefault="003C2DCE">
            <w:pPr>
              <w:pStyle w:val="Bodytext-tables"/>
              <w:jc w:val="left"/>
              <w:rPr>
                <w:noProof/>
                <w:lang w:val="en-GB"/>
              </w:rPr>
            </w:pPr>
            <w:r w:rsidRPr="004B4540">
              <w:rPr>
                <w:noProof/>
                <w:lang w:val="en-GB"/>
              </w:rPr>
              <w:t>InnovFin EDP</w:t>
            </w:r>
          </w:p>
        </w:tc>
        <w:tc>
          <w:tcPr>
            <w:tcW w:w="6614" w:type="dxa"/>
            <w:vAlign w:val="center"/>
          </w:tcPr>
          <w:p w14:paraId="7CE6415C" w14:textId="77777777" w:rsidR="003C2DCE" w:rsidRPr="004B4540" w:rsidRDefault="003C2DCE">
            <w:pPr>
              <w:pStyle w:val="Bodytext-tables"/>
              <w:jc w:val="left"/>
              <w:rPr>
                <w:noProof/>
                <w:lang w:val="en-GB"/>
              </w:rPr>
            </w:pPr>
            <w:r w:rsidRPr="004B4540">
              <w:rPr>
                <w:noProof/>
                <w:lang w:val="en-GB"/>
              </w:rPr>
              <w:t>InnovFin Energy Demonstration Projects</w:t>
            </w:r>
          </w:p>
        </w:tc>
      </w:tr>
      <w:tr w:rsidR="003D4D69" w:rsidRPr="004B4540" w14:paraId="4CFE05DD" w14:textId="77777777" w:rsidTr="00BC2575">
        <w:trPr>
          <w:gridAfter w:val="1"/>
          <w:wAfter w:w="102" w:type="dxa"/>
        </w:trPr>
        <w:tc>
          <w:tcPr>
            <w:tcW w:w="2310" w:type="dxa"/>
            <w:vAlign w:val="center"/>
          </w:tcPr>
          <w:p w14:paraId="214735BC" w14:textId="016DD64E" w:rsidR="003D4D69" w:rsidRPr="004B4540" w:rsidRDefault="003D4D69">
            <w:pPr>
              <w:pStyle w:val="Bodytext-tables"/>
              <w:jc w:val="left"/>
              <w:rPr>
                <w:noProof/>
                <w:lang w:val="en-GB"/>
              </w:rPr>
            </w:pPr>
            <w:r w:rsidRPr="004B4540">
              <w:rPr>
                <w:noProof/>
                <w:lang w:val="en-GB"/>
              </w:rPr>
              <w:t>IOSCO</w:t>
            </w:r>
          </w:p>
        </w:tc>
        <w:tc>
          <w:tcPr>
            <w:tcW w:w="6614" w:type="dxa"/>
            <w:vAlign w:val="center"/>
          </w:tcPr>
          <w:p w14:paraId="43E54111" w14:textId="037FB385" w:rsidR="003D4D69" w:rsidRPr="004B4540" w:rsidRDefault="003D4D69">
            <w:pPr>
              <w:pStyle w:val="Bodytext-tables"/>
              <w:jc w:val="left"/>
              <w:rPr>
                <w:noProof/>
                <w:lang w:val="en-GB"/>
              </w:rPr>
            </w:pPr>
            <w:r w:rsidRPr="004B4540">
              <w:rPr>
                <w:noProof/>
                <w:lang w:val="en-GB"/>
              </w:rPr>
              <w:t xml:space="preserve">International Organization for of Securities Commission </w:t>
            </w:r>
          </w:p>
        </w:tc>
      </w:tr>
      <w:tr w:rsidR="003C2DCE" w:rsidRPr="004B4540" w14:paraId="407A0961" w14:textId="77777777" w:rsidTr="00BC2575">
        <w:tc>
          <w:tcPr>
            <w:tcW w:w="2310" w:type="dxa"/>
            <w:vAlign w:val="center"/>
          </w:tcPr>
          <w:p w14:paraId="7817C0ED" w14:textId="77777777" w:rsidR="003C2DCE" w:rsidRPr="004B4540" w:rsidRDefault="003C2DCE">
            <w:pPr>
              <w:pStyle w:val="Bodytext-tables"/>
              <w:jc w:val="left"/>
              <w:rPr>
                <w:noProof/>
                <w:lang w:val="en-GB"/>
              </w:rPr>
            </w:pPr>
            <w:r w:rsidRPr="004B4540">
              <w:rPr>
                <w:noProof/>
                <w:lang w:val="en-GB"/>
              </w:rPr>
              <w:t>IPCC</w:t>
            </w:r>
          </w:p>
        </w:tc>
        <w:tc>
          <w:tcPr>
            <w:tcW w:w="6716" w:type="dxa"/>
            <w:gridSpan w:val="2"/>
            <w:vAlign w:val="center"/>
          </w:tcPr>
          <w:p w14:paraId="42513564" w14:textId="77777777" w:rsidR="003C2DCE" w:rsidRPr="004B4540" w:rsidRDefault="003C2DCE">
            <w:pPr>
              <w:pStyle w:val="Bodytext-tables"/>
              <w:jc w:val="left"/>
              <w:rPr>
                <w:noProof/>
                <w:lang w:val="en-GB"/>
              </w:rPr>
            </w:pPr>
            <w:r w:rsidRPr="004B4540">
              <w:rPr>
                <w:noProof/>
                <w:lang w:val="en-GB"/>
              </w:rPr>
              <w:t>Intergovernmental Panel on Climate Change</w:t>
            </w:r>
          </w:p>
        </w:tc>
      </w:tr>
      <w:tr w:rsidR="003C2DCE" w:rsidRPr="004B4540" w14:paraId="00FF1F07" w14:textId="77777777" w:rsidTr="00BC2575">
        <w:tc>
          <w:tcPr>
            <w:tcW w:w="2310" w:type="dxa"/>
            <w:vAlign w:val="center"/>
          </w:tcPr>
          <w:p w14:paraId="2298B9E9" w14:textId="77777777" w:rsidR="003C2DCE" w:rsidRPr="004B4540" w:rsidRDefault="003C2DCE">
            <w:pPr>
              <w:pStyle w:val="Bodytext-tables"/>
              <w:jc w:val="left"/>
              <w:rPr>
                <w:noProof/>
                <w:lang w:val="en-GB"/>
              </w:rPr>
            </w:pPr>
            <w:r w:rsidRPr="004B4540">
              <w:rPr>
                <w:noProof/>
                <w:lang w:val="en-GB"/>
              </w:rPr>
              <w:t>MSR</w:t>
            </w:r>
          </w:p>
        </w:tc>
        <w:tc>
          <w:tcPr>
            <w:tcW w:w="6716" w:type="dxa"/>
            <w:gridSpan w:val="2"/>
            <w:vAlign w:val="center"/>
          </w:tcPr>
          <w:p w14:paraId="5820E507" w14:textId="77777777" w:rsidR="003C2DCE" w:rsidRPr="004B4540" w:rsidRDefault="003C2DCE">
            <w:pPr>
              <w:pStyle w:val="Bodytext-tables"/>
              <w:jc w:val="left"/>
              <w:rPr>
                <w:noProof/>
                <w:lang w:val="en-GB"/>
              </w:rPr>
            </w:pPr>
            <w:r w:rsidRPr="004B4540">
              <w:rPr>
                <w:noProof/>
                <w:lang w:val="en-GB"/>
              </w:rPr>
              <w:t>Market Stability Reserve</w:t>
            </w:r>
          </w:p>
        </w:tc>
      </w:tr>
      <w:tr w:rsidR="00D44416" w:rsidRPr="004B4540" w14:paraId="6F51643D" w14:textId="77777777" w:rsidTr="004E402C">
        <w:tc>
          <w:tcPr>
            <w:tcW w:w="2310" w:type="dxa"/>
            <w:vAlign w:val="center"/>
          </w:tcPr>
          <w:p w14:paraId="58DEEA1D" w14:textId="2DBF3EFC" w:rsidR="00D44416" w:rsidRPr="004B4540" w:rsidRDefault="00D44416">
            <w:pPr>
              <w:pStyle w:val="Bodytext-tables"/>
              <w:jc w:val="left"/>
              <w:rPr>
                <w:noProof/>
                <w:lang w:val="en-GB"/>
              </w:rPr>
            </w:pPr>
            <w:r w:rsidRPr="004B4540">
              <w:rPr>
                <w:noProof/>
                <w:lang w:val="en-GB"/>
              </w:rPr>
              <w:t>NECP</w:t>
            </w:r>
          </w:p>
        </w:tc>
        <w:tc>
          <w:tcPr>
            <w:tcW w:w="6716" w:type="dxa"/>
            <w:gridSpan w:val="2"/>
            <w:vAlign w:val="center"/>
          </w:tcPr>
          <w:p w14:paraId="7AC84022" w14:textId="724EEDFD" w:rsidR="00D44416" w:rsidRPr="004B4540" w:rsidRDefault="00D44416">
            <w:pPr>
              <w:pStyle w:val="Bodytext-tables"/>
              <w:jc w:val="left"/>
              <w:rPr>
                <w:noProof/>
                <w:lang w:val="en-GB"/>
              </w:rPr>
            </w:pPr>
            <w:r w:rsidRPr="004B4540">
              <w:rPr>
                <w:noProof/>
                <w:lang w:val="en-GB"/>
              </w:rPr>
              <w:t xml:space="preserve">National </w:t>
            </w:r>
            <w:r w:rsidR="00A55AE7" w:rsidRPr="004B4540">
              <w:rPr>
                <w:noProof/>
                <w:lang w:val="en-GB"/>
              </w:rPr>
              <w:t>c</w:t>
            </w:r>
            <w:r w:rsidRPr="004B4540">
              <w:rPr>
                <w:noProof/>
                <w:lang w:val="en-GB"/>
              </w:rPr>
              <w:t xml:space="preserve">limate and </w:t>
            </w:r>
            <w:r w:rsidR="00A55AE7" w:rsidRPr="004B4540">
              <w:rPr>
                <w:noProof/>
                <w:lang w:val="en-GB"/>
              </w:rPr>
              <w:t>e</w:t>
            </w:r>
            <w:r w:rsidRPr="004B4540">
              <w:rPr>
                <w:noProof/>
                <w:lang w:val="en-GB"/>
              </w:rPr>
              <w:t xml:space="preserve">nergy </w:t>
            </w:r>
            <w:r w:rsidR="00A55AE7" w:rsidRPr="004B4540">
              <w:rPr>
                <w:noProof/>
                <w:lang w:val="en-GB"/>
              </w:rPr>
              <w:t>p</w:t>
            </w:r>
            <w:r w:rsidRPr="004B4540">
              <w:rPr>
                <w:noProof/>
                <w:lang w:val="en-GB"/>
              </w:rPr>
              <w:t>lan</w:t>
            </w:r>
          </w:p>
        </w:tc>
      </w:tr>
      <w:tr w:rsidR="003C2DCE" w:rsidRPr="004B4540" w14:paraId="48866F98" w14:textId="77777777" w:rsidTr="00BC2575">
        <w:tc>
          <w:tcPr>
            <w:tcW w:w="2310" w:type="dxa"/>
            <w:vAlign w:val="center"/>
          </w:tcPr>
          <w:p w14:paraId="060C6F8F" w14:textId="77777777" w:rsidR="003C2DCE" w:rsidRPr="004B4540" w:rsidRDefault="003C2DCE">
            <w:pPr>
              <w:pStyle w:val="Bodytext-tables"/>
              <w:jc w:val="left"/>
              <w:rPr>
                <w:noProof/>
                <w:lang w:val="en-GB"/>
              </w:rPr>
            </w:pPr>
            <w:r w:rsidRPr="004B4540">
              <w:rPr>
                <w:noProof/>
                <w:lang w:val="en-GB"/>
              </w:rPr>
              <w:t>NER</w:t>
            </w:r>
          </w:p>
        </w:tc>
        <w:tc>
          <w:tcPr>
            <w:tcW w:w="6716" w:type="dxa"/>
            <w:gridSpan w:val="2"/>
            <w:vAlign w:val="center"/>
          </w:tcPr>
          <w:p w14:paraId="26208476" w14:textId="07DD038C" w:rsidR="003C2DCE" w:rsidRPr="004B4540" w:rsidRDefault="003C2DCE">
            <w:pPr>
              <w:pStyle w:val="Bodytext-tables"/>
              <w:jc w:val="left"/>
              <w:rPr>
                <w:noProof/>
                <w:lang w:val="en-GB"/>
              </w:rPr>
            </w:pPr>
            <w:r w:rsidRPr="004B4540">
              <w:rPr>
                <w:noProof/>
                <w:lang w:val="en-GB"/>
              </w:rPr>
              <w:t>New Entrants</w:t>
            </w:r>
            <w:r w:rsidR="00F7226C" w:rsidRPr="004B4540">
              <w:rPr>
                <w:noProof/>
                <w:lang w:val="en-GB"/>
              </w:rPr>
              <w:t>’</w:t>
            </w:r>
            <w:r w:rsidRPr="004B4540">
              <w:rPr>
                <w:noProof/>
                <w:lang w:val="en-GB"/>
              </w:rPr>
              <w:t xml:space="preserve"> Reserve</w:t>
            </w:r>
          </w:p>
        </w:tc>
      </w:tr>
      <w:tr w:rsidR="003C2DCE" w:rsidRPr="004B4540" w14:paraId="6921EAE4" w14:textId="77777777" w:rsidTr="00BC2575">
        <w:tc>
          <w:tcPr>
            <w:tcW w:w="2310" w:type="dxa"/>
            <w:vAlign w:val="center"/>
          </w:tcPr>
          <w:p w14:paraId="5379B7E4" w14:textId="77777777" w:rsidR="003C2DCE" w:rsidRPr="004B4540" w:rsidRDefault="003C2DCE">
            <w:pPr>
              <w:pStyle w:val="Bodytext-tables"/>
              <w:jc w:val="left"/>
              <w:rPr>
                <w:noProof/>
                <w:lang w:val="en-GB"/>
              </w:rPr>
            </w:pPr>
            <w:r w:rsidRPr="004B4540">
              <w:rPr>
                <w:noProof/>
                <w:lang w:val="en-GB"/>
              </w:rPr>
              <w:t>TNAC</w:t>
            </w:r>
          </w:p>
        </w:tc>
        <w:tc>
          <w:tcPr>
            <w:tcW w:w="6716" w:type="dxa"/>
            <w:gridSpan w:val="2"/>
            <w:vAlign w:val="center"/>
          </w:tcPr>
          <w:p w14:paraId="7F9097F1" w14:textId="77777777" w:rsidR="003C2DCE" w:rsidRPr="004B4540" w:rsidRDefault="003C2DCE">
            <w:pPr>
              <w:pStyle w:val="Bodytext-tables"/>
              <w:jc w:val="left"/>
              <w:rPr>
                <w:noProof/>
                <w:lang w:val="en-GB"/>
              </w:rPr>
            </w:pPr>
            <w:r w:rsidRPr="004B4540">
              <w:rPr>
                <w:noProof/>
                <w:lang w:val="en-GB"/>
              </w:rPr>
              <w:t>Total number of allowances in circulation</w:t>
            </w:r>
          </w:p>
        </w:tc>
      </w:tr>
      <w:tr w:rsidR="003C2DCE" w:rsidRPr="004B4540" w14:paraId="3153CC68" w14:textId="77777777" w:rsidTr="00BC2575">
        <w:trPr>
          <w:trHeight w:val="77"/>
        </w:trPr>
        <w:tc>
          <w:tcPr>
            <w:tcW w:w="2310" w:type="dxa"/>
            <w:vAlign w:val="center"/>
          </w:tcPr>
          <w:p w14:paraId="6D230867" w14:textId="77777777" w:rsidR="003C2DCE" w:rsidRPr="004B4540" w:rsidRDefault="003C2DCE">
            <w:pPr>
              <w:pStyle w:val="Bodytext-tables"/>
              <w:jc w:val="left"/>
              <w:rPr>
                <w:noProof/>
                <w:lang w:val="en-GB"/>
              </w:rPr>
            </w:pPr>
          </w:p>
        </w:tc>
        <w:tc>
          <w:tcPr>
            <w:tcW w:w="6716" w:type="dxa"/>
            <w:gridSpan w:val="2"/>
            <w:vAlign w:val="center"/>
          </w:tcPr>
          <w:p w14:paraId="740650B9" w14:textId="77777777" w:rsidR="003C2DCE" w:rsidRPr="004B4540" w:rsidRDefault="003C2DCE">
            <w:pPr>
              <w:pStyle w:val="Bodytext-tables"/>
              <w:jc w:val="left"/>
              <w:rPr>
                <w:noProof/>
                <w:lang w:val="en-GB"/>
              </w:rPr>
            </w:pPr>
          </w:p>
        </w:tc>
      </w:tr>
    </w:tbl>
    <w:p w14:paraId="4084BAF9" w14:textId="665768D9" w:rsidR="003C2DCE" w:rsidRPr="004B4540" w:rsidRDefault="003C2DCE" w:rsidP="00F84ECB">
      <w:pPr>
        <w:rPr>
          <w:rFonts w:ascii="Times New Roman" w:hAnsi="Times New Roman" w:cs="Times New Roman"/>
          <w:noProof/>
          <w:sz w:val="24"/>
          <w:szCs w:val="24"/>
        </w:rPr>
      </w:pPr>
    </w:p>
    <w:p w14:paraId="425E2C11" w14:textId="77777777" w:rsidR="003C2DCE" w:rsidRPr="004B4540" w:rsidRDefault="003C2DCE">
      <w:pPr>
        <w:rPr>
          <w:rFonts w:ascii="Times New Roman" w:hAnsi="Times New Roman" w:cs="Times New Roman"/>
          <w:noProof/>
          <w:sz w:val="24"/>
          <w:szCs w:val="24"/>
        </w:rPr>
      </w:pPr>
      <w:r w:rsidRPr="004B4540">
        <w:rPr>
          <w:rFonts w:ascii="Times New Roman" w:hAnsi="Times New Roman" w:cs="Times New Roman"/>
          <w:noProof/>
          <w:sz w:val="24"/>
          <w:szCs w:val="24"/>
        </w:rPr>
        <w:br w:type="page"/>
      </w:r>
    </w:p>
    <w:sdt>
      <w:sdtPr>
        <w:rPr>
          <w:rFonts w:ascii="Times New Roman" w:hAnsi="Times New Roman" w:cs="Times New Roman"/>
          <w:noProof/>
          <w:sz w:val="28"/>
          <w:szCs w:val="28"/>
        </w:rPr>
        <w:id w:val="1569153306"/>
        <w:docPartObj>
          <w:docPartGallery w:val="Table of Contents"/>
          <w:docPartUnique/>
        </w:docPartObj>
      </w:sdtPr>
      <w:sdtEndPr>
        <w:rPr>
          <w:b/>
          <w:bCs/>
          <w:sz w:val="24"/>
          <w:szCs w:val="24"/>
        </w:rPr>
      </w:sdtEndPr>
      <w:sdtContent>
        <w:p w14:paraId="79A905DC" w14:textId="4F3DE18F" w:rsidR="00645617" w:rsidRPr="004B4540" w:rsidRDefault="00645617" w:rsidP="004A1F6C">
          <w:pPr>
            <w:rPr>
              <w:rFonts w:ascii="Times New Roman" w:hAnsi="Times New Roman" w:cs="Times New Roman"/>
              <w:noProof/>
              <w:sz w:val="24"/>
              <w:szCs w:val="24"/>
            </w:rPr>
          </w:pPr>
          <w:r w:rsidRPr="004B4540">
            <w:rPr>
              <w:rFonts w:ascii="Times New Roman" w:hAnsi="Times New Roman" w:cs="Times New Roman"/>
              <w:noProof/>
              <w:sz w:val="28"/>
              <w:szCs w:val="28"/>
            </w:rPr>
            <w:t>Contents</w:t>
          </w:r>
        </w:p>
        <w:p w14:paraId="04995AA1" w14:textId="0D59927B" w:rsidR="004B4540" w:rsidRPr="004B4540" w:rsidRDefault="00645617">
          <w:pPr>
            <w:pStyle w:val="TOC1"/>
            <w:rPr>
              <w:rFonts w:ascii="Times New Roman" w:eastAsiaTheme="minorEastAsia" w:hAnsi="Times New Roman" w:cs="Times New Roman"/>
              <w:noProof/>
              <w:sz w:val="24"/>
              <w:szCs w:val="24"/>
              <w:lang w:val="en-IE" w:eastAsia="en-IE"/>
            </w:rPr>
          </w:pPr>
          <w:r w:rsidRPr="004B4540">
            <w:rPr>
              <w:rFonts w:ascii="Times New Roman" w:hAnsi="Times New Roman" w:cs="Times New Roman"/>
              <w:noProof/>
              <w:sz w:val="24"/>
              <w:szCs w:val="24"/>
            </w:rPr>
            <w:fldChar w:fldCharType="begin"/>
          </w:r>
          <w:r w:rsidRPr="004B4540">
            <w:rPr>
              <w:rFonts w:ascii="Times New Roman" w:hAnsi="Times New Roman" w:cs="Times New Roman"/>
              <w:noProof/>
              <w:sz w:val="24"/>
              <w:szCs w:val="24"/>
            </w:rPr>
            <w:instrText xml:space="preserve"> TOC \o "1-3" \h \z \u </w:instrText>
          </w:r>
          <w:r w:rsidRPr="004B4540">
            <w:rPr>
              <w:rFonts w:ascii="Times New Roman" w:hAnsi="Times New Roman" w:cs="Times New Roman"/>
              <w:noProof/>
              <w:sz w:val="24"/>
              <w:szCs w:val="24"/>
            </w:rPr>
            <w:fldChar w:fldCharType="separate"/>
          </w:r>
          <w:hyperlink w:anchor="_Toc148555872" w:history="1">
            <w:r w:rsidR="004B4540" w:rsidRPr="004B4540">
              <w:rPr>
                <w:rStyle w:val="Hyperlink"/>
                <w:rFonts w:ascii="Times New Roman" w:hAnsi="Times New Roman" w:cs="Times New Roman"/>
                <w:noProof/>
                <w:sz w:val="24"/>
                <w:szCs w:val="24"/>
              </w:rPr>
              <w:t>1.</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Introduction</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_Toc148555872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3</w:t>
            </w:r>
            <w:r w:rsidR="004B4540" w:rsidRPr="004B4540">
              <w:rPr>
                <w:rFonts w:ascii="Times New Roman" w:hAnsi="Times New Roman" w:cs="Times New Roman"/>
                <w:noProof/>
                <w:webHidden/>
                <w:sz w:val="24"/>
                <w:szCs w:val="24"/>
              </w:rPr>
              <w:fldChar w:fldCharType="end"/>
            </w:r>
          </w:hyperlink>
        </w:p>
        <w:p w14:paraId="0A36740F" w14:textId="223ED13D"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73" w:history="1">
            <w:r w:rsidR="004B4540" w:rsidRPr="004B4540">
              <w:rPr>
                <w:rStyle w:val="Hyperlink"/>
                <w:rFonts w:ascii="Times New Roman" w:hAnsi="Times New Roman" w:cs="Times New Roman"/>
                <w:noProof/>
                <w:sz w:val="24"/>
                <w:szCs w:val="24"/>
              </w:rPr>
              <w:t>2.</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Important legislative developments</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_Toc148555873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4</w:t>
            </w:r>
            <w:r w:rsidR="004B4540" w:rsidRPr="004B4540">
              <w:rPr>
                <w:rFonts w:ascii="Times New Roman" w:hAnsi="Times New Roman" w:cs="Times New Roman"/>
                <w:noProof/>
                <w:webHidden/>
                <w:sz w:val="24"/>
                <w:szCs w:val="24"/>
              </w:rPr>
              <w:fldChar w:fldCharType="end"/>
            </w:r>
          </w:hyperlink>
        </w:p>
        <w:p w14:paraId="660F254F" w14:textId="65C52E8B"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74" w:history="1">
            <w:r w:rsidR="004B4540" w:rsidRPr="004B4540">
              <w:rPr>
                <w:rStyle w:val="Hyperlink"/>
                <w:rFonts w:ascii="Times New Roman" w:hAnsi="Times New Roman" w:cs="Times New Roman"/>
                <w:noProof/>
                <w:sz w:val="24"/>
                <w:szCs w:val="24"/>
              </w:rPr>
              <w:t>2.1.</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Reform of the EU ETS in the context of the European Green Deal</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_Toc148555874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4</w:t>
            </w:r>
            <w:r w:rsidR="004B4540" w:rsidRPr="004B4540">
              <w:rPr>
                <w:rFonts w:ascii="Times New Roman" w:hAnsi="Times New Roman" w:cs="Times New Roman"/>
                <w:noProof/>
                <w:webHidden/>
                <w:sz w:val="24"/>
                <w:szCs w:val="24"/>
              </w:rPr>
              <w:fldChar w:fldCharType="end"/>
            </w:r>
          </w:hyperlink>
        </w:p>
        <w:p w14:paraId="6E173AF0" w14:textId="478E73C3"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75" w:history="1">
            <w:r w:rsidR="004B4540" w:rsidRPr="004B4540">
              <w:rPr>
                <w:rStyle w:val="Hyperlink"/>
                <w:rFonts w:ascii="Times New Roman" w:hAnsi="Times New Roman" w:cs="Times New Roman"/>
                <w:noProof/>
                <w:sz w:val="24"/>
                <w:szCs w:val="24"/>
              </w:rPr>
              <w:t>2.2.</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ETS Directive in the context of the REPowerEU Regulation</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_Toc148555875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5</w:t>
            </w:r>
            <w:r w:rsidR="004B4540" w:rsidRPr="004B4540">
              <w:rPr>
                <w:rFonts w:ascii="Times New Roman" w:hAnsi="Times New Roman" w:cs="Times New Roman"/>
                <w:noProof/>
                <w:webHidden/>
                <w:sz w:val="24"/>
                <w:szCs w:val="24"/>
              </w:rPr>
              <w:fldChar w:fldCharType="end"/>
            </w:r>
          </w:hyperlink>
        </w:p>
        <w:p w14:paraId="0C3CF0F7" w14:textId="5DEC249E"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76" w:history="1">
            <w:r w:rsidR="004B4540" w:rsidRPr="004B4540">
              <w:rPr>
                <w:rStyle w:val="Hyperlink"/>
                <w:rFonts w:ascii="Times New Roman" w:hAnsi="Times New Roman" w:cs="Times New Roman"/>
                <w:noProof/>
                <w:sz w:val="24"/>
                <w:szCs w:val="24"/>
                <w:lang w:val="fr-BE"/>
              </w:rPr>
              <w:t>3.</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lang w:val="fr-BE"/>
              </w:rPr>
              <w:t>EU ETS coverage</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_Toc148555876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5</w:t>
            </w:r>
            <w:r w:rsidR="004B4540" w:rsidRPr="004B4540">
              <w:rPr>
                <w:rFonts w:ascii="Times New Roman" w:hAnsi="Times New Roman" w:cs="Times New Roman"/>
                <w:noProof/>
                <w:webHidden/>
                <w:sz w:val="24"/>
                <w:szCs w:val="24"/>
              </w:rPr>
              <w:fldChar w:fldCharType="end"/>
            </w:r>
          </w:hyperlink>
        </w:p>
        <w:p w14:paraId="18F4FD3D" w14:textId="53D46B2B"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77" w:history="1">
            <w:r w:rsidR="004B4540" w:rsidRPr="004B4540">
              <w:rPr>
                <w:rStyle w:val="Hyperlink"/>
                <w:rFonts w:ascii="Times New Roman" w:hAnsi="Times New Roman" w:cs="Times New Roman"/>
                <w:noProof/>
                <w:sz w:val="24"/>
                <w:szCs w:val="24"/>
              </w:rPr>
              <w:t>3.1.</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Maritime included in the scope of the EU ETS from 2024</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_Toc148555877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7</w:t>
            </w:r>
            <w:r w:rsidR="004B4540" w:rsidRPr="004B4540">
              <w:rPr>
                <w:rFonts w:ascii="Times New Roman" w:hAnsi="Times New Roman" w:cs="Times New Roman"/>
                <w:noProof/>
                <w:webHidden/>
                <w:sz w:val="24"/>
                <w:szCs w:val="24"/>
              </w:rPr>
              <w:fldChar w:fldCharType="end"/>
            </w:r>
          </w:hyperlink>
        </w:p>
        <w:p w14:paraId="09A3C7E8" w14:textId="497C91DB"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78" w:history="1">
            <w:r w:rsidR="004B4540" w:rsidRPr="004B4540">
              <w:rPr>
                <w:rStyle w:val="Hyperlink"/>
                <w:rFonts w:ascii="Times New Roman" w:hAnsi="Times New Roman" w:cs="Times New Roman"/>
                <w:noProof/>
                <w:sz w:val="24"/>
                <w:szCs w:val="24"/>
              </w:rPr>
              <w:t>4.</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Cap on emissions</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_Toc148555878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8</w:t>
            </w:r>
            <w:r w:rsidR="004B4540" w:rsidRPr="004B4540">
              <w:rPr>
                <w:rFonts w:ascii="Times New Roman" w:hAnsi="Times New Roman" w:cs="Times New Roman"/>
                <w:noProof/>
                <w:webHidden/>
                <w:sz w:val="24"/>
                <w:szCs w:val="24"/>
              </w:rPr>
              <w:fldChar w:fldCharType="end"/>
            </w:r>
          </w:hyperlink>
        </w:p>
        <w:p w14:paraId="6B38D257" w14:textId="1BB0AA10"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79" w:history="1">
            <w:r w:rsidR="004B4540" w:rsidRPr="004B4540">
              <w:rPr>
                <w:rStyle w:val="Hyperlink"/>
                <w:rFonts w:ascii="Times New Roman" w:hAnsi="Times New Roman" w:cs="Times New Roman"/>
                <w:noProof/>
                <w:sz w:val="24"/>
                <w:szCs w:val="24"/>
              </w:rPr>
              <w:t>5.</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Auctioning of allowances</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_Toc148555879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11</w:t>
            </w:r>
            <w:r w:rsidR="004B4540" w:rsidRPr="004B4540">
              <w:rPr>
                <w:rFonts w:ascii="Times New Roman" w:hAnsi="Times New Roman" w:cs="Times New Roman"/>
                <w:noProof/>
                <w:webHidden/>
                <w:sz w:val="24"/>
                <w:szCs w:val="24"/>
              </w:rPr>
              <w:fldChar w:fldCharType="end"/>
            </w:r>
          </w:hyperlink>
        </w:p>
        <w:p w14:paraId="7DEA433F" w14:textId="330DA32E"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80" w:history="1">
            <w:r w:rsidR="004B4540" w:rsidRPr="004B4540">
              <w:rPr>
                <w:rStyle w:val="Hyperlink"/>
                <w:rFonts w:ascii="Times New Roman" w:hAnsi="Times New Roman" w:cs="Times New Roman"/>
                <w:noProof/>
                <w:sz w:val="24"/>
                <w:szCs w:val="24"/>
              </w:rPr>
              <w:t>6.</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Free allocation of allowances</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_Toc148555880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13</w:t>
            </w:r>
            <w:r w:rsidR="004B4540" w:rsidRPr="004B4540">
              <w:rPr>
                <w:rFonts w:ascii="Times New Roman" w:hAnsi="Times New Roman" w:cs="Times New Roman"/>
                <w:noProof/>
                <w:webHidden/>
                <w:sz w:val="24"/>
                <w:szCs w:val="24"/>
              </w:rPr>
              <w:fldChar w:fldCharType="end"/>
            </w:r>
          </w:hyperlink>
        </w:p>
        <w:p w14:paraId="1F22BA9B" w14:textId="2094362B"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81" w:history="1">
            <w:r w:rsidR="004B4540" w:rsidRPr="004B4540">
              <w:rPr>
                <w:rStyle w:val="Hyperlink"/>
                <w:rFonts w:ascii="Times New Roman" w:hAnsi="Times New Roman" w:cs="Times New Roman"/>
                <w:noProof/>
                <w:sz w:val="24"/>
                <w:szCs w:val="24"/>
              </w:rPr>
              <w:t>7.</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Revenues from emissions trading</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_Toc148555881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15</w:t>
            </w:r>
            <w:r w:rsidR="004B4540" w:rsidRPr="004B4540">
              <w:rPr>
                <w:rFonts w:ascii="Times New Roman" w:hAnsi="Times New Roman" w:cs="Times New Roman"/>
                <w:noProof/>
                <w:webHidden/>
                <w:sz w:val="24"/>
                <w:szCs w:val="24"/>
              </w:rPr>
              <w:fldChar w:fldCharType="end"/>
            </w:r>
          </w:hyperlink>
        </w:p>
        <w:p w14:paraId="125D8362" w14:textId="155D29A0"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82" w:history="1">
            <w:r w:rsidR="004B4540" w:rsidRPr="004B4540">
              <w:rPr>
                <w:rStyle w:val="Hyperlink"/>
                <w:rFonts w:ascii="Times New Roman" w:hAnsi="Times New Roman" w:cs="Times New Roman"/>
                <w:noProof/>
                <w:sz w:val="24"/>
                <w:szCs w:val="24"/>
              </w:rPr>
              <w:t>7.1.</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Indirect carbon costs</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_Toc148555882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16</w:t>
            </w:r>
            <w:r w:rsidR="004B4540" w:rsidRPr="004B4540">
              <w:rPr>
                <w:rFonts w:ascii="Times New Roman" w:hAnsi="Times New Roman" w:cs="Times New Roman"/>
                <w:noProof/>
                <w:webHidden/>
                <w:sz w:val="24"/>
                <w:szCs w:val="24"/>
              </w:rPr>
              <w:fldChar w:fldCharType="end"/>
            </w:r>
          </w:hyperlink>
        </w:p>
        <w:p w14:paraId="28860D7C" w14:textId="0D557235"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89" w:history="1">
            <w:r w:rsidR="004B4540" w:rsidRPr="004B4540">
              <w:rPr>
                <w:rStyle w:val="Hyperlink"/>
                <w:rFonts w:ascii="Times New Roman" w:hAnsi="Times New Roman" w:cs="Times New Roman"/>
                <w:noProof/>
                <w:sz w:val="24"/>
                <w:szCs w:val="24"/>
              </w:rPr>
              <w:t>7.2.</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Innovation Fund</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_Toc148555889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18</w:t>
            </w:r>
            <w:r w:rsidR="004B4540" w:rsidRPr="004B4540">
              <w:rPr>
                <w:rFonts w:ascii="Times New Roman" w:hAnsi="Times New Roman" w:cs="Times New Roman"/>
                <w:noProof/>
                <w:webHidden/>
                <w:sz w:val="24"/>
                <w:szCs w:val="24"/>
              </w:rPr>
              <w:fldChar w:fldCharType="end"/>
            </w:r>
          </w:hyperlink>
        </w:p>
        <w:p w14:paraId="39C02171" w14:textId="1E0A248E"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90" w:history="1">
            <w:r w:rsidR="004B4540" w:rsidRPr="004B4540">
              <w:rPr>
                <w:rStyle w:val="Hyperlink"/>
                <w:rFonts w:ascii="Times New Roman" w:hAnsi="Times New Roman" w:cs="Times New Roman"/>
                <w:noProof/>
                <w:sz w:val="24"/>
                <w:szCs w:val="24"/>
              </w:rPr>
              <w:t>7.3.</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Modernisation Fund</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_Toc148555890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20</w:t>
            </w:r>
            <w:r w:rsidR="004B4540" w:rsidRPr="004B4540">
              <w:rPr>
                <w:rFonts w:ascii="Times New Roman" w:hAnsi="Times New Roman" w:cs="Times New Roman"/>
                <w:noProof/>
                <w:webHidden/>
                <w:sz w:val="24"/>
                <w:szCs w:val="24"/>
              </w:rPr>
              <w:fldChar w:fldCharType="end"/>
            </w:r>
          </w:hyperlink>
        </w:p>
        <w:p w14:paraId="1ACFCC43" w14:textId="72E58B71"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91" w:history="1">
            <w:r w:rsidR="004B4540" w:rsidRPr="004B4540">
              <w:rPr>
                <w:rStyle w:val="Hyperlink"/>
                <w:rFonts w:ascii="Times New Roman" w:hAnsi="Times New Roman" w:cs="Times New Roman"/>
                <w:noProof/>
                <w:sz w:val="24"/>
                <w:szCs w:val="24"/>
              </w:rPr>
              <w:t>8.</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Emission reductions in the EU ETS</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_Toc148555891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21</w:t>
            </w:r>
            <w:r w:rsidR="004B4540" w:rsidRPr="004B4540">
              <w:rPr>
                <w:rFonts w:ascii="Times New Roman" w:hAnsi="Times New Roman" w:cs="Times New Roman"/>
                <w:noProof/>
                <w:webHidden/>
                <w:sz w:val="24"/>
                <w:szCs w:val="24"/>
              </w:rPr>
              <w:fldChar w:fldCharType="end"/>
            </w:r>
          </w:hyperlink>
        </w:p>
        <w:p w14:paraId="30DBE282" w14:textId="4A7A37A7"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92" w:history="1">
            <w:r w:rsidR="004B4540" w:rsidRPr="004B4540">
              <w:rPr>
                <w:rStyle w:val="Hyperlink"/>
                <w:rFonts w:ascii="Times New Roman" w:hAnsi="Times New Roman" w:cs="Times New Roman"/>
                <w:noProof/>
                <w:sz w:val="24"/>
                <w:szCs w:val="24"/>
              </w:rPr>
              <w:t>9.</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Balancing supply and demand in the EU carbon market</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_Toc148555892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25</w:t>
            </w:r>
            <w:r w:rsidR="004B4540" w:rsidRPr="004B4540">
              <w:rPr>
                <w:rFonts w:ascii="Times New Roman" w:hAnsi="Times New Roman" w:cs="Times New Roman"/>
                <w:noProof/>
                <w:webHidden/>
                <w:sz w:val="24"/>
                <w:szCs w:val="24"/>
              </w:rPr>
              <w:fldChar w:fldCharType="end"/>
            </w:r>
          </w:hyperlink>
        </w:p>
        <w:p w14:paraId="7E8D6998" w14:textId="5376AA20"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93" w:history="1">
            <w:r w:rsidR="004B4540" w:rsidRPr="004B4540">
              <w:rPr>
                <w:rStyle w:val="Hyperlink"/>
                <w:rFonts w:ascii="Times New Roman" w:hAnsi="Times New Roman" w:cs="Times New Roman"/>
                <w:noProof/>
                <w:sz w:val="24"/>
                <w:szCs w:val="24"/>
              </w:rPr>
              <w:t>10.</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Aviation</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_Toc148555893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26</w:t>
            </w:r>
            <w:r w:rsidR="004B4540" w:rsidRPr="004B4540">
              <w:rPr>
                <w:rFonts w:ascii="Times New Roman" w:hAnsi="Times New Roman" w:cs="Times New Roman"/>
                <w:noProof/>
                <w:webHidden/>
                <w:sz w:val="24"/>
                <w:szCs w:val="24"/>
              </w:rPr>
              <w:fldChar w:fldCharType="end"/>
            </w:r>
          </w:hyperlink>
        </w:p>
        <w:p w14:paraId="1218DA4B" w14:textId="07939ED7"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94" w:history="1">
            <w:r w:rsidR="004B4540" w:rsidRPr="004B4540">
              <w:rPr>
                <w:rStyle w:val="Hyperlink"/>
                <w:rFonts w:ascii="Times New Roman" w:hAnsi="Times New Roman" w:cs="Times New Roman"/>
                <w:noProof/>
                <w:sz w:val="24"/>
                <w:szCs w:val="24"/>
              </w:rPr>
              <w:t>11.</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Market oversight</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_Toc148555894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29</w:t>
            </w:r>
            <w:r w:rsidR="004B4540" w:rsidRPr="004B4540">
              <w:rPr>
                <w:rFonts w:ascii="Times New Roman" w:hAnsi="Times New Roman" w:cs="Times New Roman"/>
                <w:noProof/>
                <w:webHidden/>
                <w:sz w:val="24"/>
                <w:szCs w:val="24"/>
              </w:rPr>
              <w:fldChar w:fldCharType="end"/>
            </w:r>
          </w:hyperlink>
        </w:p>
        <w:p w14:paraId="5E7B1C47" w14:textId="7456E4A5"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95" w:history="1">
            <w:r w:rsidR="004B4540" w:rsidRPr="004B4540">
              <w:rPr>
                <w:rStyle w:val="Hyperlink"/>
                <w:rFonts w:ascii="Times New Roman" w:hAnsi="Times New Roman" w:cs="Times New Roman"/>
                <w:noProof/>
                <w:sz w:val="24"/>
                <w:szCs w:val="24"/>
              </w:rPr>
              <w:t>12.</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Framework for the monitoring and reporting of emissions</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_Toc148555895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31</w:t>
            </w:r>
            <w:r w:rsidR="004B4540" w:rsidRPr="004B4540">
              <w:rPr>
                <w:rFonts w:ascii="Times New Roman" w:hAnsi="Times New Roman" w:cs="Times New Roman"/>
                <w:noProof/>
                <w:webHidden/>
                <w:sz w:val="24"/>
                <w:szCs w:val="24"/>
              </w:rPr>
              <w:fldChar w:fldCharType="end"/>
            </w:r>
          </w:hyperlink>
        </w:p>
        <w:p w14:paraId="33F8B001" w14:textId="2ADBFF9B"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96" w:history="1">
            <w:r w:rsidR="004B4540" w:rsidRPr="004B4540">
              <w:rPr>
                <w:rStyle w:val="Hyperlink"/>
                <w:rFonts w:ascii="Times New Roman" w:hAnsi="Times New Roman" w:cs="Times New Roman"/>
                <w:noProof/>
                <w:sz w:val="24"/>
                <w:szCs w:val="24"/>
              </w:rPr>
              <w:t>12.1.</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Monitoring and reporting</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_Toc148555896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31</w:t>
            </w:r>
            <w:r w:rsidR="004B4540" w:rsidRPr="004B4540">
              <w:rPr>
                <w:rFonts w:ascii="Times New Roman" w:hAnsi="Times New Roman" w:cs="Times New Roman"/>
                <w:noProof/>
                <w:webHidden/>
                <w:sz w:val="24"/>
                <w:szCs w:val="24"/>
              </w:rPr>
              <w:fldChar w:fldCharType="end"/>
            </w:r>
          </w:hyperlink>
        </w:p>
        <w:p w14:paraId="6684D287" w14:textId="222A40C0"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97" w:history="1">
            <w:r w:rsidR="004B4540" w:rsidRPr="004B4540">
              <w:rPr>
                <w:rStyle w:val="Hyperlink"/>
                <w:rFonts w:ascii="Times New Roman" w:hAnsi="Times New Roman" w:cs="Times New Roman"/>
                <w:noProof/>
                <w:sz w:val="24"/>
                <w:szCs w:val="24"/>
              </w:rPr>
              <w:t>12.2.</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Accreditation and verification</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_Toc148555897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32</w:t>
            </w:r>
            <w:r w:rsidR="004B4540" w:rsidRPr="004B4540">
              <w:rPr>
                <w:rFonts w:ascii="Times New Roman" w:hAnsi="Times New Roman" w:cs="Times New Roman"/>
                <w:noProof/>
                <w:webHidden/>
                <w:sz w:val="24"/>
                <w:szCs w:val="24"/>
              </w:rPr>
              <w:fldChar w:fldCharType="end"/>
            </w:r>
          </w:hyperlink>
        </w:p>
        <w:p w14:paraId="108D7FC7" w14:textId="6826799B"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98" w:history="1">
            <w:r w:rsidR="004B4540" w:rsidRPr="004B4540">
              <w:rPr>
                <w:rStyle w:val="Hyperlink"/>
                <w:rFonts w:ascii="Times New Roman" w:hAnsi="Times New Roman" w:cs="Times New Roman"/>
                <w:noProof/>
                <w:sz w:val="24"/>
                <w:szCs w:val="24"/>
              </w:rPr>
              <w:t>12.3.</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Competent authorities</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_Toc148555898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33</w:t>
            </w:r>
            <w:r w:rsidR="004B4540" w:rsidRPr="004B4540">
              <w:rPr>
                <w:rFonts w:ascii="Times New Roman" w:hAnsi="Times New Roman" w:cs="Times New Roman"/>
                <w:noProof/>
                <w:webHidden/>
                <w:sz w:val="24"/>
                <w:szCs w:val="24"/>
              </w:rPr>
              <w:fldChar w:fldCharType="end"/>
            </w:r>
          </w:hyperlink>
        </w:p>
        <w:p w14:paraId="1F6BBD00" w14:textId="4C3328FA"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899" w:history="1">
            <w:r w:rsidR="004B4540" w:rsidRPr="004B4540">
              <w:rPr>
                <w:rStyle w:val="Hyperlink"/>
                <w:rFonts w:ascii="Times New Roman" w:hAnsi="Times New Roman" w:cs="Times New Roman"/>
                <w:noProof/>
                <w:sz w:val="24"/>
                <w:szCs w:val="24"/>
              </w:rPr>
              <w:t>12.4.</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Compliance in the EU ETS</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_Toc148555899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34</w:t>
            </w:r>
            <w:r w:rsidR="004B4540" w:rsidRPr="004B4540">
              <w:rPr>
                <w:rFonts w:ascii="Times New Roman" w:hAnsi="Times New Roman" w:cs="Times New Roman"/>
                <w:noProof/>
                <w:webHidden/>
                <w:sz w:val="24"/>
                <w:szCs w:val="24"/>
              </w:rPr>
              <w:fldChar w:fldCharType="end"/>
            </w:r>
          </w:hyperlink>
        </w:p>
        <w:p w14:paraId="033E7C53" w14:textId="6666ECE6"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900" w:history="1">
            <w:r w:rsidR="004B4540" w:rsidRPr="004B4540">
              <w:rPr>
                <w:rStyle w:val="Hyperlink"/>
                <w:rFonts w:ascii="Times New Roman" w:hAnsi="Times New Roman" w:cs="Times New Roman"/>
                <w:noProof/>
                <w:sz w:val="24"/>
                <w:szCs w:val="24"/>
              </w:rPr>
              <w:t>13.</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Link between the EU ETS and the Swiss ETS</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_Toc148555900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35</w:t>
            </w:r>
            <w:r w:rsidR="004B4540" w:rsidRPr="004B4540">
              <w:rPr>
                <w:rFonts w:ascii="Times New Roman" w:hAnsi="Times New Roman" w:cs="Times New Roman"/>
                <w:noProof/>
                <w:webHidden/>
                <w:sz w:val="24"/>
                <w:szCs w:val="24"/>
              </w:rPr>
              <w:fldChar w:fldCharType="end"/>
            </w:r>
          </w:hyperlink>
        </w:p>
        <w:p w14:paraId="0F342F08" w14:textId="7B96A83E"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901" w:history="1">
            <w:r w:rsidR="004B4540" w:rsidRPr="004B4540">
              <w:rPr>
                <w:rStyle w:val="Hyperlink"/>
                <w:rFonts w:ascii="Times New Roman" w:hAnsi="Times New Roman" w:cs="Times New Roman"/>
                <w:noProof/>
                <w:sz w:val="24"/>
                <w:szCs w:val="24"/>
              </w:rPr>
              <w:t>14.</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EU ETS in the context of the EU’s climate and energy governance</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_Toc148555901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37</w:t>
            </w:r>
            <w:r w:rsidR="004B4540" w:rsidRPr="004B4540">
              <w:rPr>
                <w:rFonts w:ascii="Times New Roman" w:hAnsi="Times New Roman" w:cs="Times New Roman"/>
                <w:noProof/>
                <w:webHidden/>
                <w:sz w:val="24"/>
                <w:szCs w:val="24"/>
              </w:rPr>
              <w:fldChar w:fldCharType="end"/>
            </w:r>
          </w:hyperlink>
        </w:p>
        <w:p w14:paraId="5FFD0632" w14:textId="5D7850C4" w:rsidR="004B4540" w:rsidRPr="004B4540" w:rsidRDefault="002F3AE3">
          <w:pPr>
            <w:pStyle w:val="TOC1"/>
            <w:rPr>
              <w:rFonts w:ascii="Times New Roman" w:eastAsiaTheme="minorEastAsia" w:hAnsi="Times New Roman" w:cs="Times New Roman"/>
              <w:noProof/>
              <w:sz w:val="24"/>
              <w:szCs w:val="24"/>
              <w:lang w:val="en-IE" w:eastAsia="en-IE"/>
            </w:rPr>
          </w:pPr>
          <w:hyperlink w:anchor="_Toc148555902" w:history="1">
            <w:r w:rsidR="004B4540" w:rsidRPr="004B4540">
              <w:rPr>
                <w:rStyle w:val="Hyperlink"/>
                <w:rFonts w:ascii="Times New Roman" w:hAnsi="Times New Roman" w:cs="Times New Roman"/>
                <w:noProof/>
                <w:sz w:val="24"/>
                <w:szCs w:val="24"/>
              </w:rPr>
              <w:t>15.</w:t>
            </w:r>
            <w:r w:rsidR="004B4540" w:rsidRPr="004B4540">
              <w:rPr>
                <w:rFonts w:ascii="Times New Roman" w:eastAsiaTheme="minorEastAsia" w:hAnsi="Times New Roman" w:cs="Times New Roman"/>
                <w:noProof/>
                <w:sz w:val="24"/>
                <w:szCs w:val="24"/>
                <w:lang w:val="en-IE" w:eastAsia="en-IE"/>
              </w:rPr>
              <w:tab/>
            </w:r>
            <w:r w:rsidR="004B4540" w:rsidRPr="004B4540">
              <w:rPr>
                <w:rStyle w:val="Hyperlink"/>
                <w:rFonts w:ascii="Times New Roman" w:hAnsi="Times New Roman" w:cs="Times New Roman"/>
                <w:noProof/>
                <w:sz w:val="24"/>
                <w:szCs w:val="24"/>
              </w:rPr>
              <w:t>Conclusions and outlook</w:t>
            </w:r>
            <w:r w:rsidR="004B4540" w:rsidRPr="004B4540">
              <w:rPr>
                <w:rFonts w:ascii="Times New Roman" w:hAnsi="Times New Roman" w:cs="Times New Roman"/>
                <w:noProof/>
                <w:webHidden/>
                <w:sz w:val="24"/>
                <w:szCs w:val="24"/>
              </w:rPr>
              <w:tab/>
            </w:r>
            <w:r w:rsidR="004B4540" w:rsidRPr="004B4540">
              <w:rPr>
                <w:rFonts w:ascii="Times New Roman" w:hAnsi="Times New Roman" w:cs="Times New Roman"/>
                <w:noProof/>
                <w:webHidden/>
                <w:sz w:val="24"/>
                <w:szCs w:val="24"/>
              </w:rPr>
              <w:fldChar w:fldCharType="begin"/>
            </w:r>
            <w:r w:rsidR="004B4540" w:rsidRPr="004B4540">
              <w:rPr>
                <w:rFonts w:ascii="Times New Roman" w:hAnsi="Times New Roman" w:cs="Times New Roman"/>
                <w:noProof/>
                <w:webHidden/>
                <w:sz w:val="24"/>
                <w:szCs w:val="24"/>
              </w:rPr>
              <w:instrText xml:space="preserve"> PAGEREF _Toc148555902 \h </w:instrText>
            </w:r>
            <w:r w:rsidR="004B4540" w:rsidRPr="004B4540">
              <w:rPr>
                <w:rFonts w:ascii="Times New Roman" w:hAnsi="Times New Roman" w:cs="Times New Roman"/>
                <w:noProof/>
                <w:webHidden/>
                <w:sz w:val="24"/>
                <w:szCs w:val="24"/>
              </w:rPr>
            </w:r>
            <w:r w:rsidR="004B4540" w:rsidRPr="004B4540">
              <w:rPr>
                <w:rFonts w:ascii="Times New Roman" w:hAnsi="Times New Roman" w:cs="Times New Roman"/>
                <w:noProof/>
                <w:webHidden/>
                <w:sz w:val="24"/>
                <w:szCs w:val="24"/>
              </w:rPr>
              <w:fldChar w:fldCharType="separate"/>
            </w:r>
            <w:r w:rsidR="00B83BFA">
              <w:rPr>
                <w:rFonts w:ascii="Times New Roman" w:hAnsi="Times New Roman" w:cs="Times New Roman"/>
                <w:noProof/>
                <w:webHidden/>
                <w:sz w:val="24"/>
                <w:szCs w:val="24"/>
              </w:rPr>
              <w:t>38</w:t>
            </w:r>
            <w:r w:rsidR="004B4540" w:rsidRPr="004B4540">
              <w:rPr>
                <w:rFonts w:ascii="Times New Roman" w:hAnsi="Times New Roman" w:cs="Times New Roman"/>
                <w:noProof/>
                <w:webHidden/>
                <w:sz w:val="24"/>
                <w:szCs w:val="24"/>
              </w:rPr>
              <w:fldChar w:fldCharType="end"/>
            </w:r>
          </w:hyperlink>
        </w:p>
        <w:p w14:paraId="6452B292" w14:textId="5314E585" w:rsidR="00645617" w:rsidRPr="004B4540" w:rsidRDefault="00645617">
          <w:pPr>
            <w:rPr>
              <w:rFonts w:ascii="Times New Roman" w:hAnsi="Times New Roman" w:cs="Times New Roman"/>
              <w:noProof/>
              <w:sz w:val="24"/>
              <w:szCs w:val="24"/>
            </w:rPr>
          </w:pPr>
          <w:r w:rsidRPr="004B4540">
            <w:rPr>
              <w:rFonts w:ascii="Times New Roman" w:hAnsi="Times New Roman" w:cs="Times New Roman"/>
              <w:b/>
              <w:bCs/>
              <w:noProof/>
              <w:sz w:val="24"/>
              <w:szCs w:val="24"/>
            </w:rPr>
            <w:fldChar w:fldCharType="end"/>
          </w:r>
        </w:p>
      </w:sdtContent>
    </w:sdt>
    <w:p w14:paraId="38F1A78C" w14:textId="3866B899" w:rsidR="00B36B2C" w:rsidRPr="004B4540" w:rsidRDefault="00B36B2C">
      <w:pPr>
        <w:rPr>
          <w:rFonts w:ascii="Times New Roman" w:hAnsi="Times New Roman" w:cs="Times New Roman"/>
          <w:b/>
          <w:bCs/>
          <w:noProof/>
          <w:sz w:val="24"/>
          <w:szCs w:val="24"/>
        </w:rPr>
      </w:pPr>
    </w:p>
    <w:p w14:paraId="558254AE" w14:textId="77777777" w:rsidR="00B36B2C" w:rsidRPr="004B4540" w:rsidRDefault="00B36B2C">
      <w:pPr>
        <w:rPr>
          <w:rFonts w:ascii="Times New Roman" w:eastAsiaTheme="majorEastAsia" w:hAnsi="Times New Roman" w:cs="Times New Roman"/>
          <w:b/>
          <w:noProof/>
          <w:sz w:val="24"/>
          <w:szCs w:val="24"/>
        </w:rPr>
      </w:pPr>
      <w:r w:rsidRPr="004B4540">
        <w:rPr>
          <w:rFonts w:ascii="Times New Roman" w:hAnsi="Times New Roman" w:cs="Times New Roman"/>
          <w:noProof/>
          <w:sz w:val="24"/>
          <w:szCs w:val="24"/>
        </w:rPr>
        <w:br w:type="page"/>
      </w:r>
    </w:p>
    <w:p w14:paraId="0791098A" w14:textId="17C773CB" w:rsidR="00940369" w:rsidRPr="004B4540" w:rsidRDefault="008B5E03" w:rsidP="00B36B2C">
      <w:pPr>
        <w:pStyle w:val="CMR23-heading"/>
        <w:rPr>
          <w:rFonts w:cs="Times New Roman"/>
          <w:noProof/>
          <w:sz w:val="24"/>
          <w:szCs w:val="24"/>
        </w:rPr>
      </w:pPr>
      <w:bookmarkStart w:id="4" w:name="_Toc145453227"/>
      <w:bookmarkStart w:id="5" w:name="_Toc148555872"/>
      <w:r w:rsidRPr="004B4540">
        <w:rPr>
          <w:rFonts w:cs="Times New Roman"/>
          <w:noProof/>
          <w:sz w:val="24"/>
          <w:szCs w:val="24"/>
        </w:rPr>
        <w:t>Introduction</w:t>
      </w:r>
      <w:bookmarkEnd w:id="4"/>
      <w:bookmarkEnd w:id="5"/>
      <w:r w:rsidRPr="004B4540">
        <w:rPr>
          <w:rFonts w:cs="Times New Roman"/>
          <w:noProof/>
          <w:sz w:val="24"/>
          <w:szCs w:val="24"/>
        </w:rPr>
        <w:t xml:space="preserve"> </w:t>
      </w:r>
    </w:p>
    <w:p w14:paraId="1AB7CE9E" w14:textId="3A054C9A" w:rsidR="00B62DDB" w:rsidRPr="004B4540" w:rsidRDefault="00FC4BBB" w:rsidP="00FC4BBB">
      <w:pPr>
        <w:pStyle w:val="CMR23-text"/>
        <w:rPr>
          <w:rFonts w:cs="Times New Roman"/>
          <w:noProof/>
          <w:szCs w:val="24"/>
        </w:rPr>
      </w:pPr>
      <w:r w:rsidRPr="004B4540">
        <w:rPr>
          <w:rFonts w:cs="Times New Roman"/>
          <w:noProof/>
          <w:szCs w:val="24"/>
        </w:rPr>
        <w:t>The E</w:t>
      </w:r>
      <w:r w:rsidR="004941BF" w:rsidRPr="004B4540">
        <w:rPr>
          <w:rFonts w:cs="Times New Roman"/>
          <w:noProof/>
          <w:szCs w:val="24"/>
        </w:rPr>
        <w:t xml:space="preserve">uropean </w:t>
      </w:r>
      <w:r w:rsidRPr="004B4540">
        <w:rPr>
          <w:rFonts w:cs="Times New Roman"/>
          <w:noProof/>
          <w:szCs w:val="24"/>
        </w:rPr>
        <w:t>U</w:t>
      </w:r>
      <w:r w:rsidR="004941BF" w:rsidRPr="004B4540">
        <w:rPr>
          <w:rFonts w:cs="Times New Roman"/>
          <w:noProof/>
          <w:szCs w:val="24"/>
        </w:rPr>
        <w:t>nion’s</w:t>
      </w:r>
      <w:r w:rsidRPr="004B4540">
        <w:rPr>
          <w:rFonts w:cs="Times New Roman"/>
          <w:noProof/>
          <w:szCs w:val="24"/>
        </w:rPr>
        <w:t xml:space="preserve"> Emissions Trading System (</w:t>
      </w:r>
      <w:r w:rsidR="004941BF" w:rsidRPr="004B4540">
        <w:rPr>
          <w:rFonts w:cs="Times New Roman"/>
          <w:noProof/>
          <w:szCs w:val="24"/>
        </w:rPr>
        <w:t xml:space="preserve">EU </w:t>
      </w:r>
      <w:r w:rsidRPr="004B4540">
        <w:rPr>
          <w:rFonts w:cs="Times New Roman"/>
          <w:noProof/>
          <w:szCs w:val="24"/>
        </w:rPr>
        <w:t xml:space="preserve">ETS) is a cornerstone of </w:t>
      </w:r>
      <w:r w:rsidR="004941BF" w:rsidRPr="004B4540">
        <w:rPr>
          <w:rFonts w:cs="Times New Roman"/>
          <w:noProof/>
          <w:szCs w:val="24"/>
        </w:rPr>
        <w:t>its</w:t>
      </w:r>
      <w:r w:rsidRPr="004B4540">
        <w:rPr>
          <w:rFonts w:cs="Times New Roman"/>
          <w:noProof/>
          <w:szCs w:val="24"/>
        </w:rPr>
        <w:t xml:space="preserve"> climate policy</w:t>
      </w:r>
      <w:r w:rsidR="004941BF" w:rsidRPr="004B4540">
        <w:rPr>
          <w:rFonts w:cs="Times New Roman"/>
          <w:noProof/>
          <w:szCs w:val="24"/>
        </w:rPr>
        <w:t>,</w:t>
      </w:r>
      <w:r w:rsidR="00D67FF1" w:rsidRPr="004B4540">
        <w:rPr>
          <w:rFonts w:cs="Times New Roman"/>
          <w:noProof/>
          <w:szCs w:val="24"/>
        </w:rPr>
        <w:t xml:space="preserve"> </w:t>
      </w:r>
      <w:r w:rsidR="009B506B" w:rsidRPr="004B4540">
        <w:rPr>
          <w:rFonts w:cs="Times New Roman"/>
          <w:noProof/>
          <w:szCs w:val="24"/>
        </w:rPr>
        <w:t>des</w:t>
      </w:r>
      <w:r w:rsidR="00476F46" w:rsidRPr="004B4540">
        <w:rPr>
          <w:rFonts w:cs="Times New Roman"/>
          <w:noProof/>
          <w:szCs w:val="24"/>
        </w:rPr>
        <w:t>igned to</w:t>
      </w:r>
      <w:r w:rsidR="00D175FE" w:rsidRPr="004B4540">
        <w:rPr>
          <w:rFonts w:cs="Times New Roman"/>
          <w:noProof/>
          <w:szCs w:val="24"/>
        </w:rPr>
        <w:t xml:space="preserve"> bring </w:t>
      </w:r>
      <w:r w:rsidR="00B62DDB" w:rsidRPr="004B4540">
        <w:rPr>
          <w:rFonts w:cs="Times New Roman"/>
          <w:noProof/>
          <w:szCs w:val="24"/>
        </w:rPr>
        <w:t xml:space="preserve">down emissions </w:t>
      </w:r>
      <w:r w:rsidR="00476F46" w:rsidRPr="004B4540">
        <w:rPr>
          <w:rFonts w:cs="Times New Roman"/>
          <w:noProof/>
          <w:szCs w:val="24"/>
        </w:rPr>
        <w:t xml:space="preserve">cost-effectively. In line with the </w:t>
      </w:r>
      <w:r w:rsidR="00084E08" w:rsidRPr="004B4540">
        <w:rPr>
          <w:rFonts w:cs="Times New Roman"/>
          <w:noProof/>
          <w:szCs w:val="24"/>
        </w:rPr>
        <w:t>‘</w:t>
      </w:r>
      <w:r w:rsidR="00476F46" w:rsidRPr="004B4540">
        <w:rPr>
          <w:rFonts w:cs="Times New Roman"/>
          <w:noProof/>
          <w:szCs w:val="24"/>
        </w:rPr>
        <w:t>polluter pays</w:t>
      </w:r>
      <w:r w:rsidR="00084E08" w:rsidRPr="004B4540">
        <w:rPr>
          <w:rFonts w:cs="Times New Roman"/>
          <w:noProof/>
          <w:szCs w:val="24"/>
        </w:rPr>
        <w:t>’</w:t>
      </w:r>
      <w:r w:rsidR="00476F46" w:rsidRPr="004B4540">
        <w:rPr>
          <w:rFonts w:cs="Times New Roman"/>
          <w:noProof/>
          <w:szCs w:val="24"/>
        </w:rPr>
        <w:t xml:space="preserve"> principle, </w:t>
      </w:r>
      <w:r w:rsidR="00336801" w:rsidRPr="004B4540">
        <w:rPr>
          <w:rFonts w:cs="Times New Roman"/>
          <w:noProof/>
          <w:szCs w:val="24"/>
        </w:rPr>
        <w:t xml:space="preserve">the EU ETS </w:t>
      </w:r>
      <w:r w:rsidR="007527E8" w:rsidRPr="004B4540">
        <w:rPr>
          <w:rFonts w:cs="Times New Roman"/>
          <w:noProof/>
          <w:szCs w:val="24"/>
        </w:rPr>
        <w:t>sets a limit and</w:t>
      </w:r>
      <w:r w:rsidR="00FD3A96" w:rsidRPr="004B4540">
        <w:rPr>
          <w:rFonts w:cs="Times New Roman"/>
          <w:noProof/>
          <w:szCs w:val="24"/>
        </w:rPr>
        <w:t xml:space="preserve"> puts a carbon price on emissions </w:t>
      </w:r>
      <w:r w:rsidR="00B80A0F" w:rsidRPr="004B4540">
        <w:rPr>
          <w:rFonts w:cs="Times New Roman"/>
          <w:noProof/>
          <w:szCs w:val="24"/>
        </w:rPr>
        <w:t xml:space="preserve">from </w:t>
      </w:r>
      <w:r w:rsidR="008B393B" w:rsidRPr="004B4540">
        <w:rPr>
          <w:rFonts w:cs="Times New Roman"/>
          <w:noProof/>
          <w:szCs w:val="24"/>
        </w:rPr>
        <w:t xml:space="preserve">the </w:t>
      </w:r>
      <w:r w:rsidR="00EF0A96" w:rsidRPr="004B4540">
        <w:rPr>
          <w:rFonts w:cs="Times New Roman"/>
          <w:noProof/>
          <w:szCs w:val="24"/>
        </w:rPr>
        <w:t xml:space="preserve">energy </w:t>
      </w:r>
      <w:r w:rsidR="005F1739" w:rsidRPr="004B4540">
        <w:rPr>
          <w:rFonts w:cs="Times New Roman"/>
          <w:noProof/>
          <w:szCs w:val="24"/>
        </w:rPr>
        <w:t xml:space="preserve">and </w:t>
      </w:r>
      <w:r w:rsidR="00A8213F" w:rsidRPr="004B4540">
        <w:rPr>
          <w:rFonts w:cs="Times New Roman"/>
          <w:noProof/>
          <w:szCs w:val="24"/>
        </w:rPr>
        <w:t xml:space="preserve">industrial </w:t>
      </w:r>
      <w:r w:rsidR="00EF0A96" w:rsidRPr="004B4540">
        <w:rPr>
          <w:rFonts w:cs="Times New Roman"/>
          <w:noProof/>
          <w:szCs w:val="24"/>
        </w:rPr>
        <w:t>sector</w:t>
      </w:r>
      <w:r w:rsidR="005F1739" w:rsidRPr="004B4540">
        <w:rPr>
          <w:rFonts w:cs="Times New Roman"/>
          <w:noProof/>
          <w:szCs w:val="24"/>
        </w:rPr>
        <w:t xml:space="preserve">s as well as </w:t>
      </w:r>
      <w:r w:rsidR="00B80A0F" w:rsidRPr="004B4540">
        <w:rPr>
          <w:rFonts w:cs="Times New Roman"/>
          <w:noProof/>
          <w:szCs w:val="24"/>
        </w:rPr>
        <w:t xml:space="preserve">aviation </w:t>
      </w:r>
      <w:r w:rsidR="009755FA" w:rsidRPr="004B4540">
        <w:rPr>
          <w:rFonts w:cs="Times New Roman"/>
          <w:noProof/>
          <w:szCs w:val="24"/>
        </w:rPr>
        <w:t xml:space="preserve">in </w:t>
      </w:r>
      <w:r w:rsidR="00B80A0F" w:rsidRPr="004B4540">
        <w:rPr>
          <w:rFonts w:cs="Times New Roman"/>
          <w:noProof/>
          <w:szCs w:val="24"/>
        </w:rPr>
        <w:t>Europ</w:t>
      </w:r>
      <w:r w:rsidR="00F97306" w:rsidRPr="004B4540">
        <w:rPr>
          <w:rFonts w:cs="Times New Roman"/>
          <w:noProof/>
          <w:szCs w:val="24"/>
        </w:rPr>
        <w:t>e,</w:t>
      </w:r>
      <w:r w:rsidR="00984684" w:rsidRPr="004B4540">
        <w:rPr>
          <w:rFonts w:cs="Times New Roman"/>
          <w:noProof/>
          <w:szCs w:val="24"/>
        </w:rPr>
        <w:t xml:space="preserve"> </w:t>
      </w:r>
      <w:r w:rsidR="00686C31" w:rsidRPr="004B4540">
        <w:rPr>
          <w:rFonts w:cs="Times New Roman"/>
          <w:noProof/>
          <w:szCs w:val="24"/>
        </w:rPr>
        <w:t xml:space="preserve">which are </w:t>
      </w:r>
      <w:r w:rsidR="00984684" w:rsidRPr="004B4540">
        <w:rPr>
          <w:rFonts w:cs="Times New Roman"/>
          <w:noProof/>
          <w:szCs w:val="24"/>
        </w:rPr>
        <w:t>responsible for</w:t>
      </w:r>
      <w:r w:rsidR="009F6F9C" w:rsidRPr="004B4540">
        <w:rPr>
          <w:rFonts w:cs="Times New Roman"/>
          <w:noProof/>
          <w:szCs w:val="24"/>
        </w:rPr>
        <w:t xml:space="preserve"> </w:t>
      </w:r>
      <w:r w:rsidR="009C2B61" w:rsidRPr="004B4540">
        <w:rPr>
          <w:rFonts w:cs="Times New Roman"/>
          <w:noProof/>
          <w:szCs w:val="24"/>
        </w:rPr>
        <w:t>approximately</w:t>
      </w:r>
      <w:r w:rsidR="009F6F9C" w:rsidRPr="004B4540">
        <w:rPr>
          <w:rFonts w:cs="Times New Roman"/>
          <w:noProof/>
          <w:szCs w:val="24"/>
        </w:rPr>
        <w:t xml:space="preserve"> 40% of </w:t>
      </w:r>
      <w:r w:rsidR="004941BF" w:rsidRPr="004B4540">
        <w:rPr>
          <w:rFonts w:cs="Times New Roman"/>
          <w:noProof/>
          <w:szCs w:val="24"/>
        </w:rPr>
        <w:t>the</w:t>
      </w:r>
      <w:r w:rsidR="009F6F9C" w:rsidRPr="004B4540">
        <w:rPr>
          <w:rFonts w:cs="Times New Roman"/>
          <w:noProof/>
          <w:szCs w:val="24"/>
        </w:rPr>
        <w:t xml:space="preserve"> EU’s total emissions. </w:t>
      </w:r>
      <w:r w:rsidR="00336801" w:rsidRPr="004B4540">
        <w:rPr>
          <w:rFonts w:cs="Times New Roman"/>
          <w:noProof/>
          <w:szCs w:val="24"/>
        </w:rPr>
        <w:t>By drawing on market forces</w:t>
      </w:r>
      <w:r w:rsidR="007527E8" w:rsidRPr="004B4540">
        <w:rPr>
          <w:rFonts w:cs="Times New Roman"/>
          <w:noProof/>
          <w:szCs w:val="24"/>
        </w:rPr>
        <w:t xml:space="preserve"> to determine </w:t>
      </w:r>
      <w:r w:rsidR="00DE0345" w:rsidRPr="004B4540">
        <w:rPr>
          <w:rFonts w:cs="Times New Roman"/>
          <w:noProof/>
          <w:szCs w:val="24"/>
        </w:rPr>
        <w:t>carbon price</w:t>
      </w:r>
      <w:r w:rsidR="00336801" w:rsidRPr="004B4540">
        <w:rPr>
          <w:rFonts w:cs="Times New Roman"/>
          <w:noProof/>
          <w:szCs w:val="24"/>
        </w:rPr>
        <w:t xml:space="preserve">, the </w:t>
      </w:r>
      <w:r w:rsidR="000951D7" w:rsidRPr="004B4540">
        <w:rPr>
          <w:rFonts w:cs="Times New Roman"/>
          <w:noProof/>
          <w:szCs w:val="24"/>
        </w:rPr>
        <w:t xml:space="preserve">system </w:t>
      </w:r>
      <w:r w:rsidR="00336801" w:rsidRPr="004B4540">
        <w:rPr>
          <w:rFonts w:cs="Times New Roman"/>
          <w:noProof/>
          <w:szCs w:val="24"/>
        </w:rPr>
        <w:t xml:space="preserve">creates an incentive to reduce emissions where it costs least to do so. </w:t>
      </w:r>
      <w:r w:rsidR="007F1A04" w:rsidRPr="004B4540">
        <w:rPr>
          <w:rFonts w:cs="Times New Roman"/>
          <w:noProof/>
          <w:szCs w:val="24"/>
        </w:rPr>
        <w:t>In turn, carbon prices determine revenue the EU ETS generates for investment in climate action and energy transformation.</w:t>
      </w:r>
    </w:p>
    <w:p w14:paraId="009B0D9E" w14:textId="29FE880D" w:rsidR="00D9186A" w:rsidRPr="004B4540" w:rsidRDefault="00FC4BBB" w:rsidP="00FC4BBB">
      <w:pPr>
        <w:pStyle w:val="CMR23-text"/>
        <w:rPr>
          <w:rFonts w:cs="Times New Roman"/>
          <w:noProof/>
          <w:szCs w:val="24"/>
        </w:rPr>
      </w:pPr>
      <w:r w:rsidRPr="004B4540">
        <w:rPr>
          <w:rFonts w:cs="Times New Roman"/>
          <w:noProof/>
          <w:szCs w:val="24"/>
        </w:rPr>
        <w:t xml:space="preserve">Since its launch in 2005, the EU ETS has helped drive down emissions from electricity and heat generation and industrial production by </w:t>
      </w:r>
      <w:r w:rsidR="001A471C" w:rsidRPr="004B4540">
        <w:rPr>
          <w:rFonts w:cs="Times New Roman"/>
          <w:noProof/>
          <w:szCs w:val="24"/>
        </w:rPr>
        <w:t>37.3</w:t>
      </w:r>
      <w:r w:rsidRPr="004B4540">
        <w:rPr>
          <w:rFonts w:cs="Times New Roman"/>
          <w:noProof/>
          <w:szCs w:val="24"/>
        </w:rPr>
        <w:t>%</w:t>
      </w:r>
      <w:r w:rsidR="00A548B2" w:rsidRPr="004B4540">
        <w:rPr>
          <w:rStyle w:val="FootnoteReference"/>
          <w:rFonts w:cs="Times New Roman"/>
          <w:noProof/>
          <w:szCs w:val="24"/>
        </w:rPr>
        <w:footnoteReference w:id="2"/>
      </w:r>
      <w:r w:rsidR="00253F3A" w:rsidRPr="004B4540">
        <w:rPr>
          <w:rFonts w:cs="Times New Roman"/>
          <w:noProof/>
          <w:szCs w:val="24"/>
        </w:rPr>
        <w:t xml:space="preserve">, while generating </w:t>
      </w:r>
      <w:r w:rsidRPr="004B4540">
        <w:rPr>
          <w:rFonts w:cs="Times New Roman"/>
          <w:noProof/>
          <w:szCs w:val="24"/>
        </w:rPr>
        <w:t>over EUR</w:t>
      </w:r>
      <w:r w:rsidR="006642B6" w:rsidRPr="004B4540">
        <w:rPr>
          <w:rFonts w:cs="Times New Roman"/>
          <w:noProof/>
          <w:szCs w:val="24"/>
        </w:rPr>
        <w:t> </w:t>
      </w:r>
      <w:r w:rsidR="004D0834" w:rsidRPr="004B4540">
        <w:rPr>
          <w:rFonts w:cs="Times New Roman"/>
          <w:noProof/>
          <w:szCs w:val="24"/>
        </w:rPr>
        <w:t xml:space="preserve">152 </w:t>
      </w:r>
      <w:r w:rsidRPr="004B4540">
        <w:rPr>
          <w:rFonts w:cs="Times New Roman"/>
          <w:noProof/>
          <w:szCs w:val="24"/>
        </w:rPr>
        <w:t xml:space="preserve">billion in auction revenue for distribution to Member States. </w:t>
      </w:r>
      <w:r w:rsidR="00C8749C" w:rsidRPr="004B4540">
        <w:rPr>
          <w:rFonts w:cs="Times New Roman"/>
          <w:noProof/>
          <w:szCs w:val="24"/>
        </w:rPr>
        <w:t xml:space="preserve">Overwhelmingly, Member States have used </w:t>
      </w:r>
      <w:r w:rsidR="00F83472" w:rsidRPr="004B4540">
        <w:rPr>
          <w:rFonts w:cs="Times New Roman"/>
          <w:noProof/>
          <w:szCs w:val="24"/>
        </w:rPr>
        <w:t xml:space="preserve">this </w:t>
      </w:r>
      <w:r w:rsidR="00D762E5" w:rsidRPr="004B4540">
        <w:rPr>
          <w:rFonts w:cs="Times New Roman"/>
          <w:noProof/>
          <w:szCs w:val="24"/>
        </w:rPr>
        <w:t xml:space="preserve">revenue </w:t>
      </w:r>
      <w:r w:rsidR="00C8749C" w:rsidRPr="004B4540">
        <w:rPr>
          <w:rFonts w:cs="Times New Roman"/>
          <w:noProof/>
          <w:szCs w:val="24"/>
        </w:rPr>
        <w:t xml:space="preserve">to </w:t>
      </w:r>
      <w:r w:rsidR="008C107F" w:rsidRPr="004B4540">
        <w:rPr>
          <w:rFonts w:cs="Times New Roman"/>
          <w:noProof/>
          <w:szCs w:val="24"/>
        </w:rPr>
        <w:t>fund investments in energy transformation</w:t>
      </w:r>
      <w:r w:rsidR="00BC355A" w:rsidRPr="004B4540">
        <w:rPr>
          <w:rFonts w:cs="Times New Roman"/>
          <w:noProof/>
          <w:szCs w:val="24"/>
        </w:rPr>
        <w:t xml:space="preserve"> and decarbonisation</w:t>
      </w:r>
      <w:r w:rsidR="008D45B7" w:rsidRPr="004B4540">
        <w:rPr>
          <w:rFonts w:cs="Times New Roman"/>
          <w:noProof/>
          <w:szCs w:val="24"/>
        </w:rPr>
        <w:t xml:space="preserve">, as well as </w:t>
      </w:r>
      <w:r w:rsidR="00C26583" w:rsidRPr="004B4540">
        <w:rPr>
          <w:rFonts w:cs="Times New Roman"/>
          <w:noProof/>
          <w:szCs w:val="24"/>
        </w:rPr>
        <w:t>social measures in support of the green transition</w:t>
      </w:r>
      <w:r w:rsidR="004B05E9" w:rsidRPr="004B4540">
        <w:rPr>
          <w:rFonts w:cs="Times New Roman"/>
          <w:noProof/>
          <w:szCs w:val="24"/>
        </w:rPr>
        <w:t xml:space="preserve">. </w:t>
      </w:r>
      <w:r w:rsidRPr="004B4540">
        <w:rPr>
          <w:rFonts w:cs="Times New Roman"/>
          <w:noProof/>
          <w:szCs w:val="24"/>
        </w:rPr>
        <w:t>Nevertheless, further emission reductions</w:t>
      </w:r>
      <w:r w:rsidR="009B1004" w:rsidRPr="004B4540">
        <w:rPr>
          <w:rFonts w:cs="Times New Roman"/>
          <w:noProof/>
          <w:szCs w:val="24"/>
        </w:rPr>
        <w:t xml:space="preserve">, </w:t>
      </w:r>
      <w:r w:rsidR="00F7049B" w:rsidRPr="004B4540">
        <w:rPr>
          <w:rFonts w:cs="Times New Roman"/>
          <w:noProof/>
          <w:szCs w:val="24"/>
        </w:rPr>
        <w:t>including</w:t>
      </w:r>
      <w:r w:rsidR="009B1004" w:rsidRPr="004B4540">
        <w:rPr>
          <w:rFonts w:cs="Times New Roman"/>
          <w:noProof/>
          <w:szCs w:val="24"/>
        </w:rPr>
        <w:t xml:space="preserve"> across other sectors, </w:t>
      </w:r>
      <w:r w:rsidRPr="004B4540">
        <w:rPr>
          <w:rFonts w:cs="Times New Roman"/>
          <w:noProof/>
          <w:szCs w:val="24"/>
        </w:rPr>
        <w:t xml:space="preserve">are needed to meet the </w:t>
      </w:r>
      <w:r w:rsidR="00A66A80" w:rsidRPr="004B4540">
        <w:rPr>
          <w:rFonts w:cs="Times New Roman"/>
          <w:noProof/>
          <w:szCs w:val="24"/>
        </w:rPr>
        <w:t xml:space="preserve">economy-wide </w:t>
      </w:r>
      <w:r w:rsidRPr="004B4540">
        <w:rPr>
          <w:rFonts w:cs="Times New Roman"/>
          <w:noProof/>
          <w:szCs w:val="24"/>
        </w:rPr>
        <w:t xml:space="preserve">climate </w:t>
      </w:r>
      <w:r w:rsidR="000548CE" w:rsidRPr="004B4540">
        <w:rPr>
          <w:rFonts w:cs="Times New Roman"/>
          <w:noProof/>
          <w:szCs w:val="24"/>
        </w:rPr>
        <w:t>targets under</w:t>
      </w:r>
      <w:r w:rsidRPr="004B4540">
        <w:rPr>
          <w:rFonts w:cs="Times New Roman"/>
          <w:noProof/>
          <w:szCs w:val="24"/>
        </w:rPr>
        <w:t xml:space="preserve"> the European Climate Law</w:t>
      </w:r>
      <w:r w:rsidR="009B1004" w:rsidRPr="004B4540">
        <w:rPr>
          <w:rStyle w:val="FootnoteReference"/>
          <w:rFonts w:cs="Times New Roman"/>
          <w:noProof/>
          <w:szCs w:val="24"/>
        </w:rPr>
        <w:footnoteReference w:id="3"/>
      </w:r>
      <w:r w:rsidRPr="004B4540">
        <w:rPr>
          <w:rFonts w:cs="Times New Roman"/>
          <w:noProof/>
          <w:szCs w:val="24"/>
        </w:rPr>
        <w:t>. The EU ETS is critical to achiev</w:t>
      </w:r>
      <w:r w:rsidR="00236CE9" w:rsidRPr="004B4540">
        <w:rPr>
          <w:rFonts w:cs="Times New Roman"/>
          <w:noProof/>
          <w:szCs w:val="24"/>
        </w:rPr>
        <w:t>ing</w:t>
      </w:r>
      <w:r w:rsidRPr="004B4540">
        <w:rPr>
          <w:rFonts w:cs="Times New Roman"/>
          <w:noProof/>
          <w:szCs w:val="24"/>
        </w:rPr>
        <w:t xml:space="preserve"> this</w:t>
      </w:r>
      <w:r w:rsidR="007550B6" w:rsidRPr="004B4540">
        <w:rPr>
          <w:rFonts w:cs="Times New Roman"/>
          <w:noProof/>
          <w:szCs w:val="24"/>
        </w:rPr>
        <w:t xml:space="preserve"> in a cost-efficient manner</w:t>
      </w:r>
      <w:r w:rsidRPr="004B4540">
        <w:rPr>
          <w:rFonts w:cs="Times New Roman"/>
          <w:noProof/>
          <w:szCs w:val="24"/>
        </w:rPr>
        <w:t>.</w:t>
      </w:r>
    </w:p>
    <w:p w14:paraId="78C60AEA" w14:textId="7C64917B" w:rsidR="00D53AD8" w:rsidRPr="004B4540" w:rsidRDefault="00D53AD8" w:rsidP="00FC4BBB">
      <w:pPr>
        <w:pStyle w:val="CMR23-text"/>
        <w:rPr>
          <w:rFonts w:cs="Times New Roman"/>
          <w:noProof/>
          <w:szCs w:val="24"/>
        </w:rPr>
      </w:pPr>
      <w:r w:rsidRPr="004B4540">
        <w:rPr>
          <w:rFonts w:cs="Times New Roman"/>
          <w:noProof/>
          <w:szCs w:val="24"/>
        </w:rPr>
        <w:t>To reach climate neutrality by mid-century, the EU has committed to reducing emissions by 2030 to at least 55% below 1990 level</w:t>
      </w:r>
      <w:r w:rsidR="001C71DC" w:rsidRPr="004B4540">
        <w:rPr>
          <w:rFonts w:cs="Times New Roman"/>
          <w:noProof/>
          <w:szCs w:val="24"/>
        </w:rPr>
        <w:t>s</w:t>
      </w:r>
      <w:r w:rsidRPr="004B4540">
        <w:rPr>
          <w:rFonts w:cs="Times New Roman"/>
          <w:noProof/>
          <w:szCs w:val="24"/>
        </w:rPr>
        <w:t xml:space="preserve">. </w:t>
      </w:r>
      <w:r w:rsidR="00FC4BBB" w:rsidRPr="004B4540">
        <w:rPr>
          <w:rFonts w:cs="Times New Roman"/>
          <w:noProof/>
          <w:szCs w:val="24"/>
        </w:rPr>
        <w:t>In July 2021, the European Commission presented a package of policy reforms</w:t>
      </w:r>
      <w:r w:rsidR="003E6034" w:rsidRPr="004B4540">
        <w:rPr>
          <w:rFonts w:cs="Times New Roman"/>
          <w:noProof/>
          <w:szCs w:val="24"/>
        </w:rPr>
        <w:t xml:space="preserve">, Fit for 55, to deliver </w:t>
      </w:r>
      <w:r w:rsidR="0038329A" w:rsidRPr="004B4540">
        <w:rPr>
          <w:rFonts w:cs="Times New Roman"/>
          <w:noProof/>
          <w:szCs w:val="24"/>
        </w:rPr>
        <w:t xml:space="preserve">this </w:t>
      </w:r>
      <w:r w:rsidR="00603C56" w:rsidRPr="004B4540">
        <w:rPr>
          <w:rFonts w:cs="Times New Roman"/>
          <w:noProof/>
          <w:szCs w:val="24"/>
        </w:rPr>
        <w:t>target</w:t>
      </w:r>
      <w:r w:rsidR="005C3FD7" w:rsidRPr="004B4540">
        <w:rPr>
          <w:rStyle w:val="FootnoteReference"/>
          <w:rFonts w:cs="Times New Roman"/>
          <w:noProof/>
          <w:szCs w:val="24"/>
        </w:rPr>
        <w:footnoteReference w:id="4"/>
      </w:r>
      <w:r w:rsidR="00603C56" w:rsidRPr="004B4540">
        <w:rPr>
          <w:rFonts w:cs="Times New Roman"/>
          <w:noProof/>
          <w:szCs w:val="24"/>
        </w:rPr>
        <w:t>,</w:t>
      </w:r>
      <w:r w:rsidR="00FC4BBB" w:rsidRPr="004B4540">
        <w:rPr>
          <w:rFonts w:cs="Times New Roman"/>
          <w:noProof/>
          <w:szCs w:val="24"/>
        </w:rPr>
        <w:t xml:space="preserve"> including a </w:t>
      </w:r>
      <w:r w:rsidR="00CB039E" w:rsidRPr="004B4540">
        <w:rPr>
          <w:rFonts w:cs="Times New Roman"/>
          <w:noProof/>
          <w:szCs w:val="24"/>
        </w:rPr>
        <w:t>reform</w:t>
      </w:r>
      <w:r w:rsidR="00FC4BBB" w:rsidRPr="004B4540">
        <w:rPr>
          <w:rFonts w:cs="Times New Roman"/>
          <w:noProof/>
          <w:szCs w:val="24"/>
        </w:rPr>
        <w:t xml:space="preserve"> of the EU ETS.</w:t>
      </w:r>
      <w:r w:rsidRPr="004B4540">
        <w:rPr>
          <w:rFonts w:cs="Times New Roman"/>
          <w:noProof/>
          <w:szCs w:val="24"/>
        </w:rPr>
        <w:t xml:space="preserve"> By Jun</w:t>
      </w:r>
      <w:r w:rsidR="00C80C5E" w:rsidRPr="004B4540">
        <w:rPr>
          <w:rFonts w:cs="Times New Roman"/>
          <w:noProof/>
          <w:szCs w:val="24"/>
        </w:rPr>
        <w:t>e</w:t>
      </w:r>
      <w:r w:rsidR="003B320C" w:rsidRPr="004B4540">
        <w:rPr>
          <w:rFonts w:cs="Times New Roman"/>
          <w:noProof/>
          <w:szCs w:val="24"/>
        </w:rPr>
        <w:t xml:space="preserve"> 2023, the European Parliament and </w:t>
      </w:r>
      <w:r w:rsidR="001D4E5D" w:rsidRPr="004B4540">
        <w:rPr>
          <w:rFonts w:cs="Times New Roman"/>
          <w:noProof/>
          <w:szCs w:val="24"/>
        </w:rPr>
        <w:t xml:space="preserve">Member States in </w:t>
      </w:r>
      <w:r w:rsidR="003B320C" w:rsidRPr="004B4540">
        <w:rPr>
          <w:rFonts w:cs="Times New Roman"/>
          <w:noProof/>
          <w:szCs w:val="24"/>
        </w:rPr>
        <w:t xml:space="preserve">the Council of the EU approved </w:t>
      </w:r>
      <w:r w:rsidR="001D4E5D" w:rsidRPr="004B4540">
        <w:rPr>
          <w:rFonts w:cs="Times New Roman"/>
          <w:noProof/>
          <w:szCs w:val="24"/>
        </w:rPr>
        <w:t>th</w:t>
      </w:r>
      <w:r w:rsidR="00EE3A65" w:rsidRPr="004B4540">
        <w:rPr>
          <w:rFonts w:cs="Times New Roman"/>
          <w:noProof/>
          <w:szCs w:val="24"/>
        </w:rPr>
        <w:t xml:space="preserve">is </w:t>
      </w:r>
      <w:r w:rsidR="00A85F03" w:rsidRPr="004B4540">
        <w:rPr>
          <w:rFonts w:cs="Times New Roman"/>
          <w:noProof/>
          <w:szCs w:val="24"/>
        </w:rPr>
        <w:t>and other related reforms</w:t>
      </w:r>
      <w:r w:rsidR="002715DB" w:rsidRPr="004B4540">
        <w:rPr>
          <w:rFonts w:cs="Times New Roman"/>
          <w:noProof/>
          <w:szCs w:val="24"/>
        </w:rPr>
        <w:t>.</w:t>
      </w:r>
      <w:r w:rsidR="005F69CF" w:rsidRPr="004B4540">
        <w:rPr>
          <w:rFonts w:cs="Times New Roman"/>
          <w:noProof/>
          <w:szCs w:val="24"/>
        </w:rPr>
        <w:t xml:space="preserve"> </w:t>
      </w:r>
      <w:r w:rsidR="001F0A89" w:rsidRPr="004B4540">
        <w:rPr>
          <w:rFonts w:cs="Times New Roman"/>
          <w:noProof/>
          <w:szCs w:val="24"/>
        </w:rPr>
        <w:t>Most of the changes to the EU ETS framework will take effect from 2024 onwards</w:t>
      </w:r>
      <w:r w:rsidR="00162B0C" w:rsidRPr="004B4540">
        <w:rPr>
          <w:rFonts w:cs="Times New Roman"/>
          <w:noProof/>
          <w:szCs w:val="24"/>
        </w:rPr>
        <w:t xml:space="preserve">. </w:t>
      </w:r>
    </w:p>
    <w:p w14:paraId="76F40860" w14:textId="5D4BB090" w:rsidR="005F188E" w:rsidRDefault="00011092" w:rsidP="00011092">
      <w:pPr>
        <w:pStyle w:val="CMR23-text"/>
        <w:rPr>
          <w:rStyle w:val="CMR23-textChar"/>
          <w:rFonts w:cs="Times New Roman"/>
          <w:noProof/>
          <w:szCs w:val="24"/>
        </w:rPr>
      </w:pPr>
      <w:r w:rsidRPr="004B4540">
        <w:rPr>
          <w:rStyle w:val="CMR23-textChar"/>
          <w:rFonts w:cs="Times New Roman"/>
          <w:noProof/>
          <w:szCs w:val="24"/>
        </w:rPr>
        <w:t>This report takes stock of the functioning of the EU ETS in 2022 and the first half of 2023</w:t>
      </w:r>
      <w:r w:rsidR="00BC355A" w:rsidRPr="004B4540">
        <w:rPr>
          <w:rStyle w:val="CMR23-textChar"/>
          <w:rFonts w:cs="Times New Roman"/>
          <w:noProof/>
          <w:szCs w:val="24"/>
        </w:rPr>
        <w:t xml:space="preserve"> – </w:t>
      </w:r>
      <w:r w:rsidR="00EC52A2" w:rsidRPr="004B4540">
        <w:rPr>
          <w:rStyle w:val="CMR23-textChar"/>
          <w:rFonts w:cs="Times New Roman"/>
          <w:noProof/>
          <w:szCs w:val="24"/>
        </w:rPr>
        <w:t>under the rules before the revision</w:t>
      </w:r>
      <w:r w:rsidRPr="004B4540">
        <w:rPr>
          <w:rStyle w:val="CMR23-textChar"/>
          <w:rFonts w:cs="Times New Roman"/>
          <w:noProof/>
          <w:szCs w:val="24"/>
        </w:rPr>
        <w:t xml:space="preserve">. It </w:t>
      </w:r>
      <w:r w:rsidR="00C10D2E" w:rsidRPr="004B4540">
        <w:rPr>
          <w:rStyle w:val="CMR23-textChar"/>
          <w:rFonts w:cs="Times New Roman"/>
          <w:noProof/>
          <w:szCs w:val="24"/>
        </w:rPr>
        <w:t>recaps</w:t>
      </w:r>
      <w:r w:rsidRPr="004B4540">
        <w:rPr>
          <w:rStyle w:val="CMR23-textChar"/>
          <w:rFonts w:cs="Times New Roman"/>
          <w:noProof/>
          <w:szCs w:val="24"/>
        </w:rPr>
        <w:t xml:space="preserve"> </w:t>
      </w:r>
      <w:r w:rsidR="00F47E4B" w:rsidRPr="004B4540">
        <w:rPr>
          <w:rStyle w:val="CMR23-textChar"/>
          <w:rFonts w:cs="Times New Roman"/>
          <w:noProof/>
          <w:szCs w:val="24"/>
        </w:rPr>
        <w:t xml:space="preserve">major </w:t>
      </w:r>
      <w:r w:rsidR="00272649" w:rsidRPr="004B4540">
        <w:rPr>
          <w:rStyle w:val="CMR23-textChar"/>
          <w:rFonts w:cs="Times New Roman"/>
          <w:noProof/>
          <w:szCs w:val="24"/>
        </w:rPr>
        <w:t>legislative</w:t>
      </w:r>
      <w:r w:rsidRPr="004B4540">
        <w:rPr>
          <w:rStyle w:val="CMR23-textChar"/>
          <w:rFonts w:cs="Times New Roman"/>
          <w:noProof/>
          <w:szCs w:val="24"/>
        </w:rPr>
        <w:t xml:space="preserve"> developments</w:t>
      </w:r>
      <w:r w:rsidR="00D808D8" w:rsidRPr="004B4540">
        <w:rPr>
          <w:rStyle w:val="CMR23-textChar"/>
          <w:rFonts w:cs="Times New Roman"/>
          <w:noProof/>
          <w:szCs w:val="24"/>
        </w:rPr>
        <w:t xml:space="preserve">, </w:t>
      </w:r>
      <w:r w:rsidR="00E95010" w:rsidRPr="004B4540">
        <w:rPr>
          <w:rStyle w:val="CMR23-textChar"/>
          <w:rFonts w:cs="Times New Roman"/>
          <w:noProof/>
          <w:szCs w:val="24"/>
        </w:rPr>
        <w:t>provides</w:t>
      </w:r>
      <w:r w:rsidRPr="004B4540">
        <w:rPr>
          <w:rStyle w:val="CMR23-textChar"/>
          <w:rFonts w:cs="Times New Roman"/>
          <w:noProof/>
          <w:szCs w:val="24"/>
        </w:rPr>
        <w:t xml:space="preserve"> </w:t>
      </w:r>
      <w:r w:rsidR="00D42276" w:rsidRPr="004B4540">
        <w:rPr>
          <w:rStyle w:val="CMR23-textChar"/>
          <w:rFonts w:cs="Times New Roman"/>
          <w:noProof/>
          <w:szCs w:val="24"/>
        </w:rPr>
        <w:t xml:space="preserve">an </w:t>
      </w:r>
      <w:r w:rsidR="003C4B0B" w:rsidRPr="004B4540">
        <w:rPr>
          <w:rStyle w:val="CMR23-textChar"/>
          <w:rFonts w:cs="Times New Roman"/>
          <w:noProof/>
          <w:szCs w:val="24"/>
        </w:rPr>
        <w:t xml:space="preserve">updated </w:t>
      </w:r>
      <w:r w:rsidRPr="004B4540">
        <w:rPr>
          <w:rStyle w:val="CMR23-textChar"/>
          <w:rFonts w:cs="Times New Roman"/>
          <w:noProof/>
          <w:szCs w:val="24"/>
        </w:rPr>
        <w:t>insight into key elements of the system’s framework</w:t>
      </w:r>
      <w:r w:rsidR="00D808D8" w:rsidRPr="004B4540">
        <w:rPr>
          <w:rStyle w:val="CMR23-textChar"/>
          <w:rFonts w:cs="Times New Roman"/>
          <w:noProof/>
          <w:szCs w:val="24"/>
        </w:rPr>
        <w:t xml:space="preserve"> and </w:t>
      </w:r>
      <w:r w:rsidR="00E42A6C" w:rsidRPr="004B4540">
        <w:rPr>
          <w:rStyle w:val="CMR23-textChar"/>
          <w:rFonts w:cs="Times New Roman"/>
          <w:noProof/>
          <w:szCs w:val="24"/>
        </w:rPr>
        <w:t xml:space="preserve">compiles </w:t>
      </w:r>
      <w:r w:rsidR="005B58AB" w:rsidRPr="004B4540">
        <w:rPr>
          <w:rStyle w:val="CMR23-textChar"/>
          <w:rFonts w:cs="Times New Roman"/>
          <w:noProof/>
          <w:szCs w:val="24"/>
        </w:rPr>
        <w:t>intermittent outcomes</w:t>
      </w:r>
      <w:r w:rsidR="00427028" w:rsidRPr="004B4540">
        <w:rPr>
          <w:rStyle w:val="CMR23-textChar"/>
          <w:rFonts w:cs="Times New Roman"/>
          <w:noProof/>
          <w:szCs w:val="24"/>
        </w:rPr>
        <w:t xml:space="preserve"> </w:t>
      </w:r>
      <w:r w:rsidR="009F7267" w:rsidRPr="004B4540">
        <w:rPr>
          <w:rStyle w:val="CMR23-textChar"/>
          <w:rFonts w:cs="Times New Roman"/>
          <w:noProof/>
          <w:szCs w:val="24"/>
        </w:rPr>
        <w:t>of emission trends and auction revenue</w:t>
      </w:r>
      <w:r w:rsidRPr="004B4540">
        <w:rPr>
          <w:rStyle w:val="CMR23-textChar"/>
          <w:rFonts w:cs="Times New Roman"/>
          <w:noProof/>
          <w:szCs w:val="24"/>
        </w:rPr>
        <w:t>. The report is</w:t>
      </w:r>
      <w:r w:rsidR="00D42276" w:rsidRPr="004B4540">
        <w:rPr>
          <w:rStyle w:val="CMR23-textChar"/>
          <w:rFonts w:cs="Times New Roman"/>
          <w:noProof/>
          <w:szCs w:val="24"/>
        </w:rPr>
        <w:t xml:space="preserve"> presented</w:t>
      </w:r>
      <w:r w:rsidRPr="004B4540">
        <w:rPr>
          <w:rStyle w:val="CMR23-textChar"/>
          <w:rFonts w:cs="Times New Roman"/>
          <w:noProof/>
          <w:szCs w:val="24"/>
        </w:rPr>
        <w:t xml:space="preserve"> in line with Articles 10(5) and 21(2) of </w:t>
      </w:r>
      <w:r w:rsidR="005D4B4E" w:rsidRPr="004B4540">
        <w:rPr>
          <w:rStyle w:val="CMR23-textChar"/>
          <w:rFonts w:cs="Times New Roman"/>
          <w:noProof/>
          <w:szCs w:val="24"/>
        </w:rPr>
        <w:t>Directive 2003/87/EC</w:t>
      </w:r>
      <w:r w:rsidR="005D4B4E" w:rsidRPr="004B4540">
        <w:rPr>
          <w:rStyle w:val="CMR23-textChar"/>
          <w:rFonts w:cs="Times New Roman"/>
          <w:noProof/>
          <w:szCs w:val="24"/>
          <w:vertAlign w:val="superscript"/>
        </w:rPr>
        <w:footnoteReference w:id="5"/>
      </w:r>
      <w:r w:rsidR="005D4B4E" w:rsidRPr="004B4540">
        <w:rPr>
          <w:rStyle w:val="CMR23-textChar"/>
          <w:rFonts w:cs="Times New Roman"/>
          <w:noProof/>
          <w:szCs w:val="24"/>
        </w:rPr>
        <w:t xml:space="preserve"> (</w:t>
      </w:r>
      <w:r w:rsidRPr="004B4540">
        <w:rPr>
          <w:rStyle w:val="CMR23-textChar"/>
          <w:rFonts w:cs="Times New Roman"/>
          <w:noProof/>
          <w:szCs w:val="24"/>
        </w:rPr>
        <w:t>ETS Directive</w:t>
      </w:r>
      <w:r w:rsidR="005D4B4E" w:rsidRPr="004B4540">
        <w:rPr>
          <w:rStyle w:val="CMR23-textChar"/>
          <w:rFonts w:cs="Times New Roman"/>
          <w:noProof/>
          <w:szCs w:val="24"/>
        </w:rPr>
        <w:t>)</w:t>
      </w:r>
      <w:r w:rsidR="007D69C5" w:rsidRPr="004B4540">
        <w:rPr>
          <w:rStyle w:val="CMR23-textChar"/>
          <w:rFonts w:cs="Times New Roman"/>
          <w:noProof/>
          <w:szCs w:val="24"/>
        </w:rPr>
        <w:t>.</w:t>
      </w:r>
      <w:r w:rsidRPr="004B4540">
        <w:rPr>
          <w:rStyle w:val="CMR23-textChar"/>
          <w:rFonts w:cs="Times New Roman"/>
          <w:noProof/>
          <w:szCs w:val="24"/>
        </w:rPr>
        <w:t xml:space="preserve"> It is based mostly on data from the </w:t>
      </w:r>
      <w:r w:rsidR="00E5561F" w:rsidRPr="004B4540">
        <w:rPr>
          <w:rStyle w:val="CMR23-textChar"/>
          <w:rFonts w:cs="Times New Roman"/>
          <w:noProof/>
          <w:szCs w:val="24"/>
        </w:rPr>
        <w:t xml:space="preserve">Union </w:t>
      </w:r>
      <w:r w:rsidRPr="004B4540">
        <w:rPr>
          <w:rStyle w:val="CMR23-textChar"/>
          <w:rFonts w:cs="Times New Roman"/>
          <w:noProof/>
          <w:szCs w:val="24"/>
        </w:rPr>
        <w:t xml:space="preserve">Registry, the EU Transaction Log (EUTL) </w:t>
      </w:r>
      <w:r w:rsidR="0095162C" w:rsidRPr="004B4540">
        <w:rPr>
          <w:rStyle w:val="CMR23-textChar"/>
          <w:rFonts w:cs="Times New Roman"/>
          <w:noProof/>
          <w:szCs w:val="24"/>
        </w:rPr>
        <w:t>and</w:t>
      </w:r>
      <w:r w:rsidRPr="004B4540">
        <w:rPr>
          <w:rStyle w:val="CMR23-textChar"/>
          <w:rFonts w:cs="Times New Roman"/>
          <w:noProof/>
          <w:szCs w:val="24"/>
        </w:rPr>
        <w:t xml:space="preserve"> </w:t>
      </w:r>
      <w:r w:rsidR="001534A3" w:rsidRPr="004B4540">
        <w:rPr>
          <w:rStyle w:val="CMR23-textChar"/>
          <w:rFonts w:cs="Times New Roman"/>
          <w:noProof/>
          <w:szCs w:val="24"/>
        </w:rPr>
        <w:t xml:space="preserve">reports </w:t>
      </w:r>
      <w:r w:rsidRPr="004B4540">
        <w:rPr>
          <w:rStyle w:val="CMR23-textChar"/>
          <w:rFonts w:cs="Times New Roman"/>
          <w:noProof/>
          <w:szCs w:val="24"/>
        </w:rPr>
        <w:t>submitted by Member States under Article 21 of the ETS Directive.</w:t>
      </w:r>
      <w:r w:rsidR="007D69C5" w:rsidRPr="004B4540">
        <w:rPr>
          <w:rStyle w:val="CMR23-textChar"/>
          <w:rFonts w:cs="Times New Roman"/>
          <w:noProof/>
          <w:szCs w:val="24"/>
        </w:rPr>
        <w:t xml:space="preserve"> I</w:t>
      </w:r>
      <w:r w:rsidR="00371E26" w:rsidRPr="004B4540">
        <w:rPr>
          <w:rStyle w:val="CMR23-textChar"/>
          <w:rFonts w:cs="Times New Roman"/>
          <w:noProof/>
          <w:szCs w:val="24"/>
        </w:rPr>
        <w:t xml:space="preserve">t </w:t>
      </w:r>
      <w:r w:rsidR="0081512A" w:rsidRPr="004B4540">
        <w:rPr>
          <w:rStyle w:val="CMR23-textChar"/>
          <w:rFonts w:cs="Times New Roman"/>
          <w:noProof/>
          <w:szCs w:val="24"/>
        </w:rPr>
        <w:t xml:space="preserve">is accompanied </w:t>
      </w:r>
      <w:r w:rsidR="00371E26" w:rsidRPr="004B4540">
        <w:rPr>
          <w:rStyle w:val="CMR23-textChar"/>
          <w:rFonts w:cs="Times New Roman"/>
          <w:noProof/>
          <w:szCs w:val="24"/>
        </w:rPr>
        <w:t>by a technical document</w:t>
      </w:r>
      <w:r w:rsidR="00E268E3" w:rsidRPr="004B4540">
        <w:rPr>
          <w:rStyle w:val="CMR23-textChar"/>
          <w:rFonts w:cs="Times New Roman"/>
          <w:noProof/>
          <w:szCs w:val="24"/>
        </w:rPr>
        <w:t xml:space="preserve"> </w:t>
      </w:r>
      <w:r w:rsidR="00222C90" w:rsidRPr="004B4540">
        <w:rPr>
          <w:rStyle w:val="CMR23-textChar"/>
          <w:rFonts w:cs="Times New Roman"/>
          <w:noProof/>
          <w:szCs w:val="24"/>
        </w:rPr>
        <w:t xml:space="preserve">with supplementary </w:t>
      </w:r>
      <w:r w:rsidR="00F665A7" w:rsidRPr="004B4540">
        <w:rPr>
          <w:rStyle w:val="CMR23-textChar"/>
          <w:rFonts w:cs="Times New Roman"/>
          <w:noProof/>
          <w:szCs w:val="24"/>
        </w:rPr>
        <w:t>information</w:t>
      </w:r>
      <w:r w:rsidR="001C7FB0" w:rsidRPr="004B4540">
        <w:rPr>
          <w:rStyle w:val="CMR23-textChar"/>
          <w:rFonts w:cs="Times New Roman"/>
          <w:noProof/>
          <w:szCs w:val="24"/>
        </w:rPr>
        <w:t xml:space="preserve"> (</w:t>
      </w:r>
      <w:r w:rsidR="004A3C8F">
        <w:rPr>
          <w:rStyle w:val="CMR23-textChar"/>
          <w:rFonts w:cs="Times New Roman"/>
          <w:noProof/>
          <w:szCs w:val="24"/>
        </w:rPr>
        <w:t>Staff working document</w:t>
      </w:r>
      <w:r w:rsidR="009F78C2">
        <w:rPr>
          <w:rStyle w:val="FootnoteReference"/>
          <w:rFonts w:cs="Times New Roman"/>
          <w:noProof/>
          <w:szCs w:val="24"/>
        </w:rPr>
        <w:footnoteReference w:id="6"/>
      </w:r>
      <w:r w:rsidR="001C7FB0" w:rsidRPr="004B4540">
        <w:rPr>
          <w:rStyle w:val="CMR23-textChar"/>
          <w:rFonts w:cs="Times New Roman"/>
          <w:noProof/>
          <w:szCs w:val="24"/>
        </w:rPr>
        <w:t>)</w:t>
      </w:r>
      <w:r w:rsidR="00ED7556" w:rsidRPr="004B4540">
        <w:rPr>
          <w:rStyle w:val="CMR23-textChar"/>
          <w:rFonts w:cs="Times New Roman"/>
          <w:noProof/>
          <w:szCs w:val="24"/>
        </w:rPr>
        <w:t>.</w:t>
      </w:r>
    </w:p>
    <w:p w14:paraId="607324B0" w14:textId="0F276FAD" w:rsidR="00011092" w:rsidRPr="004B4540" w:rsidRDefault="00ED7556" w:rsidP="00011092">
      <w:pPr>
        <w:pStyle w:val="CMR23-text"/>
        <w:rPr>
          <w:rStyle w:val="CMR23-textChar"/>
          <w:rFonts w:cs="Times New Roman"/>
          <w:noProof/>
          <w:szCs w:val="24"/>
        </w:rPr>
      </w:pPr>
      <w:r w:rsidRPr="004B4540">
        <w:rPr>
          <w:rStyle w:val="CMR23-textChar"/>
          <w:rFonts w:cs="Times New Roman"/>
          <w:noProof/>
          <w:szCs w:val="24"/>
        </w:rPr>
        <w:t xml:space="preserve"> </w:t>
      </w:r>
    </w:p>
    <w:p w14:paraId="5F310E54" w14:textId="227FAB2E" w:rsidR="00A54D47" w:rsidRPr="004B4540" w:rsidRDefault="00175BA6" w:rsidP="002A6B05">
      <w:pPr>
        <w:pStyle w:val="CMR23-heading"/>
        <w:rPr>
          <w:rFonts w:cs="Times New Roman"/>
          <w:noProof/>
          <w:sz w:val="24"/>
          <w:szCs w:val="24"/>
          <w:lang w:val="en-GB"/>
        </w:rPr>
      </w:pPr>
      <w:bookmarkStart w:id="8" w:name="_Toc145453228"/>
      <w:bookmarkStart w:id="9" w:name="_Toc148555873"/>
      <w:r w:rsidRPr="004B4540">
        <w:rPr>
          <w:rFonts w:cs="Times New Roman"/>
          <w:noProof/>
          <w:sz w:val="24"/>
          <w:szCs w:val="24"/>
          <w:lang w:val="en-GB"/>
        </w:rPr>
        <w:t xml:space="preserve">Important </w:t>
      </w:r>
      <w:r w:rsidR="00272649" w:rsidRPr="004B4540">
        <w:rPr>
          <w:rFonts w:cs="Times New Roman"/>
          <w:noProof/>
          <w:sz w:val="24"/>
          <w:szCs w:val="24"/>
          <w:lang w:val="en-GB"/>
        </w:rPr>
        <w:t xml:space="preserve">legislative </w:t>
      </w:r>
      <w:r w:rsidRPr="004B4540">
        <w:rPr>
          <w:rFonts w:cs="Times New Roman"/>
          <w:noProof/>
          <w:sz w:val="24"/>
          <w:szCs w:val="24"/>
          <w:lang w:val="en-GB"/>
        </w:rPr>
        <w:t>developments</w:t>
      </w:r>
      <w:bookmarkEnd w:id="8"/>
      <w:bookmarkEnd w:id="9"/>
    </w:p>
    <w:p w14:paraId="7FD9222F" w14:textId="72694FA0" w:rsidR="0090381A" w:rsidRPr="004B4540" w:rsidRDefault="0029097D" w:rsidP="0090381A">
      <w:pPr>
        <w:pStyle w:val="CMR23-text"/>
        <w:rPr>
          <w:rFonts w:cs="Times New Roman"/>
          <w:noProof/>
          <w:szCs w:val="24"/>
        </w:rPr>
      </w:pPr>
      <w:r w:rsidRPr="004B4540">
        <w:rPr>
          <w:rFonts w:cs="Times New Roman"/>
          <w:noProof/>
          <w:szCs w:val="24"/>
        </w:rPr>
        <w:t xml:space="preserve">In the first half of 2023, important amendments to the EU ETS framework were adopted in the context of the Fit for 55 package and as part of the EU’s response to the energy crisis </w:t>
      </w:r>
      <w:bookmarkStart w:id="10" w:name="_Hlk148363464"/>
      <w:r w:rsidRPr="004B4540">
        <w:rPr>
          <w:rFonts w:cs="Times New Roman"/>
          <w:noProof/>
          <w:szCs w:val="24"/>
        </w:rPr>
        <w:t>(REPowerEU).</w:t>
      </w:r>
      <w:bookmarkEnd w:id="10"/>
      <w:r w:rsidRPr="004B4540">
        <w:rPr>
          <w:rFonts w:cs="Times New Roman"/>
          <w:noProof/>
          <w:szCs w:val="24"/>
        </w:rPr>
        <w:t xml:space="preserve"> This chapter summarises these developments. They will be accounted for in detail </w:t>
      </w:r>
      <w:bookmarkStart w:id="11" w:name="_Hlk148363485"/>
      <w:r w:rsidRPr="004B4540">
        <w:rPr>
          <w:rFonts w:cs="Times New Roman"/>
          <w:noProof/>
          <w:szCs w:val="24"/>
        </w:rPr>
        <w:t>in future reports on the functioning of the EU ETS once they take effect</w:t>
      </w:r>
      <w:bookmarkEnd w:id="11"/>
      <w:r w:rsidRPr="004B4540">
        <w:rPr>
          <w:rFonts w:cs="Times New Roman"/>
          <w:noProof/>
          <w:szCs w:val="24"/>
        </w:rPr>
        <w:t>.</w:t>
      </w:r>
    </w:p>
    <w:p w14:paraId="252724E9" w14:textId="52B2D941" w:rsidR="00595C46" w:rsidRPr="004B4540" w:rsidRDefault="0090381A" w:rsidP="00B36B2C">
      <w:pPr>
        <w:pStyle w:val="CMR2023-SUBheading"/>
        <w:rPr>
          <w:rFonts w:cs="Times New Roman"/>
          <w:noProof/>
          <w:szCs w:val="24"/>
        </w:rPr>
      </w:pPr>
      <w:bookmarkStart w:id="12" w:name="_Toc145453229"/>
      <w:bookmarkStart w:id="13" w:name="_Toc148555874"/>
      <w:r w:rsidRPr="004B4540">
        <w:rPr>
          <w:rFonts w:cs="Times New Roman"/>
          <w:noProof/>
          <w:szCs w:val="24"/>
        </w:rPr>
        <w:t>Reform</w:t>
      </w:r>
      <w:r w:rsidR="00595C46" w:rsidRPr="004B4540">
        <w:rPr>
          <w:rFonts w:cs="Times New Roman"/>
          <w:noProof/>
          <w:szCs w:val="24"/>
        </w:rPr>
        <w:t xml:space="preserve"> of the EU ETS in the context of the European Green Deal</w:t>
      </w:r>
      <w:bookmarkStart w:id="14" w:name="_Hlk145325373"/>
      <w:bookmarkEnd w:id="12"/>
      <w:bookmarkEnd w:id="13"/>
    </w:p>
    <w:bookmarkEnd w:id="14"/>
    <w:p w14:paraId="08B57E15" w14:textId="4D20B32C" w:rsidR="00E95010" w:rsidRPr="004B4540" w:rsidRDefault="00F8435E" w:rsidP="00E95010">
      <w:pPr>
        <w:pStyle w:val="CMR23-text"/>
        <w:rPr>
          <w:rFonts w:cs="Times New Roman"/>
          <w:noProof/>
          <w:szCs w:val="24"/>
        </w:rPr>
      </w:pPr>
      <w:r w:rsidRPr="004B4540">
        <w:rPr>
          <w:rFonts w:cs="Times New Roman"/>
          <w:noProof/>
          <w:szCs w:val="24"/>
        </w:rPr>
        <w:t>The following</w:t>
      </w:r>
      <w:r w:rsidR="00E95010" w:rsidRPr="004B4540">
        <w:rPr>
          <w:rFonts w:cs="Times New Roman"/>
          <w:noProof/>
          <w:szCs w:val="24"/>
        </w:rPr>
        <w:t xml:space="preserve"> reforms </w:t>
      </w:r>
      <w:r w:rsidR="00D95B68" w:rsidRPr="004B4540">
        <w:rPr>
          <w:rFonts w:cs="Times New Roman"/>
          <w:noProof/>
          <w:szCs w:val="24"/>
        </w:rPr>
        <w:t>made</w:t>
      </w:r>
      <w:r w:rsidR="00512D2F" w:rsidRPr="004B4540">
        <w:rPr>
          <w:rFonts w:cs="Times New Roman"/>
          <w:noProof/>
          <w:szCs w:val="24"/>
        </w:rPr>
        <w:t xml:space="preserve"> </w:t>
      </w:r>
      <w:r w:rsidR="00E95010" w:rsidRPr="004B4540">
        <w:rPr>
          <w:rFonts w:cs="Times New Roman"/>
          <w:noProof/>
          <w:szCs w:val="24"/>
        </w:rPr>
        <w:t xml:space="preserve">as part of the </w:t>
      </w:r>
      <w:r w:rsidR="003A3747" w:rsidRPr="004B4540">
        <w:rPr>
          <w:rFonts w:cs="Times New Roman"/>
          <w:noProof/>
          <w:szCs w:val="24"/>
        </w:rPr>
        <w:t>‘</w:t>
      </w:r>
      <w:r w:rsidR="00E95010" w:rsidRPr="004B4540">
        <w:rPr>
          <w:rFonts w:cs="Times New Roman"/>
          <w:noProof/>
          <w:szCs w:val="24"/>
        </w:rPr>
        <w:t>Fit for 55</w:t>
      </w:r>
      <w:r w:rsidR="003A3747" w:rsidRPr="004B4540">
        <w:rPr>
          <w:rFonts w:cs="Times New Roman"/>
          <w:noProof/>
          <w:szCs w:val="24"/>
        </w:rPr>
        <w:t>’</w:t>
      </w:r>
      <w:r w:rsidR="00E95010" w:rsidRPr="004B4540">
        <w:rPr>
          <w:rFonts w:cs="Times New Roman"/>
          <w:noProof/>
          <w:szCs w:val="24"/>
        </w:rPr>
        <w:t xml:space="preserve"> package concern the ETS Directive or related legislation</w:t>
      </w:r>
      <w:r w:rsidR="00905173" w:rsidRPr="004B4540">
        <w:rPr>
          <w:rFonts w:cs="Times New Roman"/>
          <w:noProof/>
          <w:szCs w:val="24"/>
        </w:rPr>
        <w:t xml:space="preserve">. </w:t>
      </w:r>
      <w:r w:rsidR="009A7DCB" w:rsidRPr="004B4540">
        <w:rPr>
          <w:rFonts w:cs="Times New Roman"/>
          <w:noProof/>
          <w:szCs w:val="24"/>
        </w:rPr>
        <w:t>By</w:t>
      </w:r>
      <w:r w:rsidR="0030531E" w:rsidRPr="004B4540">
        <w:rPr>
          <w:rFonts w:cs="Times New Roman"/>
          <w:noProof/>
          <w:szCs w:val="24"/>
        </w:rPr>
        <w:t xml:space="preserve"> the end of</w:t>
      </w:r>
      <w:r w:rsidR="009A7DCB" w:rsidRPr="004B4540">
        <w:rPr>
          <w:rFonts w:cs="Times New Roman"/>
          <w:noProof/>
          <w:szCs w:val="24"/>
        </w:rPr>
        <w:t xml:space="preserve"> June 2023, </w:t>
      </w:r>
      <w:r w:rsidR="006C5766" w:rsidRPr="004B4540">
        <w:rPr>
          <w:rFonts w:cs="Times New Roman"/>
          <w:noProof/>
          <w:szCs w:val="24"/>
        </w:rPr>
        <w:t>they had all been adopted</w:t>
      </w:r>
      <w:r w:rsidR="00A21D7A" w:rsidRPr="004B4540">
        <w:rPr>
          <w:rFonts w:cs="Times New Roman"/>
          <w:noProof/>
          <w:szCs w:val="24"/>
        </w:rPr>
        <w:t>.</w:t>
      </w:r>
    </w:p>
    <w:p w14:paraId="35B2A7CC" w14:textId="370CF004" w:rsidR="00E95010" w:rsidRPr="004B4540" w:rsidRDefault="00447043" w:rsidP="00161178">
      <w:pPr>
        <w:pStyle w:val="CMR23-text"/>
        <w:numPr>
          <w:ilvl w:val="0"/>
          <w:numId w:val="21"/>
        </w:numPr>
        <w:rPr>
          <w:rFonts w:cs="Times New Roman"/>
          <w:noProof/>
          <w:szCs w:val="24"/>
        </w:rPr>
      </w:pPr>
      <w:r w:rsidRPr="004B4540">
        <w:rPr>
          <w:rFonts w:cs="Times New Roman"/>
          <w:noProof/>
          <w:szCs w:val="24"/>
        </w:rPr>
        <w:t xml:space="preserve">Reform </w:t>
      </w:r>
      <w:r w:rsidR="00E95010" w:rsidRPr="004B4540">
        <w:rPr>
          <w:rFonts w:cs="Times New Roman"/>
          <w:noProof/>
          <w:szCs w:val="24"/>
        </w:rPr>
        <w:t xml:space="preserve">increasing the ambition of the EU </w:t>
      </w:r>
      <w:r w:rsidR="005C13EF" w:rsidRPr="004B4540">
        <w:rPr>
          <w:rFonts w:cs="Times New Roman"/>
          <w:noProof/>
          <w:szCs w:val="24"/>
        </w:rPr>
        <w:t>ETS</w:t>
      </w:r>
      <w:r w:rsidR="00C36CCE" w:rsidRPr="004B4540">
        <w:rPr>
          <w:rFonts w:cs="Times New Roman"/>
          <w:noProof/>
          <w:szCs w:val="24"/>
        </w:rPr>
        <w:t xml:space="preserve"> – adopted on 10</w:t>
      </w:r>
      <w:r w:rsidR="00F336D2" w:rsidRPr="004B4540">
        <w:rPr>
          <w:rFonts w:cs="Times New Roman"/>
          <w:noProof/>
          <w:szCs w:val="24"/>
        </w:rPr>
        <w:t> </w:t>
      </w:r>
      <w:r w:rsidR="00C36CCE" w:rsidRPr="004B4540">
        <w:rPr>
          <w:rFonts w:cs="Times New Roman"/>
          <w:noProof/>
          <w:szCs w:val="24"/>
        </w:rPr>
        <w:t>May 2023</w:t>
      </w:r>
      <w:r w:rsidR="007971A8" w:rsidRPr="004B4540">
        <w:rPr>
          <w:rStyle w:val="FootnoteReference"/>
          <w:rFonts w:cs="Times New Roman"/>
          <w:noProof/>
          <w:szCs w:val="24"/>
        </w:rPr>
        <w:footnoteReference w:id="7"/>
      </w:r>
      <w:r w:rsidR="00C36CCE" w:rsidRPr="004B4540">
        <w:rPr>
          <w:rFonts w:cs="Times New Roman"/>
          <w:noProof/>
          <w:szCs w:val="24"/>
        </w:rPr>
        <w:t>.</w:t>
      </w:r>
    </w:p>
    <w:p w14:paraId="21DC117B" w14:textId="128B9FEB" w:rsidR="00E95010" w:rsidRPr="004B4540" w:rsidRDefault="00447043" w:rsidP="00161178">
      <w:pPr>
        <w:pStyle w:val="CMR23-text"/>
        <w:numPr>
          <w:ilvl w:val="0"/>
          <w:numId w:val="21"/>
        </w:numPr>
        <w:rPr>
          <w:rFonts w:cs="Times New Roman"/>
          <w:noProof/>
          <w:szCs w:val="24"/>
        </w:rPr>
      </w:pPr>
      <w:r w:rsidRPr="004B4540">
        <w:rPr>
          <w:rFonts w:cs="Times New Roman"/>
          <w:noProof/>
          <w:szCs w:val="24"/>
        </w:rPr>
        <w:t>Reform s</w:t>
      </w:r>
      <w:r w:rsidR="00E95010" w:rsidRPr="004B4540">
        <w:rPr>
          <w:rFonts w:cs="Times New Roman"/>
          <w:noProof/>
          <w:szCs w:val="24"/>
        </w:rPr>
        <w:t>trengthening</w:t>
      </w:r>
      <w:r w:rsidR="00C1064F" w:rsidRPr="004B4540">
        <w:rPr>
          <w:rFonts w:cs="Times New Roman"/>
          <w:noProof/>
          <w:szCs w:val="24"/>
        </w:rPr>
        <w:t xml:space="preserve"> </w:t>
      </w:r>
      <w:r w:rsidR="00E95010" w:rsidRPr="004B4540">
        <w:rPr>
          <w:rFonts w:cs="Times New Roman"/>
          <w:noProof/>
          <w:szCs w:val="24"/>
        </w:rPr>
        <w:t xml:space="preserve">the Market Stability Reserve </w:t>
      </w:r>
      <w:r w:rsidR="00C36CCE" w:rsidRPr="004B4540">
        <w:rPr>
          <w:rFonts w:cs="Times New Roman"/>
          <w:noProof/>
          <w:szCs w:val="24"/>
        </w:rPr>
        <w:t xml:space="preserve">– adopted on </w:t>
      </w:r>
      <w:r w:rsidR="008A3A67" w:rsidRPr="004B4540">
        <w:rPr>
          <w:rFonts w:cs="Times New Roman"/>
          <w:noProof/>
          <w:szCs w:val="24"/>
        </w:rPr>
        <w:t>19</w:t>
      </w:r>
      <w:r w:rsidR="00F336D2" w:rsidRPr="004B4540">
        <w:rPr>
          <w:rFonts w:cs="Times New Roman"/>
          <w:noProof/>
          <w:szCs w:val="24"/>
        </w:rPr>
        <w:t> </w:t>
      </w:r>
      <w:r w:rsidR="00A546E5" w:rsidRPr="004B4540">
        <w:rPr>
          <w:rFonts w:cs="Times New Roman"/>
          <w:noProof/>
          <w:szCs w:val="24"/>
        </w:rPr>
        <w:t>April 2023</w:t>
      </w:r>
      <w:r w:rsidR="008A3A67" w:rsidRPr="004B4540">
        <w:rPr>
          <w:rStyle w:val="FootnoteReference"/>
          <w:rFonts w:cs="Times New Roman"/>
          <w:noProof/>
          <w:szCs w:val="24"/>
        </w:rPr>
        <w:footnoteReference w:id="8"/>
      </w:r>
      <w:r w:rsidR="00A546E5" w:rsidRPr="004B4540">
        <w:rPr>
          <w:rFonts w:cs="Times New Roman"/>
          <w:noProof/>
          <w:szCs w:val="24"/>
        </w:rPr>
        <w:t>.</w:t>
      </w:r>
    </w:p>
    <w:p w14:paraId="12976365" w14:textId="45EF55A1" w:rsidR="00E95010" w:rsidRPr="004B4540" w:rsidRDefault="00447043" w:rsidP="00161178">
      <w:pPr>
        <w:pStyle w:val="CMR23-text"/>
        <w:numPr>
          <w:ilvl w:val="0"/>
          <w:numId w:val="21"/>
        </w:numPr>
        <w:rPr>
          <w:rFonts w:cs="Times New Roman"/>
          <w:noProof/>
          <w:szCs w:val="24"/>
        </w:rPr>
      </w:pPr>
      <w:r w:rsidRPr="004B4540">
        <w:rPr>
          <w:rFonts w:cs="Times New Roman"/>
          <w:noProof/>
          <w:szCs w:val="24"/>
        </w:rPr>
        <w:t>Reform of the EU ETS</w:t>
      </w:r>
      <w:r w:rsidR="00E95010" w:rsidRPr="004B4540">
        <w:rPr>
          <w:rFonts w:cs="Times New Roman"/>
          <w:noProof/>
          <w:szCs w:val="24"/>
        </w:rPr>
        <w:t xml:space="preserve"> concerning aviation</w:t>
      </w:r>
      <w:r w:rsidR="00A546E5" w:rsidRPr="004B4540">
        <w:rPr>
          <w:rFonts w:cs="Times New Roman"/>
          <w:noProof/>
          <w:szCs w:val="24"/>
        </w:rPr>
        <w:t xml:space="preserve"> – adopted on </w:t>
      </w:r>
      <w:r w:rsidR="009D05B5" w:rsidRPr="004B4540">
        <w:rPr>
          <w:rFonts w:cs="Times New Roman"/>
          <w:noProof/>
          <w:szCs w:val="24"/>
        </w:rPr>
        <w:t>18</w:t>
      </w:r>
      <w:r w:rsidR="00F336D2" w:rsidRPr="004B4540">
        <w:rPr>
          <w:rFonts w:cs="Times New Roman"/>
          <w:noProof/>
          <w:szCs w:val="24"/>
        </w:rPr>
        <w:t> </w:t>
      </w:r>
      <w:r w:rsidR="009D05B5" w:rsidRPr="004B4540">
        <w:rPr>
          <w:rFonts w:cs="Times New Roman"/>
          <w:noProof/>
          <w:szCs w:val="24"/>
        </w:rPr>
        <w:t>January</w:t>
      </w:r>
      <w:r w:rsidR="009D05B5" w:rsidRPr="004B4540">
        <w:rPr>
          <w:rStyle w:val="FootnoteReference"/>
          <w:rFonts w:cs="Times New Roman"/>
          <w:noProof/>
          <w:szCs w:val="24"/>
        </w:rPr>
        <w:footnoteReference w:id="9"/>
      </w:r>
      <w:r w:rsidR="009D05B5" w:rsidRPr="004B4540">
        <w:rPr>
          <w:rFonts w:cs="Times New Roman"/>
          <w:noProof/>
          <w:szCs w:val="24"/>
        </w:rPr>
        <w:t xml:space="preserve"> and </w:t>
      </w:r>
      <w:r w:rsidR="006245C2" w:rsidRPr="004B4540">
        <w:rPr>
          <w:rFonts w:cs="Times New Roman"/>
          <w:noProof/>
          <w:szCs w:val="24"/>
        </w:rPr>
        <w:t>10</w:t>
      </w:r>
      <w:r w:rsidR="00F336D2" w:rsidRPr="004B4540">
        <w:rPr>
          <w:rFonts w:cs="Times New Roman"/>
          <w:noProof/>
          <w:szCs w:val="24"/>
        </w:rPr>
        <w:t> </w:t>
      </w:r>
      <w:r w:rsidR="006245C2" w:rsidRPr="004B4540">
        <w:rPr>
          <w:rFonts w:cs="Times New Roman"/>
          <w:noProof/>
          <w:szCs w:val="24"/>
        </w:rPr>
        <w:t xml:space="preserve">May </w:t>
      </w:r>
      <w:r w:rsidR="00A546E5" w:rsidRPr="004B4540">
        <w:rPr>
          <w:rFonts w:cs="Times New Roman"/>
          <w:noProof/>
          <w:szCs w:val="24"/>
        </w:rPr>
        <w:t>2023</w:t>
      </w:r>
      <w:r w:rsidR="006245C2" w:rsidRPr="004B4540">
        <w:rPr>
          <w:rStyle w:val="FootnoteReference"/>
          <w:rFonts w:cs="Times New Roman"/>
          <w:noProof/>
          <w:szCs w:val="24"/>
        </w:rPr>
        <w:footnoteReference w:id="10"/>
      </w:r>
      <w:r w:rsidR="00A546E5" w:rsidRPr="004B4540">
        <w:rPr>
          <w:rFonts w:cs="Times New Roman"/>
          <w:noProof/>
          <w:szCs w:val="24"/>
        </w:rPr>
        <w:t>.</w:t>
      </w:r>
    </w:p>
    <w:p w14:paraId="54CCC6A6" w14:textId="2BEA28F3" w:rsidR="00E95010" w:rsidRPr="004B4540" w:rsidRDefault="00447043" w:rsidP="00161178">
      <w:pPr>
        <w:pStyle w:val="CMR23-text"/>
        <w:numPr>
          <w:ilvl w:val="0"/>
          <w:numId w:val="21"/>
        </w:numPr>
        <w:rPr>
          <w:rFonts w:cs="Times New Roman"/>
          <w:noProof/>
          <w:szCs w:val="24"/>
        </w:rPr>
      </w:pPr>
      <w:r w:rsidRPr="004B4540">
        <w:rPr>
          <w:rFonts w:cs="Times New Roman"/>
          <w:noProof/>
          <w:szCs w:val="24"/>
        </w:rPr>
        <w:t xml:space="preserve">Reform of the rules of </w:t>
      </w:r>
      <w:r w:rsidR="009E6FD7" w:rsidRPr="004B4540">
        <w:rPr>
          <w:rFonts w:cs="Times New Roman"/>
          <w:noProof/>
          <w:szCs w:val="24"/>
        </w:rPr>
        <w:t>the monitoring, reporting and verification of emissions from maritime transport</w:t>
      </w:r>
      <w:r w:rsidR="00A546E5" w:rsidRPr="004B4540">
        <w:rPr>
          <w:rFonts w:cs="Times New Roman"/>
          <w:noProof/>
          <w:szCs w:val="24"/>
        </w:rPr>
        <w:t xml:space="preserve"> </w:t>
      </w:r>
      <w:r w:rsidR="00542B3F" w:rsidRPr="004B4540">
        <w:rPr>
          <w:rFonts w:cs="Times New Roman"/>
          <w:noProof/>
          <w:szCs w:val="24"/>
        </w:rPr>
        <w:t>–</w:t>
      </w:r>
      <w:r w:rsidR="00A546E5" w:rsidRPr="004B4540">
        <w:rPr>
          <w:rFonts w:cs="Times New Roman"/>
          <w:noProof/>
          <w:szCs w:val="24"/>
        </w:rPr>
        <w:t xml:space="preserve"> </w:t>
      </w:r>
      <w:r w:rsidR="00542B3F" w:rsidRPr="004B4540">
        <w:rPr>
          <w:rFonts w:cs="Times New Roman"/>
          <w:noProof/>
          <w:szCs w:val="24"/>
        </w:rPr>
        <w:t xml:space="preserve">adopted on </w:t>
      </w:r>
      <w:r w:rsidR="00611F9F" w:rsidRPr="004B4540">
        <w:rPr>
          <w:rFonts w:cs="Times New Roman"/>
          <w:noProof/>
          <w:szCs w:val="24"/>
        </w:rPr>
        <w:t>1</w:t>
      </w:r>
      <w:r w:rsidR="009E6FD7" w:rsidRPr="004B4540">
        <w:rPr>
          <w:rFonts w:cs="Times New Roman"/>
          <w:noProof/>
          <w:szCs w:val="24"/>
        </w:rPr>
        <w:t>6 May</w:t>
      </w:r>
      <w:r w:rsidR="00542B3F" w:rsidRPr="004B4540">
        <w:rPr>
          <w:rFonts w:cs="Times New Roman"/>
          <w:noProof/>
          <w:szCs w:val="24"/>
        </w:rPr>
        <w:t xml:space="preserve"> 2023</w:t>
      </w:r>
      <w:r w:rsidR="009E6FD7" w:rsidRPr="004B4540">
        <w:rPr>
          <w:rStyle w:val="FootnoteReference"/>
          <w:rFonts w:cs="Times New Roman"/>
          <w:noProof/>
          <w:szCs w:val="24"/>
        </w:rPr>
        <w:footnoteReference w:id="11"/>
      </w:r>
      <w:r w:rsidR="00542B3F" w:rsidRPr="004B4540">
        <w:rPr>
          <w:rFonts w:cs="Times New Roman"/>
          <w:noProof/>
          <w:szCs w:val="24"/>
        </w:rPr>
        <w:t xml:space="preserve">. </w:t>
      </w:r>
    </w:p>
    <w:p w14:paraId="4EEDA78B" w14:textId="7A86772C" w:rsidR="00E95010" w:rsidRPr="004B4540" w:rsidRDefault="00CA21DD" w:rsidP="00161178">
      <w:pPr>
        <w:pStyle w:val="CMR23-text"/>
        <w:numPr>
          <w:ilvl w:val="0"/>
          <w:numId w:val="21"/>
        </w:numPr>
        <w:rPr>
          <w:rFonts w:cs="Times New Roman"/>
          <w:noProof/>
          <w:szCs w:val="24"/>
        </w:rPr>
      </w:pPr>
      <w:r w:rsidRPr="004B4540">
        <w:rPr>
          <w:rFonts w:cs="Times New Roman"/>
          <w:noProof/>
          <w:szCs w:val="24"/>
        </w:rPr>
        <w:t xml:space="preserve">Reform </w:t>
      </w:r>
      <w:r w:rsidR="003D25B5" w:rsidRPr="004B4540">
        <w:rPr>
          <w:rFonts w:cs="Times New Roman"/>
          <w:noProof/>
          <w:szCs w:val="24"/>
        </w:rPr>
        <w:t xml:space="preserve">creating the Social Climate Fund </w:t>
      </w:r>
      <w:r w:rsidRPr="004B4540">
        <w:rPr>
          <w:rFonts w:cs="Times New Roman"/>
          <w:noProof/>
          <w:szCs w:val="24"/>
        </w:rPr>
        <w:t xml:space="preserve">to complement </w:t>
      </w:r>
      <w:r w:rsidR="00E95010" w:rsidRPr="004B4540">
        <w:rPr>
          <w:rFonts w:cs="Times New Roman"/>
          <w:noProof/>
          <w:szCs w:val="24"/>
        </w:rPr>
        <w:t>the new emissions trading system for buildings</w:t>
      </w:r>
      <w:r w:rsidR="00635C1D" w:rsidRPr="004B4540">
        <w:rPr>
          <w:rFonts w:cs="Times New Roman"/>
          <w:noProof/>
          <w:szCs w:val="24"/>
        </w:rPr>
        <w:t>,</w:t>
      </w:r>
      <w:r w:rsidR="004B2939" w:rsidRPr="004B4540">
        <w:rPr>
          <w:rFonts w:cs="Times New Roman"/>
          <w:noProof/>
          <w:szCs w:val="24"/>
        </w:rPr>
        <w:t xml:space="preserve"> </w:t>
      </w:r>
      <w:r w:rsidR="00635C1D" w:rsidRPr="004B4540">
        <w:rPr>
          <w:rFonts w:cs="Times New Roman"/>
          <w:noProof/>
          <w:szCs w:val="24"/>
        </w:rPr>
        <w:t>road transport and small</w:t>
      </w:r>
      <w:r w:rsidR="006C5766" w:rsidRPr="004B4540">
        <w:rPr>
          <w:rFonts w:cs="Times New Roman"/>
          <w:noProof/>
          <w:szCs w:val="24"/>
        </w:rPr>
        <w:t>-</w:t>
      </w:r>
      <w:r w:rsidR="00F8435E" w:rsidRPr="004B4540">
        <w:rPr>
          <w:rFonts w:cs="Times New Roman"/>
          <w:noProof/>
          <w:szCs w:val="24"/>
        </w:rPr>
        <w:t>emitting</w:t>
      </w:r>
      <w:r w:rsidR="00635C1D" w:rsidRPr="004B4540">
        <w:rPr>
          <w:rFonts w:cs="Times New Roman"/>
          <w:noProof/>
          <w:szCs w:val="24"/>
        </w:rPr>
        <w:t xml:space="preserve"> industry</w:t>
      </w:r>
      <w:r w:rsidR="004B2939" w:rsidRPr="004B4540">
        <w:rPr>
          <w:rFonts w:cs="Times New Roman"/>
          <w:noProof/>
          <w:szCs w:val="24"/>
        </w:rPr>
        <w:t xml:space="preserve">– adopted on </w:t>
      </w:r>
      <w:r w:rsidR="003B108D" w:rsidRPr="004B4540">
        <w:rPr>
          <w:rFonts w:cs="Times New Roman"/>
          <w:noProof/>
          <w:szCs w:val="24"/>
        </w:rPr>
        <w:t>10</w:t>
      </w:r>
      <w:r w:rsidR="003D25B5" w:rsidRPr="004B4540">
        <w:rPr>
          <w:rFonts w:cs="Times New Roman"/>
          <w:noProof/>
          <w:szCs w:val="24"/>
        </w:rPr>
        <w:t> </w:t>
      </w:r>
      <w:r w:rsidR="003B108D" w:rsidRPr="004B4540">
        <w:rPr>
          <w:rFonts w:cs="Times New Roman"/>
          <w:noProof/>
          <w:szCs w:val="24"/>
        </w:rPr>
        <w:t>May</w:t>
      </w:r>
      <w:r w:rsidR="004B2939" w:rsidRPr="004B4540">
        <w:rPr>
          <w:rFonts w:cs="Times New Roman"/>
          <w:noProof/>
          <w:szCs w:val="24"/>
        </w:rPr>
        <w:t xml:space="preserve"> 2023</w:t>
      </w:r>
      <w:r w:rsidR="003B108D" w:rsidRPr="004B4540">
        <w:rPr>
          <w:rStyle w:val="FootnoteReference"/>
          <w:rFonts w:cs="Times New Roman"/>
          <w:noProof/>
          <w:szCs w:val="24"/>
        </w:rPr>
        <w:footnoteReference w:id="12"/>
      </w:r>
      <w:r w:rsidR="004B2939" w:rsidRPr="004B4540">
        <w:rPr>
          <w:rFonts w:cs="Times New Roman"/>
          <w:noProof/>
          <w:szCs w:val="24"/>
        </w:rPr>
        <w:t xml:space="preserve">. </w:t>
      </w:r>
    </w:p>
    <w:p w14:paraId="48654684" w14:textId="79481943" w:rsidR="00450096" w:rsidRPr="004B4540" w:rsidRDefault="00CA21DD" w:rsidP="00161178">
      <w:pPr>
        <w:pStyle w:val="CMR23-text"/>
        <w:numPr>
          <w:ilvl w:val="0"/>
          <w:numId w:val="21"/>
        </w:numPr>
        <w:rPr>
          <w:rFonts w:cs="Times New Roman"/>
          <w:noProof/>
          <w:szCs w:val="24"/>
        </w:rPr>
      </w:pPr>
      <w:r w:rsidRPr="004B4540">
        <w:rPr>
          <w:rFonts w:cs="Times New Roman"/>
          <w:noProof/>
          <w:szCs w:val="24"/>
        </w:rPr>
        <w:t>Reform establishing</w:t>
      </w:r>
      <w:r w:rsidR="00E21832" w:rsidRPr="004B4540">
        <w:rPr>
          <w:rFonts w:cs="Times New Roman"/>
          <w:noProof/>
          <w:szCs w:val="24"/>
        </w:rPr>
        <w:t xml:space="preserve"> a Carbon Border Adjustment Mechanism</w:t>
      </w:r>
      <w:r w:rsidR="00787FF9" w:rsidRPr="004B4540">
        <w:rPr>
          <w:rFonts w:cs="Times New Roman"/>
          <w:noProof/>
          <w:szCs w:val="24"/>
        </w:rPr>
        <w:t xml:space="preserve"> – adopted on </w:t>
      </w:r>
      <w:r w:rsidR="001D162F" w:rsidRPr="004B4540">
        <w:rPr>
          <w:rFonts w:cs="Times New Roman"/>
          <w:noProof/>
          <w:szCs w:val="24"/>
        </w:rPr>
        <w:t>10</w:t>
      </w:r>
      <w:r w:rsidR="003D25B5" w:rsidRPr="004B4540">
        <w:rPr>
          <w:rFonts w:cs="Times New Roman"/>
          <w:noProof/>
          <w:szCs w:val="24"/>
        </w:rPr>
        <w:t> </w:t>
      </w:r>
      <w:r w:rsidR="001D162F" w:rsidRPr="004B4540">
        <w:rPr>
          <w:rFonts w:cs="Times New Roman"/>
          <w:noProof/>
          <w:szCs w:val="24"/>
        </w:rPr>
        <w:t>May 2023</w:t>
      </w:r>
      <w:r w:rsidR="008B093B" w:rsidRPr="004B4540">
        <w:rPr>
          <w:rStyle w:val="FootnoteReference"/>
          <w:rFonts w:cs="Times New Roman"/>
          <w:noProof/>
          <w:szCs w:val="24"/>
        </w:rPr>
        <w:footnoteReference w:id="13"/>
      </w:r>
      <w:r w:rsidR="001D162F" w:rsidRPr="004B4540">
        <w:rPr>
          <w:rFonts w:cs="Times New Roman"/>
          <w:noProof/>
          <w:szCs w:val="24"/>
        </w:rPr>
        <w:t>.</w:t>
      </w:r>
    </w:p>
    <w:p w14:paraId="5B341012" w14:textId="6573E3CC" w:rsidR="00052289" w:rsidRPr="004B4540" w:rsidRDefault="00181496" w:rsidP="0081095E">
      <w:pPr>
        <w:pStyle w:val="CMR23-text"/>
        <w:rPr>
          <w:rFonts w:cs="Times New Roman"/>
          <w:noProof/>
          <w:szCs w:val="24"/>
        </w:rPr>
      </w:pPr>
      <w:bookmarkStart w:id="16" w:name="_Hlk148363563"/>
      <w:bookmarkStart w:id="17" w:name="_Hlk145321677"/>
      <w:r w:rsidRPr="004B4540">
        <w:rPr>
          <w:rFonts w:cs="Times New Roman"/>
          <w:noProof/>
          <w:szCs w:val="24"/>
        </w:rPr>
        <w:t xml:space="preserve">With these reforms, </w:t>
      </w:r>
      <w:bookmarkEnd w:id="16"/>
      <w:r w:rsidRPr="004B4540">
        <w:rPr>
          <w:rFonts w:cs="Times New Roman"/>
          <w:noProof/>
          <w:szCs w:val="24"/>
        </w:rPr>
        <w:t>emission reductions under the ETS Directive have been accelerated. In addition, the scope of emissions trading has been expanded to maritime transport</w:t>
      </w:r>
      <w:r w:rsidR="00961B63">
        <w:rPr>
          <w:rFonts w:cs="Times New Roman"/>
          <w:noProof/>
          <w:szCs w:val="24"/>
        </w:rPr>
        <w:t xml:space="preserve"> </w:t>
      </w:r>
      <w:r w:rsidRPr="004B4540">
        <w:rPr>
          <w:rFonts w:cs="Times New Roman"/>
          <w:noProof/>
          <w:szCs w:val="24"/>
        </w:rPr>
        <w:t xml:space="preserve">under the existing system </w:t>
      </w:r>
      <w:r w:rsidR="00E40AF5">
        <w:rPr>
          <w:rFonts w:cs="Times New Roman"/>
          <w:noProof/>
          <w:szCs w:val="24"/>
        </w:rPr>
        <w:t>(see Chapter 3.1)</w:t>
      </w:r>
      <w:r w:rsidR="00E40AF5" w:rsidRPr="004B4540">
        <w:rPr>
          <w:rFonts w:cs="Times New Roman"/>
          <w:noProof/>
          <w:szCs w:val="24"/>
        </w:rPr>
        <w:t xml:space="preserve"> </w:t>
      </w:r>
      <w:r w:rsidRPr="004B4540">
        <w:rPr>
          <w:rFonts w:cs="Times New Roman"/>
          <w:noProof/>
          <w:szCs w:val="24"/>
        </w:rPr>
        <w:t>and to buildings, road transport and small</w:t>
      </w:r>
      <w:r w:rsidR="001B56B1" w:rsidRPr="004B4540">
        <w:rPr>
          <w:rFonts w:cs="Times New Roman"/>
          <w:noProof/>
          <w:szCs w:val="24"/>
        </w:rPr>
        <w:t>-emitting</w:t>
      </w:r>
      <w:r w:rsidRPr="004B4540">
        <w:rPr>
          <w:rFonts w:cs="Times New Roman"/>
          <w:noProof/>
          <w:szCs w:val="24"/>
        </w:rPr>
        <w:t xml:space="preserve"> industry through the set-up of the new emissions trading system (ETS</w:t>
      </w:r>
      <w:r w:rsidR="00E40AF5">
        <w:rPr>
          <w:rFonts w:cs="Times New Roman"/>
          <w:noProof/>
          <w:szCs w:val="24"/>
        </w:rPr>
        <w:t xml:space="preserve"> </w:t>
      </w:r>
      <w:r w:rsidRPr="004B4540">
        <w:rPr>
          <w:rFonts w:cs="Times New Roman"/>
          <w:noProof/>
          <w:szCs w:val="24"/>
        </w:rPr>
        <w:t xml:space="preserve">2) from 2027. </w:t>
      </w:r>
      <w:r w:rsidR="00863142" w:rsidRPr="004B4540">
        <w:rPr>
          <w:rFonts w:cs="Times New Roman"/>
          <w:noProof/>
          <w:szCs w:val="24"/>
        </w:rPr>
        <w:t>The EU</w:t>
      </w:r>
      <w:r w:rsidR="00E40AF5">
        <w:rPr>
          <w:rFonts w:cs="Times New Roman"/>
          <w:noProof/>
          <w:szCs w:val="24"/>
        </w:rPr>
        <w:t> </w:t>
      </w:r>
      <w:r w:rsidR="00863142" w:rsidRPr="004B4540">
        <w:rPr>
          <w:rFonts w:cs="Times New Roman"/>
          <w:noProof/>
          <w:szCs w:val="24"/>
        </w:rPr>
        <w:t>ETS framework is further strengthened to ensure that the system works smoothly to achieve the higher ambition. At the same time, even more resources from emissions trading have been mobilised to support accelerated</w:t>
      </w:r>
      <w:r w:rsidR="006E1BCE">
        <w:rPr>
          <w:rFonts w:cs="Times New Roman"/>
          <w:noProof/>
          <w:szCs w:val="24"/>
        </w:rPr>
        <w:t>, innovation-driven</w:t>
      </w:r>
      <w:r w:rsidR="00863142" w:rsidRPr="004B4540">
        <w:rPr>
          <w:rFonts w:cs="Times New Roman"/>
          <w:noProof/>
          <w:szCs w:val="24"/>
        </w:rPr>
        <w:t xml:space="preserve"> and socially fair decarbonisation </w:t>
      </w:r>
      <w:r w:rsidR="003F69BC" w:rsidRPr="004B4540">
        <w:rPr>
          <w:rFonts w:cs="Times New Roman"/>
          <w:noProof/>
          <w:szCs w:val="24"/>
        </w:rPr>
        <w:t>– through auction revenue distributed to national budgets</w:t>
      </w:r>
      <w:r w:rsidR="003A3747" w:rsidRPr="004B4540">
        <w:rPr>
          <w:rFonts w:cs="Times New Roman"/>
          <w:noProof/>
          <w:szCs w:val="24"/>
        </w:rPr>
        <w:t xml:space="preserve">, </w:t>
      </w:r>
      <w:r w:rsidR="003F69BC" w:rsidRPr="004B4540">
        <w:rPr>
          <w:rFonts w:cs="Times New Roman"/>
          <w:noProof/>
          <w:szCs w:val="24"/>
        </w:rPr>
        <w:t>the Innovation</w:t>
      </w:r>
      <w:r w:rsidR="00102912" w:rsidRPr="004B4540">
        <w:rPr>
          <w:rFonts w:cs="Times New Roman"/>
          <w:noProof/>
          <w:szCs w:val="24"/>
        </w:rPr>
        <w:t xml:space="preserve"> Fund</w:t>
      </w:r>
      <w:r w:rsidR="003F69BC" w:rsidRPr="004B4540">
        <w:rPr>
          <w:rFonts w:cs="Times New Roman"/>
          <w:noProof/>
          <w:szCs w:val="24"/>
        </w:rPr>
        <w:t xml:space="preserve"> and </w:t>
      </w:r>
      <w:r w:rsidR="00102912" w:rsidRPr="004B4540">
        <w:rPr>
          <w:rFonts w:cs="Times New Roman"/>
          <w:noProof/>
          <w:szCs w:val="24"/>
        </w:rPr>
        <w:t xml:space="preserve">the </w:t>
      </w:r>
      <w:r w:rsidR="003F69BC" w:rsidRPr="004B4540">
        <w:rPr>
          <w:rFonts w:cs="Times New Roman"/>
          <w:noProof/>
          <w:szCs w:val="24"/>
        </w:rPr>
        <w:t>Modernisation Fund supplied by the EU</w:t>
      </w:r>
      <w:r w:rsidR="00E40AF5">
        <w:rPr>
          <w:rFonts w:cs="Times New Roman"/>
          <w:noProof/>
          <w:szCs w:val="24"/>
        </w:rPr>
        <w:t> </w:t>
      </w:r>
      <w:r w:rsidR="003F69BC" w:rsidRPr="004B4540">
        <w:rPr>
          <w:rFonts w:cs="Times New Roman"/>
          <w:noProof/>
          <w:szCs w:val="24"/>
        </w:rPr>
        <w:t>ETS</w:t>
      </w:r>
      <w:r w:rsidR="003A3747" w:rsidRPr="004B4540">
        <w:rPr>
          <w:rFonts w:cs="Times New Roman"/>
          <w:noProof/>
          <w:szCs w:val="24"/>
        </w:rPr>
        <w:t xml:space="preserve"> and t</w:t>
      </w:r>
      <w:r w:rsidR="003B34E6" w:rsidRPr="004B4540">
        <w:rPr>
          <w:rFonts w:cs="Times New Roman"/>
          <w:noProof/>
          <w:szCs w:val="24"/>
        </w:rPr>
        <w:t>he Social Climate Fund</w:t>
      </w:r>
      <w:r w:rsidR="00615D9D" w:rsidRPr="004B4540">
        <w:rPr>
          <w:rFonts w:cs="Times New Roman"/>
          <w:noProof/>
          <w:szCs w:val="24"/>
        </w:rPr>
        <w:t>. The Social Climate Fund has been created alongside the ETS</w:t>
      </w:r>
      <w:r w:rsidR="00E40AF5">
        <w:rPr>
          <w:rFonts w:cs="Times New Roman"/>
          <w:noProof/>
          <w:szCs w:val="24"/>
        </w:rPr>
        <w:t> </w:t>
      </w:r>
      <w:r w:rsidR="00615D9D" w:rsidRPr="004B4540">
        <w:rPr>
          <w:rFonts w:cs="Times New Roman"/>
          <w:noProof/>
          <w:szCs w:val="24"/>
        </w:rPr>
        <w:t>2 to mitigate any social effects of carbon pricing in new sectors.</w:t>
      </w:r>
    </w:p>
    <w:p w14:paraId="3C51B6E9" w14:textId="0262E93D" w:rsidR="00912120" w:rsidRPr="004B4540" w:rsidRDefault="00912120" w:rsidP="00912120">
      <w:pPr>
        <w:pStyle w:val="CMR23-text"/>
        <w:rPr>
          <w:rFonts w:cs="Times New Roman"/>
          <w:noProof/>
          <w:szCs w:val="24"/>
        </w:rPr>
      </w:pPr>
      <w:r w:rsidRPr="004B4540">
        <w:rPr>
          <w:rFonts w:cs="Times New Roman"/>
          <w:noProof/>
          <w:szCs w:val="24"/>
        </w:rPr>
        <w:t>Most changes will take effect from 1 January</w:t>
      </w:r>
      <w:r w:rsidR="00E40AF5">
        <w:rPr>
          <w:rFonts w:cs="Times New Roman"/>
          <w:noProof/>
          <w:szCs w:val="24"/>
        </w:rPr>
        <w:t> </w:t>
      </w:r>
      <w:r w:rsidRPr="004B4540">
        <w:rPr>
          <w:rFonts w:cs="Times New Roman"/>
          <w:noProof/>
          <w:szCs w:val="24"/>
        </w:rPr>
        <w:t>2024, yet some apply already. The outcomes of the above-mentioned reforms are elaborated on throughout the report, including the underlying ongoing implementation.</w:t>
      </w:r>
    </w:p>
    <w:p w14:paraId="12E7BEF5" w14:textId="0AC8B230" w:rsidR="00595C46" w:rsidRPr="004B4540" w:rsidRDefault="00AD6C8D" w:rsidP="00B36B2C">
      <w:pPr>
        <w:pStyle w:val="CMR2023-SUBheading"/>
        <w:rPr>
          <w:rFonts w:cs="Times New Roman"/>
          <w:noProof/>
          <w:szCs w:val="24"/>
        </w:rPr>
      </w:pPr>
      <w:bookmarkStart w:id="18" w:name="_Toc145453230"/>
      <w:bookmarkStart w:id="19" w:name="_Toc148555875"/>
      <w:bookmarkEnd w:id="17"/>
      <w:r w:rsidRPr="004B4540">
        <w:rPr>
          <w:rFonts w:cs="Times New Roman"/>
          <w:noProof/>
          <w:szCs w:val="24"/>
        </w:rPr>
        <w:t>ETS Directive in th</w:t>
      </w:r>
      <w:r w:rsidR="00E52715" w:rsidRPr="004B4540">
        <w:rPr>
          <w:rFonts w:cs="Times New Roman"/>
          <w:noProof/>
          <w:szCs w:val="24"/>
        </w:rPr>
        <w:t xml:space="preserve">e context of the </w:t>
      </w:r>
      <w:r w:rsidR="006866F9" w:rsidRPr="004B4540">
        <w:rPr>
          <w:rFonts w:cs="Times New Roman"/>
          <w:noProof/>
          <w:szCs w:val="24"/>
        </w:rPr>
        <w:t>REPowerEU Regulation</w:t>
      </w:r>
      <w:bookmarkEnd w:id="18"/>
      <w:bookmarkEnd w:id="19"/>
      <w:r w:rsidR="006866F9" w:rsidRPr="004B4540">
        <w:rPr>
          <w:rFonts w:cs="Times New Roman"/>
          <w:noProof/>
          <w:szCs w:val="24"/>
        </w:rPr>
        <w:t xml:space="preserve"> </w:t>
      </w:r>
    </w:p>
    <w:p w14:paraId="64D77114" w14:textId="6E8246C9" w:rsidR="00F934A5" w:rsidRPr="004B4540" w:rsidRDefault="003054F9" w:rsidP="00BD6869">
      <w:pPr>
        <w:pStyle w:val="CMR23-text"/>
        <w:rPr>
          <w:rFonts w:cs="Times New Roman"/>
          <w:noProof/>
          <w:szCs w:val="24"/>
        </w:rPr>
      </w:pPr>
      <w:r w:rsidRPr="004B4540">
        <w:rPr>
          <w:rFonts w:cs="Times New Roman"/>
          <w:noProof/>
          <w:szCs w:val="24"/>
        </w:rPr>
        <w:t>To address the root causes and impact of the energy crisis triggered by Russia’s war of aggression against Ukraine</w:t>
      </w:r>
      <w:r w:rsidR="0007141E" w:rsidRPr="004B4540">
        <w:rPr>
          <w:rFonts w:cs="Times New Roman"/>
          <w:noProof/>
          <w:szCs w:val="24"/>
        </w:rPr>
        <w:t>,</w:t>
      </w:r>
      <w:r w:rsidR="006012CF" w:rsidRPr="004B4540">
        <w:rPr>
          <w:rFonts w:cs="Times New Roman"/>
          <w:noProof/>
          <w:szCs w:val="24"/>
        </w:rPr>
        <w:t xml:space="preserve"> </w:t>
      </w:r>
      <w:r w:rsidR="00F0609B" w:rsidRPr="004B4540">
        <w:rPr>
          <w:rFonts w:cs="Times New Roman"/>
          <w:noProof/>
          <w:szCs w:val="24"/>
        </w:rPr>
        <w:t xml:space="preserve">the Commission </w:t>
      </w:r>
      <w:r w:rsidR="00E43425" w:rsidRPr="004B4540">
        <w:rPr>
          <w:rFonts w:cs="Times New Roman"/>
          <w:noProof/>
          <w:szCs w:val="24"/>
        </w:rPr>
        <w:t>put for</w:t>
      </w:r>
      <w:r w:rsidR="00731465" w:rsidRPr="004B4540">
        <w:rPr>
          <w:rFonts w:cs="Times New Roman"/>
          <w:noProof/>
          <w:szCs w:val="24"/>
        </w:rPr>
        <w:t>ward</w:t>
      </w:r>
      <w:r w:rsidR="00F0609B" w:rsidRPr="004B4540">
        <w:rPr>
          <w:rFonts w:cs="Times New Roman"/>
          <w:noProof/>
          <w:szCs w:val="24"/>
        </w:rPr>
        <w:t xml:space="preserve"> the REPowerEU </w:t>
      </w:r>
      <w:r w:rsidR="00FB355E" w:rsidRPr="004B4540">
        <w:rPr>
          <w:rFonts w:cs="Times New Roman"/>
          <w:noProof/>
          <w:szCs w:val="24"/>
        </w:rPr>
        <w:t>plan</w:t>
      </w:r>
      <w:r w:rsidR="008A1C54" w:rsidRPr="004B4540">
        <w:rPr>
          <w:rStyle w:val="FootnoteReference"/>
          <w:rFonts w:cs="Times New Roman"/>
          <w:noProof/>
          <w:szCs w:val="24"/>
        </w:rPr>
        <w:footnoteReference w:id="14"/>
      </w:r>
      <w:r w:rsidR="00F0609B" w:rsidRPr="004B4540">
        <w:rPr>
          <w:rFonts w:cs="Times New Roman"/>
          <w:noProof/>
          <w:szCs w:val="24"/>
        </w:rPr>
        <w:t xml:space="preserve">. </w:t>
      </w:r>
      <w:r w:rsidR="007C28D5" w:rsidRPr="004B4540">
        <w:rPr>
          <w:rFonts w:cs="Times New Roman"/>
          <w:noProof/>
          <w:szCs w:val="24"/>
        </w:rPr>
        <w:t xml:space="preserve">It includes targeted reforms and investments to phase out the EU’s dependence on fossil fuel imports from Russia, ensure the security of the energy supply, promote energy efficiency and accelerate the clean energy transformation. To put the plan into action, Parliament </w:t>
      </w:r>
      <w:r w:rsidR="00EA4A1B" w:rsidRPr="004B4540">
        <w:rPr>
          <w:rFonts w:cs="Times New Roman"/>
          <w:noProof/>
          <w:szCs w:val="24"/>
        </w:rPr>
        <w:t xml:space="preserve">and </w:t>
      </w:r>
      <w:r w:rsidR="00460FF1" w:rsidRPr="004B4540">
        <w:rPr>
          <w:rFonts w:cs="Times New Roman"/>
          <w:noProof/>
          <w:szCs w:val="24"/>
        </w:rPr>
        <w:t>the Council adopted Regulation 2023/435</w:t>
      </w:r>
      <w:r w:rsidR="00B845BA" w:rsidRPr="004B4540">
        <w:rPr>
          <w:rStyle w:val="FootnoteReference"/>
          <w:rFonts w:cs="Times New Roman"/>
          <w:noProof/>
          <w:szCs w:val="24"/>
        </w:rPr>
        <w:footnoteReference w:id="15"/>
      </w:r>
      <w:r w:rsidR="005E3713" w:rsidRPr="004B4540">
        <w:rPr>
          <w:rFonts w:cs="Times New Roman"/>
          <w:noProof/>
          <w:szCs w:val="24"/>
        </w:rPr>
        <w:t xml:space="preserve"> (REPowerEU Regu</w:t>
      </w:r>
      <w:r w:rsidR="005E0CD4" w:rsidRPr="004B4540">
        <w:rPr>
          <w:rFonts w:cs="Times New Roman"/>
          <w:noProof/>
          <w:szCs w:val="24"/>
        </w:rPr>
        <w:t xml:space="preserve">lation) </w:t>
      </w:r>
      <w:r w:rsidR="008F1901" w:rsidRPr="004B4540">
        <w:rPr>
          <w:rFonts w:cs="Times New Roman"/>
          <w:noProof/>
          <w:szCs w:val="24"/>
        </w:rPr>
        <w:t>i</w:t>
      </w:r>
      <w:r w:rsidR="00B845BA" w:rsidRPr="004B4540">
        <w:rPr>
          <w:rFonts w:cs="Times New Roman"/>
          <w:noProof/>
          <w:szCs w:val="24"/>
        </w:rPr>
        <w:t xml:space="preserve">n </w:t>
      </w:r>
      <w:r w:rsidR="005B38CF" w:rsidRPr="004B4540">
        <w:rPr>
          <w:rFonts w:cs="Times New Roman"/>
          <w:noProof/>
          <w:szCs w:val="24"/>
        </w:rPr>
        <w:t xml:space="preserve">February 2023. </w:t>
      </w:r>
    </w:p>
    <w:p w14:paraId="1261A0E1" w14:textId="48CCAD1B" w:rsidR="00D53A00" w:rsidRPr="004B4540" w:rsidRDefault="004C2C31" w:rsidP="00BD6869">
      <w:pPr>
        <w:pStyle w:val="CMR23-text"/>
        <w:rPr>
          <w:rFonts w:cs="Times New Roman"/>
          <w:noProof/>
          <w:szCs w:val="24"/>
        </w:rPr>
      </w:pPr>
      <w:r w:rsidRPr="004B4540">
        <w:rPr>
          <w:rFonts w:cs="Times New Roman"/>
          <w:noProof/>
          <w:szCs w:val="24"/>
        </w:rPr>
        <w:t xml:space="preserve">The REPowerEU Regulation includes mobilising the Innovation Fund as one of the funding sources to implement the plan. </w:t>
      </w:r>
      <w:r w:rsidR="00F06F6B" w:rsidRPr="004B4540">
        <w:rPr>
          <w:rFonts w:cs="Times New Roman"/>
          <w:noProof/>
          <w:szCs w:val="24"/>
        </w:rPr>
        <w:t>Furthermore, i</w:t>
      </w:r>
      <w:r w:rsidR="005173C1" w:rsidRPr="004B4540">
        <w:rPr>
          <w:rFonts w:cs="Times New Roman"/>
          <w:noProof/>
          <w:szCs w:val="24"/>
        </w:rPr>
        <w:t xml:space="preserve">t </w:t>
      </w:r>
      <w:r w:rsidR="006629B7" w:rsidRPr="004B4540">
        <w:rPr>
          <w:rFonts w:cs="Times New Roman"/>
          <w:noProof/>
          <w:szCs w:val="24"/>
        </w:rPr>
        <w:t xml:space="preserve">amends </w:t>
      </w:r>
      <w:r w:rsidR="00B11656" w:rsidRPr="004B4540">
        <w:rPr>
          <w:rFonts w:cs="Times New Roman"/>
          <w:noProof/>
          <w:szCs w:val="24"/>
        </w:rPr>
        <w:t xml:space="preserve">the ETS </w:t>
      </w:r>
      <w:r w:rsidR="006629B7" w:rsidRPr="004B4540">
        <w:rPr>
          <w:rFonts w:cs="Times New Roman"/>
          <w:noProof/>
          <w:szCs w:val="24"/>
        </w:rPr>
        <w:t xml:space="preserve">Directive to </w:t>
      </w:r>
      <w:r w:rsidR="001B3017" w:rsidRPr="004B4540">
        <w:rPr>
          <w:rFonts w:cs="Times New Roman"/>
          <w:noProof/>
          <w:szCs w:val="24"/>
        </w:rPr>
        <w:t>direct 27 million unallocated allowances from the Market Stability Reserve</w:t>
      </w:r>
      <w:r w:rsidR="006A0D67" w:rsidRPr="004B4540">
        <w:rPr>
          <w:rFonts w:cs="Times New Roman"/>
          <w:noProof/>
          <w:szCs w:val="24"/>
        </w:rPr>
        <w:t>, which would otherwise become invalid, by 31</w:t>
      </w:r>
      <w:r w:rsidR="009B2458">
        <w:rPr>
          <w:rFonts w:cs="Times New Roman"/>
          <w:noProof/>
          <w:szCs w:val="24"/>
        </w:rPr>
        <w:t> </w:t>
      </w:r>
      <w:r w:rsidR="006A0D67" w:rsidRPr="004B4540">
        <w:rPr>
          <w:rFonts w:cs="Times New Roman"/>
          <w:noProof/>
          <w:szCs w:val="24"/>
        </w:rPr>
        <w:t>December</w:t>
      </w:r>
      <w:r w:rsidR="009B2458">
        <w:rPr>
          <w:rFonts w:cs="Times New Roman"/>
          <w:noProof/>
          <w:szCs w:val="24"/>
        </w:rPr>
        <w:t> </w:t>
      </w:r>
      <w:r w:rsidR="006A0D67" w:rsidRPr="004B4540">
        <w:rPr>
          <w:rFonts w:cs="Times New Roman"/>
          <w:noProof/>
          <w:szCs w:val="24"/>
        </w:rPr>
        <w:t>2030 to replenish the Innovation Fund. This is explained further in Chapters</w:t>
      </w:r>
      <w:r w:rsidR="009B2458">
        <w:rPr>
          <w:rFonts w:cs="Times New Roman"/>
          <w:noProof/>
          <w:szCs w:val="24"/>
        </w:rPr>
        <w:t> </w:t>
      </w:r>
      <w:r w:rsidR="006A0D67" w:rsidRPr="004B4540">
        <w:rPr>
          <w:rFonts w:cs="Times New Roman"/>
          <w:noProof/>
          <w:szCs w:val="24"/>
        </w:rPr>
        <w:t>5</w:t>
      </w:r>
      <w:r w:rsidR="009B2458">
        <w:rPr>
          <w:rFonts w:cs="Times New Roman"/>
          <w:noProof/>
          <w:szCs w:val="24"/>
        </w:rPr>
        <w:t> </w:t>
      </w:r>
      <w:r w:rsidR="006A0D67" w:rsidRPr="004B4540">
        <w:rPr>
          <w:rFonts w:cs="Times New Roman"/>
          <w:noProof/>
          <w:szCs w:val="24"/>
        </w:rPr>
        <w:t>and</w:t>
      </w:r>
      <w:r w:rsidR="009B2458">
        <w:rPr>
          <w:rFonts w:cs="Times New Roman"/>
          <w:noProof/>
          <w:szCs w:val="24"/>
        </w:rPr>
        <w:t> </w:t>
      </w:r>
      <w:r w:rsidR="006A0D67" w:rsidRPr="004B4540">
        <w:rPr>
          <w:rFonts w:cs="Times New Roman"/>
          <w:noProof/>
          <w:szCs w:val="24"/>
        </w:rPr>
        <w:t>8.</w:t>
      </w:r>
    </w:p>
    <w:p w14:paraId="39BC38EB" w14:textId="3355C17E" w:rsidR="00730838" w:rsidRPr="004B4540" w:rsidRDefault="00B43A71" w:rsidP="00730838">
      <w:pPr>
        <w:pStyle w:val="CMR23-heading"/>
        <w:rPr>
          <w:rFonts w:cs="Times New Roman"/>
          <w:noProof/>
          <w:sz w:val="24"/>
          <w:szCs w:val="24"/>
          <w:lang w:val="fr-BE"/>
        </w:rPr>
      </w:pPr>
      <w:bookmarkStart w:id="20" w:name="_Hlk145325395"/>
      <w:bookmarkStart w:id="21" w:name="_Toc145453231"/>
      <w:bookmarkStart w:id="22" w:name="_Toc148555876"/>
      <w:r w:rsidRPr="004B4540">
        <w:rPr>
          <w:rFonts w:cs="Times New Roman"/>
          <w:noProof/>
          <w:sz w:val="24"/>
          <w:szCs w:val="24"/>
          <w:lang w:val="fr-BE"/>
        </w:rPr>
        <w:t xml:space="preserve">EU ETS </w:t>
      </w:r>
      <w:bookmarkEnd w:id="20"/>
      <w:r w:rsidR="00C02A79" w:rsidRPr="00803D9A">
        <w:rPr>
          <w:rFonts w:cs="Times New Roman"/>
          <w:noProof/>
          <w:sz w:val="24"/>
          <w:szCs w:val="24"/>
        </w:rPr>
        <w:t>coverage</w:t>
      </w:r>
      <w:bookmarkEnd w:id="21"/>
      <w:bookmarkEnd w:id="22"/>
    </w:p>
    <w:p w14:paraId="4936DA47" w14:textId="32A2827C" w:rsidR="00C02A79" w:rsidRPr="004B4540" w:rsidRDefault="00120853" w:rsidP="00E558A4">
      <w:pPr>
        <w:pStyle w:val="CMR23-text"/>
        <w:rPr>
          <w:rFonts w:cs="Times New Roman"/>
          <w:noProof/>
          <w:szCs w:val="24"/>
        </w:rPr>
      </w:pPr>
      <w:r w:rsidRPr="004B4540">
        <w:rPr>
          <w:rFonts w:cs="Times New Roman"/>
          <w:noProof/>
          <w:szCs w:val="24"/>
        </w:rPr>
        <w:t xml:space="preserve">Since 2021, the EU ETS </w:t>
      </w:r>
      <w:r w:rsidR="009D6C34" w:rsidRPr="004B4540">
        <w:rPr>
          <w:rFonts w:cs="Times New Roman"/>
          <w:noProof/>
          <w:szCs w:val="24"/>
        </w:rPr>
        <w:t>applies</w:t>
      </w:r>
      <w:r w:rsidR="005234BA" w:rsidRPr="004B4540">
        <w:rPr>
          <w:rFonts w:cs="Times New Roman"/>
          <w:noProof/>
          <w:szCs w:val="24"/>
        </w:rPr>
        <w:t xml:space="preserve"> in</w:t>
      </w:r>
      <w:r w:rsidRPr="004B4540">
        <w:rPr>
          <w:rFonts w:cs="Times New Roman"/>
          <w:noProof/>
          <w:szCs w:val="24"/>
        </w:rPr>
        <w:t xml:space="preserve"> </w:t>
      </w:r>
      <w:r w:rsidR="00232D5A" w:rsidRPr="004B4540">
        <w:rPr>
          <w:rFonts w:cs="Times New Roman"/>
          <w:noProof/>
          <w:szCs w:val="24"/>
        </w:rPr>
        <w:t xml:space="preserve">the </w:t>
      </w:r>
      <w:r w:rsidRPr="004B4540">
        <w:rPr>
          <w:rFonts w:cs="Times New Roman"/>
          <w:noProof/>
          <w:szCs w:val="24"/>
        </w:rPr>
        <w:t xml:space="preserve">27 EU Member States and the European Free Trade Association (EFTA) countries </w:t>
      </w:r>
      <w:r w:rsidR="00236F79" w:rsidRPr="004B4540">
        <w:rPr>
          <w:rFonts w:cs="Times New Roman"/>
          <w:noProof/>
          <w:szCs w:val="24"/>
        </w:rPr>
        <w:t xml:space="preserve">– </w:t>
      </w:r>
      <w:r w:rsidRPr="004B4540">
        <w:rPr>
          <w:rFonts w:cs="Times New Roman"/>
          <w:noProof/>
          <w:szCs w:val="24"/>
        </w:rPr>
        <w:t>Iceland, Liechtenstein, and Norway (EU ETS countries) as well as</w:t>
      </w:r>
      <w:r w:rsidR="0013387A" w:rsidRPr="004B4540">
        <w:rPr>
          <w:rFonts w:cs="Times New Roman"/>
          <w:noProof/>
          <w:szCs w:val="24"/>
        </w:rPr>
        <w:t xml:space="preserve"> to</w:t>
      </w:r>
      <w:r w:rsidRPr="004B4540">
        <w:rPr>
          <w:rFonts w:cs="Times New Roman"/>
          <w:noProof/>
          <w:szCs w:val="24"/>
        </w:rPr>
        <w:t xml:space="preserve"> power plants in Northern Ireland</w:t>
      </w:r>
      <w:r w:rsidRPr="004B4540">
        <w:rPr>
          <w:rStyle w:val="FootnoteReference"/>
          <w:rFonts w:cs="Times New Roman"/>
          <w:noProof/>
          <w:szCs w:val="24"/>
        </w:rPr>
        <w:footnoteReference w:id="16"/>
      </w:r>
      <w:r w:rsidRPr="004B4540">
        <w:rPr>
          <w:rFonts w:cs="Times New Roman"/>
          <w:noProof/>
          <w:szCs w:val="24"/>
        </w:rPr>
        <w:t xml:space="preserve">. </w:t>
      </w:r>
      <w:r w:rsidR="00CC0ACF" w:rsidRPr="004B4540">
        <w:rPr>
          <w:rFonts w:cs="Times New Roman"/>
          <w:noProof/>
          <w:szCs w:val="24"/>
        </w:rPr>
        <w:t xml:space="preserve">Since </w:t>
      </w:r>
      <w:r w:rsidRPr="004B4540">
        <w:rPr>
          <w:rFonts w:cs="Times New Roman"/>
          <w:noProof/>
          <w:szCs w:val="24"/>
        </w:rPr>
        <w:t>January 2020, the EU ETS is</w:t>
      </w:r>
      <w:r w:rsidR="00081E9E" w:rsidRPr="004B4540">
        <w:rPr>
          <w:rFonts w:cs="Times New Roman"/>
          <w:noProof/>
          <w:szCs w:val="24"/>
        </w:rPr>
        <w:t xml:space="preserve"> also</w:t>
      </w:r>
      <w:r w:rsidRPr="004B4540">
        <w:rPr>
          <w:rFonts w:cs="Times New Roman"/>
          <w:noProof/>
          <w:szCs w:val="24"/>
        </w:rPr>
        <w:t xml:space="preserve"> linked with </w:t>
      </w:r>
      <w:r w:rsidR="00153413" w:rsidRPr="004B4540">
        <w:rPr>
          <w:rFonts w:cs="Times New Roman"/>
          <w:noProof/>
          <w:szCs w:val="24"/>
        </w:rPr>
        <w:t>Switzerland's emissions trading system</w:t>
      </w:r>
      <w:r w:rsidRPr="004B4540">
        <w:rPr>
          <w:rFonts w:cs="Times New Roman"/>
          <w:noProof/>
          <w:szCs w:val="24"/>
        </w:rPr>
        <w:t>.</w:t>
      </w:r>
      <w:r w:rsidR="00C51416" w:rsidRPr="004B4540">
        <w:rPr>
          <w:rFonts w:cs="Times New Roman"/>
          <w:noProof/>
          <w:szCs w:val="24"/>
        </w:rPr>
        <w:t xml:space="preserve"> </w:t>
      </w:r>
      <w:r w:rsidR="00393C24" w:rsidRPr="004B4540">
        <w:rPr>
          <w:rFonts w:cs="Times New Roman"/>
          <w:noProof/>
          <w:szCs w:val="24"/>
        </w:rPr>
        <w:t xml:space="preserve">How this link works is described in </w:t>
      </w:r>
      <w:r w:rsidR="005B10D1" w:rsidRPr="004B4540">
        <w:rPr>
          <w:rFonts w:cs="Times New Roman"/>
          <w:noProof/>
          <w:szCs w:val="24"/>
        </w:rPr>
        <w:t>Chapter</w:t>
      </w:r>
      <w:r w:rsidR="009B2458">
        <w:rPr>
          <w:rFonts w:cs="Times New Roman"/>
          <w:noProof/>
          <w:szCs w:val="24"/>
        </w:rPr>
        <w:t> </w:t>
      </w:r>
      <w:r w:rsidR="005B10D1" w:rsidRPr="004B4540">
        <w:rPr>
          <w:rFonts w:cs="Times New Roman"/>
          <w:noProof/>
          <w:szCs w:val="24"/>
        </w:rPr>
        <w:t>13</w:t>
      </w:r>
      <w:r w:rsidR="00C02A79" w:rsidRPr="004B4540">
        <w:rPr>
          <w:rFonts w:cs="Times New Roman"/>
          <w:noProof/>
          <w:szCs w:val="24"/>
        </w:rPr>
        <w:t>.</w:t>
      </w:r>
    </w:p>
    <w:p w14:paraId="0380E76E" w14:textId="608D7D07" w:rsidR="00310424" w:rsidRDefault="007A6A7C" w:rsidP="00084562">
      <w:pPr>
        <w:pStyle w:val="CMR23-text"/>
        <w:rPr>
          <w:rFonts w:cs="Times New Roman"/>
          <w:noProof/>
          <w:szCs w:val="24"/>
        </w:rPr>
      </w:pPr>
      <w:r w:rsidRPr="004B4540">
        <w:rPr>
          <w:rFonts w:cs="Times New Roman"/>
          <w:noProof/>
          <w:szCs w:val="24"/>
        </w:rPr>
        <w:t>The EU ETS covers emissions from electricity and heat generation, energy-intensive industry and aviation in Europe</w:t>
      </w:r>
      <w:r w:rsidR="00335AFE" w:rsidRPr="004B4540">
        <w:rPr>
          <w:rFonts w:cs="Times New Roman"/>
          <w:noProof/>
          <w:szCs w:val="24"/>
        </w:rPr>
        <w:t>. In 2022, th</w:t>
      </w:r>
      <w:r w:rsidR="00F43AA2" w:rsidRPr="004B4540">
        <w:rPr>
          <w:rFonts w:cs="Times New Roman"/>
          <w:noProof/>
          <w:szCs w:val="24"/>
        </w:rPr>
        <w:t xml:space="preserve">ese </w:t>
      </w:r>
      <w:r w:rsidR="00D322FF" w:rsidRPr="004B4540">
        <w:rPr>
          <w:rFonts w:cs="Times New Roman"/>
          <w:noProof/>
          <w:szCs w:val="24"/>
        </w:rPr>
        <w:t>emissions</w:t>
      </w:r>
      <w:r w:rsidR="00F43AA2" w:rsidRPr="004B4540">
        <w:rPr>
          <w:rFonts w:cs="Times New Roman"/>
          <w:noProof/>
          <w:szCs w:val="24"/>
        </w:rPr>
        <w:t xml:space="preserve"> represented </w:t>
      </w:r>
      <w:r w:rsidR="008D1CD9" w:rsidRPr="00310424">
        <w:rPr>
          <w:rFonts w:cs="Times New Roman"/>
          <w:noProof/>
          <w:szCs w:val="24"/>
        </w:rPr>
        <w:t>36</w:t>
      </w:r>
      <w:r w:rsidR="00DC23BC" w:rsidRPr="00310424">
        <w:rPr>
          <w:rFonts w:cs="Times New Roman"/>
          <w:noProof/>
          <w:szCs w:val="24"/>
        </w:rPr>
        <w:t>%</w:t>
      </w:r>
      <w:r w:rsidR="00DC23BC" w:rsidRPr="004B4540">
        <w:rPr>
          <w:rFonts w:cs="Times New Roman"/>
          <w:noProof/>
          <w:szCs w:val="24"/>
        </w:rPr>
        <w:t xml:space="preserve"> of EU’s total emissions</w:t>
      </w:r>
      <w:r w:rsidR="00E558A4" w:rsidRPr="004B4540">
        <w:rPr>
          <w:rFonts w:cs="Times New Roman"/>
          <w:noProof/>
          <w:szCs w:val="24"/>
        </w:rPr>
        <w:t xml:space="preserve"> </w:t>
      </w:r>
      <w:r w:rsidR="00EB6DF1" w:rsidRPr="004B4540">
        <w:rPr>
          <w:rFonts w:cs="Times New Roman"/>
          <w:noProof/>
          <w:szCs w:val="24"/>
        </w:rPr>
        <w:t xml:space="preserve">– </w:t>
      </w:r>
      <w:r w:rsidR="00120853" w:rsidRPr="004B4540">
        <w:rPr>
          <w:rFonts w:cs="Times New Roman"/>
          <w:noProof/>
          <w:szCs w:val="24"/>
        </w:rPr>
        <w:t xml:space="preserve">from </w:t>
      </w:r>
      <w:r w:rsidR="00E44C0D" w:rsidRPr="004B4540">
        <w:rPr>
          <w:rFonts w:cs="Times New Roman"/>
          <w:noProof/>
          <w:szCs w:val="24"/>
        </w:rPr>
        <w:t>8 6</w:t>
      </w:r>
      <w:r w:rsidR="00B45B62" w:rsidRPr="004B4540">
        <w:rPr>
          <w:rFonts w:cs="Times New Roman"/>
          <w:noProof/>
          <w:szCs w:val="24"/>
        </w:rPr>
        <w:t>40</w:t>
      </w:r>
      <w:r w:rsidR="00E44C0D" w:rsidRPr="004B4540">
        <w:rPr>
          <w:rFonts w:cs="Times New Roman"/>
          <w:noProof/>
          <w:szCs w:val="24"/>
        </w:rPr>
        <w:t xml:space="preserve"> </w:t>
      </w:r>
      <w:r w:rsidR="00120853" w:rsidRPr="004B4540">
        <w:rPr>
          <w:rFonts w:cs="Times New Roman"/>
          <w:noProof/>
          <w:szCs w:val="24"/>
        </w:rPr>
        <w:t>electricity and heat plants and manufacturing installations</w:t>
      </w:r>
      <w:r w:rsidR="00A31A98" w:rsidRPr="004B4540">
        <w:rPr>
          <w:rFonts w:cs="Times New Roman"/>
          <w:noProof/>
          <w:szCs w:val="24"/>
        </w:rPr>
        <w:t xml:space="preserve"> </w:t>
      </w:r>
      <w:r w:rsidR="00120853" w:rsidRPr="004B4540">
        <w:rPr>
          <w:rFonts w:cs="Times New Roman"/>
          <w:noProof/>
          <w:szCs w:val="24"/>
        </w:rPr>
        <w:t xml:space="preserve">as well as </w:t>
      </w:r>
      <w:r w:rsidR="00E857FF" w:rsidRPr="004B4540">
        <w:rPr>
          <w:rFonts w:cs="Times New Roman"/>
          <w:noProof/>
          <w:szCs w:val="24"/>
        </w:rPr>
        <w:t xml:space="preserve">390 </w:t>
      </w:r>
      <w:r w:rsidR="00120853" w:rsidRPr="004B4540">
        <w:rPr>
          <w:rFonts w:cs="Times New Roman"/>
          <w:noProof/>
          <w:szCs w:val="24"/>
        </w:rPr>
        <w:t xml:space="preserve">aircraft operators flying between </w:t>
      </w:r>
      <w:r w:rsidR="00EF23BD" w:rsidRPr="004B4540">
        <w:rPr>
          <w:rFonts w:cs="Times New Roman"/>
          <w:noProof/>
          <w:szCs w:val="24"/>
        </w:rPr>
        <w:t xml:space="preserve">airports in the </w:t>
      </w:r>
      <w:r w:rsidR="00120853" w:rsidRPr="004B4540">
        <w:rPr>
          <w:rFonts w:cs="Times New Roman"/>
          <w:noProof/>
          <w:szCs w:val="24"/>
        </w:rPr>
        <w:t>European Economic Area (EEA)</w:t>
      </w:r>
      <w:r w:rsidR="006F6C4B" w:rsidRPr="004B4540" w:rsidDel="000C44EF">
        <w:rPr>
          <w:rFonts w:cs="Times New Roman"/>
          <w:noProof/>
          <w:szCs w:val="24"/>
        </w:rPr>
        <w:t xml:space="preserve"> </w:t>
      </w:r>
      <w:r w:rsidR="006F6C4B" w:rsidRPr="004B4540">
        <w:rPr>
          <w:rFonts w:cs="Times New Roman"/>
          <w:noProof/>
          <w:szCs w:val="24"/>
        </w:rPr>
        <w:t xml:space="preserve"> </w:t>
      </w:r>
      <w:r w:rsidR="00120853" w:rsidRPr="004B4540">
        <w:rPr>
          <w:rFonts w:cs="Times New Roman"/>
          <w:noProof/>
          <w:szCs w:val="24"/>
        </w:rPr>
        <w:t xml:space="preserve">and from the EEA to Switzerland and the UK. </w:t>
      </w:r>
      <w:r w:rsidR="00E44C0D" w:rsidRPr="004B4540">
        <w:rPr>
          <w:rFonts w:cs="Times New Roman"/>
          <w:noProof/>
          <w:szCs w:val="24"/>
        </w:rPr>
        <w:t>Most installations in the EU ETS emit less than 50 000 tonnes carbon dioxide equivalent (CO</w:t>
      </w:r>
      <w:r w:rsidR="00E44C0D" w:rsidRPr="004B4540">
        <w:rPr>
          <w:rFonts w:cs="Times New Roman"/>
          <w:noProof/>
          <w:szCs w:val="24"/>
          <w:vertAlign w:val="subscript"/>
        </w:rPr>
        <w:t>2</w:t>
      </w:r>
      <w:r w:rsidR="00E44C0D" w:rsidRPr="004B4540">
        <w:rPr>
          <w:rFonts w:cs="Times New Roman"/>
          <w:noProof/>
          <w:szCs w:val="24"/>
        </w:rPr>
        <w:t>eq) per year</w:t>
      </w:r>
      <w:r w:rsidR="00E44C0D" w:rsidRPr="004B4540">
        <w:rPr>
          <w:rStyle w:val="FootnoteReference"/>
          <w:rFonts w:cs="Times New Roman"/>
          <w:noProof/>
          <w:szCs w:val="24"/>
        </w:rPr>
        <w:footnoteReference w:id="17"/>
      </w:r>
      <w:r w:rsidR="00E44C0D" w:rsidRPr="004B4540">
        <w:rPr>
          <w:rFonts w:cs="Times New Roman"/>
          <w:noProof/>
          <w:szCs w:val="24"/>
        </w:rPr>
        <w:t xml:space="preserve"> (70.7%). Of these, 4 </w:t>
      </w:r>
      <w:r w:rsidR="009E49AF" w:rsidRPr="004B4540">
        <w:rPr>
          <w:rFonts w:cs="Times New Roman"/>
          <w:noProof/>
          <w:szCs w:val="24"/>
        </w:rPr>
        <w:t xml:space="preserve">793 </w:t>
      </w:r>
      <w:r w:rsidR="00E44C0D" w:rsidRPr="004B4540">
        <w:rPr>
          <w:rFonts w:cs="Times New Roman"/>
          <w:noProof/>
          <w:szCs w:val="24"/>
        </w:rPr>
        <w:t>are classified as installations with low emissions</w:t>
      </w:r>
      <w:r w:rsidR="00E44C0D" w:rsidRPr="004B4540">
        <w:rPr>
          <w:rStyle w:val="FootnoteReference"/>
          <w:rFonts w:cs="Times New Roman"/>
          <w:noProof/>
          <w:szCs w:val="24"/>
        </w:rPr>
        <w:footnoteReference w:id="18"/>
      </w:r>
      <w:r w:rsidR="00E44C0D" w:rsidRPr="004B4540">
        <w:rPr>
          <w:rFonts w:cs="Times New Roman"/>
          <w:noProof/>
          <w:szCs w:val="24"/>
        </w:rPr>
        <w:t xml:space="preserve">. </w:t>
      </w:r>
      <w:r w:rsidR="00C007E2" w:rsidRPr="004B4540">
        <w:rPr>
          <w:rFonts w:cs="Times New Roman"/>
          <w:noProof/>
          <w:szCs w:val="24"/>
        </w:rPr>
        <w:t>Most of the remaining installations emit</w:t>
      </w:r>
      <w:r w:rsidR="00E44C0D" w:rsidRPr="004B4540">
        <w:rPr>
          <w:rFonts w:cs="Times New Roman"/>
          <w:noProof/>
          <w:szCs w:val="24"/>
        </w:rPr>
        <w:t xml:space="preserve"> between 50 000 and 500 000 tonnes CO</w:t>
      </w:r>
      <w:r w:rsidR="00E44C0D" w:rsidRPr="004B4540">
        <w:rPr>
          <w:rFonts w:cs="Times New Roman"/>
          <w:noProof/>
          <w:szCs w:val="24"/>
          <w:vertAlign w:val="subscript"/>
        </w:rPr>
        <w:t>2</w:t>
      </w:r>
      <w:r w:rsidR="00E44C0D" w:rsidRPr="004B4540">
        <w:rPr>
          <w:rFonts w:cs="Times New Roman"/>
          <w:noProof/>
          <w:szCs w:val="24"/>
        </w:rPr>
        <w:t>eq per year</w:t>
      </w:r>
      <w:r w:rsidR="00E44C0D" w:rsidRPr="004B4540">
        <w:rPr>
          <w:rStyle w:val="FootnoteReference"/>
          <w:rFonts w:cs="Times New Roman"/>
          <w:noProof/>
          <w:szCs w:val="24"/>
        </w:rPr>
        <w:footnoteReference w:id="19"/>
      </w:r>
      <w:r w:rsidR="00101519" w:rsidRPr="004B4540">
        <w:rPr>
          <w:rFonts w:cs="Times New Roman"/>
          <w:noProof/>
          <w:szCs w:val="24"/>
        </w:rPr>
        <w:t xml:space="preserve"> </w:t>
      </w:r>
      <w:r w:rsidR="00E44C0D" w:rsidRPr="004B4540">
        <w:rPr>
          <w:rFonts w:cs="Times New Roman"/>
          <w:noProof/>
          <w:szCs w:val="24"/>
        </w:rPr>
        <w:t>(2</w:t>
      </w:r>
      <w:r w:rsidR="00A85282" w:rsidRPr="004B4540">
        <w:rPr>
          <w:rFonts w:cs="Times New Roman"/>
          <w:noProof/>
          <w:szCs w:val="24"/>
        </w:rPr>
        <w:t>1.9</w:t>
      </w:r>
      <w:r w:rsidR="00E44C0D" w:rsidRPr="004B4540">
        <w:rPr>
          <w:rFonts w:cs="Times New Roman"/>
          <w:noProof/>
          <w:szCs w:val="24"/>
        </w:rPr>
        <w:t>% of the total), and only a fraction emits over 500 000 CO</w:t>
      </w:r>
      <w:r w:rsidR="00E44C0D" w:rsidRPr="004B4540">
        <w:rPr>
          <w:rFonts w:cs="Times New Roman"/>
          <w:noProof/>
          <w:szCs w:val="24"/>
          <w:vertAlign w:val="subscript"/>
        </w:rPr>
        <w:t>2</w:t>
      </w:r>
      <w:r w:rsidR="00E44C0D" w:rsidRPr="004B4540">
        <w:rPr>
          <w:rFonts w:cs="Times New Roman"/>
          <w:noProof/>
          <w:szCs w:val="24"/>
        </w:rPr>
        <w:t>eq per year</w:t>
      </w:r>
      <w:r w:rsidR="00E44C0D" w:rsidRPr="004B4540">
        <w:rPr>
          <w:rStyle w:val="FootnoteReference"/>
          <w:rFonts w:cs="Times New Roman"/>
          <w:noProof/>
          <w:szCs w:val="24"/>
        </w:rPr>
        <w:footnoteReference w:id="20"/>
      </w:r>
      <w:r w:rsidR="00E44C0D" w:rsidRPr="004B4540">
        <w:rPr>
          <w:rFonts w:cs="Times New Roman"/>
          <w:noProof/>
          <w:szCs w:val="24"/>
        </w:rPr>
        <w:t xml:space="preserve"> (7.4% of the total). ETS countries reported that </w:t>
      </w:r>
      <w:r w:rsidR="00A85282" w:rsidRPr="004B4540">
        <w:rPr>
          <w:rFonts w:cs="Times New Roman"/>
          <w:noProof/>
          <w:szCs w:val="24"/>
        </w:rPr>
        <w:t xml:space="preserve">219 </w:t>
      </w:r>
      <w:r w:rsidR="00E44C0D" w:rsidRPr="004B4540">
        <w:rPr>
          <w:rFonts w:cs="Times New Roman"/>
          <w:noProof/>
          <w:szCs w:val="24"/>
        </w:rPr>
        <w:t xml:space="preserve">installations closed in 2022, </w:t>
      </w:r>
      <w:r w:rsidR="00A85282" w:rsidRPr="004B4540">
        <w:rPr>
          <w:rFonts w:cs="Times New Roman"/>
          <w:noProof/>
          <w:szCs w:val="24"/>
        </w:rPr>
        <w:t xml:space="preserve">133 </w:t>
      </w:r>
      <w:r w:rsidR="00E44C0D" w:rsidRPr="004B4540">
        <w:rPr>
          <w:rFonts w:cs="Times New Roman"/>
          <w:noProof/>
          <w:szCs w:val="24"/>
        </w:rPr>
        <w:t xml:space="preserve">of which </w:t>
      </w:r>
      <w:r w:rsidR="00905F5F" w:rsidRPr="004B4540">
        <w:rPr>
          <w:rFonts w:cs="Times New Roman"/>
          <w:noProof/>
          <w:szCs w:val="24"/>
        </w:rPr>
        <w:t xml:space="preserve">were </w:t>
      </w:r>
      <w:r w:rsidR="00E44C0D" w:rsidRPr="004B4540">
        <w:rPr>
          <w:rFonts w:cs="Times New Roman"/>
          <w:noProof/>
          <w:szCs w:val="24"/>
        </w:rPr>
        <w:t>due to</w:t>
      </w:r>
      <w:r w:rsidR="002B62CA">
        <w:rPr>
          <w:rFonts w:cs="Times New Roman"/>
          <w:noProof/>
          <w:szCs w:val="24"/>
        </w:rPr>
        <w:t xml:space="preserve"> a reduction of</w:t>
      </w:r>
      <w:r w:rsidR="00E44C0D" w:rsidRPr="004B4540">
        <w:rPr>
          <w:rFonts w:cs="Times New Roman"/>
          <w:noProof/>
          <w:szCs w:val="24"/>
        </w:rPr>
        <w:t xml:space="preserve"> capacity</w:t>
      </w:r>
      <w:r w:rsidR="002B62CA">
        <w:rPr>
          <w:rFonts w:cs="Times New Roman"/>
          <w:noProof/>
          <w:szCs w:val="24"/>
        </w:rPr>
        <w:t xml:space="preserve"> </w:t>
      </w:r>
      <w:r w:rsidR="00E32397">
        <w:rPr>
          <w:rFonts w:cs="Times New Roman"/>
          <w:noProof/>
          <w:szCs w:val="24"/>
        </w:rPr>
        <w:t>to below 20 megawatts of thermal input</w:t>
      </w:r>
      <w:r w:rsidR="00947354" w:rsidRPr="004B4540">
        <w:rPr>
          <w:rFonts w:cs="Times New Roman"/>
          <w:noProof/>
          <w:szCs w:val="24"/>
        </w:rPr>
        <w:t>. This brings installations</w:t>
      </w:r>
      <w:r w:rsidR="00E44C0D" w:rsidRPr="004B4540">
        <w:rPr>
          <w:rFonts w:cs="Times New Roman"/>
          <w:noProof/>
          <w:szCs w:val="24"/>
        </w:rPr>
        <w:t xml:space="preserve"> </w:t>
      </w:r>
      <w:r w:rsidR="00084562" w:rsidRPr="004B4540">
        <w:rPr>
          <w:rFonts w:cs="Times New Roman"/>
          <w:noProof/>
          <w:szCs w:val="24"/>
        </w:rPr>
        <w:t xml:space="preserve">below the </w:t>
      </w:r>
      <w:r w:rsidR="00CA70A4" w:rsidRPr="004B4540">
        <w:rPr>
          <w:rFonts w:cs="Times New Roman"/>
          <w:noProof/>
          <w:szCs w:val="24"/>
        </w:rPr>
        <w:t xml:space="preserve">threshold for coverage under the </w:t>
      </w:r>
      <w:r w:rsidR="00E32397">
        <w:rPr>
          <w:rFonts w:cs="Times New Roman"/>
          <w:noProof/>
          <w:szCs w:val="24"/>
        </w:rPr>
        <w:t>EU ETS</w:t>
      </w:r>
      <w:r w:rsidR="00CA70A4" w:rsidRPr="004B4540">
        <w:rPr>
          <w:rFonts w:cs="Times New Roman"/>
          <w:noProof/>
          <w:szCs w:val="24"/>
        </w:rPr>
        <w:t xml:space="preserve">. </w:t>
      </w:r>
      <w:r w:rsidR="00A90F86">
        <w:rPr>
          <w:rFonts w:cs="Times New Roman"/>
          <w:noProof/>
          <w:szCs w:val="24"/>
        </w:rPr>
        <w:fldChar w:fldCharType="begin"/>
      </w:r>
      <w:r w:rsidR="00A90F86">
        <w:rPr>
          <w:rFonts w:cs="Times New Roman"/>
          <w:noProof/>
          <w:szCs w:val="24"/>
        </w:rPr>
        <w:instrText xml:space="preserve"> REF _Ref148625799 \h </w:instrText>
      </w:r>
      <w:r w:rsidR="00A90F86">
        <w:rPr>
          <w:rFonts w:cs="Times New Roman"/>
          <w:noProof/>
          <w:szCs w:val="24"/>
        </w:rPr>
      </w:r>
      <w:r w:rsidR="00A90F86">
        <w:rPr>
          <w:rFonts w:cs="Times New Roman"/>
          <w:noProof/>
          <w:szCs w:val="24"/>
        </w:rPr>
        <w:fldChar w:fldCharType="separate"/>
      </w:r>
      <w:r w:rsidR="00B83BFA">
        <w:rPr>
          <w:noProof/>
        </w:rPr>
        <w:t>Figure 1</w:t>
      </w:r>
      <w:r w:rsidR="00A90F86">
        <w:rPr>
          <w:rFonts w:cs="Times New Roman"/>
          <w:noProof/>
          <w:szCs w:val="24"/>
        </w:rPr>
        <w:fldChar w:fldCharType="end"/>
      </w:r>
      <w:r w:rsidR="00A90F86">
        <w:rPr>
          <w:rFonts w:cs="Times New Roman"/>
          <w:noProof/>
          <w:szCs w:val="24"/>
        </w:rPr>
        <w:t xml:space="preserve"> </w:t>
      </w:r>
      <w:r w:rsidR="00E44C0D" w:rsidRPr="004B4540">
        <w:rPr>
          <w:rFonts w:cs="Times New Roman"/>
          <w:noProof/>
          <w:szCs w:val="24"/>
        </w:rPr>
        <w:t>shows the breakdown of installations in the EU ETS by level of emissions in 2022.</w:t>
      </w:r>
    </w:p>
    <w:p w14:paraId="2F4EFA31" w14:textId="77777777" w:rsidR="006B16A2" w:rsidRDefault="006B16A2" w:rsidP="006B16A2">
      <w:pPr>
        <w:pStyle w:val="CMR23-text"/>
        <w:keepNext/>
        <w:rPr>
          <w:noProof/>
        </w:rPr>
      </w:pPr>
      <w:r>
        <w:rPr>
          <w:noProof/>
          <w:lang w:eastAsia="en-GB"/>
        </w:rPr>
        <mc:AlternateContent>
          <mc:Choice Requires="cx1">
            <w:drawing>
              <wp:inline distT="0" distB="0" distL="0" distR="0" wp14:anchorId="444E9FF5" wp14:editId="7DE956FE">
                <wp:extent cx="5731510" cy="5011420"/>
                <wp:effectExtent l="0" t="0" r="2540" b="17780"/>
                <wp:docPr id="6" name="Chart 6">
                  <a:extLst xmlns:a="http://schemas.openxmlformats.org/drawingml/2006/main">
                    <a:ext uri="{FF2B5EF4-FFF2-40B4-BE49-F238E27FC236}">
                      <a16:creationId xmlns:a16="http://schemas.microsoft.com/office/drawing/2014/main" id="{AECABFCB-BB67-48E6-8410-474338EB0DFE}"/>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444E9FF5" wp14:editId="7DE956FE">
                <wp:extent cx="5731510" cy="5011420"/>
                <wp:effectExtent l="0" t="0" r="2540" b="17780"/>
                <wp:docPr id="6" name="Chart 6">
                  <a:extLst xmlns:a="http://schemas.openxmlformats.org/drawingml/2006/main">
                    <a:ext uri="{FF2B5EF4-FFF2-40B4-BE49-F238E27FC236}">
                      <a16:creationId xmlns:a16="http://schemas.microsoft.com/office/drawing/2014/main" id="{AECABFCB-BB67-48E6-8410-474338EB0DFE}"/>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Chart 6">
                          <a:extLst>
                            <a:ext uri="{FF2B5EF4-FFF2-40B4-BE49-F238E27FC236}">
                              <a16:creationId xmlns:a16="http://schemas.microsoft.com/office/drawing/2014/main" id="{AECABFCB-BB67-48E6-8410-474338EB0DFE}"/>
                            </a:ext>
                          </a:extLst>
                        </pic:cNvPr>
                        <pic:cNvPicPr>
                          <a:picLocks noGrp="1" noRot="1" noChangeAspect="1" noMove="1" noResize="1" noEditPoints="1" noAdjustHandles="1" noChangeArrowheads="1" noChangeShapeType="1"/>
                        </pic:cNvPicPr>
                      </pic:nvPicPr>
                      <pic:blipFill>
                        <a:blip r:embed="rId16"/>
                        <a:stretch>
                          <a:fillRect/>
                        </a:stretch>
                      </pic:blipFill>
                      <pic:spPr>
                        <a:xfrm>
                          <a:off x="0" y="0"/>
                          <a:ext cx="5731510" cy="5011420"/>
                        </a:xfrm>
                        <a:prstGeom prst="rect">
                          <a:avLst/>
                        </a:prstGeom>
                      </pic:spPr>
                    </pic:pic>
                  </a:graphicData>
                </a:graphic>
              </wp:inline>
            </w:drawing>
          </mc:Fallback>
        </mc:AlternateContent>
      </w:r>
    </w:p>
    <w:p w14:paraId="3075A8B3" w14:textId="0A7894AE" w:rsidR="00084562" w:rsidRPr="004B4540" w:rsidRDefault="006B16A2" w:rsidP="006B16A2">
      <w:pPr>
        <w:pStyle w:val="Caption"/>
        <w:rPr>
          <w:noProof/>
          <w:szCs w:val="24"/>
        </w:rPr>
      </w:pPr>
      <w:bookmarkStart w:id="23" w:name="_Ref148625799"/>
      <w:r>
        <w:rPr>
          <w:noProof/>
        </w:rPr>
        <w:t xml:space="preserve">Figure </w:t>
      </w:r>
      <w:r w:rsidR="002F3AE3">
        <w:rPr>
          <w:noProof/>
        </w:rPr>
        <w:fldChar w:fldCharType="begin"/>
      </w:r>
      <w:r w:rsidR="002F3AE3">
        <w:rPr>
          <w:noProof/>
        </w:rPr>
        <w:instrText xml:space="preserve"> SEQ Figure \* ARABIC </w:instrText>
      </w:r>
      <w:r w:rsidR="002F3AE3">
        <w:rPr>
          <w:noProof/>
        </w:rPr>
        <w:fldChar w:fldCharType="separate"/>
      </w:r>
      <w:r w:rsidR="00B83BFA">
        <w:rPr>
          <w:noProof/>
        </w:rPr>
        <w:t>1</w:t>
      </w:r>
      <w:r w:rsidR="002F3AE3">
        <w:rPr>
          <w:noProof/>
        </w:rPr>
        <w:fldChar w:fldCharType="end"/>
      </w:r>
      <w:bookmarkEnd w:id="23"/>
      <w:r>
        <w:rPr>
          <w:noProof/>
        </w:rPr>
        <w:t xml:space="preserve">: </w:t>
      </w:r>
      <w:r w:rsidRPr="00FB257C">
        <w:rPr>
          <w:noProof/>
        </w:rPr>
        <w:t>Number of installations per emissions category in 2022</w:t>
      </w:r>
    </w:p>
    <w:p w14:paraId="77CAB9A4" w14:textId="0177C6EF" w:rsidR="00E44C0D" w:rsidRPr="004B4540" w:rsidRDefault="00A45E5F" w:rsidP="00E44C0D">
      <w:pPr>
        <w:pStyle w:val="CMR23-text"/>
        <w:rPr>
          <w:rFonts w:cs="Times New Roman"/>
          <w:noProof/>
          <w:szCs w:val="24"/>
        </w:rPr>
      </w:pPr>
      <w:r w:rsidRPr="004B4540">
        <w:rPr>
          <w:rFonts w:cs="Times New Roman"/>
          <w:noProof/>
          <w:szCs w:val="24"/>
        </w:rPr>
        <w:t xml:space="preserve">To reduce </w:t>
      </w:r>
      <w:r w:rsidR="006F279C" w:rsidRPr="004B4540">
        <w:rPr>
          <w:rFonts w:cs="Times New Roman"/>
          <w:noProof/>
          <w:szCs w:val="24"/>
        </w:rPr>
        <w:t xml:space="preserve">the </w:t>
      </w:r>
      <w:r w:rsidRPr="004B4540">
        <w:rPr>
          <w:rFonts w:cs="Times New Roman"/>
          <w:noProof/>
          <w:szCs w:val="24"/>
        </w:rPr>
        <w:t>administrative burden, c</w:t>
      </w:r>
      <w:r w:rsidR="00E44C0D" w:rsidRPr="004B4540">
        <w:rPr>
          <w:rFonts w:cs="Times New Roman"/>
          <w:noProof/>
          <w:szCs w:val="24"/>
        </w:rPr>
        <w:t>ountries can exclude installations with</w:t>
      </w:r>
      <w:r w:rsidR="0026647C">
        <w:rPr>
          <w:rFonts w:cs="Times New Roman"/>
          <w:noProof/>
          <w:szCs w:val="24"/>
        </w:rPr>
        <w:t xml:space="preserve"> emissions</w:t>
      </w:r>
      <w:r w:rsidR="00AF3CC2">
        <w:rPr>
          <w:rFonts w:cs="Times New Roman"/>
          <w:noProof/>
          <w:szCs w:val="24"/>
        </w:rPr>
        <w:t xml:space="preserve"> below 25</w:t>
      </w:r>
      <w:r w:rsidR="00CB10F9">
        <w:rPr>
          <w:rFonts w:cs="Times New Roman"/>
          <w:noProof/>
          <w:szCs w:val="24"/>
        </w:rPr>
        <w:t> </w:t>
      </w:r>
      <w:r w:rsidR="00AF3CC2">
        <w:rPr>
          <w:rFonts w:cs="Times New Roman"/>
          <w:noProof/>
          <w:szCs w:val="24"/>
        </w:rPr>
        <w:t>000</w:t>
      </w:r>
      <w:r w:rsidR="00CB10F9">
        <w:rPr>
          <w:rFonts w:cs="Times New Roman"/>
          <w:noProof/>
          <w:szCs w:val="24"/>
        </w:rPr>
        <w:t> </w:t>
      </w:r>
      <w:r w:rsidR="00AF3CC2" w:rsidRPr="00645617">
        <w:rPr>
          <w:rFonts w:cs="Times New Roman"/>
          <w:noProof/>
          <w:szCs w:val="24"/>
        </w:rPr>
        <w:t>tonnes</w:t>
      </w:r>
      <w:r w:rsidR="00CB10F9">
        <w:rPr>
          <w:rFonts w:cs="Times New Roman"/>
          <w:noProof/>
          <w:szCs w:val="24"/>
        </w:rPr>
        <w:t> </w:t>
      </w:r>
      <w:r w:rsidR="00AF3CC2" w:rsidRPr="00645617">
        <w:rPr>
          <w:rFonts w:cs="Times New Roman"/>
          <w:noProof/>
          <w:szCs w:val="24"/>
        </w:rPr>
        <w:t>CO</w:t>
      </w:r>
      <w:r w:rsidR="00AF3CC2" w:rsidRPr="00645617">
        <w:rPr>
          <w:rFonts w:cs="Times New Roman"/>
          <w:noProof/>
          <w:szCs w:val="24"/>
          <w:vertAlign w:val="subscript"/>
        </w:rPr>
        <w:t>2</w:t>
      </w:r>
      <w:r w:rsidR="00AF3CC2" w:rsidRPr="00645617">
        <w:rPr>
          <w:rFonts w:cs="Times New Roman"/>
          <w:noProof/>
          <w:szCs w:val="24"/>
        </w:rPr>
        <w:t>eq</w:t>
      </w:r>
      <w:r w:rsidR="00DF7FC5">
        <w:rPr>
          <w:rFonts w:cs="Times New Roman"/>
          <w:noProof/>
          <w:szCs w:val="24"/>
        </w:rPr>
        <w:t xml:space="preserve"> </w:t>
      </w:r>
      <w:r w:rsidR="00AF3CC2">
        <w:rPr>
          <w:rFonts w:cs="Times New Roman"/>
          <w:noProof/>
          <w:szCs w:val="24"/>
        </w:rPr>
        <w:t>per year</w:t>
      </w:r>
      <w:r w:rsidR="00E44C0D" w:rsidRPr="004B4540">
        <w:rPr>
          <w:rFonts w:cs="Times New Roman"/>
          <w:noProof/>
          <w:szCs w:val="24"/>
        </w:rPr>
        <w:t xml:space="preserve"> the </w:t>
      </w:r>
      <w:r w:rsidR="0026647C">
        <w:rPr>
          <w:rFonts w:cs="Times New Roman"/>
          <w:noProof/>
          <w:szCs w:val="24"/>
        </w:rPr>
        <w:t>EU ETS</w:t>
      </w:r>
      <w:r w:rsidR="0026647C" w:rsidRPr="004B4540">
        <w:rPr>
          <w:rFonts w:cs="Times New Roman"/>
          <w:noProof/>
          <w:szCs w:val="24"/>
        </w:rPr>
        <w:t xml:space="preserve"> </w:t>
      </w:r>
      <w:r w:rsidR="00E44C0D" w:rsidRPr="004B4540">
        <w:rPr>
          <w:rFonts w:cs="Times New Roman"/>
          <w:noProof/>
          <w:szCs w:val="24"/>
        </w:rPr>
        <w:t>if alternative measures to reduce emissions are put in place</w:t>
      </w:r>
      <w:r w:rsidR="00E44C0D" w:rsidRPr="004B4540">
        <w:rPr>
          <w:rStyle w:val="FootnoteReference"/>
          <w:rFonts w:cs="Times New Roman"/>
          <w:noProof/>
          <w:szCs w:val="24"/>
        </w:rPr>
        <w:footnoteReference w:id="21"/>
      </w:r>
      <w:r w:rsidR="00E44C0D" w:rsidRPr="004B4540">
        <w:rPr>
          <w:rFonts w:cs="Times New Roman"/>
          <w:noProof/>
          <w:szCs w:val="24"/>
        </w:rPr>
        <w:t>. Since 2021, it is also possible to exclude installations from the EU ETS that emit less than 2</w:t>
      </w:r>
      <w:r w:rsidR="00E951A0" w:rsidRPr="004B4540">
        <w:rPr>
          <w:rFonts w:cs="Times New Roman"/>
          <w:noProof/>
          <w:szCs w:val="24"/>
        </w:rPr>
        <w:t> </w:t>
      </w:r>
      <w:r w:rsidR="00E44C0D" w:rsidRPr="004B4540">
        <w:rPr>
          <w:rFonts w:cs="Times New Roman"/>
          <w:noProof/>
          <w:szCs w:val="24"/>
        </w:rPr>
        <w:t xml:space="preserve">500 tonnes </w:t>
      </w:r>
      <w:bookmarkStart w:id="24" w:name="_Hlk145428589"/>
      <w:r w:rsidR="00E44C0D" w:rsidRPr="004B4540">
        <w:rPr>
          <w:rFonts w:cs="Times New Roman"/>
          <w:noProof/>
          <w:szCs w:val="24"/>
        </w:rPr>
        <w:t>CO</w:t>
      </w:r>
      <w:r w:rsidR="00E44C0D" w:rsidRPr="004B4540">
        <w:rPr>
          <w:rFonts w:cs="Times New Roman"/>
          <w:noProof/>
          <w:szCs w:val="24"/>
          <w:vertAlign w:val="subscript"/>
        </w:rPr>
        <w:t>2</w:t>
      </w:r>
      <w:r w:rsidR="00E44C0D" w:rsidRPr="004B4540">
        <w:rPr>
          <w:rFonts w:cs="Times New Roman"/>
          <w:noProof/>
          <w:szCs w:val="24"/>
        </w:rPr>
        <w:t>eq</w:t>
      </w:r>
      <w:bookmarkEnd w:id="24"/>
      <w:r w:rsidR="0087768B" w:rsidRPr="004B4540">
        <w:rPr>
          <w:rFonts w:cs="Times New Roman"/>
          <w:noProof/>
          <w:szCs w:val="24"/>
        </w:rPr>
        <w:t xml:space="preserve"> per year</w:t>
      </w:r>
      <w:r w:rsidR="00E44C0D" w:rsidRPr="004B4540">
        <w:rPr>
          <w:rStyle w:val="FootnoteReference"/>
          <w:rFonts w:cs="Times New Roman"/>
          <w:noProof/>
          <w:szCs w:val="24"/>
        </w:rPr>
        <w:footnoteReference w:id="22"/>
      </w:r>
      <w:r w:rsidR="00E44C0D" w:rsidRPr="004B4540">
        <w:rPr>
          <w:rFonts w:cs="Times New Roman"/>
          <w:noProof/>
          <w:szCs w:val="24"/>
        </w:rPr>
        <w:t xml:space="preserve"> as well as reserve or back-up units</w:t>
      </w:r>
      <w:r w:rsidR="00CB1374" w:rsidRPr="004B4540">
        <w:rPr>
          <w:rFonts w:cs="Times New Roman"/>
          <w:noProof/>
          <w:szCs w:val="24"/>
        </w:rPr>
        <w:t xml:space="preserve"> that </w:t>
      </w:r>
      <w:r w:rsidR="00E44C0D" w:rsidRPr="004B4540">
        <w:rPr>
          <w:rFonts w:cs="Times New Roman"/>
          <w:noProof/>
          <w:szCs w:val="24"/>
        </w:rPr>
        <w:t>do not operate more than 300 hours per year</w:t>
      </w:r>
      <w:r w:rsidR="00E44C0D" w:rsidRPr="004B4540">
        <w:rPr>
          <w:rStyle w:val="FootnoteReference"/>
          <w:rFonts w:cs="Times New Roman"/>
          <w:noProof/>
          <w:szCs w:val="24"/>
        </w:rPr>
        <w:footnoteReference w:id="23"/>
      </w:r>
      <w:r w:rsidR="00E44C0D" w:rsidRPr="004B4540">
        <w:rPr>
          <w:rFonts w:cs="Times New Roman"/>
          <w:noProof/>
          <w:szCs w:val="24"/>
        </w:rPr>
        <w:t>. In 2022, 1</w:t>
      </w:r>
      <w:r w:rsidR="00084562" w:rsidRPr="004B4540">
        <w:rPr>
          <w:rFonts w:cs="Times New Roman"/>
          <w:noProof/>
          <w:szCs w:val="24"/>
        </w:rPr>
        <w:t>5</w:t>
      </w:r>
      <w:r w:rsidR="00E44C0D" w:rsidRPr="004B4540">
        <w:rPr>
          <w:rFonts w:cs="Times New Roman"/>
          <w:noProof/>
          <w:szCs w:val="24"/>
        </w:rPr>
        <w:t xml:space="preserve"> countries opted to exclude installations from the system, accounting for a total of 4.</w:t>
      </w:r>
      <w:r w:rsidR="00084562" w:rsidRPr="004B4540">
        <w:rPr>
          <w:rFonts w:cs="Times New Roman"/>
          <w:noProof/>
          <w:szCs w:val="24"/>
        </w:rPr>
        <w:t>2</w:t>
      </w:r>
      <w:r w:rsidR="00E951A0" w:rsidRPr="004B4540">
        <w:rPr>
          <w:rFonts w:cs="Times New Roman"/>
          <w:noProof/>
          <w:szCs w:val="24"/>
        </w:rPr>
        <w:t> </w:t>
      </w:r>
      <w:r w:rsidR="00E44C0D" w:rsidRPr="004B4540">
        <w:rPr>
          <w:rFonts w:cs="Times New Roman"/>
          <w:noProof/>
          <w:szCs w:val="24"/>
        </w:rPr>
        <w:t>Mt</w:t>
      </w:r>
      <w:r w:rsidR="00E951A0" w:rsidRPr="004B4540">
        <w:rPr>
          <w:rFonts w:cs="Times New Roman"/>
          <w:noProof/>
          <w:szCs w:val="24"/>
        </w:rPr>
        <w:t> </w:t>
      </w:r>
      <w:r w:rsidR="00E44C0D" w:rsidRPr="004B4540">
        <w:rPr>
          <w:rFonts w:cs="Times New Roman"/>
          <w:noProof/>
          <w:szCs w:val="24"/>
        </w:rPr>
        <w:t>CO</w:t>
      </w:r>
      <w:r w:rsidR="00E44C0D" w:rsidRPr="004B4540">
        <w:rPr>
          <w:rFonts w:cs="Times New Roman"/>
          <w:noProof/>
          <w:szCs w:val="24"/>
          <w:vertAlign w:val="subscript"/>
        </w:rPr>
        <w:t>2</w:t>
      </w:r>
      <w:r w:rsidR="00E44C0D" w:rsidRPr="004B4540">
        <w:rPr>
          <w:rFonts w:cs="Times New Roman"/>
          <w:noProof/>
          <w:szCs w:val="24"/>
        </w:rPr>
        <w:t>eq. This represented 0.3</w:t>
      </w:r>
      <w:r w:rsidR="00D14980" w:rsidRPr="004B4540">
        <w:rPr>
          <w:rFonts w:cs="Times New Roman"/>
          <w:noProof/>
          <w:szCs w:val="24"/>
        </w:rPr>
        <w:t>2</w:t>
      </w:r>
      <w:r w:rsidR="00E44C0D" w:rsidRPr="004B4540">
        <w:rPr>
          <w:rFonts w:cs="Times New Roman"/>
          <w:noProof/>
          <w:szCs w:val="24"/>
        </w:rPr>
        <w:t xml:space="preserve">% of emissions from installations included in the EU ETS. </w:t>
      </w:r>
    </w:p>
    <w:p w14:paraId="3740BDEB" w14:textId="68DA7DAB" w:rsidR="00E44C0D" w:rsidRPr="004B4540" w:rsidRDefault="00E44C0D" w:rsidP="00E44C0D">
      <w:pPr>
        <w:pStyle w:val="CMR23-text"/>
        <w:rPr>
          <w:rFonts w:cs="Times New Roman"/>
          <w:noProof/>
          <w:szCs w:val="24"/>
        </w:rPr>
      </w:pPr>
      <w:r w:rsidRPr="004B4540">
        <w:rPr>
          <w:rFonts w:cs="Times New Roman"/>
          <w:noProof/>
          <w:szCs w:val="24"/>
        </w:rPr>
        <w:t xml:space="preserve">In aviation, most of the </w:t>
      </w:r>
      <w:r w:rsidR="005E34D9" w:rsidRPr="004B4540">
        <w:rPr>
          <w:rFonts w:cs="Times New Roman"/>
          <w:noProof/>
          <w:szCs w:val="24"/>
        </w:rPr>
        <w:t xml:space="preserve">390 </w:t>
      </w:r>
      <w:r w:rsidRPr="004B4540">
        <w:rPr>
          <w:rFonts w:cs="Times New Roman"/>
          <w:noProof/>
          <w:szCs w:val="24"/>
        </w:rPr>
        <w:t>regulated operators in 202</w:t>
      </w:r>
      <w:r w:rsidR="00084562" w:rsidRPr="004B4540">
        <w:rPr>
          <w:rFonts w:cs="Times New Roman"/>
          <w:noProof/>
          <w:szCs w:val="24"/>
        </w:rPr>
        <w:t>2</w:t>
      </w:r>
      <w:r w:rsidRPr="004B4540">
        <w:rPr>
          <w:rFonts w:cs="Times New Roman"/>
          <w:noProof/>
          <w:szCs w:val="24"/>
        </w:rPr>
        <w:t xml:space="preserve"> were commercial operators (</w:t>
      </w:r>
      <w:r w:rsidR="00084562" w:rsidRPr="004B4540">
        <w:rPr>
          <w:rFonts w:cs="Times New Roman"/>
          <w:noProof/>
          <w:szCs w:val="24"/>
        </w:rPr>
        <w:t>6</w:t>
      </w:r>
      <w:r w:rsidR="00CB11A4" w:rsidRPr="004B4540">
        <w:rPr>
          <w:rFonts w:cs="Times New Roman"/>
          <w:noProof/>
          <w:szCs w:val="24"/>
        </w:rPr>
        <w:t>7</w:t>
      </w:r>
      <w:r w:rsidRPr="004B4540">
        <w:rPr>
          <w:rFonts w:cs="Times New Roman"/>
          <w:noProof/>
          <w:szCs w:val="24"/>
        </w:rPr>
        <w:t>% of the total)</w:t>
      </w:r>
      <w:r w:rsidRPr="004B4540">
        <w:rPr>
          <w:rStyle w:val="FootnoteReference"/>
          <w:rFonts w:cs="Times New Roman"/>
          <w:noProof/>
          <w:szCs w:val="24"/>
        </w:rPr>
        <w:footnoteReference w:id="24"/>
      </w:r>
      <w:r w:rsidRPr="004B4540">
        <w:rPr>
          <w:rFonts w:cs="Times New Roman"/>
          <w:noProof/>
          <w:szCs w:val="24"/>
        </w:rPr>
        <w:t xml:space="preserve">. A total of </w:t>
      </w:r>
      <w:r w:rsidR="00CB11A4" w:rsidRPr="004B4540">
        <w:rPr>
          <w:rFonts w:cs="Times New Roman"/>
          <w:noProof/>
          <w:szCs w:val="24"/>
        </w:rPr>
        <w:t xml:space="preserve">174 </w:t>
      </w:r>
      <w:r w:rsidRPr="004B4540">
        <w:rPr>
          <w:rFonts w:cs="Times New Roman"/>
          <w:noProof/>
          <w:szCs w:val="24"/>
        </w:rPr>
        <w:t>operators (</w:t>
      </w:r>
      <w:r w:rsidR="004D5DCB" w:rsidRPr="004B4540">
        <w:rPr>
          <w:rFonts w:cs="Times New Roman"/>
          <w:noProof/>
          <w:szCs w:val="24"/>
        </w:rPr>
        <w:t>45</w:t>
      </w:r>
      <w:r w:rsidRPr="004B4540">
        <w:rPr>
          <w:rFonts w:cs="Times New Roman"/>
          <w:noProof/>
          <w:szCs w:val="24"/>
        </w:rPr>
        <w:t xml:space="preserve">%) </w:t>
      </w:r>
      <w:r w:rsidR="00711E99" w:rsidRPr="004B4540">
        <w:rPr>
          <w:rFonts w:cs="Times New Roman"/>
          <w:noProof/>
          <w:szCs w:val="24"/>
        </w:rPr>
        <w:t>qualified as small emitters</w:t>
      </w:r>
      <w:r w:rsidR="00630433">
        <w:rPr>
          <w:rStyle w:val="FootnoteReference"/>
          <w:rFonts w:cs="Times New Roman"/>
          <w:noProof/>
          <w:szCs w:val="24"/>
        </w:rPr>
        <w:footnoteReference w:id="25"/>
      </w:r>
      <w:r w:rsidR="00084562" w:rsidRPr="004B4540">
        <w:rPr>
          <w:rFonts w:cs="Times New Roman"/>
          <w:noProof/>
          <w:szCs w:val="24"/>
        </w:rPr>
        <w:t xml:space="preserve">, including </w:t>
      </w:r>
      <w:r w:rsidR="00AD4209" w:rsidRPr="004B4540">
        <w:rPr>
          <w:rFonts w:cs="Times New Roman"/>
          <w:noProof/>
          <w:szCs w:val="24"/>
        </w:rPr>
        <w:t xml:space="preserve">126 </w:t>
      </w:r>
      <w:r w:rsidR="00084562" w:rsidRPr="004B4540">
        <w:rPr>
          <w:rFonts w:cs="Times New Roman"/>
          <w:noProof/>
          <w:szCs w:val="24"/>
        </w:rPr>
        <w:t>of the</w:t>
      </w:r>
      <w:r w:rsidR="00AD4209" w:rsidRPr="004B4540">
        <w:rPr>
          <w:rFonts w:cs="Times New Roman"/>
          <w:noProof/>
          <w:szCs w:val="24"/>
        </w:rPr>
        <w:t xml:space="preserve"> 129</w:t>
      </w:r>
      <w:r w:rsidR="00084562" w:rsidRPr="004B4540">
        <w:rPr>
          <w:rFonts w:cs="Times New Roman"/>
          <w:noProof/>
          <w:szCs w:val="24"/>
        </w:rPr>
        <w:t xml:space="preserve"> non-commercial </w:t>
      </w:r>
      <w:r w:rsidR="00AD4209" w:rsidRPr="004B4540">
        <w:rPr>
          <w:rFonts w:cs="Times New Roman"/>
          <w:noProof/>
          <w:szCs w:val="24"/>
        </w:rPr>
        <w:t xml:space="preserve">aircraft </w:t>
      </w:r>
      <w:r w:rsidR="00084562" w:rsidRPr="004B4540">
        <w:rPr>
          <w:rFonts w:cs="Times New Roman"/>
          <w:noProof/>
          <w:szCs w:val="24"/>
        </w:rPr>
        <w:t>operators</w:t>
      </w:r>
      <w:r w:rsidRPr="004B4540">
        <w:rPr>
          <w:rFonts w:cs="Times New Roman"/>
          <w:noProof/>
          <w:szCs w:val="24"/>
        </w:rPr>
        <w:t>.</w:t>
      </w:r>
    </w:p>
    <w:p w14:paraId="77B9A081" w14:textId="46A2C929" w:rsidR="00101519" w:rsidRPr="004B4540" w:rsidRDefault="00E44C0D" w:rsidP="00101519">
      <w:pPr>
        <w:pStyle w:val="CMR23-text"/>
        <w:rPr>
          <w:rFonts w:cs="Times New Roman"/>
          <w:noProof/>
          <w:szCs w:val="24"/>
        </w:rPr>
      </w:pPr>
      <w:r w:rsidRPr="004B4540">
        <w:rPr>
          <w:rFonts w:cs="Times New Roman"/>
          <w:noProof/>
          <w:szCs w:val="24"/>
        </w:rPr>
        <w:t xml:space="preserve">In addition to </w:t>
      </w:r>
      <w:r w:rsidR="00583FA5" w:rsidRPr="004B4540">
        <w:rPr>
          <w:rFonts w:cs="Times New Roman"/>
          <w:noProof/>
          <w:szCs w:val="24"/>
        </w:rPr>
        <w:t>carbon dioxide (CO</w:t>
      </w:r>
      <w:r w:rsidR="00583FA5" w:rsidRPr="004B4540">
        <w:rPr>
          <w:rFonts w:cs="Times New Roman"/>
          <w:noProof/>
          <w:szCs w:val="24"/>
          <w:vertAlign w:val="subscript"/>
        </w:rPr>
        <w:t>2</w:t>
      </w:r>
      <w:r w:rsidR="00583FA5" w:rsidRPr="004B4540">
        <w:rPr>
          <w:rFonts w:cs="Times New Roman"/>
          <w:noProof/>
          <w:szCs w:val="24"/>
        </w:rPr>
        <w:t xml:space="preserve">) </w:t>
      </w:r>
      <w:r w:rsidRPr="004B4540">
        <w:rPr>
          <w:rFonts w:cs="Times New Roman"/>
          <w:noProof/>
          <w:szCs w:val="24"/>
        </w:rPr>
        <w:t>emissions, the EU ETS covers nitrous oxide (N</w:t>
      </w:r>
      <w:r w:rsidRPr="004B4540">
        <w:rPr>
          <w:rFonts w:cs="Times New Roman"/>
          <w:noProof/>
          <w:szCs w:val="24"/>
          <w:vertAlign w:val="subscript"/>
        </w:rPr>
        <w:t>2</w:t>
      </w:r>
      <w:r w:rsidRPr="004B4540">
        <w:rPr>
          <w:rFonts w:cs="Times New Roman"/>
          <w:noProof/>
          <w:szCs w:val="24"/>
        </w:rPr>
        <w:t xml:space="preserve">O) from nitric, </w:t>
      </w:r>
      <w:r w:rsidR="004D0887" w:rsidRPr="004B4540">
        <w:rPr>
          <w:rFonts w:cs="Times New Roman"/>
          <w:noProof/>
          <w:szCs w:val="24"/>
        </w:rPr>
        <w:t xml:space="preserve">adipic and glyoxylic acids </w:t>
      </w:r>
      <w:r w:rsidRPr="004B4540">
        <w:rPr>
          <w:rFonts w:cs="Times New Roman"/>
          <w:noProof/>
          <w:szCs w:val="24"/>
        </w:rPr>
        <w:t xml:space="preserve">and glyoxal production and perfluorocarbons (PFCs) from </w:t>
      </w:r>
      <w:r w:rsidR="00D44B54" w:rsidRPr="004B4540">
        <w:rPr>
          <w:rFonts w:cs="Times New Roman"/>
          <w:noProof/>
          <w:szCs w:val="24"/>
        </w:rPr>
        <w:t xml:space="preserve">primary </w:t>
      </w:r>
      <w:r w:rsidRPr="004B4540">
        <w:rPr>
          <w:rFonts w:cs="Times New Roman"/>
          <w:noProof/>
          <w:szCs w:val="24"/>
        </w:rPr>
        <w:t xml:space="preserve">aluminium production. In 2022, </w:t>
      </w:r>
      <w:r w:rsidR="006955D8" w:rsidRPr="004B4540">
        <w:rPr>
          <w:rFonts w:cs="Times New Roman"/>
          <w:noProof/>
          <w:szCs w:val="24"/>
        </w:rPr>
        <w:t xml:space="preserve">22 </w:t>
      </w:r>
      <w:r w:rsidRPr="004B4540">
        <w:rPr>
          <w:rFonts w:cs="Times New Roman"/>
          <w:noProof/>
          <w:szCs w:val="24"/>
        </w:rPr>
        <w:t>countries reported permits for ETS activities releasing non-CO</w:t>
      </w:r>
      <w:r w:rsidRPr="004B4540">
        <w:rPr>
          <w:rFonts w:cs="Times New Roman"/>
          <w:noProof/>
          <w:szCs w:val="24"/>
          <w:vertAlign w:val="subscript"/>
        </w:rPr>
        <w:t>2</w:t>
      </w:r>
      <w:r w:rsidRPr="004B4540">
        <w:rPr>
          <w:rFonts w:cs="Times New Roman"/>
          <w:noProof/>
          <w:szCs w:val="24"/>
        </w:rPr>
        <w:t xml:space="preserve"> emissions. Only Norway declared carbon capture and storage activities.</w:t>
      </w:r>
      <w:bookmarkStart w:id="25" w:name="_Hlk113648435"/>
      <w:r w:rsidR="00243730" w:rsidRPr="004B4540">
        <w:rPr>
          <w:rFonts w:cs="Times New Roman"/>
          <w:noProof/>
          <w:szCs w:val="24"/>
        </w:rPr>
        <w:t xml:space="preserve"> Countries reporting non-CO</w:t>
      </w:r>
      <w:r w:rsidR="00243730" w:rsidRPr="004B4540">
        <w:rPr>
          <w:rFonts w:cs="Times New Roman"/>
          <w:noProof/>
          <w:szCs w:val="24"/>
          <w:vertAlign w:val="subscript"/>
        </w:rPr>
        <w:t>2</w:t>
      </w:r>
      <w:r w:rsidR="00243730" w:rsidRPr="004B4540">
        <w:rPr>
          <w:rFonts w:cs="Times New Roman"/>
          <w:noProof/>
          <w:szCs w:val="24"/>
        </w:rPr>
        <w:t xml:space="preserve"> emissions from ETS activities are </w:t>
      </w:r>
      <w:r w:rsidR="00B677A1">
        <w:rPr>
          <w:rFonts w:cs="Times New Roman"/>
          <w:noProof/>
          <w:szCs w:val="24"/>
        </w:rPr>
        <w:t>shown</w:t>
      </w:r>
      <w:r w:rsidR="00B677A1" w:rsidRPr="004B4540">
        <w:rPr>
          <w:rFonts w:cs="Times New Roman"/>
          <w:noProof/>
          <w:szCs w:val="24"/>
        </w:rPr>
        <w:t xml:space="preserve"> </w:t>
      </w:r>
      <w:r w:rsidR="00243730" w:rsidRPr="004B4540">
        <w:rPr>
          <w:rFonts w:cs="Times New Roman"/>
          <w:noProof/>
          <w:szCs w:val="24"/>
        </w:rPr>
        <w:t xml:space="preserve">in </w:t>
      </w:r>
      <w:r w:rsidR="00E30BEA">
        <w:rPr>
          <w:rFonts w:cs="Times New Roman"/>
          <w:noProof/>
          <w:szCs w:val="24"/>
        </w:rPr>
        <w:t xml:space="preserve">Table 1 in </w:t>
      </w:r>
      <w:r w:rsidR="00243730" w:rsidRPr="004B4540">
        <w:rPr>
          <w:rFonts w:cs="Times New Roman"/>
          <w:noProof/>
          <w:szCs w:val="24"/>
        </w:rPr>
        <w:t xml:space="preserve">the </w:t>
      </w:r>
      <w:r w:rsidR="004A3C8F">
        <w:rPr>
          <w:rFonts w:cs="Times New Roman"/>
          <w:noProof/>
          <w:szCs w:val="24"/>
        </w:rPr>
        <w:t>Staff working document</w:t>
      </w:r>
      <w:r w:rsidR="009F78C2">
        <w:rPr>
          <w:rStyle w:val="FootnoteReference"/>
          <w:rFonts w:cs="Times New Roman"/>
          <w:noProof/>
          <w:szCs w:val="24"/>
        </w:rPr>
        <w:footnoteReference w:id="26"/>
      </w:r>
      <w:r w:rsidR="00243730" w:rsidRPr="004B4540">
        <w:rPr>
          <w:rFonts w:cs="Times New Roman"/>
          <w:noProof/>
          <w:szCs w:val="24"/>
        </w:rPr>
        <w:t>.</w:t>
      </w:r>
      <w:r w:rsidRPr="004B4540">
        <w:rPr>
          <w:rFonts w:cs="Times New Roman"/>
          <w:noProof/>
          <w:szCs w:val="24"/>
        </w:rPr>
        <w:t xml:space="preserve"> </w:t>
      </w:r>
      <w:bookmarkEnd w:id="25"/>
    </w:p>
    <w:p w14:paraId="514DF428" w14:textId="06F175ED" w:rsidR="00FD6E02" w:rsidRPr="004B4540" w:rsidRDefault="00FD6E02" w:rsidP="00FD6E02">
      <w:pPr>
        <w:pStyle w:val="CMR2023-SUBheading"/>
        <w:rPr>
          <w:rFonts w:cs="Times New Roman"/>
          <w:noProof/>
          <w:szCs w:val="24"/>
        </w:rPr>
      </w:pPr>
      <w:bookmarkStart w:id="26" w:name="_Toc145453232"/>
      <w:bookmarkStart w:id="27" w:name="_Toc148555877"/>
      <w:r w:rsidRPr="004B4540">
        <w:rPr>
          <w:rFonts w:cs="Times New Roman"/>
          <w:noProof/>
          <w:szCs w:val="24"/>
        </w:rPr>
        <w:t>Maritime included in the scope of the EU ETS from 2024</w:t>
      </w:r>
      <w:bookmarkEnd w:id="26"/>
      <w:bookmarkEnd w:id="27"/>
    </w:p>
    <w:p w14:paraId="596599FD" w14:textId="5DF1CF95" w:rsidR="00101519" w:rsidRPr="004B4540" w:rsidRDefault="00101519" w:rsidP="00101519">
      <w:pPr>
        <w:pStyle w:val="CMR23-text"/>
        <w:rPr>
          <w:rFonts w:cs="Times New Roman"/>
          <w:noProof/>
          <w:szCs w:val="24"/>
        </w:rPr>
      </w:pPr>
      <w:r w:rsidRPr="004B4540">
        <w:rPr>
          <w:rFonts w:cs="Times New Roman"/>
          <w:noProof/>
          <w:szCs w:val="24"/>
        </w:rPr>
        <w:t xml:space="preserve">Under the revised ETS Directive, the EU ETS </w:t>
      </w:r>
      <w:r w:rsidR="000D71BB" w:rsidRPr="004B4540">
        <w:rPr>
          <w:rFonts w:cs="Times New Roman"/>
          <w:noProof/>
          <w:szCs w:val="24"/>
        </w:rPr>
        <w:t xml:space="preserve">will cover </w:t>
      </w:r>
      <w:r w:rsidRPr="004B4540">
        <w:rPr>
          <w:rFonts w:cs="Times New Roman"/>
          <w:noProof/>
          <w:szCs w:val="24"/>
        </w:rPr>
        <w:t>greenhouse gas emissions from maritime transport as of January 2024. Initially,</w:t>
      </w:r>
      <w:r w:rsidR="00C43E05" w:rsidRPr="004B4540">
        <w:rPr>
          <w:rFonts w:cs="Times New Roman"/>
          <w:noProof/>
          <w:szCs w:val="24"/>
        </w:rPr>
        <w:t xml:space="preserve"> it</w:t>
      </w:r>
      <w:r w:rsidRPr="004B4540">
        <w:rPr>
          <w:rFonts w:cs="Times New Roman"/>
          <w:noProof/>
          <w:szCs w:val="24"/>
        </w:rPr>
        <w:t xml:space="preserve"> </w:t>
      </w:r>
      <w:r w:rsidR="00C43E05" w:rsidRPr="004B4540">
        <w:rPr>
          <w:rFonts w:cs="Times New Roman"/>
          <w:noProof/>
          <w:szCs w:val="24"/>
        </w:rPr>
        <w:t>will only concern CO</w:t>
      </w:r>
      <w:r w:rsidR="00C43E05" w:rsidRPr="004B4540">
        <w:rPr>
          <w:rFonts w:cs="Times New Roman"/>
          <w:noProof/>
          <w:szCs w:val="24"/>
          <w:vertAlign w:val="subscript"/>
        </w:rPr>
        <w:t>2</w:t>
      </w:r>
      <w:r w:rsidR="00C43E05" w:rsidRPr="004B4540">
        <w:rPr>
          <w:rFonts w:cs="Times New Roman"/>
          <w:noProof/>
          <w:szCs w:val="24"/>
        </w:rPr>
        <w:t xml:space="preserve"> emissions and then CH</w:t>
      </w:r>
      <w:r w:rsidR="00C43E05" w:rsidRPr="004B4540">
        <w:rPr>
          <w:rFonts w:cs="Times New Roman"/>
          <w:noProof/>
          <w:szCs w:val="24"/>
          <w:vertAlign w:val="subscript"/>
        </w:rPr>
        <w:t>4</w:t>
      </w:r>
      <w:r w:rsidR="00C43E05" w:rsidRPr="004B4540">
        <w:rPr>
          <w:rFonts w:cs="Times New Roman"/>
          <w:noProof/>
          <w:szCs w:val="24"/>
        </w:rPr>
        <w:t xml:space="preserve"> (methane) and N</w:t>
      </w:r>
      <w:r w:rsidR="00C43E05" w:rsidRPr="004B4540">
        <w:rPr>
          <w:rFonts w:cs="Times New Roman"/>
          <w:noProof/>
          <w:szCs w:val="24"/>
          <w:vertAlign w:val="subscript"/>
        </w:rPr>
        <w:t>2</w:t>
      </w:r>
      <w:r w:rsidR="00C43E05" w:rsidRPr="004B4540">
        <w:rPr>
          <w:rFonts w:cs="Times New Roman"/>
          <w:noProof/>
          <w:szCs w:val="24"/>
        </w:rPr>
        <w:t>O emissions from 2026</w:t>
      </w:r>
      <w:r w:rsidRPr="004B4540">
        <w:rPr>
          <w:rFonts w:cs="Times New Roman"/>
          <w:noProof/>
          <w:szCs w:val="24"/>
        </w:rPr>
        <w:t xml:space="preserve">. Emissions from all large ships (of 5 000 gross tonnage and above) entering EU ports are </w:t>
      </w:r>
      <w:r w:rsidR="0030740B" w:rsidRPr="004B4540">
        <w:rPr>
          <w:rFonts w:cs="Times New Roman"/>
          <w:noProof/>
          <w:szCs w:val="24"/>
        </w:rPr>
        <w:t>included</w:t>
      </w:r>
      <w:r w:rsidRPr="004B4540">
        <w:rPr>
          <w:rFonts w:cs="Times New Roman"/>
          <w:noProof/>
          <w:szCs w:val="24"/>
        </w:rPr>
        <w:t xml:space="preserve">, </w:t>
      </w:r>
      <w:r w:rsidR="00917DBE" w:rsidRPr="004B4540">
        <w:rPr>
          <w:rFonts w:cs="Times New Roman"/>
          <w:noProof/>
          <w:szCs w:val="24"/>
        </w:rPr>
        <w:t>regardless of the flag they fly</w:t>
      </w:r>
      <w:r w:rsidRPr="004B4540">
        <w:rPr>
          <w:rFonts w:cs="Times New Roman"/>
          <w:noProof/>
          <w:szCs w:val="24"/>
        </w:rPr>
        <w:t>, in respect of:</w:t>
      </w:r>
    </w:p>
    <w:p w14:paraId="29D163FD" w14:textId="68FF9FA5" w:rsidR="00101519" w:rsidRPr="004B4540" w:rsidRDefault="00101519" w:rsidP="00101519">
      <w:pPr>
        <w:pStyle w:val="CMR23-text"/>
        <w:numPr>
          <w:ilvl w:val="0"/>
          <w:numId w:val="17"/>
        </w:numPr>
        <w:rPr>
          <w:rFonts w:cs="Times New Roman"/>
          <w:noProof/>
          <w:szCs w:val="24"/>
        </w:rPr>
      </w:pPr>
      <w:r w:rsidRPr="004B4540">
        <w:rPr>
          <w:rFonts w:cs="Times New Roman"/>
          <w:noProof/>
          <w:szCs w:val="24"/>
        </w:rPr>
        <w:t>50% of emissions from voyages starting or ending outside the EU (allowing the third country to decide on appropriate action for the remaining share of emissions)</w:t>
      </w:r>
      <w:r w:rsidR="00FF0219" w:rsidRPr="004B4540">
        <w:rPr>
          <w:rFonts w:cs="Times New Roman"/>
          <w:noProof/>
          <w:szCs w:val="24"/>
        </w:rPr>
        <w:t>;</w:t>
      </w:r>
    </w:p>
    <w:p w14:paraId="60F5BC05" w14:textId="56F07A5C" w:rsidR="00101519" w:rsidRPr="004B4540" w:rsidRDefault="00393994" w:rsidP="45B2C6F2">
      <w:pPr>
        <w:pStyle w:val="CMR23-text"/>
        <w:numPr>
          <w:ilvl w:val="0"/>
          <w:numId w:val="17"/>
        </w:numPr>
        <w:rPr>
          <w:rFonts w:cs="Times New Roman"/>
          <w:noProof/>
        </w:rPr>
      </w:pPr>
      <w:r w:rsidRPr="004B4540">
        <w:rPr>
          <w:rFonts w:cs="Times New Roman"/>
          <w:noProof/>
          <w:szCs w:val="24"/>
        </w:rPr>
        <w:t>100% of emissions that occur between two EU ports and when ships are in EU ports</w:t>
      </w:r>
      <w:r w:rsidR="00101519" w:rsidRPr="004B4540">
        <w:rPr>
          <w:rFonts w:cs="Times New Roman"/>
          <w:noProof/>
        </w:rPr>
        <w:t xml:space="preserve">.  </w:t>
      </w:r>
    </w:p>
    <w:p w14:paraId="4E3B0739" w14:textId="4127F782" w:rsidR="00101519" w:rsidRPr="004B4540" w:rsidRDefault="00101519" w:rsidP="00101519">
      <w:pPr>
        <w:pStyle w:val="CMR23-text"/>
        <w:rPr>
          <w:rFonts w:cs="Times New Roman"/>
          <w:noProof/>
          <w:szCs w:val="24"/>
        </w:rPr>
      </w:pPr>
      <w:r w:rsidRPr="004B4540">
        <w:rPr>
          <w:rFonts w:cs="Times New Roman"/>
          <w:noProof/>
          <w:szCs w:val="24"/>
        </w:rPr>
        <w:t xml:space="preserve">Maritime transport is a </w:t>
      </w:r>
      <w:r w:rsidR="006202CE" w:rsidRPr="004B4540">
        <w:rPr>
          <w:rFonts w:cs="Times New Roman"/>
          <w:noProof/>
          <w:szCs w:val="24"/>
        </w:rPr>
        <w:t xml:space="preserve">major </w:t>
      </w:r>
      <w:r w:rsidRPr="004B4540">
        <w:rPr>
          <w:rFonts w:cs="Times New Roman"/>
          <w:noProof/>
          <w:szCs w:val="24"/>
        </w:rPr>
        <w:t>emitter of CO</w:t>
      </w:r>
      <w:r w:rsidRPr="004B4540">
        <w:rPr>
          <w:rFonts w:cs="Times New Roman"/>
          <w:noProof/>
          <w:szCs w:val="24"/>
          <w:vertAlign w:val="subscript"/>
        </w:rPr>
        <w:t>2</w:t>
      </w:r>
      <w:r w:rsidRPr="004B4540">
        <w:rPr>
          <w:rFonts w:cs="Times New Roman"/>
          <w:noProof/>
          <w:szCs w:val="24"/>
        </w:rPr>
        <w:t xml:space="preserve">, generating around 3-4% of </w:t>
      </w:r>
      <w:r w:rsidR="0067105C" w:rsidRPr="004B4540">
        <w:rPr>
          <w:rFonts w:cs="Times New Roman"/>
          <w:noProof/>
          <w:szCs w:val="24"/>
        </w:rPr>
        <w:t xml:space="preserve">the </w:t>
      </w:r>
      <w:r w:rsidRPr="004B4540">
        <w:rPr>
          <w:rFonts w:cs="Times New Roman"/>
          <w:noProof/>
          <w:szCs w:val="24"/>
        </w:rPr>
        <w:t>EU’s total CO</w:t>
      </w:r>
      <w:r w:rsidRPr="004B4540">
        <w:rPr>
          <w:rFonts w:cs="Times New Roman"/>
          <w:noProof/>
          <w:szCs w:val="24"/>
          <w:vertAlign w:val="subscript"/>
        </w:rPr>
        <w:t>2</w:t>
      </w:r>
      <w:r w:rsidRPr="004B4540">
        <w:rPr>
          <w:rFonts w:cs="Times New Roman"/>
          <w:noProof/>
          <w:szCs w:val="24"/>
        </w:rPr>
        <w:t xml:space="preserve"> </w:t>
      </w:r>
      <w:r w:rsidR="00454348" w:rsidRPr="004B4540">
        <w:rPr>
          <w:rFonts w:cs="Times New Roman"/>
          <w:noProof/>
          <w:szCs w:val="24"/>
        </w:rPr>
        <w:t>emissions (over 124 million tonnes of CO</w:t>
      </w:r>
      <w:r w:rsidR="00454348" w:rsidRPr="004B4540">
        <w:rPr>
          <w:rFonts w:cs="Times New Roman"/>
          <w:noProof/>
          <w:szCs w:val="24"/>
          <w:vertAlign w:val="subscript"/>
        </w:rPr>
        <w:t>2</w:t>
      </w:r>
      <w:r w:rsidR="00454348" w:rsidRPr="004B4540">
        <w:rPr>
          <w:rFonts w:cs="Times New Roman"/>
          <w:noProof/>
          <w:szCs w:val="24"/>
        </w:rPr>
        <w:t xml:space="preserve"> in 2021) </w:t>
      </w:r>
      <w:r w:rsidRPr="004B4540">
        <w:rPr>
          <w:rFonts w:cs="Times New Roman"/>
          <w:noProof/>
          <w:szCs w:val="24"/>
        </w:rPr>
        <w:t>when considering all emissions from voyages to and from the EU</w:t>
      </w:r>
      <w:r w:rsidRPr="004B4540">
        <w:rPr>
          <w:rStyle w:val="FootnoteReference"/>
          <w:rFonts w:cs="Times New Roman"/>
          <w:noProof/>
          <w:szCs w:val="24"/>
        </w:rPr>
        <w:footnoteReference w:id="27"/>
      </w:r>
      <w:r w:rsidRPr="004B4540">
        <w:rPr>
          <w:rFonts w:cs="Times New Roman"/>
          <w:noProof/>
          <w:szCs w:val="24"/>
        </w:rPr>
        <w:t xml:space="preserve">. Its inclusion </w:t>
      </w:r>
      <w:r w:rsidR="001B2E45" w:rsidRPr="004B4540">
        <w:rPr>
          <w:rFonts w:cs="Times New Roman"/>
          <w:noProof/>
          <w:szCs w:val="24"/>
        </w:rPr>
        <w:t xml:space="preserve">in </w:t>
      </w:r>
      <w:r w:rsidRPr="004B4540">
        <w:rPr>
          <w:rFonts w:cs="Times New Roman"/>
          <w:noProof/>
          <w:szCs w:val="24"/>
        </w:rPr>
        <w:t xml:space="preserve">the EU ETS ensures that the sector contributes to the EU’s climate objectives. </w:t>
      </w:r>
      <w:r w:rsidR="004112B3" w:rsidRPr="004B4540">
        <w:rPr>
          <w:rFonts w:cs="Times New Roman"/>
          <w:noProof/>
          <w:szCs w:val="24"/>
        </w:rPr>
        <w:t xml:space="preserve">This </w:t>
      </w:r>
      <w:r w:rsidRPr="004B4540">
        <w:rPr>
          <w:rFonts w:cs="Times New Roman"/>
          <w:noProof/>
          <w:szCs w:val="24"/>
        </w:rPr>
        <w:t xml:space="preserve">will further incentivise energy efficiency, low-carbon solutions, and reductions </w:t>
      </w:r>
      <w:r w:rsidR="00BF2CA3" w:rsidRPr="004B4540">
        <w:rPr>
          <w:rFonts w:cs="Times New Roman"/>
          <w:noProof/>
          <w:szCs w:val="24"/>
        </w:rPr>
        <w:t xml:space="preserve">in </w:t>
      </w:r>
      <w:r w:rsidRPr="004B4540">
        <w:rPr>
          <w:rFonts w:cs="Times New Roman"/>
          <w:noProof/>
          <w:szCs w:val="24"/>
        </w:rPr>
        <w:t>the price difference between alternative fuels and traditional maritime fuels.</w:t>
      </w:r>
    </w:p>
    <w:p w14:paraId="4990F5C4" w14:textId="542A9857" w:rsidR="00101519" w:rsidRPr="004B4540" w:rsidRDefault="00101519" w:rsidP="00101519">
      <w:pPr>
        <w:pStyle w:val="CMR23-text"/>
        <w:rPr>
          <w:rFonts w:cs="Times New Roman"/>
          <w:noProof/>
          <w:szCs w:val="24"/>
        </w:rPr>
      </w:pPr>
      <w:r w:rsidRPr="004B4540">
        <w:rPr>
          <w:rFonts w:cs="Times New Roman"/>
          <w:noProof/>
          <w:szCs w:val="24"/>
        </w:rPr>
        <w:t>The system builds on the provisions in place for other EU ETS sectors as well as Regulation 2015/757</w:t>
      </w:r>
      <w:r w:rsidRPr="004B4540">
        <w:rPr>
          <w:rFonts w:cs="Times New Roman"/>
          <w:noProof/>
          <w:szCs w:val="24"/>
          <w:vertAlign w:val="superscript"/>
        </w:rPr>
        <w:footnoteReference w:id="28"/>
      </w:r>
      <w:r w:rsidR="00F20DD6" w:rsidRPr="004B4540">
        <w:rPr>
          <w:rFonts w:cs="Times New Roman"/>
          <w:noProof/>
          <w:szCs w:val="24"/>
        </w:rPr>
        <w:t xml:space="preserve"> for monitoring and reporting emissions from maritime transport</w:t>
      </w:r>
      <w:r w:rsidRPr="004B4540">
        <w:rPr>
          <w:rFonts w:cs="Times New Roman"/>
          <w:noProof/>
          <w:szCs w:val="24"/>
        </w:rPr>
        <w:t xml:space="preserve">. </w:t>
      </w:r>
      <w:r w:rsidR="007D050A" w:rsidRPr="004B4540">
        <w:rPr>
          <w:rFonts w:cs="Times New Roman"/>
          <w:noProof/>
          <w:szCs w:val="24"/>
        </w:rPr>
        <w:t>The ETS obligations for the maritime sector will be introduced gradually</w:t>
      </w:r>
      <w:r w:rsidR="00246E08" w:rsidRPr="004B4540">
        <w:rPr>
          <w:rFonts w:cs="Times New Roman"/>
          <w:noProof/>
          <w:szCs w:val="24"/>
        </w:rPr>
        <w:t xml:space="preserve">. </w:t>
      </w:r>
      <w:r w:rsidRPr="004B4540">
        <w:rPr>
          <w:rFonts w:cs="Times New Roman"/>
          <w:noProof/>
          <w:szCs w:val="24"/>
        </w:rPr>
        <w:t xml:space="preserve">During an initial phase-in period, shipping </w:t>
      </w:r>
      <w:r w:rsidR="00E344C3" w:rsidRPr="004B4540">
        <w:rPr>
          <w:rFonts w:cs="Times New Roman"/>
          <w:noProof/>
          <w:szCs w:val="24"/>
        </w:rPr>
        <w:t>will only be obliged to surrender allowances for a portion of their emissions as set out below.</w:t>
      </w:r>
    </w:p>
    <w:p w14:paraId="593134CC" w14:textId="77777777" w:rsidR="00101519" w:rsidRPr="004B4540" w:rsidRDefault="00101519" w:rsidP="00101519">
      <w:pPr>
        <w:pStyle w:val="CMR23-text"/>
        <w:numPr>
          <w:ilvl w:val="0"/>
          <w:numId w:val="18"/>
        </w:numPr>
        <w:rPr>
          <w:rFonts w:cs="Times New Roman"/>
          <w:noProof/>
          <w:szCs w:val="24"/>
        </w:rPr>
      </w:pPr>
      <w:r w:rsidRPr="004B4540">
        <w:rPr>
          <w:rFonts w:cs="Times New Roman"/>
          <w:noProof/>
          <w:szCs w:val="24"/>
        </w:rPr>
        <w:t>2025: for 40% of their emissions reported in 2024;</w:t>
      </w:r>
    </w:p>
    <w:p w14:paraId="4FC352B8" w14:textId="77777777" w:rsidR="00101519" w:rsidRPr="004B4540" w:rsidRDefault="00101519" w:rsidP="00101519">
      <w:pPr>
        <w:pStyle w:val="CMR23-text"/>
        <w:numPr>
          <w:ilvl w:val="0"/>
          <w:numId w:val="18"/>
        </w:numPr>
        <w:rPr>
          <w:rFonts w:cs="Times New Roman"/>
          <w:noProof/>
          <w:szCs w:val="24"/>
        </w:rPr>
      </w:pPr>
      <w:r w:rsidRPr="004B4540">
        <w:rPr>
          <w:rFonts w:cs="Times New Roman"/>
          <w:noProof/>
          <w:szCs w:val="24"/>
        </w:rPr>
        <w:t>2026: for 70% of their emissions reported in 2025;</w:t>
      </w:r>
    </w:p>
    <w:p w14:paraId="13494A2B" w14:textId="360CD497" w:rsidR="00101519" w:rsidRPr="004B4540" w:rsidRDefault="00101519" w:rsidP="00101519">
      <w:pPr>
        <w:pStyle w:val="CMR23-text"/>
        <w:numPr>
          <w:ilvl w:val="0"/>
          <w:numId w:val="18"/>
        </w:numPr>
        <w:rPr>
          <w:rFonts w:cs="Times New Roman"/>
          <w:noProof/>
          <w:szCs w:val="24"/>
        </w:rPr>
      </w:pPr>
      <w:r w:rsidRPr="004B4540">
        <w:rPr>
          <w:rFonts w:cs="Times New Roman"/>
          <w:noProof/>
          <w:szCs w:val="24"/>
        </w:rPr>
        <w:t xml:space="preserve">2027 onwards: for 100% of </w:t>
      </w:r>
      <w:r w:rsidR="002A436D" w:rsidRPr="004B4540">
        <w:rPr>
          <w:rFonts w:cs="Times New Roman"/>
          <w:noProof/>
          <w:szCs w:val="24"/>
        </w:rPr>
        <w:t>their reported emissions</w:t>
      </w:r>
      <w:r w:rsidR="006B5225" w:rsidRPr="004B4540">
        <w:rPr>
          <w:rFonts w:cs="Times New Roman"/>
          <w:noProof/>
          <w:szCs w:val="24"/>
        </w:rPr>
        <w:t xml:space="preserve"> in 2026 and later years</w:t>
      </w:r>
      <w:r w:rsidRPr="004B4540">
        <w:rPr>
          <w:rFonts w:cs="Times New Roman"/>
          <w:noProof/>
          <w:szCs w:val="24"/>
        </w:rPr>
        <w:t>.</w:t>
      </w:r>
    </w:p>
    <w:p w14:paraId="7DAF079E" w14:textId="012334B3" w:rsidR="00101519" w:rsidRPr="004B4540" w:rsidRDefault="00101519" w:rsidP="00101519">
      <w:pPr>
        <w:pStyle w:val="CMR23-text"/>
        <w:rPr>
          <w:rFonts w:cs="Times New Roman"/>
          <w:noProof/>
          <w:szCs w:val="24"/>
        </w:rPr>
      </w:pPr>
      <w:r w:rsidRPr="004B4540">
        <w:rPr>
          <w:rFonts w:cs="Times New Roman"/>
          <w:noProof/>
          <w:szCs w:val="24"/>
        </w:rPr>
        <w:t xml:space="preserve">This phase-in approach does not undermine the environmental integrity of the EU ETS as, when fewer allowances are surrendered compared to the verified emissions from maritime transport in 2024 and 2025, Member States will cancel a </w:t>
      </w:r>
      <w:r w:rsidR="0050760F" w:rsidRPr="004B4540">
        <w:rPr>
          <w:rFonts w:cs="Times New Roman"/>
          <w:noProof/>
          <w:szCs w:val="24"/>
        </w:rPr>
        <w:t xml:space="preserve">number </w:t>
      </w:r>
      <w:r w:rsidRPr="004B4540">
        <w:rPr>
          <w:rFonts w:cs="Times New Roman"/>
          <w:noProof/>
          <w:szCs w:val="24"/>
        </w:rPr>
        <w:t>of allowances corresponding to that difference.</w:t>
      </w:r>
    </w:p>
    <w:p w14:paraId="36E632B6" w14:textId="080CF64E" w:rsidR="00E44C0D" w:rsidRPr="004B4540" w:rsidRDefault="00BB2D1C" w:rsidP="2DBBC3AF">
      <w:pPr>
        <w:pStyle w:val="CMR23-text"/>
        <w:rPr>
          <w:rFonts w:cs="Times New Roman"/>
          <w:noProof/>
        </w:rPr>
      </w:pPr>
      <w:r w:rsidRPr="004B4540">
        <w:rPr>
          <w:rFonts w:cs="Times New Roman"/>
          <w:noProof/>
          <w:szCs w:val="24"/>
        </w:rPr>
        <w:t xml:space="preserve">A reporting and review clause is provided for to monitor implementation </w:t>
      </w:r>
      <w:r w:rsidR="00101519" w:rsidRPr="004B4540">
        <w:rPr>
          <w:rFonts w:cs="Times New Roman"/>
          <w:noProof/>
        </w:rPr>
        <w:t>of the rules applicable to the maritime sector</w:t>
      </w:r>
      <w:r w:rsidR="7D6D3CE5" w:rsidRPr="004B4540">
        <w:rPr>
          <w:rFonts w:cs="Times New Roman"/>
          <w:noProof/>
        </w:rPr>
        <w:t>,</w:t>
      </w:r>
      <w:r w:rsidR="00101519" w:rsidRPr="004B4540">
        <w:rPr>
          <w:rFonts w:cs="Times New Roman"/>
          <w:noProof/>
        </w:rPr>
        <w:t xml:space="preserve"> </w:t>
      </w:r>
      <w:r w:rsidR="7D6D3CE5" w:rsidRPr="004B4540">
        <w:rPr>
          <w:rFonts w:cs="Times New Roman"/>
          <w:noProof/>
        </w:rPr>
        <w:t>in particular to detect and address evasive behaviour at an early stage,</w:t>
      </w:r>
      <w:r w:rsidR="00101519" w:rsidRPr="004B4540">
        <w:rPr>
          <w:rFonts w:cs="Times New Roman"/>
          <w:noProof/>
        </w:rPr>
        <w:t xml:space="preserve"> and assess relevant developments in the </w:t>
      </w:r>
      <w:r w:rsidR="006124EF" w:rsidRPr="004B4540">
        <w:rPr>
          <w:rFonts w:cs="Times New Roman"/>
          <w:noProof/>
          <w:szCs w:val="24"/>
        </w:rPr>
        <w:t>International Maritime Organization.</w:t>
      </w:r>
      <w:r w:rsidR="00101519" w:rsidRPr="004B4540">
        <w:rPr>
          <w:rFonts w:cs="Times New Roman"/>
          <w:noProof/>
        </w:rPr>
        <w:t xml:space="preserve"> </w:t>
      </w:r>
    </w:p>
    <w:p w14:paraId="426F7C5D" w14:textId="08AECD0D" w:rsidR="00175BA6" w:rsidRPr="004B4540" w:rsidRDefault="00175BA6" w:rsidP="00F84ECB">
      <w:pPr>
        <w:pStyle w:val="CMR23-heading"/>
        <w:rPr>
          <w:rFonts w:cs="Times New Roman"/>
          <w:noProof/>
          <w:sz w:val="24"/>
          <w:szCs w:val="24"/>
          <w:lang w:val="en-GB"/>
        </w:rPr>
      </w:pPr>
      <w:bookmarkStart w:id="28" w:name="_Toc145453233"/>
      <w:bookmarkStart w:id="29" w:name="_Toc148555878"/>
      <w:r w:rsidRPr="004B4540">
        <w:rPr>
          <w:rFonts w:cs="Times New Roman"/>
          <w:noProof/>
          <w:sz w:val="24"/>
          <w:szCs w:val="24"/>
          <w:lang w:val="en-GB"/>
        </w:rPr>
        <w:t>Cap on emissions</w:t>
      </w:r>
      <w:bookmarkEnd w:id="28"/>
      <w:bookmarkEnd w:id="29"/>
    </w:p>
    <w:p w14:paraId="2BB7DDA7" w14:textId="262E4369" w:rsidR="00B9503A" w:rsidRPr="004B4540" w:rsidRDefault="003C48EC" w:rsidP="00D410F0">
      <w:pPr>
        <w:pStyle w:val="CMR23-text"/>
        <w:rPr>
          <w:rFonts w:cs="Times New Roman"/>
          <w:noProof/>
          <w:szCs w:val="24"/>
        </w:rPr>
      </w:pPr>
      <w:r w:rsidRPr="004B4540">
        <w:rPr>
          <w:rFonts w:cs="Times New Roman"/>
          <w:noProof/>
          <w:szCs w:val="24"/>
        </w:rPr>
        <w:t xml:space="preserve">The cap in the EU ETS sets the maximum absolute </w:t>
      </w:r>
      <w:r w:rsidR="00DC2102" w:rsidRPr="004B4540">
        <w:rPr>
          <w:rFonts w:cs="Times New Roman"/>
          <w:noProof/>
          <w:szCs w:val="24"/>
        </w:rPr>
        <w:t>volume</w:t>
      </w:r>
      <w:r w:rsidRPr="004B4540">
        <w:rPr>
          <w:rFonts w:cs="Times New Roman"/>
          <w:noProof/>
          <w:szCs w:val="24"/>
        </w:rPr>
        <w:t xml:space="preserve"> of emissions that regulated entities can emit</w:t>
      </w:r>
      <w:r w:rsidR="00DC2102" w:rsidRPr="004B4540">
        <w:rPr>
          <w:rFonts w:cs="Times New Roman"/>
          <w:noProof/>
          <w:szCs w:val="24"/>
        </w:rPr>
        <w:t xml:space="preserve"> over a </w:t>
      </w:r>
      <w:r w:rsidR="00B67C3D" w:rsidRPr="004B4540">
        <w:rPr>
          <w:rFonts w:cs="Times New Roman"/>
          <w:noProof/>
          <w:szCs w:val="24"/>
        </w:rPr>
        <w:t xml:space="preserve">trading </w:t>
      </w:r>
      <w:r w:rsidR="004269EA" w:rsidRPr="004B4540">
        <w:rPr>
          <w:rFonts w:cs="Times New Roman"/>
          <w:noProof/>
          <w:szCs w:val="24"/>
        </w:rPr>
        <w:t>phase</w:t>
      </w:r>
      <w:r w:rsidRPr="004B4540">
        <w:rPr>
          <w:rFonts w:cs="Times New Roman"/>
          <w:noProof/>
          <w:szCs w:val="24"/>
        </w:rPr>
        <w:t>. It corresponds to the number of allowances issued</w:t>
      </w:r>
      <w:r w:rsidR="004269EA" w:rsidRPr="004B4540">
        <w:rPr>
          <w:rFonts w:cs="Times New Roman"/>
          <w:noProof/>
          <w:szCs w:val="24"/>
        </w:rPr>
        <w:t xml:space="preserve"> for </w:t>
      </w:r>
      <w:r w:rsidR="00201D5C" w:rsidRPr="004B4540">
        <w:rPr>
          <w:rFonts w:cs="Times New Roman"/>
          <w:noProof/>
          <w:szCs w:val="24"/>
        </w:rPr>
        <w:t xml:space="preserve">that </w:t>
      </w:r>
      <w:r w:rsidR="004269EA" w:rsidRPr="004B4540">
        <w:rPr>
          <w:rFonts w:cs="Times New Roman"/>
          <w:noProof/>
          <w:szCs w:val="24"/>
        </w:rPr>
        <w:t>period</w:t>
      </w:r>
      <w:r w:rsidRPr="004B4540">
        <w:rPr>
          <w:rFonts w:cs="Times New Roman"/>
          <w:noProof/>
          <w:szCs w:val="24"/>
        </w:rPr>
        <w:t>. The cap decreases annually</w:t>
      </w:r>
      <w:r w:rsidR="004269EA" w:rsidRPr="004B4540">
        <w:rPr>
          <w:rFonts w:cs="Times New Roman"/>
          <w:noProof/>
          <w:szCs w:val="24"/>
        </w:rPr>
        <w:t xml:space="preserve"> </w:t>
      </w:r>
      <w:r w:rsidRPr="004B4540">
        <w:rPr>
          <w:rFonts w:cs="Times New Roman"/>
          <w:noProof/>
          <w:szCs w:val="24"/>
        </w:rPr>
        <w:t>to ensure that the EU meets its overarching emission reductions target.</w:t>
      </w:r>
      <w:r w:rsidR="00743BEC" w:rsidRPr="004B4540">
        <w:rPr>
          <w:rFonts w:cs="Times New Roman"/>
          <w:noProof/>
          <w:szCs w:val="24"/>
        </w:rPr>
        <w:t xml:space="preserve"> This also </w:t>
      </w:r>
      <w:r w:rsidR="00F81ADD" w:rsidRPr="004B4540">
        <w:rPr>
          <w:rFonts w:cs="Times New Roman"/>
          <w:noProof/>
          <w:szCs w:val="24"/>
        </w:rPr>
        <w:t xml:space="preserve">gives </w:t>
      </w:r>
      <w:r w:rsidR="00743BEC" w:rsidRPr="004B4540">
        <w:rPr>
          <w:rFonts w:cs="Times New Roman"/>
          <w:noProof/>
          <w:szCs w:val="24"/>
        </w:rPr>
        <w:t>regul</w:t>
      </w:r>
      <w:r w:rsidR="00225E3E" w:rsidRPr="004B4540">
        <w:rPr>
          <w:rFonts w:cs="Times New Roman"/>
          <w:noProof/>
          <w:szCs w:val="24"/>
        </w:rPr>
        <w:t xml:space="preserve">ated entities certainty about the </w:t>
      </w:r>
      <w:r w:rsidR="00973D3F" w:rsidRPr="004B4540">
        <w:rPr>
          <w:rFonts w:cs="Times New Roman"/>
          <w:noProof/>
          <w:szCs w:val="24"/>
        </w:rPr>
        <w:t>expected scarcity of allowances</w:t>
      </w:r>
      <w:r w:rsidR="00225E3E" w:rsidRPr="004B4540">
        <w:rPr>
          <w:rFonts w:cs="Times New Roman"/>
          <w:noProof/>
          <w:szCs w:val="24"/>
        </w:rPr>
        <w:t>.</w:t>
      </w:r>
      <w:r w:rsidR="00D410F0" w:rsidRPr="004B4540">
        <w:rPr>
          <w:rFonts w:cs="Times New Roman"/>
          <w:noProof/>
          <w:szCs w:val="24"/>
        </w:rPr>
        <w:t xml:space="preserve"> </w:t>
      </w:r>
    </w:p>
    <w:p w14:paraId="584B9447" w14:textId="77777777" w:rsidR="00405639" w:rsidRPr="004B4540" w:rsidRDefault="003C48EC" w:rsidP="007F7392">
      <w:pPr>
        <w:pStyle w:val="CMR23-text"/>
        <w:rPr>
          <w:rFonts w:cs="Times New Roman"/>
          <w:noProof/>
        </w:rPr>
      </w:pPr>
      <w:r w:rsidRPr="004B4540">
        <w:rPr>
          <w:rFonts w:cs="Times New Roman"/>
          <w:noProof/>
        </w:rPr>
        <w:t>Separate cap</w:t>
      </w:r>
      <w:r w:rsidR="001F4FE2" w:rsidRPr="004B4540">
        <w:rPr>
          <w:rFonts w:cs="Times New Roman"/>
          <w:noProof/>
        </w:rPr>
        <w:t xml:space="preserve"> calculation</w:t>
      </w:r>
      <w:r w:rsidRPr="004B4540">
        <w:rPr>
          <w:rFonts w:cs="Times New Roman"/>
          <w:noProof/>
        </w:rPr>
        <w:t xml:space="preserve">s </w:t>
      </w:r>
      <w:r w:rsidR="0062705C" w:rsidRPr="004B4540">
        <w:rPr>
          <w:rFonts w:cs="Times New Roman"/>
          <w:noProof/>
        </w:rPr>
        <w:t xml:space="preserve">apply </w:t>
      </w:r>
      <w:r w:rsidRPr="004B4540">
        <w:rPr>
          <w:rFonts w:cs="Times New Roman"/>
          <w:noProof/>
        </w:rPr>
        <w:t xml:space="preserve">to emissions from installations and aircraft operators. In </w:t>
      </w:r>
      <w:r w:rsidR="0026301D" w:rsidRPr="004B4540">
        <w:rPr>
          <w:rFonts w:cs="Times New Roman"/>
          <w:noProof/>
        </w:rPr>
        <w:t>2022</w:t>
      </w:r>
      <w:r w:rsidRPr="004B4540">
        <w:rPr>
          <w:rFonts w:cs="Times New Roman"/>
          <w:noProof/>
        </w:rPr>
        <w:t xml:space="preserve">, the cap on emissions from installations was </w:t>
      </w:r>
      <w:r w:rsidR="001642A1" w:rsidRPr="004B4540">
        <w:rPr>
          <w:rFonts w:cs="Times New Roman"/>
          <w:noProof/>
        </w:rPr>
        <w:t>1</w:t>
      </w:r>
      <w:r w:rsidR="00541FCB" w:rsidRPr="004B4540">
        <w:rPr>
          <w:rFonts w:cs="Times New Roman"/>
          <w:noProof/>
        </w:rPr>
        <w:t> </w:t>
      </w:r>
      <w:r w:rsidR="001642A1" w:rsidRPr="004B4540">
        <w:rPr>
          <w:rFonts w:cs="Times New Roman"/>
          <w:noProof/>
        </w:rPr>
        <w:t>528</w:t>
      </w:r>
      <w:r w:rsidR="00541FCB" w:rsidRPr="004B4540">
        <w:rPr>
          <w:rFonts w:cs="Times New Roman"/>
          <w:noProof/>
        </w:rPr>
        <w:t> </w:t>
      </w:r>
      <w:r w:rsidR="001642A1" w:rsidRPr="004B4540">
        <w:rPr>
          <w:rFonts w:cs="Times New Roman"/>
          <w:noProof/>
        </w:rPr>
        <w:t>579</w:t>
      </w:r>
      <w:r w:rsidR="00541FCB" w:rsidRPr="004B4540">
        <w:rPr>
          <w:rFonts w:cs="Times New Roman"/>
          <w:noProof/>
        </w:rPr>
        <w:t> </w:t>
      </w:r>
      <w:r w:rsidR="001642A1" w:rsidRPr="004B4540">
        <w:rPr>
          <w:rFonts w:cs="Times New Roman"/>
          <w:noProof/>
        </w:rPr>
        <w:t>492</w:t>
      </w:r>
      <w:r w:rsidRPr="004B4540">
        <w:rPr>
          <w:rFonts w:cs="Times New Roman"/>
          <w:noProof/>
        </w:rPr>
        <w:t xml:space="preserve"> allowances. For aviation, </w:t>
      </w:r>
      <w:r w:rsidR="00102AF2" w:rsidRPr="004B4540">
        <w:rPr>
          <w:rFonts w:cs="Times New Roman"/>
          <w:noProof/>
        </w:rPr>
        <w:t>27</w:t>
      </w:r>
      <w:r w:rsidR="00541FCB" w:rsidRPr="004B4540">
        <w:rPr>
          <w:rFonts w:cs="Times New Roman"/>
          <w:noProof/>
        </w:rPr>
        <w:t> </w:t>
      </w:r>
      <w:r w:rsidR="00102AF2" w:rsidRPr="004B4540">
        <w:rPr>
          <w:rFonts w:cs="Times New Roman"/>
          <w:noProof/>
        </w:rPr>
        <w:t>268</w:t>
      </w:r>
      <w:r w:rsidR="00541FCB" w:rsidRPr="004B4540">
        <w:rPr>
          <w:rFonts w:cs="Times New Roman"/>
          <w:noProof/>
        </w:rPr>
        <w:t> </w:t>
      </w:r>
      <w:r w:rsidR="00102AF2" w:rsidRPr="004B4540">
        <w:rPr>
          <w:rFonts w:cs="Times New Roman"/>
          <w:noProof/>
        </w:rPr>
        <w:t>379</w:t>
      </w:r>
      <w:r w:rsidRPr="004B4540">
        <w:rPr>
          <w:rFonts w:cs="Times New Roman"/>
          <w:noProof/>
        </w:rPr>
        <w:t xml:space="preserve"> allowances were issued in </w:t>
      </w:r>
      <w:r w:rsidR="001C7507" w:rsidRPr="004B4540">
        <w:rPr>
          <w:rFonts w:cs="Times New Roman"/>
          <w:noProof/>
        </w:rPr>
        <w:t>2022</w:t>
      </w:r>
      <w:r w:rsidRPr="004B4540">
        <w:rPr>
          <w:rFonts w:cs="Times New Roman"/>
          <w:noProof/>
        </w:rPr>
        <w:t xml:space="preserve">. </w:t>
      </w:r>
    </w:p>
    <w:p w14:paraId="32B3C71B" w14:textId="2D472797" w:rsidR="00B94C78" w:rsidRPr="004B4540" w:rsidRDefault="007B2D0C" w:rsidP="007F7392">
      <w:pPr>
        <w:pStyle w:val="CMR23-text"/>
        <w:rPr>
          <w:rFonts w:cs="Times New Roman"/>
          <w:noProof/>
        </w:rPr>
      </w:pPr>
      <w:r w:rsidRPr="004B4540">
        <w:rPr>
          <w:rFonts w:cs="Times New Roman"/>
          <w:noProof/>
        </w:rPr>
        <w:t>In</w:t>
      </w:r>
      <w:r w:rsidR="003C48EC" w:rsidRPr="004B4540">
        <w:rPr>
          <w:rFonts w:cs="Times New Roman"/>
          <w:noProof/>
        </w:rPr>
        <w:t xml:space="preserve"> 2021</w:t>
      </w:r>
      <w:r w:rsidRPr="004B4540">
        <w:rPr>
          <w:rFonts w:cs="Times New Roman"/>
          <w:noProof/>
        </w:rPr>
        <w:t>-</w:t>
      </w:r>
      <w:r w:rsidR="00541FCB" w:rsidRPr="004B4540">
        <w:rPr>
          <w:rFonts w:cs="Times New Roman"/>
          <w:noProof/>
        </w:rPr>
        <w:t>20</w:t>
      </w:r>
      <w:r w:rsidRPr="004B4540">
        <w:rPr>
          <w:rFonts w:cs="Times New Roman"/>
          <w:noProof/>
        </w:rPr>
        <w:t>23</w:t>
      </w:r>
      <w:r w:rsidR="003C48EC" w:rsidRPr="004B4540">
        <w:rPr>
          <w:rFonts w:cs="Times New Roman"/>
          <w:noProof/>
        </w:rPr>
        <w:t xml:space="preserve">, </w:t>
      </w:r>
      <w:r w:rsidR="00AE7235" w:rsidRPr="004B4540">
        <w:rPr>
          <w:rFonts w:cs="Times New Roman"/>
          <w:noProof/>
        </w:rPr>
        <w:t>the</w:t>
      </w:r>
      <w:r w:rsidR="003C48EC" w:rsidRPr="004B4540">
        <w:rPr>
          <w:rFonts w:cs="Times New Roman"/>
          <w:noProof/>
        </w:rPr>
        <w:t xml:space="preserve"> cap </w:t>
      </w:r>
      <w:r w:rsidR="00E905BE" w:rsidRPr="004B4540">
        <w:rPr>
          <w:rFonts w:cs="Times New Roman"/>
          <w:noProof/>
        </w:rPr>
        <w:t xml:space="preserve">has been decreasing </w:t>
      </w:r>
      <w:r w:rsidR="003C48EC" w:rsidRPr="004B4540">
        <w:rPr>
          <w:rFonts w:cs="Times New Roman"/>
          <w:noProof/>
        </w:rPr>
        <w:t xml:space="preserve">at a rate of 2.2% per year. For the cap </w:t>
      </w:r>
      <w:r w:rsidR="00566AFF" w:rsidRPr="004B4540">
        <w:rPr>
          <w:rFonts w:cs="Times New Roman"/>
          <w:noProof/>
        </w:rPr>
        <w:t xml:space="preserve">calculation </w:t>
      </w:r>
      <w:r w:rsidR="00647812" w:rsidRPr="004B4540">
        <w:rPr>
          <w:rFonts w:cs="Times New Roman"/>
          <w:noProof/>
        </w:rPr>
        <w:t xml:space="preserve">for </w:t>
      </w:r>
      <w:r w:rsidR="00545057" w:rsidRPr="004B4540">
        <w:rPr>
          <w:rFonts w:cs="Times New Roman"/>
          <w:noProof/>
        </w:rPr>
        <w:t>installations</w:t>
      </w:r>
      <w:r w:rsidR="003C48EC" w:rsidRPr="004B4540">
        <w:rPr>
          <w:rFonts w:cs="Times New Roman"/>
          <w:noProof/>
        </w:rPr>
        <w:t xml:space="preserve">, this is equivalent </w:t>
      </w:r>
      <w:r w:rsidR="003C48EC" w:rsidRPr="000C68A0">
        <w:rPr>
          <w:rFonts w:cs="Times New Roman"/>
          <w:noProof/>
        </w:rPr>
        <w:t xml:space="preserve">to </w:t>
      </w:r>
      <w:r w:rsidR="003C48EC" w:rsidRPr="000928C6">
        <w:rPr>
          <w:rFonts w:cs="Times New Roman"/>
          <w:noProof/>
        </w:rPr>
        <w:t>43</w:t>
      </w:r>
      <w:r w:rsidR="003D3477" w:rsidRPr="000928C6">
        <w:rPr>
          <w:rFonts w:cs="Times New Roman"/>
          <w:noProof/>
        </w:rPr>
        <w:t> </w:t>
      </w:r>
      <w:r w:rsidR="003C48EC" w:rsidRPr="000928C6">
        <w:rPr>
          <w:rFonts w:cs="Times New Roman"/>
          <w:noProof/>
        </w:rPr>
        <w:t>003</w:t>
      </w:r>
      <w:r w:rsidR="003D3477" w:rsidRPr="000928C6">
        <w:rPr>
          <w:rFonts w:cs="Times New Roman"/>
          <w:noProof/>
        </w:rPr>
        <w:t> </w:t>
      </w:r>
      <w:r w:rsidR="003C48EC" w:rsidRPr="000928C6">
        <w:rPr>
          <w:rFonts w:cs="Times New Roman"/>
          <w:noProof/>
        </w:rPr>
        <w:t>515</w:t>
      </w:r>
      <w:r w:rsidR="003C48EC" w:rsidRPr="004B4540">
        <w:rPr>
          <w:rFonts w:cs="Times New Roman"/>
          <w:noProof/>
        </w:rPr>
        <w:t xml:space="preserve"> allowances</w:t>
      </w:r>
      <w:r w:rsidR="00AE45DF">
        <w:rPr>
          <w:rFonts w:cs="Times New Roman"/>
          <w:noProof/>
        </w:rPr>
        <w:t xml:space="preserve"> per year</w:t>
      </w:r>
      <w:r w:rsidR="003C48EC" w:rsidRPr="004B4540">
        <w:rPr>
          <w:rFonts w:cs="Times New Roman"/>
          <w:noProof/>
        </w:rPr>
        <w:t>.</w:t>
      </w:r>
      <w:r w:rsidR="007F7392" w:rsidRPr="004B4540" w:rsidDel="007F7392">
        <w:rPr>
          <w:rFonts w:cs="Times New Roman"/>
          <w:noProof/>
        </w:rPr>
        <w:t xml:space="preserve"> </w:t>
      </w:r>
      <w:r w:rsidR="007F7392" w:rsidRPr="004B4540">
        <w:rPr>
          <w:rFonts w:cs="Times New Roman"/>
          <w:noProof/>
          <w:szCs w:val="24"/>
          <w:highlight w:val="yellow"/>
        </w:rPr>
        <w:fldChar w:fldCharType="begin"/>
      </w:r>
      <w:r w:rsidR="007F7392" w:rsidRPr="004B4540">
        <w:rPr>
          <w:rFonts w:cs="Times New Roman"/>
          <w:noProof/>
          <w:szCs w:val="24"/>
          <w:highlight w:val="yellow"/>
        </w:rPr>
        <w:instrText xml:space="preserve"> REF _Ref145345073 \h </w:instrText>
      </w:r>
      <w:r w:rsidR="00645617" w:rsidRPr="004B4540">
        <w:rPr>
          <w:rFonts w:cs="Times New Roman"/>
          <w:noProof/>
          <w:szCs w:val="24"/>
          <w:highlight w:val="yellow"/>
        </w:rPr>
        <w:instrText xml:space="preserve"> \* MERGEFORMAT </w:instrText>
      </w:r>
      <w:r w:rsidR="007F7392" w:rsidRPr="004B4540">
        <w:rPr>
          <w:rFonts w:cs="Times New Roman"/>
          <w:noProof/>
          <w:szCs w:val="24"/>
          <w:highlight w:val="yellow"/>
        </w:rPr>
      </w:r>
      <w:r w:rsidR="007F7392" w:rsidRPr="004B4540">
        <w:rPr>
          <w:rFonts w:cs="Times New Roman"/>
          <w:noProof/>
          <w:szCs w:val="24"/>
          <w:highlight w:val="yellow"/>
        </w:rPr>
        <w:fldChar w:fldCharType="separate"/>
      </w:r>
      <w:r w:rsidR="00B83BFA" w:rsidRPr="00B83BFA">
        <w:rPr>
          <w:rFonts w:cs="Times New Roman"/>
          <w:noProof/>
          <w:szCs w:val="24"/>
        </w:rPr>
        <w:t>Table 1</w:t>
      </w:r>
      <w:r w:rsidR="007F7392" w:rsidRPr="004B4540">
        <w:rPr>
          <w:rFonts w:cs="Times New Roman"/>
          <w:noProof/>
          <w:szCs w:val="24"/>
          <w:highlight w:val="yellow"/>
        </w:rPr>
        <w:fldChar w:fldCharType="end"/>
      </w:r>
      <w:r w:rsidR="007F7392" w:rsidRPr="004B4540">
        <w:rPr>
          <w:rFonts w:cs="Times New Roman"/>
          <w:noProof/>
        </w:rPr>
        <w:t xml:space="preserve"> </w:t>
      </w:r>
      <w:r w:rsidR="0033071E" w:rsidRPr="004B4540">
        <w:rPr>
          <w:rFonts w:cs="Times New Roman"/>
          <w:noProof/>
        </w:rPr>
        <w:t xml:space="preserve">shows the annual figures </w:t>
      </w:r>
      <w:r w:rsidR="000E1220" w:rsidRPr="004B4540">
        <w:rPr>
          <w:rFonts w:cs="Times New Roman"/>
          <w:noProof/>
        </w:rPr>
        <w:t>of the EU ETS cap since 20</w:t>
      </w:r>
      <w:r w:rsidR="00FE2ABF" w:rsidRPr="004B4540">
        <w:rPr>
          <w:rFonts w:cs="Times New Roman"/>
          <w:noProof/>
        </w:rPr>
        <w:t>2</w:t>
      </w:r>
      <w:r w:rsidR="000E1220" w:rsidRPr="004B4540">
        <w:rPr>
          <w:rFonts w:cs="Times New Roman"/>
          <w:noProof/>
        </w:rPr>
        <w:t xml:space="preserve">1. </w:t>
      </w:r>
    </w:p>
    <w:p w14:paraId="61A197FA" w14:textId="7B501959" w:rsidR="007F7392" w:rsidRPr="004B4540" w:rsidRDefault="007F7392" w:rsidP="007F7392">
      <w:pPr>
        <w:pStyle w:val="Caption"/>
        <w:keepNext/>
        <w:rPr>
          <w:noProof/>
          <w:sz w:val="24"/>
          <w:szCs w:val="24"/>
        </w:rPr>
      </w:pPr>
      <w:bookmarkStart w:id="30" w:name="_Ref145345073"/>
      <w:bookmarkStart w:id="31" w:name="_Ref145345068"/>
      <w:r w:rsidRPr="004B4540">
        <w:rPr>
          <w:noProof/>
          <w:sz w:val="24"/>
          <w:szCs w:val="24"/>
        </w:rPr>
        <w:t xml:space="preserve">Table </w:t>
      </w:r>
      <w:r w:rsidRPr="004B4540">
        <w:rPr>
          <w:noProof/>
          <w:sz w:val="24"/>
          <w:szCs w:val="24"/>
        </w:rPr>
        <w:fldChar w:fldCharType="begin"/>
      </w:r>
      <w:r w:rsidRPr="004B4540">
        <w:rPr>
          <w:noProof/>
          <w:sz w:val="24"/>
          <w:szCs w:val="24"/>
        </w:rPr>
        <w:instrText xml:space="preserve"> SEQ Table \* ARABIC </w:instrText>
      </w:r>
      <w:r w:rsidRPr="004B4540">
        <w:rPr>
          <w:noProof/>
          <w:sz w:val="24"/>
          <w:szCs w:val="24"/>
        </w:rPr>
        <w:fldChar w:fldCharType="separate"/>
      </w:r>
      <w:r w:rsidR="00B83BFA">
        <w:rPr>
          <w:noProof/>
          <w:sz w:val="24"/>
          <w:szCs w:val="24"/>
        </w:rPr>
        <w:t>1</w:t>
      </w:r>
      <w:r w:rsidRPr="004B4540">
        <w:rPr>
          <w:noProof/>
          <w:sz w:val="24"/>
          <w:szCs w:val="24"/>
        </w:rPr>
        <w:fldChar w:fldCharType="end"/>
      </w:r>
      <w:bookmarkEnd w:id="30"/>
      <w:r w:rsidR="00764DB7" w:rsidRPr="004B4540">
        <w:rPr>
          <w:noProof/>
          <w:sz w:val="24"/>
          <w:szCs w:val="24"/>
        </w:rPr>
        <w:t>:</w:t>
      </w:r>
      <w:r w:rsidRPr="004B4540">
        <w:rPr>
          <w:noProof/>
          <w:sz w:val="24"/>
          <w:szCs w:val="24"/>
        </w:rPr>
        <w:t xml:space="preserve"> Annual</w:t>
      </w:r>
      <w:r w:rsidR="00DC537C" w:rsidRPr="004B4540">
        <w:rPr>
          <w:noProof/>
          <w:sz w:val="24"/>
          <w:szCs w:val="24"/>
        </w:rPr>
        <w:t xml:space="preserve"> EU ETS</w:t>
      </w:r>
      <w:r w:rsidRPr="004B4540">
        <w:rPr>
          <w:noProof/>
          <w:sz w:val="24"/>
          <w:szCs w:val="24"/>
        </w:rPr>
        <w:t xml:space="preserve"> cap </w:t>
      </w:r>
      <w:r w:rsidR="00B905F9" w:rsidRPr="004B4540">
        <w:rPr>
          <w:noProof/>
          <w:sz w:val="24"/>
          <w:szCs w:val="24"/>
        </w:rPr>
        <w:t xml:space="preserve">figures </w:t>
      </w:r>
      <w:r w:rsidR="00210173" w:rsidRPr="004B4540">
        <w:rPr>
          <w:noProof/>
          <w:sz w:val="24"/>
          <w:szCs w:val="24"/>
        </w:rPr>
        <w:t xml:space="preserve">for </w:t>
      </w:r>
      <w:r w:rsidRPr="004B4540">
        <w:rPr>
          <w:noProof/>
          <w:sz w:val="24"/>
          <w:szCs w:val="24"/>
        </w:rPr>
        <w:t xml:space="preserve">installations and </w:t>
      </w:r>
      <w:bookmarkEnd w:id="31"/>
      <w:r w:rsidR="00210173" w:rsidRPr="004B4540">
        <w:rPr>
          <w:noProof/>
          <w:sz w:val="24"/>
          <w:szCs w:val="24"/>
        </w:rPr>
        <w:t xml:space="preserve">aircraft </w:t>
      </w:r>
      <w:r w:rsidR="00BA7CB5" w:rsidRPr="004B4540">
        <w:rPr>
          <w:noProof/>
          <w:sz w:val="24"/>
          <w:szCs w:val="24"/>
        </w:rPr>
        <w:t>operators</w:t>
      </w:r>
    </w:p>
    <w:tbl>
      <w:tblPr>
        <w:tblStyle w:val="TableGridLight"/>
        <w:tblW w:w="5000" w:type="pct"/>
        <w:tblLook w:val="04A0" w:firstRow="1" w:lastRow="0" w:firstColumn="1" w:lastColumn="0" w:noHBand="0" w:noVBand="1"/>
      </w:tblPr>
      <w:tblGrid>
        <w:gridCol w:w="757"/>
        <w:gridCol w:w="4059"/>
        <w:gridCol w:w="4200"/>
      </w:tblGrid>
      <w:tr w:rsidR="00750601" w:rsidRPr="004B4540" w14:paraId="37C9B52A" w14:textId="77777777" w:rsidTr="00D66A75">
        <w:tc>
          <w:tcPr>
            <w:tcW w:w="420" w:type="pct"/>
          </w:tcPr>
          <w:p w14:paraId="4FF9C328" w14:textId="3F3805D3" w:rsidR="00750601" w:rsidRPr="004B4540" w:rsidRDefault="00750601" w:rsidP="00310424">
            <w:pPr>
              <w:pStyle w:val="CMR2023-tablesheadings"/>
              <w:rPr>
                <w:b w:val="0"/>
                <w:bCs w:val="0"/>
                <w:noProof/>
                <w:color w:val="333333"/>
                <w:szCs w:val="24"/>
              </w:rPr>
            </w:pPr>
            <w:r w:rsidRPr="004B4540">
              <w:rPr>
                <w:noProof/>
                <w:szCs w:val="24"/>
              </w:rPr>
              <w:t>Year</w:t>
            </w:r>
          </w:p>
        </w:tc>
        <w:tc>
          <w:tcPr>
            <w:tcW w:w="2251" w:type="pct"/>
          </w:tcPr>
          <w:p w14:paraId="3BC0C83F" w14:textId="4A303DE0" w:rsidR="00750601" w:rsidRPr="004B4540" w:rsidRDefault="00750601" w:rsidP="00310424">
            <w:pPr>
              <w:pStyle w:val="CMR2023-tablesheadings"/>
              <w:rPr>
                <w:b w:val="0"/>
                <w:bCs w:val="0"/>
                <w:noProof/>
                <w:color w:val="333333"/>
                <w:szCs w:val="24"/>
              </w:rPr>
            </w:pPr>
            <w:r w:rsidRPr="004B4540">
              <w:rPr>
                <w:noProof/>
                <w:szCs w:val="24"/>
              </w:rPr>
              <w:t>Annual cap (</w:t>
            </w:r>
            <w:r w:rsidRPr="004B4540">
              <w:rPr>
                <w:noProof/>
                <w:color w:val="333333"/>
                <w:szCs w:val="24"/>
              </w:rPr>
              <w:t>installations)</w:t>
            </w:r>
          </w:p>
        </w:tc>
        <w:tc>
          <w:tcPr>
            <w:tcW w:w="2329" w:type="pct"/>
          </w:tcPr>
          <w:p w14:paraId="6DCEF63F" w14:textId="52748AAA" w:rsidR="00750601" w:rsidRPr="00310424" w:rsidRDefault="00075ABF" w:rsidP="00310424">
            <w:pPr>
              <w:pStyle w:val="CMR2023-tablesheadings"/>
              <w:rPr>
                <w:b w:val="0"/>
                <w:bCs w:val="0"/>
                <w:noProof/>
                <w:color w:val="333333"/>
              </w:rPr>
            </w:pPr>
            <w:r w:rsidRPr="004B4540">
              <w:rPr>
                <w:noProof/>
              </w:rPr>
              <w:t>Annual cap (aviation)</w:t>
            </w:r>
          </w:p>
        </w:tc>
      </w:tr>
      <w:tr w:rsidR="00750601" w:rsidRPr="004B4540" w14:paraId="66FC4E67" w14:textId="77777777" w:rsidTr="00D66A75">
        <w:tc>
          <w:tcPr>
            <w:tcW w:w="420" w:type="pct"/>
          </w:tcPr>
          <w:p w14:paraId="29494D89" w14:textId="3B0F9878" w:rsidR="00750601" w:rsidRPr="00D66A75" w:rsidRDefault="003428E7" w:rsidP="00310424">
            <w:pPr>
              <w:pStyle w:val="CMR2023-tablesheadings"/>
              <w:rPr>
                <w:b w:val="0"/>
                <w:bCs w:val="0"/>
                <w:noProof/>
                <w:color w:val="333333"/>
                <w:szCs w:val="24"/>
              </w:rPr>
            </w:pPr>
            <w:r w:rsidRPr="00D66A75">
              <w:rPr>
                <w:b w:val="0"/>
                <w:bCs w:val="0"/>
                <w:noProof/>
                <w:szCs w:val="24"/>
              </w:rPr>
              <w:t>2021</w:t>
            </w:r>
          </w:p>
        </w:tc>
        <w:tc>
          <w:tcPr>
            <w:tcW w:w="2251" w:type="pct"/>
          </w:tcPr>
          <w:p w14:paraId="7C303D29" w14:textId="63E5B6F5" w:rsidR="00750601" w:rsidRPr="004B4540" w:rsidRDefault="00557B24" w:rsidP="00310424">
            <w:pPr>
              <w:pStyle w:val="CMR2023-tablesheadings"/>
              <w:rPr>
                <w:b w:val="0"/>
                <w:bCs w:val="0"/>
                <w:noProof/>
                <w:color w:val="333333"/>
                <w:szCs w:val="24"/>
              </w:rPr>
            </w:pPr>
            <w:r w:rsidRPr="004B4540">
              <w:rPr>
                <w:b w:val="0"/>
                <w:bCs w:val="0"/>
                <w:noProof/>
                <w:szCs w:val="24"/>
              </w:rPr>
              <w:t>1 571 583 007</w:t>
            </w:r>
          </w:p>
        </w:tc>
        <w:tc>
          <w:tcPr>
            <w:tcW w:w="2329" w:type="pct"/>
          </w:tcPr>
          <w:p w14:paraId="61A7372B" w14:textId="21C2C0D0" w:rsidR="00750601" w:rsidRPr="004B4540" w:rsidRDefault="000B0A1A" w:rsidP="00310424">
            <w:pPr>
              <w:pStyle w:val="CMR2023-tablesheadings"/>
              <w:rPr>
                <w:b w:val="0"/>
                <w:bCs w:val="0"/>
                <w:noProof/>
                <w:color w:val="333333"/>
                <w:szCs w:val="24"/>
              </w:rPr>
            </w:pPr>
            <w:r w:rsidRPr="004B4540">
              <w:rPr>
                <w:b w:val="0"/>
                <w:bCs w:val="0"/>
                <w:noProof/>
                <w:szCs w:val="24"/>
              </w:rPr>
              <w:t>28 306 545</w:t>
            </w:r>
          </w:p>
        </w:tc>
      </w:tr>
      <w:tr w:rsidR="00750601" w:rsidRPr="004B4540" w14:paraId="36BC26EE" w14:textId="77777777" w:rsidTr="00D66A75">
        <w:tc>
          <w:tcPr>
            <w:tcW w:w="420" w:type="pct"/>
          </w:tcPr>
          <w:p w14:paraId="77F14A58" w14:textId="6DBCF200" w:rsidR="00750601" w:rsidRPr="00D66A75" w:rsidRDefault="003428E7" w:rsidP="00310424">
            <w:pPr>
              <w:pStyle w:val="CMR2023-tablesheadings"/>
              <w:rPr>
                <w:b w:val="0"/>
                <w:bCs w:val="0"/>
                <w:noProof/>
                <w:color w:val="333333"/>
                <w:szCs w:val="24"/>
              </w:rPr>
            </w:pPr>
            <w:r w:rsidRPr="00D66A75">
              <w:rPr>
                <w:b w:val="0"/>
                <w:bCs w:val="0"/>
                <w:noProof/>
                <w:szCs w:val="24"/>
              </w:rPr>
              <w:t>2022</w:t>
            </w:r>
          </w:p>
        </w:tc>
        <w:tc>
          <w:tcPr>
            <w:tcW w:w="2251" w:type="pct"/>
          </w:tcPr>
          <w:p w14:paraId="7EBE15C1" w14:textId="6A25604A" w:rsidR="00750601" w:rsidRPr="004B4540" w:rsidRDefault="00767AC3" w:rsidP="00310424">
            <w:pPr>
              <w:pStyle w:val="CMR2023-tablesheadings"/>
              <w:rPr>
                <w:b w:val="0"/>
                <w:bCs w:val="0"/>
                <w:noProof/>
                <w:color w:val="333333"/>
                <w:szCs w:val="24"/>
              </w:rPr>
            </w:pPr>
            <w:r w:rsidRPr="004B4540">
              <w:rPr>
                <w:b w:val="0"/>
                <w:bCs w:val="0"/>
                <w:noProof/>
                <w:szCs w:val="24"/>
              </w:rPr>
              <w:t>1</w:t>
            </w:r>
            <w:r w:rsidRPr="004B4540">
              <w:rPr>
                <w:b w:val="0"/>
                <w:bCs w:val="0"/>
                <w:noProof/>
                <w:color w:val="333333"/>
                <w:szCs w:val="24"/>
              </w:rPr>
              <w:t xml:space="preserve"> 528 579 492</w:t>
            </w:r>
          </w:p>
        </w:tc>
        <w:tc>
          <w:tcPr>
            <w:tcW w:w="2329" w:type="pct"/>
          </w:tcPr>
          <w:p w14:paraId="5D559183" w14:textId="5A08089B" w:rsidR="00750601" w:rsidRPr="004B4540" w:rsidRDefault="00BC456D" w:rsidP="00310424">
            <w:pPr>
              <w:pStyle w:val="CMR2023-tablesheadings"/>
              <w:rPr>
                <w:b w:val="0"/>
                <w:bCs w:val="0"/>
                <w:noProof/>
                <w:color w:val="333333"/>
                <w:szCs w:val="24"/>
              </w:rPr>
            </w:pPr>
            <w:r w:rsidRPr="004B4540">
              <w:rPr>
                <w:b w:val="0"/>
                <w:bCs w:val="0"/>
                <w:noProof/>
                <w:szCs w:val="24"/>
              </w:rPr>
              <w:t>27 268 379</w:t>
            </w:r>
          </w:p>
        </w:tc>
      </w:tr>
    </w:tbl>
    <w:p w14:paraId="5738DC70" w14:textId="77777777" w:rsidR="00720F75" w:rsidRPr="004B4540" w:rsidRDefault="00720F75" w:rsidP="003C48EC">
      <w:pPr>
        <w:spacing w:after="0"/>
        <w:jc w:val="both"/>
        <w:rPr>
          <w:rFonts w:ascii="Times New Roman" w:eastAsia="Times New Roman" w:hAnsi="Times New Roman" w:cs="Times New Roman"/>
          <w:noProof/>
          <w:color w:val="333333"/>
          <w:sz w:val="24"/>
          <w:szCs w:val="24"/>
        </w:rPr>
      </w:pPr>
    </w:p>
    <w:p w14:paraId="73A0E2B3" w14:textId="657C637C" w:rsidR="00F94310" w:rsidRPr="004B4540" w:rsidRDefault="001B2EC5" w:rsidP="006B234F">
      <w:pPr>
        <w:pStyle w:val="CMR23-text"/>
        <w:rPr>
          <w:rFonts w:cs="Times New Roman"/>
          <w:noProof/>
        </w:rPr>
      </w:pPr>
      <w:r w:rsidRPr="004B4540">
        <w:rPr>
          <w:rFonts w:cs="Times New Roman"/>
          <w:noProof/>
        </w:rPr>
        <w:t xml:space="preserve">Under the revised </w:t>
      </w:r>
      <w:r w:rsidR="00C8203E" w:rsidRPr="004B4540">
        <w:rPr>
          <w:rFonts w:cs="Times New Roman"/>
          <w:noProof/>
        </w:rPr>
        <w:t>ETS Directive</w:t>
      </w:r>
      <w:r w:rsidR="006F7C02" w:rsidRPr="004B4540">
        <w:rPr>
          <w:rFonts w:cs="Times New Roman"/>
          <w:noProof/>
        </w:rPr>
        <w:t>,</w:t>
      </w:r>
      <w:r w:rsidR="002F6FBD" w:rsidRPr="004B4540">
        <w:rPr>
          <w:rFonts w:cs="Times New Roman"/>
          <w:noProof/>
        </w:rPr>
        <w:t xml:space="preserve"> the cap on emissions is tightened</w:t>
      </w:r>
      <w:r w:rsidR="003D5767" w:rsidRPr="004B4540">
        <w:rPr>
          <w:rFonts w:cs="Times New Roman"/>
          <w:noProof/>
        </w:rPr>
        <w:t xml:space="preserve"> to </w:t>
      </w:r>
      <w:r w:rsidR="00A03738" w:rsidRPr="004B4540">
        <w:rPr>
          <w:rFonts w:cs="Times New Roman"/>
          <w:noProof/>
        </w:rPr>
        <w:t xml:space="preserve">bring emissions down </w:t>
      </w:r>
      <w:r w:rsidR="005561E7" w:rsidRPr="004B4540">
        <w:rPr>
          <w:rFonts w:cs="Times New Roman"/>
          <w:noProof/>
        </w:rPr>
        <w:t xml:space="preserve">and </w:t>
      </w:r>
      <w:r w:rsidR="00A03738" w:rsidRPr="004B4540">
        <w:rPr>
          <w:rFonts w:cs="Times New Roman"/>
          <w:noProof/>
        </w:rPr>
        <w:t>in line with the EU’s 2030 climate target</w:t>
      </w:r>
      <w:r w:rsidR="00FC307E" w:rsidRPr="004B4540">
        <w:rPr>
          <w:rFonts w:cs="Times New Roman"/>
          <w:noProof/>
        </w:rPr>
        <w:t xml:space="preserve"> – by </w:t>
      </w:r>
      <w:r w:rsidR="00024606" w:rsidRPr="004B4540">
        <w:rPr>
          <w:rFonts w:cs="Times New Roman"/>
          <w:noProof/>
        </w:rPr>
        <w:t>62% by 2030 compared to 2005</w:t>
      </w:r>
      <w:r w:rsidR="00904594" w:rsidRPr="004B4540">
        <w:rPr>
          <w:rFonts w:cs="Times New Roman"/>
          <w:noProof/>
        </w:rPr>
        <w:t>.</w:t>
      </w:r>
      <w:r w:rsidR="00A03738" w:rsidRPr="004B4540">
        <w:rPr>
          <w:rFonts w:cs="Times New Roman"/>
          <w:noProof/>
        </w:rPr>
        <w:t xml:space="preserve"> T</w:t>
      </w:r>
      <w:r w:rsidR="000C1B7E" w:rsidRPr="004B4540">
        <w:rPr>
          <w:rFonts w:cs="Times New Roman"/>
          <w:noProof/>
        </w:rPr>
        <w:t>o this end, t</w:t>
      </w:r>
      <w:r w:rsidR="00A03738" w:rsidRPr="004B4540">
        <w:rPr>
          <w:rFonts w:cs="Times New Roman"/>
          <w:noProof/>
        </w:rPr>
        <w:t>he reduction factor is increased</w:t>
      </w:r>
      <w:r w:rsidR="00523547" w:rsidRPr="004B4540">
        <w:rPr>
          <w:rFonts w:cs="Times New Roman"/>
          <w:noProof/>
        </w:rPr>
        <w:t xml:space="preserve"> </w:t>
      </w:r>
      <w:r w:rsidR="009B587B" w:rsidRPr="004B4540">
        <w:rPr>
          <w:rFonts w:cs="Times New Roman"/>
          <w:noProof/>
        </w:rPr>
        <w:t xml:space="preserve">to </w:t>
      </w:r>
      <w:r w:rsidR="00761BF9" w:rsidRPr="004B4540">
        <w:rPr>
          <w:rFonts w:cs="Times New Roman"/>
          <w:noProof/>
        </w:rPr>
        <w:t xml:space="preserve">4.3% </w:t>
      </w:r>
      <w:r w:rsidR="00C8203E" w:rsidRPr="004B4540">
        <w:rPr>
          <w:rFonts w:cs="Times New Roman"/>
          <w:noProof/>
        </w:rPr>
        <w:t xml:space="preserve">per year </w:t>
      </w:r>
      <w:r w:rsidR="00761BF9" w:rsidRPr="004B4540">
        <w:rPr>
          <w:rFonts w:cs="Times New Roman"/>
          <w:noProof/>
        </w:rPr>
        <w:t>in 2024-</w:t>
      </w:r>
      <w:r w:rsidR="00F24836" w:rsidRPr="004B4540">
        <w:rPr>
          <w:rFonts w:cs="Times New Roman"/>
          <w:noProof/>
        </w:rPr>
        <w:t xml:space="preserve">2027 </w:t>
      </w:r>
      <w:r w:rsidR="00761BF9" w:rsidRPr="004B4540">
        <w:rPr>
          <w:rFonts w:cs="Times New Roman"/>
          <w:noProof/>
        </w:rPr>
        <w:t>and 4.4%</w:t>
      </w:r>
      <w:r w:rsidR="00074EE1" w:rsidRPr="004B4540">
        <w:rPr>
          <w:rFonts w:cs="Times New Roman"/>
          <w:noProof/>
        </w:rPr>
        <w:t xml:space="preserve"> </w:t>
      </w:r>
      <w:r w:rsidR="00C8203E" w:rsidRPr="004B4540">
        <w:rPr>
          <w:rFonts w:cs="Times New Roman"/>
          <w:noProof/>
        </w:rPr>
        <w:t xml:space="preserve">per year </w:t>
      </w:r>
      <w:r w:rsidR="007B2D0C" w:rsidRPr="004B4540">
        <w:rPr>
          <w:rFonts w:cs="Times New Roman"/>
          <w:noProof/>
        </w:rPr>
        <w:t>from</w:t>
      </w:r>
      <w:r w:rsidR="00074EE1" w:rsidRPr="004B4540">
        <w:rPr>
          <w:rFonts w:cs="Times New Roman"/>
          <w:noProof/>
        </w:rPr>
        <w:t xml:space="preserve"> 2028. In addition, the cap </w:t>
      </w:r>
      <w:r w:rsidR="00E81D5F" w:rsidRPr="004B4540">
        <w:rPr>
          <w:rFonts w:cs="Times New Roman"/>
          <w:noProof/>
        </w:rPr>
        <w:t>is</w:t>
      </w:r>
      <w:r w:rsidR="00074EE1" w:rsidRPr="004B4540">
        <w:rPr>
          <w:rFonts w:cs="Times New Roman"/>
          <w:noProof/>
        </w:rPr>
        <w:t xml:space="preserve"> </w:t>
      </w:r>
      <w:r w:rsidR="0062358D" w:rsidRPr="004B4540">
        <w:rPr>
          <w:rFonts w:cs="Times New Roman"/>
          <w:noProof/>
        </w:rPr>
        <w:t>re</w:t>
      </w:r>
      <w:r w:rsidR="00DA1A3C" w:rsidRPr="004B4540">
        <w:rPr>
          <w:rFonts w:cs="Times New Roman"/>
          <w:noProof/>
        </w:rPr>
        <w:t xml:space="preserve">duced twice– by </w:t>
      </w:r>
      <w:r w:rsidR="00D74F7C" w:rsidRPr="004B4540">
        <w:rPr>
          <w:rFonts w:cs="Times New Roman"/>
          <w:noProof/>
        </w:rPr>
        <w:t>90</w:t>
      </w:r>
      <w:r w:rsidR="008345D1" w:rsidRPr="004B4540">
        <w:rPr>
          <w:rFonts w:cs="Times New Roman"/>
          <w:noProof/>
        </w:rPr>
        <w:t> </w:t>
      </w:r>
      <w:r w:rsidR="00D74F7C" w:rsidRPr="004B4540">
        <w:rPr>
          <w:rFonts w:cs="Times New Roman"/>
          <w:noProof/>
        </w:rPr>
        <w:t>million allowances in 2024 and</w:t>
      </w:r>
      <w:r w:rsidR="00796E22" w:rsidRPr="004B4540">
        <w:rPr>
          <w:rFonts w:cs="Times New Roman"/>
          <w:noProof/>
        </w:rPr>
        <w:t xml:space="preserve"> </w:t>
      </w:r>
      <w:r w:rsidR="007B2D0C" w:rsidRPr="004B4540">
        <w:rPr>
          <w:rFonts w:cs="Times New Roman"/>
          <w:noProof/>
        </w:rPr>
        <w:t xml:space="preserve">by </w:t>
      </w:r>
      <w:r w:rsidR="00796E22" w:rsidRPr="004B4540">
        <w:rPr>
          <w:rFonts w:cs="Times New Roman"/>
          <w:noProof/>
        </w:rPr>
        <w:t>27</w:t>
      </w:r>
      <w:r w:rsidR="008345D1" w:rsidRPr="004B4540">
        <w:rPr>
          <w:rFonts w:cs="Times New Roman"/>
          <w:noProof/>
        </w:rPr>
        <w:t> </w:t>
      </w:r>
      <w:r w:rsidR="00796E22" w:rsidRPr="004B4540">
        <w:rPr>
          <w:rFonts w:cs="Times New Roman"/>
          <w:noProof/>
        </w:rPr>
        <w:t xml:space="preserve">million allowances </w:t>
      </w:r>
      <w:r w:rsidR="00F77188" w:rsidRPr="004B4540">
        <w:rPr>
          <w:rFonts w:cs="Times New Roman"/>
          <w:noProof/>
        </w:rPr>
        <w:t>in 2026.</w:t>
      </w:r>
      <w:r w:rsidR="00C66A99" w:rsidRPr="004B4540">
        <w:rPr>
          <w:rFonts w:cs="Times New Roman"/>
          <w:noProof/>
        </w:rPr>
        <w:t xml:space="preserve"> </w:t>
      </w:r>
    </w:p>
    <w:p w14:paraId="701903E7" w14:textId="270844B1" w:rsidR="002F6FBD" w:rsidRPr="004B4540" w:rsidRDefault="002040B6" w:rsidP="006B234F">
      <w:pPr>
        <w:pStyle w:val="CMR23-text"/>
        <w:rPr>
          <w:rFonts w:cs="Times New Roman"/>
          <w:noProof/>
        </w:rPr>
      </w:pPr>
      <w:r w:rsidRPr="004B4540">
        <w:rPr>
          <w:rFonts w:cs="Times New Roman"/>
          <w:noProof/>
        </w:rPr>
        <w:t xml:space="preserve">These adjustments </w:t>
      </w:r>
      <w:r w:rsidR="00F94310" w:rsidRPr="004B4540">
        <w:rPr>
          <w:rFonts w:cs="Times New Roman"/>
          <w:noProof/>
        </w:rPr>
        <w:t>already</w:t>
      </w:r>
      <w:r w:rsidRPr="004B4540">
        <w:rPr>
          <w:rFonts w:cs="Times New Roman"/>
          <w:noProof/>
        </w:rPr>
        <w:t xml:space="preserve"> recognise </w:t>
      </w:r>
      <w:r w:rsidR="00026253" w:rsidRPr="004B4540">
        <w:rPr>
          <w:rFonts w:cs="Times New Roman"/>
          <w:noProof/>
        </w:rPr>
        <w:t xml:space="preserve">that </w:t>
      </w:r>
      <w:r w:rsidR="00754CE5" w:rsidRPr="004B4540">
        <w:rPr>
          <w:rFonts w:cs="Times New Roman"/>
          <w:noProof/>
        </w:rPr>
        <w:t xml:space="preserve">emissions from </w:t>
      </w:r>
      <w:r w:rsidR="00026253" w:rsidRPr="004B4540">
        <w:rPr>
          <w:rFonts w:cs="Times New Roman"/>
          <w:noProof/>
        </w:rPr>
        <w:t>maritime</w:t>
      </w:r>
      <w:r w:rsidR="00754CE5" w:rsidRPr="004B4540">
        <w:rPr>
          <w:rFonts w:cs="Times New Roman"/>
          <w:noProof/>
        </w:rPr>
        <w:t xml:space="preserve"> transport</w:t>
      </w:r>
      <w:r w:rsidR="00026253" w:rsidRPr="004B4540">
        <w:rPr>
          <w:rFonts w:cs="Times New Roman"/>
          <w:noProof/>
        </w:rPr>
        <w:t xml:space="preserve"> </w:t>
      </w:r>
      <w:r w:rsidR="001025FB" w:rsidRPr="004B4540">
        <w:rPr>
          <w:rFonts w:cs="Times New Roman"/>
          <w:noProof/>
        </w:rPr>
        <w:t>will be</w:t>
      </w:r>
      <w:r w:rsidR="00026253" w:rsidRPr="004B4540">
        <w:rPr>
          <w:rFonts w:cs="Times New Roman"/>
          <w:noProof/>
        </w:rPr>
        <w:t xml:space="preserve"> included in the EU ETS from 2024. </w:t>
      </w:r>
      <w:r w:rsidR="00092CDE" w:rsidRPr="004B4540">
        <w:rPr>
          <w:rFonts w:cs="Times New Roman"/>
          <w:noProof/>
        </w:rPr>
        <w:t xml:space="preserve">The </w:t>
      </w:r>
      <w:r w:rsidR="001025FB" w:rsidRPr="004B4540">
        <w:rPr>
          <w:rFonts w:cs="Times New Roman"/>
          <w:noProof/>
        </w:rPr>
        <w:t xml:space="preserve">2024 </w:t>
      </w:r>
      <w:r w:rsidR="00092CDE" w:rsidRPr="004B4540">
        <w:rPr>
          <w:rFonts w:cs="Times New Roman"/>
          <w:noProof/>
        </w:rPr>
        <w:t>cap is increased by 78</w:t>
      </w:r>
      <w:r w:rsidR="001025FB" w:rsidRPr="004B4540">
        <w:rPr>
          <w:rFonts w:cs="Times New Roman"/>
          <w:noProof/>
        </w:rPr>
        <w:t>.</w:t>
      </w:r>
      <w:r w:rsidR="00092CDE" w:rsidRPr="004B4540">
        <w:rPr>
          <w:rFonts w:cs="Times New Roman"/>
          <w:noProof/>
        </w:rPr>
        <w:t>4</w:t>
      </w:r>
      <w:r w:rsidR="001025FB" w:rsidRPr="004B4540">
        <w:rPr>
          <w:rFonts w:cs="Times New Roman"/>
          <w:noProof/>
        </w:rPr>
        <w:t> </w:t>
      </w:r>
      <w:r w:rsidR="00092CDE" w:rsidRPr="004B4540">
        <w:rPr>
          <w:rFonts w:cs="Times New Roman"/>
          <w:noProof/>
        </w:rPr>
        <w:t>million allowances</w:t>
      </w:r>
      <w:r w:rsidR="00754CE5" w:rsidRPr="004B4540">
        <w:rPr>
          <w:rFonts w:cs="Times New Roman"/>
          <w:noProof/>
        </w:rPr>
        <w:t xml:space="preserve"> </w:t>
      </w:r>
      <w:r w:rsidR="00092CDE" w:rsidRPr="004B4540">
        <w:rPr>
          <w:rFonts w:cs="Times New Roman"/>
          <w:noProof/>
        </w:rPr>
        <w:t xml:space="preserve">based on </w:t>
      </w:r>
      <w:r w:rsidR="00754CE5" w:rsidRPr="004B4540">
        <w:rPr>
          <w:rFonts w:cs="Times New Roman"/>
          <w:noProof/>
        </w:rPr>
        <w:t>the sector’s</w:t>
      </w:r>
      <w:r w:rsidR="00092CDE" w:rsidRPr="004B4540">
        <w:rPr>
          <w:rFonts w:cs="Times New Roman"/>
          <w:noProof/>
        </w:rPr>
        <w:t xml:space="preserve"> average emissions reported for 2018 and 2019.</w:t>
      </w:r>
      <w:r w:rsidR="00F145DE">
        <w:rPr>
          <w:rFonts w:cs="Times New Roman"/>
          <w:noProof/>
        </w:rPr>
        <w:t xml:space="preserve"> </w:t>
      </w:r>
      <w:r w:rsidR="00F12F95" w:rsidRPr="004B4540">
        <w:rPr>
          <w:rFonts w:cs="Times New Roman"/>
          <w:noProof/>
        </w:rPr>
        <w:t>The Commission adopted Decision 2023/1575</w:t>
      </w:r>
      <w:r w:rsidR="00F12F95" w:rsidRPr="000B78FA">
        <w:rPr>
          <w:rStyle w:val="FootnoteReference"/>
          <w:rFonts w:cs="Times New Roman"/>
          <w:noProof/>
          <w:szCs w:val="24"/>
        </w:rPr>
        <w:footnoteReference w:id="29"/>
      </w:r>
      <w:r w:rsidR="00F12F95" w:rsidRPr="000B78FA">
        <w:rPr>
          <w:rFonts w:cs="Times New Roman"/>
          <w:noProof/>
        </w:rPr>
        <w:t xml:space="preserve"> to</w:t>
      </w:r>
      <w:r w:rsidR="00F12F95" w:rsidRPr="004B4540">
        <w:rPr>
          <w:rFonts w:cs="Times New Roman"/>
          <w:noProof/>
        </w:rPr>
        <w:t xml:space="preserve"> take account of the cap adjustments taking effect in 2024.</w:t>
      </w:r>
    </w:p>
    <w:p w14:paraId="398FC42F" w14:textId="3C9B7FBF" w:rsidR="00933EFA" w:rsidRPr="004B4540" w:rsidRDefault="00DB719D" w:rsidP="00933EFA">
      <w:pPr>
        <w:pStyle w:val="CMR23-text"/>
        <w:rPr>
          <w:rFonts w:cs="Times New Roman"/>
          <w:noProof/>
          <w:szCs w:val="24"/>
        </w:rPr>
      </w:pPr>
      <w:r>
        <w:rPr>
          <w:rFonts w:cs="Times New Roman"/>
          <w:noProof/>
          <w:szCs w:val="24"/>
        </w:rPr>
        <w:fldChar w:fldCharType="begin"/>
      </w:r>
      <w:r>
        <w:rPr>
          <w:rFonts w:cs="Times New Roman"/>
          <w:noProof/>
          <w:szCs w:val="24"/>
        </w:rPr>
        <w:instrText xml:space="preserve"> REF _Ref148625954 \h </w:instrText>
      </w:r>
      <w:r>
        <w:rPr>
          <w:rFonts w:cs="Times New Roman"/>
          <w:noProof/>
          <w:szCs w:val="24"/>
        </w:rPr>
      </w:r>
      <w:r>
        <w:rPr>
          <w:rFonts w:cs="Times New Roman"/>
          <w:noProof/>
          <w:szCs w:val="24"/>
        </w:rPr>
        <w:fldChar w:fldCharType="separate"/>
      </w:r>
      <w:r w:rsidR="00B83BFA">
        <w:rPr>
          <w:noProof/>
        </w:rPr>
        <w:t>Figure 2</w:t>
      </w:r>
      <w:r>
        <w:rPr>
          <w:rFonts w:cs="Times New Roman"/>
          <w:noProof/>
          <w:szCs w:val="24"/>
        </w:rPr>
        <w:fldChar w:fldCharType="end"/>
      </w:r>
      <w:r>
        <w:rPr>
          <w:rFonts w:cs="Times New Roman"/>
          <w:noProof/>
          <w:szCs w:val="24"/>
        </w:rPr>
        <w:t xml:space="preserve"> </w:t>
      </w:r>
      <w:r w:rsidR="00933EFA" w:rsidRPr="004B4540">
        <w:rPr>
          <w:rFonts w:cs="Times New Roman"/>
          <w:noProof/>
          <w:szCs w:val="24"/>
        </w:rPr>
        <w:t xml:space="preserve">illustrates changes in the cap throughout all EU ETS phases, including the </w:t>
      </w:r>
      <w:r w:rsidR="007B2D0C" w:rsidRPr="004B4540">
        <w:rPr>
          <w:rFonts w:cs="Times New Roman"/>
          <w:noProof/>
          <w:szCs w:val="24"/>
        </w:rPr>
        <w:t>forthcoming</w:t>
      </w:r>
      <w:r w:rsidR="00933EFA" w:rsidRPr="004B4540">
        <w:rPr>
          <w:rFonts w:cs="Times New Roman"/>
          <w:noProof/>
          <w:szCs w:val="24"/>
        </w:rPr>
        <w:t xml:space="preserve"> reduction</w:t>
      </w:r>
      <w:r w:rsidR="007B2D0C" w:rsidRPr="004B4540">
        <w:rPr>
          <w:rFonts w:cs="Times New Roman"/>
          <w:noProof/>
          <w:szCs w:val="24"/>
        </w:rPr>
        <w:t>s</w:t>
      </w:r>
      <w:r w:rsidR="00933EFA" w:rsidRPr="004B4540">
        <w:rPr>
          <w:rFonts w:cs="Times New Roman"/>
          <w:noProof/>
          <w:szCs w:val="24"/>
        </w:rPr>
        <w:t>.</w:t>
      </w:r>
    </w:p>
    <w:p w14:paraId="03A7B0B2" w14:textId="32EE3B8D" w:rsidR="006B76B7" w:rsidRPr="004B4540" w:rsidRDefault="006B76B7" w:rsidP="00405B6F">
      <w:pPr>
        <w:rPr>
          <w:rFonts w:ascii="Times New Roman" w:eastAsia="Times New Roman" w:hAnsi="Times New Roman" w:cs="Times New Roman"/>
          <w:noProof/>
          <w:color w:val="333333"/>
          <w:sz w:val="24"/>
          <w:szCs w:val="24"/>
        </w:rPr>
        <w:sectPr w:rsidR="006B76B7" w:rsidRPr="004B4540" w:rsidSect="00F9721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pPr>
      <w:r w:rsidRPr="004B4540">
        <w:rPr>
          <w:rFonts w:ascii="Times New Roman" w:eastAsia="Times New Roman" w:hAnsi="Times New Roman" w:cs="Times New Roman"/>
          <w:noProof/>
          <w:color w:val="333333"/>
          <w:sz w:val="24"/>
          <w:szCs w:val="24"/>
        </w:rPr>
        <w:br w:type="page"/>
      </w:r>
    </w:p>
    <w:p w14:paraId="792F0D2F" w14:textId="27570C2A" w:rsidR="006B76B7" w:rsidRPr="004B4540" w:rsidRDefault="00805FA8" w:rsidP="003C48EC">
      <w:pPr>
        <w:spacing w:after="0"/>
        <w:jc w:val="both"/>
        <w:rPr>
          <w:rFonts w:ascii="Times New Roman" w:eastAsia="Times New Roman" w:hAnsi="Times New Roman" w:cs="Times New Roman"/>
          <w:noProof/>
          <w:color w:val="333333"/>
          <w:sz w:val="24"/>
          <w:szCs w:val="24"/>
        </w:rPr>
      </w:pPr>
      <w:r w:rsidRPr="004B4540">
        <w:rPr>
          <w:rFonts w:ascii="Times New Roman" w:eastAsia="Times New Roman" w:hAnsi="Times New Roman" w:cs="Times New Roman"/>
          <w:noProof/>
          <w:color w:val="333333"/>
          <w:sz w:val="24"/>
          <w:szCs w:val="24"/>
          <w:lang w:eastAsia="en-GB"/>
        </w:rPr>
        <w:drawing>
          <wp:inline distT="0" distB="0" distL="0" distR="0" wp14:anchorId="19A3A1C3" wp14:editId="4351DC27">
            <wp:extent cx="8835242" cy="2392102"/>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67849" cy="2428005"/>
                    </a:xfrm>
                    <a:prstGeom prst="rect">
                      <a:avLst/>
                    </a:prstGeom>
                    <a:noFill/>
                  </pic:spPr>
                </pic:pic>
              </a:graphicData>
            </a:graphic>
          </wp:inline>
        </w:drawing>
      </w:r>
    </w:p>
    <w:p w14:paraId="7E276528" w14:textId="77777777" w:rsidR="006B76B7" w:rsidRPr="004B4540" w:rsidRDefault="006B76B7" w:rsidP="003C48EC">
      <w:pPr>
        <w:spacing w:after="0"/>
        <w:jc w:val="both"/>
        <w:rPr>
          <w:rFonts w:ascii="Times New Roman" w:eastAsia="Times New Roman" w:hAnsi="Times New Roman" w:cs="Times New Roman"/>
          <w:noProof/>
          <w:color w:val="333333"/>
          <w:sz w:val="24"/>
          <w:szCs w:val="24"/>
        </w:rPr>
      </w:pPr>
    </w:p>
    <w:p w14:paraId="0F055D03" w14:textId="039F0541" w:rsidR="00B21C70" w:rsidRDefault="00B21C70" w:rsidP="00B21C70">
      <w:pPr>
        <w:pStyle w:val="Caption"/>
        <w:rPr>
          <w:noProof/>
        </w:rPr>
      </w:pPr>
      <w:bookmarkStart w:id="32" w:name="_Ref148625954"/>
      <w:r>
        <w:rPr>
          <w:noProof/>
        </w:rPr>
        <w:t xml:space="preserve">Figure </w:t>
      </w:r>
      <w:r w:rsidR="002F3AE3">
        <w:rPr>
          <w:noProof/>
        </w:rPr>
        <w:fldChar w:fldCharType="begin"/>
      </w:r>
      <w:r w:rsidR="002F3AE3">
        <w:rPr>
          <w:noProof/>
        </w:rPr>
        <w:instrText xml:space="preserve"> SEQ Figure \* ARABIC </w:instrText>
      </w:r>
      <w:r w:rsidR="002F3AE3">
        <w:rPr>
          <w:noProof/>
        </w:rPr>
        <w:fldChar w:fldCharType="separate"/>
      </w:r>
      <w:r w:rsidR="00B83BFA">
        <w:rPr>
          <w:noProof/>
        </w:rPr>
        <w:t>2</w:t>
      </w:r>
      <w:r w:rsidR="002F3AE3">
        <w:rPr>
          <w:noProof/>
        </w:rPr>
        <w:fldChar w:fldCharType="end"/>
      </w:r>
      <w:bookmarkEnd w:id="32"/>
      <w:r>
        <w:rPr>
          <w:noProof/>
        </w:rPr>
        <w:t xml:space="preserve">: </w:t>
      </w:r>
      <w:r w:rsidRPr="00577413">
        <w:rPr>
          <w:noProof/>
        </w:rPr>
        <w:t>Emissions cap in the EU ETS compared with verified emissions</w:t>
      </w:r>
      <w:r>
        <w:rPr>
          <w:noProof/>
        </w:rPr>
        <w:t xml:space="preserve"> </w:t>
      </w:r>
      <w:r w:rsidRPr="00B21C70">
        <w:rPr>
          <w:noProof/>
        </w:rPr>
        <w:t>(considering the 2023 revision of the ETS Directive, i.e. rebasing in 2024 and 2026, including the maritime transport sector in 2024 and the linear reduction factor of 4.3% in 2024-2027 and 4.4% from 2028). Aviation is not included. Due to changes in scope, the 2005-2007 figures are not directly comparable with the latest ones. From 2021, the EU ETS no longer covers installations in the UK, only electricity generators in Northern Ireland. Legend: bars (cap), light shaded bars in 2014-2016 (allowances backloaded from auctions), light shaded bars from 2019 (feeds of allowances to the Market Stability Reserve), dashed line (verified emissions).</w:t>
      </w:r>
    </w:p>
    <w:p w14:paraId="4198A1BB" w14:textId="033FFA5E" w:rsidR="006B76B7" w:rsidRPr="004B4540" w:rsidRDefault="006B76B7" w:rsidP="4A33C9F6">
      <w:pPr>
        <w:rPr>
          <w:rFonts w:ascii="Times New Roman" w:eastAsia="Times New Roman" w:hAnsi="Times New Roman" w:cs="Times New Roman"/>
          <w:i/>
          <w:iCs/>
          <w:noProof/>
          <w:color w:val="333333"/>
          <w:sz w:val="24"/>
          <w:szCs w:val="24"/>
        </w:rPr>
      </w:pPr>
    </w:p>
    <w:p w14:paraId="6D83F3F4" w14:textId="77777777" w:rsidR="006B76B7" w:rsidRPr="004B4540" w:rsidRDefault="006B76B7" w:rsidP="003C48EC">
      <w:pPr>
        <w:spacing w:after="0"/>
        <w:jc w:val="both"/>
        <w:rPr>
          <w:rFonts w:ascii="Times New Roman" w:eastAsia="Times New Roman" w:hAnsi="Times New Roman" w:cs="Times New Roman"/>
          <w:noProof/>
          <w:color w:val="333333"/>
          <w:sz w:val="24"/>
          <w:szCs w:val="24"/>
        </w:rPr>
      </w:pPr>
    </w:p>
    <w:p w14:paraId="0B8C6B6C" w14:textId="77777777" w:rsidR="006B76B7" w:rsidRPr="004B4540" w:rsidRDefault="006B76B7">
      <w:pPr>
        <w:rPr>
          <w:rFonts w:ascii="Times New Roman" w:eastAsiaTheme="majorEastAsia" w:hAnsi="Times New Roman" w:cs="Times New Roman"/>
          <w:noProof/>
          <w:sz w:val="24"/>
          <w:szCs w:val="24"/>
        </w:rPr>
      </w:pPr>
      <w:r w:rsidRPr="004B4540">
        <w:rPr>
          <w:rFonts w:ascii="Times New Roman" w:hAnsi="Times New Roman" w:cs="Times New Roman"/>
          <w:noProof/>
          <w:sz w:val="24"/>
          <w:szCs w:val="24"/>
        </w:rPr>
        <w:br w:type="page"/>
      </w:r>
    </w:p>
    <w:p w14:paraId="53323D8F" w14:textId="77777777" w:rsidR="006B76B7" w:rsidRPr="004B4540" w:rsidRDefault="006B76B7" w:rsidP="00F84ECB">
      <w:pPr>
        <w:pStyle w:val="CMR23-heading"/>
        <w:rPr>
          <w:rFonts w:cs="Times New Roman"/>
          <w:noProof/>
          <w:sz w:val="24"/>
          <w:szCs w:val="24"/>
          <w:lang w:val="en-GB"/>
        </w:rPr>
        <w:sectPr w:rsidR="006B76B7" w:rsidRPr="004B4540" w:rsidSect="006B76B7">
          <w:headerReference w:type="even" r:id="rId24"/>
          <w:headerReference w:type="default" r:id="rId25"/>
          <w:footerReference w:type="even" r:id="rId26"/>
          <w:footerReference w:type="default" r:id="rId27"/>
          <w:headerReference w:type="first" r:id="rId28"/>
          <w:footerReference w:type="first" r:id="rId29"/>
          <w:pgSz w:w="16838" w:h="11906" w:orient="landscape"/>
          <w:pgMar w:top="1440" w:right="1440" w:bottom="1440" w:left="1440" w:header="709" w:footer="709" w:gutter="0"/>
          <w:cols w:space="708"/>
          <w:docGrid w:linePitch="360"/>
        </w:sectPr>
      </w:pPr>
    </w:p>
    <w:p w14:paraId="436E781F" w14:textId="462CB02D" w:rsidR="00175BA6" w:rsidRPr="004B4540" w:rsidRDefault="00175BA6" w:rsidP="00F84ECB">
      <w:pPr>
        <w:pStyle w:val="CMR23-heading"/>
        <w:rPr>
          <w:rFonts w:cs="Times New Roman"/>
          <w:noProof/>
          <w:sz w:val="24"/>
          <w:szCs w:val="24"/>
          <w:lang w:val="en-GB"/>
        </w:rPr>
      </w:pPr>
      <w:bookmarkStart w:id="33" w:name="_Toc145453234"/>
      <w:bookmarkStart w:id="34" w:name="_Toc148555879"/>
      <w:r w:rsidRPr="004B4540">
        <w:rPr>
          <w:rFonts w:cs="Times New Roman"/>
          <w:noProof/>
          <w:sz w:val="24"/>
          <w:szCs w:val="24"/>
          <w:lang w:val="en-GB"/>
        </w:rPr>
        <w:t>Auctioning of allowances</w:t>
      </w:r>
      <w:bookmarkEnd w:id="33"/>
      <w:bookmarkEnd w:id="34"/>
    </w:p>
    <w:p w14:paraId="47CFA9C5" w14:textId="514A118E" w:rsidR="00C0764E" w:rsidRPr="004B4540" w:rsidRDefault="003739A4" w:rsidP="00C3775C">
      <w:pPr>
        <w:jc w:val="both"/>
        <w:rPr>
          <w:rFonts w:ascii="Times New Roman" w:hAnsi="Times New Roman" w:cs="Times New Roman"/>
          <w:noProof/>
          <w:sz w:val="24"/>
          <w:szCs w:val="24"/>
        </w:rPr>
      </w:pPr>
      <w:r w:rsidRPr="004B4540">
        <w:rPr>
          <w:rFonts w:ascii="Times New Roman" w:hAnsi="Times New Roman" w:cs="Times New Roman"/>
          <w:noProof/>
          <w:sz w:val="24"/>
          <w:szCs w:val="24"/>
        </w:rPr>
        <w:t>Auctioning is the main method of distributing allowances in the EU ETS</w:t>
      </w:r>
      <w:r w:rsidR="00C0764E" w:rsidRPr="004B4540">
        <w:rPr>
          <w:rFonts w:ascii="Times New Roman" w:hAnsi="Times New Roman" w:cs="Times New Roman"/>
          <w:noProof/>
          <w:sz w:val="24"/>
          <w:szCs w:val="24"/>
        </w:rPr>
        <w:t xml:space="preserve">, accounting for </w:t>
      </w:r>
      <w:r w:rsidR="3FBBB985" w:rsidRPr="004B4540">
        <w:rPr>
          <w:rFonts w:ascii="Times New Roman" w:hAnsi="Times New Roman" w:cs="Times New Roman"/>
          <w:noProof/>
          <w:sz w:val="24"/>
          <w:szCs w:val="24"/>
        </w:rPr>
        <w:t xml:space="preserve">up to </w:t>
      </w:r>
      <w:r w:rsidR="00C0764E" w:rsidRPr="004B4540">
        <w:rPr>
          <w:rFonts w:ascii="Times New Roman" w:hAnsi="Times New Roman" w:cs="Times New Roman"/>
          <w:noProof/>
          <w:sz w:val="24"/>
          <w:szCs w:val="24"/>
        </w:rPr>
        <w:t>57% of the cap</w:t>
      </w:r>
      <w:r w:rsidR="00A10A9E" w:rsidRPr="004B4540">
        <w:rPr>
          <w:rStyle w:val="FootnoteReference"/>
          <w:rFonts w:ascii="Times New Roman" w:hAnsi="Times New Roman" w:cs="Times New Roman"/>
          <w:noProof/>
          <w:sz w:val="24"/>
          <w:szCs w:val="24"/>
        </w:rPr>
        <w:footnoteReference w:id="30"/>
      </w:r>
      <w:r w:rsidR="00C0764E" w:rsidRPr="004B4540">
        <w:rPr>
          <w:rFonts w:ascii="Times New Roman" w:hAnsi="Times New Roman" w:cs="Times New Roman"/>
          <w:noProof/>
          <w:sz w:val="24"/>
          <w:szCs w:val="24"/>
        </w:rPr>
        <w:t>. The Auctioning Regulation</w:t>
      </w:r>
      <w:r w:rsidR="00C0764E" w:rsidRPr="004B4540">
        <w:rPr>
          <w:rStyle w:val="FootnoteReference"/>
          <w:rFonts w:ascii="Times New Roman" w:hAnsi="Times New Roman" w:cs="Times New Roman"/>
          <w:noProof/>
          <w:sz w:val="24"/>
          <w:szCs w:val="24"/>
        </w:rPr>
        <w:footnoteReference w:id="31"/>
      </w:r>
      <w:r w:rsidR="00C0764E" w:rsidRPr="004B4540">
        <w:rPr>
          <w:rFonts w:ascii="Times New Roman" w:hAnsi="Times New Roman" w:cs="Times New Roman"/>
          <w:noProof/>
          <w:sz w:val="24"/>
          <w:szCs w:val="24"/>
        </w:rPr>
        <w:t xml:space="preserve"> sets rules to ensure that auctions take place in an open, transparent, harmonised and non-discriminatory way. It specifies the timing, administration and other aspects of auctioning emission allowances. </w:t>
      </w:r>
    </w:p>
    <w:p w14:paraId="04B0B7AC" w14:textId="3ED31368" w:rsidR="00C0764E" w:rsidRPr="004B4540" w:rsidRDefault="00C0764E" w:rsidP="00C3775C">
      <w:pPr>
        <w:jc w:val="both"/>
        <w:rPr>
          <w:rFonts w:ascii="Times New Roman" w:hAnsi="Times New Roman" w:cs="Times New Roman"/>
          <w:noProof/>
          <w:sz w:val="24"/>
          <w:szCs w:val="24"/>
        </w:rPr>
      </w:pPr>
      <w:r w:rsidRPr="004B4540">
        <w:rPr>
          <w:rFonts w:ascii="Times New Roman" w:hAnsi="Times New Roman" w:cs="Times New Roman"/>
          <w:noProof/>
          <w:sz w:val="24"/>
          <w:szCs w:val="24"/>
        </w:rPr>
        <w:t xml:space="preserve">In 2022, auctions continued to take place through the European Energy Exchange AG (EEX): </w:t>
      </w:r>
    </w:p>
    <w:p w14:paraId="0A82F171" w14:textId="77777777" w:rsidR="00C0764E" w:rsidRPr="004B4540" w:rsidRDefault="00C0764E" w:rsidP="00C3775C">
      <w:pPr>
        <w:pStyle w:val="ListParagraph"/>
        <w:numPr>
          <w:ilvl w:val="0"/>
          <w:numId w:val="12"/>
        </w:numPr>
        <w:jc w:val="both"/>
        <w:rPr>
          <w:rFonts w:ascii="Times New Roman" w:hAnsi="Times New Roman" w:cs="Times New Roman"/>
          <w:noProof/>
          <w:sz w:val="24"/>
          <w:szCs w:val="24"/>
        </w:rPr>
      </w:pPr>
      <w:r w:rsidRPr="004B4540">
        <w:rPr>
          <w:rFonts w:ascii="Times New Roman" w:hAnsi="Times New Roman" w:cs="Times New Roman"/>
          <w:noProof/>
          <w:sz w:val="24"/>
          <w:szCs w:val="24"/>
        </w:rPr>
        <w:t xml:space="preserve">as the common auction platform for 25 Member States participating in a joint procurement procedure; </w:t>
      </w:r>
    </w:p>
    <w:p w14:paraId="5C75391E" w14:textId="77777777" w:rsidR="00C0764E" w:rsidRPr="004B4540" w:rsidRDefault="00C0764E" w:rsidP="00C3775C">
      <w:pPr>
        <w:pStyle w:val="ListParagraph"/>
        <w:numPr>
          <w:ilvl w:val="0"/>
          <w:numId w:val="12"/>
        </w:numPr>
        <w:jc w:val="both"/>
        <w:rPr>
          <w:rFonts w:ascii="Times New Roman" w:hAnsi="Times New Roman" w:cs="Times New Roman"/>
          <w:noProof/>
          <w:sz w:val="24"/>
          <w:szCs w:val="24"/>
        </w:rPr>
      </w:pPr>
      <w:r w:rsidRPr="004B4540">
        <w:rPr>
          <w:rFonts w:ascii="Times New Roman" w:hAnsi="Times New Roman" w:cs="Times New Roman"/>
          <w:noProof/>
          <w:sz w:val="24"/>
          <w:szCs w:val="24"/>
        </w:rPr>
        <w:t>for Poland, which opted out from the joint procurement procedure but has not yet appointed its own auction platform;</w:t>
      </w:r>
    </w:p>
    <w:p w14:paraId="181D0F2A" w14:textId="37F81EF4" w:rsidR="00C0764E" w:rsidRPr="004B4540" w:rsidRDefault="00C0764E" w:rsidP="00C3775C">
      <w:pPr>
        <w:pStyle w:val="ListParagraph"/>
        <w:numPr>
          <w:ilvl w:val="0"/>
          <w:numId w:val="12"/>
        </w:numPr>
        <w:jc w:val="both"/>
        <w:rPr>
          <w:rFonts w:ascii="Times New Roman" w:hAnsi="Times New Roman" w:cs="Times New Roman"/>
          <w:noProof/>
          <w:sz w:val="24"/>
          <w:szCs w:val="24"/>
        </w:rPr>
      </w:pPr>
      <w:r w:rsidRPr="004B4540">
        <w:rPr>
          <w:rFonts w:ascii="Times New Roman" w:hAnsi="Times New Roman" w:cs="Times New Roman"/>
          <w:noProof/>
          <w:sz w:val="24"/>
          <w:szCs w:val="24"/>
        </w:rPr>
        <w:t>for Iceland, Liechtenstein, and Norway</w:t>
      </w:r>
      <w:r w:rsidR="005F7DDF" w:rsidRPr="004B4540">
        <w:rPr>
          <w:rFonts w:ascii="Times New Roman" w:hAnsi="Times New Roman" w:cs="Times New Roman"/>
          <w:noProof/>
          <w:sz w:val="24"/>
          <w:szCs w:val="24"/>
        </w:rPr>
        <w:t>,</w:t>
      </w:r>
      <w:r w:rsidRPr="004B4540">
        <w:rPr>
          <w:rFonts w:ascii="Times New Roman" w:hAnsi="Times New Roman" w:cs="Times New Roman"/>
          <w:noProof/>
          <w:sz w:val="24"/>
          <w:szCs w:val="24"/>
        </w:rPr>
        <w:t xml:space="preserve"> after the EEA Agreement was amended in 2019 to allow </w:t>
      </w:r>
      <w:r w:rsidR="00A1433A" w:rsidRPr="004B4540">
        <w:rPr>
          <w:rFonts w:ascii="Times New Roman" w:hAnsi="Times New Roman" w:cs="Times New Roman"/>
          <w:noProof/>
          <w:sz w:val="24"/>
          <w:szCs w:val="24"/>
        </w:rPr>
        <w:t>them to participate in the Joint Procurement Agreement for the common auction platform</w:t>
      </w:r>
      <w:r w:rsidRPr="004B4540">
        <w:rPr>
          <w:rFonts w:ascii="Times New Roman" w:hAnsi="Times New Roman" w:cs="Times New Roman"/>
          <w:noProof/>
          <w:sz w:val="24"/>
          <w:szCs w:val="24"/>
        </w:rPr>
        <w:t xml:space="preserve">; </w:t>
      </w:r>
    </w:p>
    <w:p w14:paraId="2DDB7AE0" w14:textId="77777777" w:rsidR="00C0764E" w:rsidRPr="004B4540" w:rsidRDefault="00C0764E" w:rsidP="00C3775C">
      <w:pPr>
        <w:pStyle w:val="ListParagraph"/>
        <w:numPr>
          <w:ilvl w:val="0"/>
          <w:numId w:val="12"/>
        </w:numPr>
        <w:jc w:val="both"/>
        <w:rPr>
          <w:rFonts w:ascii="Times New Roman" w:hAnsi="Times New Roman" w:cs="Times New Roman"/>
          <w:noProof/>
          <w:sz w:val="24"/>
          <w:szCs w:val="24"/>
        </w:rPr>
      </w:pPr>
      <w:r w:rsidRPr="004B4540">
        <w:rPr>
          <w:rFonts w:ascii="Times New Roman" w:hAnsi="Times New Roman" w:cs="Times New Roman"/>
          <w:noProof/>
          <w:sz w:val="24"/>
          <w:szCs w:val="24"/>
        </w:rPr>
        <w:t xml:space="preserve">for the UK to auction allowances for electricity generators in Northern Ireland. </w:t>
      </w:r>
    </w:p>
    <w:p w14:paraId="5805BB31" w14:textId="5F1422F7" w:rsidR="00C0764E" w:rsidRPr="004B4540" w:rsidRDefault="00C0764E" w:rsidP="00C3775C">
      <w:pPr>
        <w:jc w:val="both"/>
        <w:rPr>
          <w:rFonts w:ascii="Times New Roman" w:hAnsi="Times New Roman" w:cs="Times New Roman"/>
          <w:noProof/>
          <w:sz w:val="24"/>
          <w:szCs w:val="24"/>
        </w:rPr>
      </w:pPr>
      <w:r w:rsidRPr="004B4540">
        <w:rPr>
          <w:rFonts w:ascii="Times New Roman" w:hAnsi="Times New Roman" w:cs="Times New Roman"/>
          <w:noProof/>
          <w:sz w:val="24"/>
          <w:szCs w:val="24"/>
        </w:rPr>
        <w:t>The EEX also auctioned for Germany as the</w:t>
      </w:r>
      <w:r w:rsidR="00D1353A" w:rsidRPr="004B4540">
        <w:rPr>
          <w:rFonts w:ascii="Times New Roman" w:hAnsi="Times New Roman" w:cs="Times New Roman"/>
          <w:noProof/>
          <w:sz w:val="24"/>
          <w:szCs w:val="24"/>
        </w:rPr>
        <w:t>ir</w:t>
      </w:r>
      <w:r w:rsidRPr="004B4540">
        <w:rPr>
          <w:rFonts w:ascii="Times New Roman" w:hAnsi="Times New Roman" w:cs="Times New Roman"/>
          <w:noProof/>
          <w:sz w:val="24"/>
          <w:szCs w:val="24"/>
        </w:rPr>
        <w:t xml:space="preserve"> ‘opt-out’ auction platform. </w:t>
      </w:r>
    </w:p>
    <w:p w14:paraId="3965705A" w14:textId="028B4B1B" w:rsidR="00C0764E" w:rsidRPr="004B4540" w:rsidRDefault="00A5525D" w:rsidP="00C3775C">
      <w:pPr>
        <w:jc w:val="both"/>
        <w:rPr>
          <w:rFonts w:ascii="Times New Roman" w:hAnsi="Times New Roman" w:cs="Times New Roman"/>
          <w:noProof/>
          <w:sz w:val="24"/>
          <w:szCs w:val="24"/>
        </w:rPr>
      </w:pPr>
      <w:r w:rsidRPr="004B4540">
        <w:rPr>
          <w:rFonts w:ascii="Times New Roman" w:hAnsi="Times New Roman" w:cs="Times New Roman"/>
          <w:noProof/>
          <w:sz w:val="24"/>
          <w:szCs w:val="24"/>
        </w:rPr>
        <w:fldChar w:fldCharType="begin"/>
      </w:r>
      <w:r w:rsidRPr="004B4540">
        <w:rPr>
          <w:rFonts w:ascii="Times New Roman" w:hAnsi="Times New Roman" w:cs="Times New Roman"/>
          <w:noProof/>
          <w:sz w:val="24"/>
          <w:szCs w:val="24"/>
        </w:rPr>
        <w:instrText xml:space="preserve"> REF _Ref145491716 \h  \* MERGEFORMAT </w:instrText>
      </w:r>
      <w:r w:rsidRPr="004B4540">
        <w:rPr>
          <w:rFonts w:ascii="Times New Roman" w:hAnsi="Times New Roman" w:cs="Times New Roman"/>
          <w:noProof/>
          <w:sz w:val="24"/>
          <w:szCs w:val="24"/>
        </w:rPr>
      </w:r>
      <w:r w:rsidRPr="004B4540">
        <w:rPr>
          <w:rFonts w:ascii="Times New Roman" w:hAnsi="Times New Roman" w:cs="Times New Roman"/>
          <w:noProof/>
          <w:sz w:val="24"/>
          <w:szCs w:val="24"/>
        </w:rPr>
        <w:fldChar w:fldCharType="separate"/>
      </w:r>
      <w:r w:rsidR="00B83BFA" w:rsidRPr="00B83BFA">
        <w:rPr>
          <w:rFonts w:ascii="Times New Roman" w:hAnsi="Times New Roman" w:cs="Times New Roman"/>
          <w:noProof/>
          <w:sz w:val="24"/>
          <w:szCs w:val="24"/>
        </w:rPr>
        <w:t>Table 2</w:t>
      </w:r>
      <w:r w:rsidRPr="004B4540">
        <w:rPr>
          <w:rFonts w:ascii="Times New Roman" w:hAnsi="Times New Roman" w:cs="Times New Roman"/>
          <w:noProof/>
          <w:sz w:val="24"/>
          <w:szCs w:val="24"/>
        </w:rPr>
        <w:fldChar w:fldCharType="end"/>
      </w:r>
      <w:r w:rsidR="00C0764E" w:rsidRPr="004B4540">
        <w:rPr>
          <w:rFonts w:ascii="Times New Roman" w:hAnsi="Times New Roman" w:cs="Times New Roman"/>
          <w:noProof/>
          <w:sz w:val="24"/>
          <w:szCs w:val="24"/>
        </w:rPr>
        <w:t xml:space="preserve"> provides an overview of </w:t>
      </w:r>
      <w:r w:rsidR="009C5DD3" w:rsidRPr="004B4540">
        <w:rPr>
          <w:rFonts w:ascii="Times New Roman" w:hAnsi="Times New Roman" w:cs="Times New Roman"/>
          <w:noProof/>
          <w:sz w:val="24"/>
          <w:szCs w:val="24"/>
        </w:rPr>
        <w:t xml:space="preserve">the annual </w:t>
      </w:r>
      <w:r w:rsidR="00C0764E" w:rsidRPr="004B4540">
        <w:rPr>
          <w:rFonts w:ascii="Times New Roman" w:hAnsi="Times New Roman" w:cs="Times New Roman"/>
          <w:noProof/>
          <w:sz w:val="24"/>
          <w:szCs w:val="24"/>
        </w:rPr>
        <w:t>volumes of allowances auctioned by the EEX</w:t>
      </w:r>
      <w:r w:rsidR="00405B6F" w:rsidRPr="004B4540">
        <w:rPr>
          <w:rFonts w:ascii="Times New Roman" w:hAnsi="Times New Roman" w:cs="Times New Roman"/>
          <w:noProof/>
          <w:sz w:val="24"/>
          <w:szCs w:val="24"/>
        </w:rPr>
        <w:t xml:space="preserve"> since 2021</w:t>
      </w:r>
      <w:r w:rsidR="00C0764E" w:rsidRPr="004B4540">
        <w:rPr>
          <w:rFonts w:ascii="Times New Roman" w:hAnsi="Times New Roman" w:cs="Times New Roman"/>
          <w:noProof/>
          <w:sz w:val="24"/>
          <w:szCs w:val="24"/>
        </w:rPr>
        <w:t>.</w:t>
      </w:r>
    </w:p>
    <w:p w14:paraId="4EF89022" w14:textId="0DDCEFA2" w:rsidR="00A5525D" w:rsidRPr="004B4540" w:rsidRDefault="00A5525D" w:rsidP="00BC0039">
      <w:pPr>
        <w:pStyle w:val="Caption"/>
        <w:keepNext/>
        <w:spacing w:line="257" w:lineRule="auto"/>
        <w:rPr>
          <w:noProof/>
        </w:rPr>
      </w:pPr>
      <w:bookmarkStart w:id="35" w:name="_Ref145491716"/>
      <w:r w:rsidRPr="004B4540">
        <w:rPr>
          <w:noProof/>
        </w:rPr>
        <w:t xml:space="preserve">Table </w:t>
      </w:r>
      <w:r w:rsidRPr="004B4540">
        <w:rPr>
          <w:noProof/>
        </w:rPr>
        <w:fldChar w:fldCharType="begin"/>
      </w:r>
      <w:r w:rsidRPr="004B4540">
        <w:rPr>
          <w:noProof/>
        </w:rPr>
        <w:instrText>SEQ Table \* ARABIC</w:instrText>
      </w:r>
      <w:r w:rsidRPr="004B4540">
        <w:rPr>
          <w:noProof/>
        </w:rPr>
        <w:fldChar w:fldCharType="separate"/>
      </w:r>
      <w:r w:rsidR="00B83BFA">
        <w:rPr>
          <w:noProof/>
        </w:rPr>
        <w:t>2</w:t>
      </w:r>
      <w:r w:rsidRPr="004B4540">
        <w:rPr>
          <w:noProof/>
        </w:rPr>
        <w:fldChar w:fldCharType="end"/>
      </w:r>
      <w:bookmarkEnd w:id="35"/>
      <w:r w:rsidR="00D8122A" w:rsidRPr="004B4540">
        <w:rPr>
          <w:noProof/>
        </w:rPr>
        <w:t>:</w:t>
      </w:r>
      <w:r w:rsidRPr="004B4540">
        <w:rPr>
          <w:noProof/>
        </w:rPr>
        <w:t xml:space="preserve"> Total volumes of allowances auctioned</w:t>
      </w:r>
      <w:r w:rsidR="009B56A1" w:rsidRPr="004B4540">
        <w:rPr>
          <w:noProof/>
        </w:rPr>
        <w:t xml:space="preserve"> </w:t>
      </w:r>
      <w:r w:rsidR="00BF27BB" w:rsidRPr="004B4540">
        <w:rPr>
          <w:noProof/>
        </w:rPr>
        <w:t>(1 January 2021 to 30 June 2023)</w:t>
      </w:r>
    </w:p>
    <w:tbl>
      <w:tblPr>
        <w:tblStyle w:val="TableGridLight"/>
        <w:tblW w:w="9067" w:type="dxa"/>
        <w:tblLook w:val="04A0" w:firstRow="1" w:lastRow="0" w:firstColumn="1" w:lastColumn="0" w:noHBand="0" w:noVBand="1"/>
      </w:tblPr>
      <w:tblGrid>
        <w:gridCol w:w="2405"/>
        <w:gridCol w:w="3331"/>
        <w:gridCol w:w="3331"/>
      </w:tblGrid>
      <w:tr w:rsidR="00C0764E" w:rsidRPr="004B4540" w14:paraId="116C754A" w14:textId="77777777" w:rsidTr="00D66A75">
        <w:trPr>
          <w:trHeight w:val="288"/>
        </w:trPr>
        <w:tc>
          <w:tcPr>
            <w:tcW w:w="2405" w:type="dxa"/>
            <w:vAlign w:val="center"/>
            <w:hideMark/>
          </w:tcPr>
          <w:p w14:paraId="5DC64A3B" w14:textId="77777777" w:rsidR="00C0764E" w:rsidRPr="004B4540" w:rsidRDefault="00C0764E" w:rsidP="00D66A75">
            <w:pPr>
              <w:pStyle w:val="CMR2023-tablesheadings"/>
              <w:keepNext/>
              <w:rPr>
                <w:b w:val="0"/>
                <w:bCs w:val="0"/>
                <w:noProof/>
                <w:sz w:val="22"/>
                <w:szCs w:val="22"/>
              </w:rPr>
            </w:pPr>
            <w:r w:rsidRPr="004B4540">
              <w:rPr>
                <w:noProof/>
                <w:sz w:val="22"/>
                <w:szCs w:val="22"/>
              </w:rPr>
              <w:t>Year</w:t>
            </w:r>
          </w:p>
        </w:tc>
        <w:tc>
          <w:tcPr>
            <w:tcW w:w="3331" w:type="dxa"/>
            <w:vAlign w:val="center"/>
            <w:hideMark/>
          </w:tcPr>
          <w:p w14:paraId="1B1A8EDB" w14:textId="77777777" w:rsidR="00C0764E" w:rsidRPr="004B4540" w:rsidRDefault="00C0764E" w:rsidP="00D66A75">
            <w:pPr>
              <w:pStyle w:val="CMR2023-tablesheadings"/>
              <w:keepNext/>
              <w:rPr>
                <w:b w:val="0"/>
                <w:bCs w:val="0"/>
                <w:noProof/>
                <w:sz w:val="22"/>
                <w:szCs w:val="22"/>
              </w:rPr>
            </w:pPr>
            <w:r w:rsidRPr="004B4540">
              <w:rPr>
                <w:noProof/>
                <w:sz w:val="22"/>
                <w:szCs w:val="22"/>
              </w:rPr>
              <w:t>General allowances</w:t>
            </w:r>
          </w:p>
        </w:tc>
        <w:tc>
          <w:tcPr>
            <w:tcW w:w="3331" w:type="dxa"/>
            <w:vAlign w:val="center"/>
            <w:hideMark/>
          </w:tcPr>
          <w:p w14:paraId="64E71DBB" w14:textId="77777777" w:rsidR="00C0764E" w:rsidRPr="004B4540" w:rsidRDefault="00C0764E" w:rsidP="00D66A75">
            <w:pPr>
              <w:pStyle w:val="CMR2023-tablesheadings"/>
              <w:keepNext/>
              <w:rPr>
                <w:b w:val="0"/>
                <w:bCs w:val="0"/>
                <w:noProof/>
                <w:sz w:val="22"/>
                <w:szCs w:val="22"/>
              </w:rPr>
            </w:pPr>
            <w:r w:rsidRPr="004B4540">
              <w:rPr>
                <w:noProof/>
                <w:sz w:val="22"/>
                <w:szCs w:val="22"/>
              </w:rPr>
              <w:t>Aviation allowances</w:t>
            </w:r>
          </w:p>
        </w:tc>
      </w:tr>
      <w:tr w:rsidR="0084038C" w:rsidRPr="004B4540" w14:paraId="56AA00F8" w14:textId="77777777" w:rsidTr="00D66A75">
        <w:trPr>
          <w:trHeight w:val="288"/>
        </w:trPr>
        <w:tc>
          <w:tcPr>
            <w:tcW w:w="2405" w:type="dxa"/>
            <w:vAlign w:val="center"/>
            <w:hideMark/>
          </w:tcPr>
          <w:p w14:paraId="08DC5002" w14:textId="77777777" w:rsidR="0084038C" w:rsidRPr="00D66A75" w:rsidRDefault="0084038C" w:rsidP="00D66A75">
            <w:pPr>
              <w:pStyle w:val="CMR2023-tablesheadings"/>
              <w:keepNext/>
              <w:rPr>
                <w:b w:val="0"/>
                <w:bCs w:val="0"/>
                <w:noProof/>
                <w:sz w:val="22"/>
                <w:szCs w:val="22"/>
              </w:rPr>
            </w:pPr>
            <w:r w:rsidRPr="00D66A75">
              <w:rPr>
                <w:b w:val="0"/>
                <w:bCs w:val="0"/>
                <w:noProof/>
                <w:sz w:val="22"/>
                <w:szCs w:val="22"/>
              </w:rPr>
              <w:t>2021</w:t>
            </w:r>
          </w:p>
        </w:tc>
        <w:tc>
          <w:tcPr>
            <w:tcW w:w="3331" w:type="dxa"/>
            <w:vAlign w:val="center"/>
            <w:hideMark/>
          </w:tcPr>
          <w:p w14:paraId="06F61214" w14:textId="7EB15737" w:rsidR="0084038C" w:rsidRPr="004B4540" w:rsidRDefault="0084038C" w:rsidP="00D66A75">
            <w:pPr>
              <w:pStyle w:val="CMR2023-tablesheadings"/>
              <w:keepNext/>
              <w:rPr>
                <w:b w:val="0"/>
                <w:bCs w:val="0"/>
                <w:noProof/>
                <w:sz w:val="22"/>
                <w:szCs w:val="22"/>
              </w:rPr>
            </w:pPr>
            <w:r w:rsidRPr="004B4540">
              <w:rPr>
                <w:b w:val="0"/>
                <w:bCs w:val="0"/>
                <w:noProof/>
                <w:sz w:val="22"/>
                <w:szCs w:val="22"/>
                <w:lang w:val="en-GB"/>
              </w:rPr>
              <w:t>582 952 500</w:t>
            </w:r>
          </w:p>
        </w:tc>
        <w:tc>
          <w:tcPr>
            <w:tcW w:w="3331" w:type="dxa"/>
            <w:vAlign w:val="center"/>
            <w:hideMark/>
          </w:tcPr>
          <w:p w14:paraId="29204955" w14:textId="746BCD7E" w:rsidR="0084038C" w:rsidRPr="004B4540" w:rsidRDefault="0084038C" w:rsidP="00D66A75">
            <w:pPr>
              <w:pStyle w:val="CMR2023-tablesheadings"/>
              <w:keepNext/>
              <w:rPr>
                <w:b w:val="0"/>
                <w:bCs w:val="0"/>
                <w:noProof/>
                <w:sz w:val="22"/>
                <w:szCs w:val="22"/>
              </w:rPr>
            </w:pPr>
            <w:r w:rsidRPr="004B4540">
              <w:rPr>
                <w:b w:val="0"/>
                <w:bCs w:val="0"/>
                <w:noProof/>
                <w:sz w:val="22"/>
                <w:szCs w:val="22"/>
                <w:lang w:val="en-GB"/>
              </w:rPr>
              <w:t>3 785 500</w:t>
            </w:r>
          </w:p>
        </w:tc>
      </w:tr>
      <w:tr w:rsidR="0084038C" w:rsidRPr="004B4540" w14:paraId="270FA143" w14:textId="77777777" w:rsidTr="00D66A75">
        <w:trPr>
          <w:trHeight w:val="288"/>
        </w:trPr>
        <w:tc>
          <w:tcPr>
            <w:tcW w:w="2405" w:type="dxa"/>
            <w:vAlign w:val="center"/>
            <w:hideMark/>
          </w:tcPr>
          <w:p w14:paraId="52F401AF" w14:textId="77777777" w:rsidR="0084038C" w:rsidRPr="00D66A75" w:rsidRDefault="0084038C" w:rsidP="00D66A75">
            <w:pPr>
              <w:pStyle w:val="CMR2023-tablesheadings"/>
              <w:keepNext/>
              <w:rPr>
                <w:b w:val="0"/>
                <w:bCs w:val="0"/>
                <w:noProof/>
                <w:sz w:val="22"/>
                <w:szCs w:val="22"/>
              </w:rPr>
            </w:pPr>
            <w:r w:rsidRPr="00D66A75">
              <w:rPr>
                <w:b w:val="0"/>
                <w:bCs w:val="0"/>
                <w:noProof/>
                <w:sz w:val="22"/>
                <w:szCs w:val="22"/>
              </w:rPr>
              <w:t>2022</w:t>
            </w:r>
          </w:p>
        </w:tc>
        <w:tc>
          <w:tcPr>
            <w:tcW w:w="3331" w:type="dxa"/>
            <w:vAlign w:val="center"/>
            <w:hideMark/>
          </w:tcPr>
          <w:p w14:paraId="75F17D5F" w14:textId="66B745FE" w:rsidR="0084038C" w:rsidRPr="004B4540" w:rsidRDefault="0084038C" w:rsidP="00D66A75">
            <w:pPr>
              <w:pStyle w:val="CMR2023-tablesheadings"/>
              <w:keepNext/>
              <w:rPr>
                <w:b w:val="0"/>
                <w:bCs w:val="0"/>
                <w:noProof/>
                <w:sz w:val="22"/>
                <w:szCs w:val="22"/>
              </w:rPr>
            </w:pPr>
            <w:r w:rsidRPr="004B4540">
              <w:rPr>
                <w:b w:val="0"/>
                <w:bCs w:val="0"/>
                <w:noProof/>
                <w:sz w:val="22"/>
                <w:szCs w:val="22"/>
                <w:lang w:val="en-GB"/>
              </w:rPr>
              <w:t>482 389 000</w:t>
            </w:r>
          </w:p>
        </w:tc>
        <w:tc>
          <w:tcPr>
            <w:tcW w:w="3331" w:type="dxa"/>
            <w:vAlign w:val="center"/>
            <w:hideMark/>
          </w:tcPr>
          <w:p w14:paraId="4C63ADCE" w14:textId="20051EC8" w:rsidR="0084038C" w:rsidRPr="004B4540" w:rsidRDefault="0084038C" w:rsidP="00D66A75">
            <w:pPr>
              <w:pStyle w:val="CMR2023-tablesheadings"/>
              <w:keepNext/>
              <w:rPr>
                <w:b w:val="0"/>
                <w:bCs w:val="0"/>
                <w:noProof/>
                <w:sz w:val="22"/>
                <w:szCs w:val="22"/>
              </w:rPr>
            </w:pPr>
            <w:r w:rsidRPr="004B4540">
              <w:rPr>
                <w:b w:val="0"/>
                <w:bCs w:val="0"/>
                <w:noProof/>
                <w:sz w:val="22"/>
                <w:szCs w:val="22"/>
                <w:lang w:val="en-GB"/>
              </w:rPr>
              <w:t>3 698 000</w:t>
            </w:r>
          </w:p>
        </w:tc>
      </w:tr>
      <w:tr w:rsidR="0084038C" w:rsidRPr="004B4540" w14:paraId="6E75D4AF" w14:textId="77777777" w:rsidTr="00D66A75">
        <w:trPr>
          <w:trHeight w:val="288"/>
        </w:trPr>
        <w:tc>
          <w:tcPr>
            <w:tcW w:w="2405" w:type="dxa"/>
            <w:vAlign w:val="center"/>
            <w:hideMark/>
          </w:tcPr>
          <w:p w14:paraId="1DAA509F" w14:textId="16031479" w:rsidR="0084038C" w:rsidRPr="00D66A75" w:rsidRDefault="0084038C" w:rsidP="00D66A75">
            <w:pPr>
              <w:pStyle w:val="CMR2023-tablesheadings"/>
              <w:keepNext/>
              <w:rPr>
                <w:b w:val="0"/>
                <w:bCs w:val="0"/>
                <w:noProof/>
                <w:sz w:val="22"/>
                <w:szCs w:val="22"/>
              </w:rPr>
            </w:pPr>
            <w:r w:rsidRPr="00D66A75">
              <w:rPr>
                <w:b w:val="0"/>
                <w:bCs w:val="0"/>
                <w:noProof/>
                <w:sz w:val="22"/>
                <w:szCs w:val="22"/>
              </w:rPr>
              <w:t xml:space="preserve">2023 </w:t>
            </w:r>
            <w:r w:rsidRPr="00D66A75">
              <w:rPr>
                <w:b w:val="0"/>
                <w:bCs w:val="0"/>
                <w:noProof/>
                <w:sz w:val="22"/>
                <w:szCs w:val="22"/>
              </w:rPr>
              <w:br/>
              <w:t>(until 30 June)</w:t>
            </w:r>
          </w:p>
        </w:tc>
        <w:tc>
          <w:tcPr>
            <w:tcW w:w="3331" w:type="dxa"/>
            <w:vAlign w:val="center"/>
            <w:hideMark/>
          </w:tcPr>
          <w:p w14:paraId="29E3AFF7" w14:textId="7F7A9BA5" w:rsidR="0084038C" w:rsidRPr="004B4540" w:rsidRDefault="0084038C" w:rsidP="00D66A75">
            <w:pPr>
              <w:pStyle w:val="CMR2023-tablesheadings"/>
              <w:keepNext/>
              <w:rPr>
                <w:b w:val="0"/>
                <w:bCs w:val="0"/>
                <w:noProof/>
                <w:sz w:val="22"/>
                <w:szCs w:val="22"/>
              </w:rPr>
            </w:pPr>
            <w:r w:rsidRPr="004B4540">
              <w:rPr>
                <w:b w:val="0"/>
                <w:bCs w:val="0"/>
                <w:noProof/>
                <w:sz w:val="22"/>
                <w:szCs w:val="22"/>
                <w:lang w:val="en-GB"/>
              </w:rPr>
              <w:t>247 762 000</w:t>
            </w:r>
          </w:p>
        </w:tc>
        <w:tc>
          <w:tcPr>
            <w:tcW w:w="3331" w:type="dxa"/>
            <w:vAlign w:val="center"/>
            <w:hideMark/>
          </w:tcPr>
          <w:p w14:paraId="1EE26628" w14:textId="1DB2039A" w:rsidR="0084038C" w:rsidRPr="004B4540" w:rsidRDefault="0084038C" w:rsidP="00D66A75">
            <w:pPr>
              <w:pStyle w:val="CMR2023-tablesheadings"/>
              <w:keepNext/>
              <w:rPr>
                <w:b w:val="0"/>
                <w:bCs w:val="0"/>
                <w:noProof/>
                <w:sz w:val="22"/>
                <w:szCs w:val="22"/>
              </w:rPr>
            </w:pPr>
            <w:r w:rsidRPr="004B4540">
              <w:rPr>
                <w:b w:val="0"/>
                <w:bCs w:val="0"/>
                <w:noProof/>
                <w:sz w:val="22"/>
                <w:szCs w:val="22"/>
                <w:lang w:val="en-GB"/>
              </w:rPr>
              <w:t>2 326 500</w:t>
            </w:r>
          </w:p>
        </w:tc>
      </w:tr>
    </w:tbl>
    <w:p w14:paraId="396D3AB5" w14:textId="77777777" w:rsidR="00C0764E" w:rsidRPr="004B4540" w:rsidRDefault="00C0764E" w:rsidP="00C0764E">
      <w:pPr>
        <w:rPr>
          <w:rFonts w:ascii="Times New Roman" w:hAnsi="Times New Roman" w:cs="Times New Roman"/>
          <w:noProof/>
          <w:sz w:val="24"/>
          <w:szCs w:val="24"/>
        </w:rPr>
      </w:pPr>
    </w:p>
    <w:p w14:paraId="2E71F26B" w14:textId="5140EBC2" w:rsidR="00C0764E" w:rsidRPr="004B4540" w:rsidRDefault="00B0276D" w:rsidP="00C3775C">
      <w:pPr>
        <w:jc w:val="both"/>
        <w:rPr>
          <w:rFonts w:ascii="Times New Roman" w:hAnsi="Times New Roman" w:cs="Times New Roman"/>
          <w:noProof/>
          <w:sz w:val="24"/>
          <w:szCs w:val="24"/>
        </w:rPr>
      </w:pPr>
      <w:r w:rsidRPr="004B4540">
        <w:rPr>
          <w:rFonts w:ascii="Times New Roman" w:hAnsi="Times New Roman" w:cs="Times New Roman"/>
          <w:noProof/>
          <w:sz w:val="24"/>
          <w:szCs w:val="24"/>
        </w:rPr>
        <w:t xml:space="preserve">In total, </w:t>
      </w:r>
      <w:r w:rsidR="00C0764E" w:rsidRPr="004B4540">
        <w:rPr>
          <w:rFonts w:ascii="Times New Roman" w:hAnsi="Times New Roman" w:cs="Times New Roman"/>
          <w:noProof/>
          <w:sz w:val="24"/>
          <w:szCs w:val="24"/>
        </w:rPr>
        <w:t>222 auctions were held in 2022, of which two were cancelled. On 1 February, the auction for the common auction platform was cancelled due to a technical problem. In accordance with Article</w:t>
      </w:r>
      <w:r w:rsidR="00AF6C5A" w:rsidRPr="004B4540">
        <w:rPr>
          <w:rFonts w:ascii="Times New Roman" w:hAnsi="Times New Roman" w:cs="Times New Roman"/>
          <w:noProof/>
          <w:sz w:val="24"/>
          <w:szCs w:val="24"/>
        </w:rPr>
        <w:t> </w:t>
      </w:r>
      <w:r w:rsidR="00C0764E" w:rsidRPr="004B4540">
        <w:rPr>
          <w:rFonts w:ascii="Times New Roman" w:hAnsi="Times New Roman" w:cs="Times New Roman"/>
          <w:noProof/>
          <w:sz w:val="24"/>
          <w:szCs w:val="24"/>
        </w:rPr>
        <w:t xml:space="preserve">9 of the Auctioning Regulation, the corresponding volume of allowances was distributed over the subsequent four auctions. On 2 March, the auction for Poland was cancelled as the </w:t>
      </w:r>
      <w:r w:rsidR="00AF6C5A" w:rsidRPr="004B4540">
        <w:rPr>
          <w:rFonts w:ascii="Times New Roman" w:hAnsi="Times New Roman" w:cs="Times New Roman"/>
          <w:noProof/>
          <w:sz w:val="24"/>
          <w:szCs w:val="24"/>
        </w:rPr>
        <w:t xml:space="preserve">total volume of bids </w:t>
      </w:r>
      <w:r w:rsidR="00C0764E" w:rsidRPr="004B4540">
        <w:rPr>
          <w:rFonts w:ascii="Times New Roman" w:hAnsi="Times New Roman" w:cs="Times New Roman"/>
          <w:noProof/>
          <w:sz w:val="24"/>
          <w:szCs w:val="24"/>
        </w:rPr>
        <w:t xml:space="preserve">fell short of the volume of auctioned allowances. </w:t>
      </w:r>
      <w:r w:rsidR="2AB323D3" w:rsidRPr="004B4540">
        <w:rPr>
          <w:rFonts w:ascii="Times New Roman" w:hAnsi="Times New Roman" w:cs="Times New Roman"/>
          <w:noProof/>
          <w:sz w:val="24"/>
          <w:szCs w:val="24"/>
        </w:rPr>
        <w:t xml:space="preserve">That </w:t>
      </w:r>
      <w:r w:rsidR="00C0764E" w:rsidRPr="004B4540">
        <w:rPr>
          <w:rFonts w:ascii="Times New Roman" w:hAnsi="Times New Roman" w:cs="Times New Roman"/>
          <w:noProof/>
          <w:sz w:val="24"/>
          <w:szCs w:val="24"/>
        </w:rPr>
        <w:t xml:space="preserve">auction was cancelled in </w:t>
      </w:r>
      <w:r w:rsidR="00B13D01" w:rsidRPr="004B4540">
        <w:rPr>
          <w:rFonts w:ascii="Times New Roman" w:hAnsi="Times New Roman" w:cs="Times New Roman"/>
          <w:noProof/>
          <w:sz w:val="24"/>
          <w:szCs w:val="24"/>
        </w:rPr>
        <w:t>accordance</w:t>
      </w:r>
      <w:r w:rsidR="00BC36DB" w:rsidRPr="004B4540">
        <w:rPr>
          <w:rFonts w:ascii="Times New Roman" w:hAnsi="Times New Roman" w:cs="Times New Roman"/>
          <w:noProof/>
          <w:sz w:val="24"/>
          <w:szCs w:val="24"/>
        </w:rPr>
        <w:t xml:space="preserve"> </w:t>
      </w:r>
      <w:r w:rsidR="00C0764E" w:rsidRPr="004B4540">
        <w:rPr>
          <w:rFonts w:ascii="Times New Roman" w:hAnsi="Times New Roman" w:cs="Times New Roman"/>
          <w:noProof/>
          <w:sz w:val="24"/>
          <w:szCs w:val="24"/>
        </w:rPr>
        <w:t>with Article</w:t>
      </w:r>
      <w:r w:rsidR="00AF6C5A" w:rsidRPr="004B4540">
        <w:rPr>
          <w:rFonts w:ascii="Times New Roman" w:hAnsi="Times New Roman" w:cs="Times New Roman"/>
          <w:noProof/>
          <w:sz w:val="24"/>
          <w:szCs w:val="24"/>
        </w:rPr>
        <w:t> </w:t>
      </w:r>
      <w:r w:rsidR="00C0764E" w:rsidRPr="004B4540">
        <w:rPr>
          <w:rFonts w:ascii="Times New Roman" w:hAnsi="Times New Roman" w:cs="Times New Roman"/>
          <w:noProof/>
          <w:sz w:val="24"/>
          <w:szCs w:val="24"/>
        </w:rPr>
        <w:t xml:space="preserve">7(5) of the Auctioning Regulation, and the volume was </w:t>
      </w:r>
      <w:r w:rsidR="00B13D01" w:rsidRPr="004B4540">
        <w:rPr>
          <w:rFonts w:ascii="Times New Roman" w:hAnsi="Times New Roman" w:cs="Times New Roman"/>
          <w:noProof/>
          <w:sz w:val="24"/>
          <w:szCs w:val="24"/>
        </w:rPr>
        <w:t xml:space="preserve">also </w:t>
      </w:r>
      <w:r w:rsidR="00C0764E" w:rsidRPr="004B4540">
        <w:rPr>
          <w:rFonts w:ascii="Times New Roman" w:hAnsi="Times New Roman" w:cs="Times New Roman"/>
          <w:noProof/>
          <w:sz w:val="24"/>
          <w:szCs w:val="24"/>
        </w:rPr>
        <w:t xml:space="preserve">distributed over the </w:t>
      </w:r>
      <w:r w:rsidR="00B81A52" w:rsidRPr="004B4540">
        <w:rPr>
          <w:rFonts w:ascii="Times New Roman" w:hAnsi="Times New Roman" w:cs="Times New Roman"/>
          <w:noProof/>
          <w:sz w:val="24"/>
          <w:szCs w:val="24"/>
        </w:rPr>
        <w:t xml:space="preserve">subsequent </w:t>
      </w:r>
      <w:r w:rsidR="00C0764E" w:rsidRPr="004B4540">
        <w:rPr>
          <w:rFonts w:ascii="Times New Roman" w:hAnsi="Times New Roman" w:cs="Times New Roman"/>
          <w:noProof/>
          <w:sz w:val="24"/>
          <w:szCs w:val="24"/>
        </w:rPr>
        <w:t>four auctions. In the first half of 2023, 109 auctions were held. No auctions were cancelled during that period.</w:t>
      </w:r>
    </w:p>
    <w:p w14:paraId="30112AE8" w14:textId="2A43B456" w:rsidR="006F38BB" w:rsidRPr="004B4540" w:rsidRDefault="006F38BB" w:rsidP="006F38BB">
      <w:pPr>
        <w:jc w:val="both"/>
        <w:rPr>
          <w:rFonts w:ascii="Times New Roman" w:hAnsi="Times New Roman" w:cs="Times New Roman"/>
          <w:noProof/>
          <w:sz w:val="24"/>
          <w:szCs w:val="24"/>
        </w:rPr>
      </w:pPr>
      <w:r w:rsidRPr="004B4540">
        <w:rPr>
          <w:rFonts w:ascii="Times New Roman" w:hAnsi="Times New Roman" w:cs="Times New Roman"/>
          <w:noProof/>
          <w:sz w:val="24"/>
          <w:szCs w:val="24"/>
        </w:rPr>
        <w:t>From July 2023, auction volumes include allowances allocated from the Market Stability Reserve to the Recovery and Resilience Facility under the REPowerEU Regulation.</w:t>
      </w:r>
      <w:r w:rsidRPr="004B4540" w:rsidDel="00DF52B7">
        <w:rPr>
          <w:rFonts w:ascii="Times New Roman" w:hAnsi="Times New Roman" w:cs="Times New Roman"/>
          <w:noProof/>
          <w:sz w:val="24"/>
          <w:szCs w:val="24"/>
        </w:rPr>
        <w:t xml:space="preserve"> </w:t>
      </w:r>
      <w:r w:rsidRPr="004B4540">
        <w:rPr>
          <w:rFonts w:ascii="Times New Roman" w:hAnsi="Times New Roman" w:cs="Times New Roman"/>
          <w:noProof/>
          <w:sz w:val="24"/>
          <w:szCs w:val="24"/>
        </w:rPr>
        <w:t>Allowances auctioned under the REPowerEU Regulation will generate EUR 20 billion for the Facility by 31 August 2026</w:t>
      </w:r>
      <w:r w:rsidRPr="004B4540">
        <w:rPr>
          <w:rStyle w:val="FootnoteReference"/>
          <w:rFonts w:ascii="Times New Roman" w:hAnsi="Times New Roman" w:cs="Times New Roman"/>
          <w:noProof/>
          <w:sz w:val="24"/>
          <w:szCs w:val="24"/>
        </w:rPr>
        <w:footnoteReference w:id="32"/>
      </w:r>
      <w:r w:rsidRPr="004B4540">
        <w:rPr>
          <w:rFonts w:ascii="Times New Roman" w:hAnsi="Times New Roman" w:cs="Times New Roman"/>
          <w:noProof/>
          <w:sz w:val="24"/>
          <w:szCs w:val="24"/>
        </w:rPr>
        <w:t>.</w:t>
      </w:r>
    </w:p>
    <w:p w14:paraId="5DEAEE2D" w14:textId="479C161B" w:rsidR="00A238E5" w:rsidRPr="004B4540" w:rsidRDefault="00DB719D" w:rsidP="000D77E0">
      <w:pPr>
        <w:pStyle w:val="CMR23-text"/>
        <w:rPr>
          <w:rFonts w:cs="Times New Roman"/>
          <w:noProof/>
          <w:szCs w:val="24"/>
        </w:rPr>
      </w:pPr>
      <w:r>
        <w:rPr>
          <w:rFonts w:cs="Times New Roman"/>
          <w:noProof/>
          <w:szCs w:val="24"/>
        </w:rPr>
        <w:fldChar w:fldCharType="begin"/>
      </w:r>
      <w:r>
        <w:rPr>
          <w:rFonts w:cs="Times New Roman"/>
          <w:noProof/>
          <w:szCs w:val="24"/>
        </w:rPr>
        <w:instrText xml:space="preserve"> REF _Ref148625998 \h </w:instrText>
      </w:r>
      <w:r>
        <w:rPr>
          <w:rFonts w:cs="Times New Roman"/>
          <w:noProof/>
          <w:szCs w:val="24"/>
        </w:rPr>
      </w:r>
      <w:r>
        <w:rPr>
          <w:rFonts w:cs="Times New Roman"/>
          <w:noProof/>
          <w:szCs w:val="24"/>
        </w:rPr>
        <w:fldChar w:fldCharType="separate"/>
      </w:r>
      <w:r w:rsidR="00B83BFA">
        <w:rPr>
          <w:noProof/>
        </w:rPr>
        <w:t>Figure 3</w:t>
      </w:r>
      <w:r>
        <w:rPr>
          <w:rFonts w:cs="Times New Roman"/>
          <w:noProof/>
          <w:szCs w:val="24"/>
        </w:rPr>
        <w:fldChar w:fldCharType="end"/>
      </w:r>
      <w:r>
        <w:rPr>
          <w:rFonts w:cs="Times New Roman"/>
          <w:noProof/>
          <w:szCs w:val="24"/>
        </w:rPr>
        <w:t xml:space="preserve"> </w:t>
      </w:r>
      <w:r w:rsidR="00A238E5" w:rsidRPr="004B4540">
        <w:rPr>
          <w:rFonts w:cs="Times New Roman"/>
          <w:noProof/>
          <w:szCs w:val="24"/>
        </w:rPr>
        <w:t>gives an overview of auction clearing prices in the EU carbon market in 2022 and the first half of 2023. The highest auction price in 2022 of EUR 97.51 was reached on 8 February. The lowest price of EUR 57.91 was recorded on 7 March 2022 during a period of increased market volatility triggered by Russia’s full-scale invasion of Ukraine. The average price reached EUR 80.18 in 2022. The price range was narrower in the first half of 2023, between EUR 75.04 (17 January) and EUR 96.33 (28 February).</w:t>
      </w:r>
    </w:p>
    <w:p w14:paraId="3194F171" w14:textId="6D366D62" w:rsidR="00C0764E" w:rsidRPr="004B4540" w:rsidRDefault="004630D9" w:rsidP="000D77E0">
      <w:pPr>
        <w:pStyle w:val="CMR23-text"/>
        <w:rPr>
          <w:rFonts w:cs="Times New Roman"/>
          <w:noProof/>
          <w:szCs w:val="24"/>
        </w:rPr>
      </w:pPr>
      <w:r w:rsidRPr="004B4540">
        <w:rPr>
          <w:rFonts w:cs="Times New Roman"/>
          <w:noProof/>
          <w:szCs w:val="24"/>
        </w:rPr>
        <w:t>The a</w:t>
      </w:r>
      <w:r w:rsidR="00662C12" w:rsidRPr="004B4540">
        <w:rPr>
          <w:rFonts w:cs="Times New Roman"/>
          <w:noProof/>
          <w:szCs w:val="24"/>
        </w:rPr>
        <w:t>uction platform regularly publish</w:t>
      </w:r>
      <w:r w:rsidR="00E16404" w:rsidRPr="004B4540">
        <w:rPr>
          <w:rFonts w:cs="Times New Roman"/>
          <w:noProof/>
          <w:szCs w:val="24"/>
        </w:rPr>
        <w:t>es</w:t>
      </w:r>
      <w:r w:rsidR="00662C12" w:rsidRPr="004B4540">
        <w:rPr>
          <w:rFonts w:cs="Times New Roman"/>
          <w:noProof/>
          <w:szCs w:val="24"/>
        </w:rPr>
        <w:t xml:space="preserve"> detailed results of each auction on </w:t>
      </w:r>
      <w:r w:rsidR="00DF52C6" w:rsidRPr="004B4540">
        <w:rPr>
          <w:rFonts w:cs="Times New Roman"/>
          <w:noProof/>
          <w:szCs w:val="24"/>
        </w:rPr>
        <w:t xml:space="preserve">its </w:t>
      </w:r>
      <w:r w:rsidR="00662C12" w:rsidRPr="004B4540">
        <w:rPr>
          <w:rFonts w:cs="Times New Roman"/>
          <w:noProof/>
          <w:szCs w:val="24"/>
        </w:rPr>
        <w:t>website</w:t>
      </w:r>
      <w:r w:rsidR="002A6371" w:rsidRPr="004B4540">
        <w:rPr>
          <w:rStyle w:val="FootnoteReference"/>
          <w:rFonts w:cs="Times New Roman"/>
          <w:noProof/>
          <w:szCs w:val="24"/>
        </w:rPr>
        <w:footnoteReference w:id="33"/>
      </w:r>
      <w:r w:rsidR="00662C12" w:rsidRPr="004B4540">
        <w:rPr>
          <w:rFonts w:cs="Times New Roman"/>
          <w:noProof/>
          <w:szCs w:val="24"/>
        </w:rPr>
        <w:t xml:space="preserve">. Further information on the performance of auctions, including the participation, cover ratios and prices, can be found in the ETS countries’ </w:t>
      </w:r>
      <w:r w:rsidR="00936393" w:rsidRPr="004B4540">
        <w:rPr>
          <w:rFonts w:cs="Times New Roman"/>
          <w:noProof/>
          <w:szCs w:val="24"/>
        </w:rPr>
        <w:t>auction reports</w:t>
      </w:r>
      <w:r w:rsidR="00936393" w:rsidRPr="004B4540">
        <w:rPr>
          <w:rStyle w:val="FootnoteReference"/>
          <w:rFonts w:cs="Times New Roman"/>
          <w:noProof/>
          <w:szCs w:val="24"/>
        </w:rPr>
        <w:t xml:space="preserve"> </w:t>
      </w:r>
      <w:r w:rsidR="00662C12" w:rsidRPr="004B4540">
        <w:rPr>
          <w:rStyle w:val="FootnoteReference"/>
          <w:rFonts w:cs="Times New Roman"/>
          <w:noProof/>
          <w:szCs w:val="24"/>
        </w:rPr>
        <w:footnoteReference w:id="34"/>
      </w:r>
    </w:p>
    <w:p w14:paraId="2AC8AD1D" w14:textId="77777777" w:rsidR="00DB719D" w:rsidRDefault="00A369F3" w:rsidP="00DB719D">
      <w:pPr>
        <w:keepNext/>
        <w:rPr>
          <w:noProof/>
        </w:rPr>
      </w:pPr>
      <w:r w:rsidRPr="00A369F3">
        <w:rPr>
          <w:noProof/>
        </w:rPr>
        <w:t xml:space="preserve"> </w:t>
      </w:r>
      <w:r>
        <w:rPr>
          <w:noProof/>
          <w:lang w:eastAsia="en-GB"/>
        </w:rPr>
        <w:drawing>
          <wp:inline distT="0" distB="0" distL="0" distR="0" wp14:anchorId="5A111E5B" wp14:editId="6F3166D1">
            <wp:extent cx="5715000" cy="3076575"/>
            <wp:effectExtent l="0" t="0" r="0" b="9525"/>
            <wp:docPr id="4" name="Chart 4">
              <a:extLst xmlns:a="http://schemas.openxmlformats.org/drawingml/2006/main">
                <a:ext uri="{FF2B5EF4-FFF2-40B4-BE49-F238E27FC236}">
                  <a16:creationId xmlns:a16="http://schemas.microsoft.com/office/drawing/2014/main" id="{0752B42E-A4A8-3B92-DF96-AA3DC8921C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A75A462" w14:textId="4176A217" w:rsidR="005F188E" w:rsidRPr="00DB719D" w:rsidRDefault="00DB719D" w:rsidP="00DB719D">
      <w:pPr>
        <w:pStyle w:val="Caption"/>
        <w:jc w:val="left"/>
        <w:rPr>
          <w:noProof/>
          <w:sz w:val="24"/>
          <w:szCs w:val="24"/>
        </w:rPr>
      </w:pPr>
      <w:bookmarkStart w:id="36" w:name="_Ref148625998"/>
      <w:r>
        <w:rPr>
          <w:noProof/>
        </w:rPr>
        <w:t xml:space="preserve">Figure </w:t>
      </w:r>
      <w:r w:rsidR="002F3AE3">
        <w:rPr>
          <w:noProof/>
        </w:rPr>
        <w:fldChar w:fldCharType="begin"/>
      </w:r>
      <w:r w:rsidR="002F3AE3">
        <w:rPr>
          <w:noProof/>
        </w:rPr>
        <w:instrText xml:space="preserve"> SEQ Figure \* ARABIC </w:instrText>
      </w:r>
      <w:r w:rsidR="002F3AE3">
        <w:rPr>
          <w:noProof/>
        </w:rPr>
        <w:fldChar w:fldCharType="separate"/>
      </w:r>
      <w:r w:rsidR="00B83BFA">
        <w:rPr>
          <w:noProof/>
        </w:rPr>
        <w:t>3</w:t>
      </w:r>
      <w:r w:rsidR="002F3AE3">
        <w:rPr>
          <w:noProof/>
        </w:rPr>
        <w:fldChar w:fldCharType="end"/>
      </w:r>
      <w:bookmarkEnd w:id="36"/>
      <w:r>
        <w:rPr>
          <w:noProof/>
        </w:rPr>
        <w:t xml:space="preserve">: </w:t>
      </w:r>
      <w:r w:rsidRPr="006E42F5">
        <w:rPr>
          <w:noProof/>
        </w:rPr>
        <w:t>Clearing prices in auctions of general allowances (1 January 2022 to 30 June 2023)</w:t>
      </w:r>
      <w:r w:rsidR="005F188E">
        <w:rPr>
          <w:iCs/>
          <w:noProof/>
          <w:sz w:val="24"/>
          <w:szCs w:val="24"/>
        </w:rPr>
        <w:br w:type="page"/>
      </w:r>
    </w:p>
    <w:p w14:paraId="11F74919" w14:textId="3A1A332B" w:rsidR="005813C1" w:rsidRPr="004B4540" w:rsidRDefault="00175BA6" w:rsidP="00AB0357">
      <w:pPr>
        <w:pStyle w:val="CMR23-heading"/>
        <w:rPr>
          <w:rFonts w:cs="Times New Roman"/>
          <w:noProof/>
          <w:sz w:val="24"/>
          <w:szCs w:val="24"/>
          <w:lang w:val="en-GB"/>
        </w:rPr>
      </w:pPr>
      <w:bookmarkStart w:id="37" w:name="_Toc145453235"/>
      <w:bookmarkStart w:id="38" w:name="_Toc148555880"/>
      <w:r w:rsidRPr="004B4540">
        <w:rPr>
          <w:rFonts w:cs="Times New Roman"/>
          <w:noProof/>
          <w:sz w:val="24"/>
          <w:szCs w:val="24"/>
          <w:lang w:val="en-GB"/>
        </w:rPr>
        <w:t>Free allocation of allowances</w:t>
      </w:r>
      <w:bookmarkEnd w:id="37"/>
      <w:bookmarkEnd w:id="38"/>
    </w:p>
    <w:p w14:paraId="521DDAAC" w14:textId="4E9BB2D4" w:rsidR="00286BA6" w:rsidRPr="004B4540" w:rsidRDefault="008B6DA8" w:rsidP="00D640E9">
      <w:pPr>
        <w:spacing w:before="240" w:after="240" w:line="257" w:lineRule="auto"/>
        <w:jc w:val="both"/>
        <w:rPr>
          <w:rFonts w:ascii="Times New Roman" w:eastAsia="Times New Roman" w:hAnsi="Times New Roman" w:cs="Times New Roman"/>
          <w:noProof/>
          <w:sz w:val="24"/>
          <w:szCs w:val="24"/>
        </w:rPr>
      </w:pPr>
      <w:r w:rsidRPr="004B4540">
        <w:rPr>
          <w:rFonts w:ascii="Times New Roman" w:eastAsia="Times New Roman" w:hAnsi="Times New Roman" w:cs="Times New Roman"/>
          <w:noProof/>
          <w:sz w:val="24"/>
          <w:szCs w:val="24"/>
        </w:rPr>
        <w:t>While auctioning is the primary method for distributing allowances in the EU ETS</w:t>
      </w:r>
      <w:r w:rsidR="12CDB096" w:rsidRPr="004B4540">
        <w:rPr>
          <w:rFonts w:ascii="Times New Roman" w:eastAsia="Times New Roman" w:hAnsi="Times New Roman" w:cs="Times New Roman"/>
          <w:noProof/>
          <w:sz w:val="24"/>
          <w:szCs w:val="24"/>
        </w:rPr>
        <w:t xml:space="preserve">, a significant volume of allowances is allocated </w:t>
      </w:r>
      <w:r w:rsidR="00F03B61" w:rsidRPr="004B4540">
        <w:rPr>
          <w:rFonts w:ascii="Times New Roman" w:eastAsia="Times New Roman" w:hAnsi="Times New Roman" w:cs="Times New Roman"/>
          <w:noProof/>
          <w:sz w:val="24"/>
          <w:szCs w:val="24"/>
        </w:rPr>
        <w:t xml:space="preserve">to regulated entities </w:t>
      </w:r>
      <w:r w:rsidR="12CDB096" w:rsidRPr="004B4540">
        <w:rPr>
          <w:rFonts w:ascii="Times New Roman" w:eastAsia="Times New Roman" w:hAnsi="Times New Roman" w:cs="Times New Roman"/>
          <w:noProof/>
          <w:sz w:val="24"/>
          <w:szCs w:val="24"/>
        </w:rPr>
        <w:t>for free to address the risk of carbon leakage</w:t>
      </w:r>
      <w:r w:rsidR="002C3A96" w:rsidRPr="004B4540">
        <w:rPr>
          <w:rStyle w:val="FootnoteReference"/>
          <w:rFonts w:ascii="Times New Roman" w:eastAsia="Times New Roman" w:hAnsi="Times New Roman" w:cs="Times New Roman"/>
          <w:noProof/>
          <w:sz w:val="24"/>
          <w:szCs w:val="24"/>
        </w:rPr>
        <w:footnoteReference w:id="35"/>
      </w:r>
      <w:r w:rsidR="002C3A96" w:rsidRPr="004B4540">
        <w:rPr>
          <w:rFonts w:ascii="Times New Roman" w:eastAsia="Times New Roman" w:hAnsi="Times New Roman" w:cs="Times New Roman"/>
          <w:noProof/>
          <w:sz w:val="24"/>
          <w:szCs w:val="24"/>
        </w:rPr>
        <w:t xml:space="preserve">. </w:t>
      </w:r>
      <w:r w:rsidR="009A49F7" w:rsidRPr="004B4540">
        <w:rPr>
          <w:rFonts w:ascii="Times New Roman" w:eastAsia="Times New Roman" w:hAnsi="Times New Roman" w:cs="Times New Roman"/>
          <w:noProof/>
          <w:sz w:val="24"/>
          <w:szCs w:val="24"/>
        </w:rPr>
        <w:t>Free allocation is a transitional measure primarily addressed to the industrial sector.</w:t>
      </w:r>
    </w:p>
    <w:p w14:paraId="7A681530" w14:textId="46285F2F" w:rsidR="00286BA6" w:rsidRPr="004B4540" w:rsidRDefault="12CDB096" w:rsidP="00D640E9">
      <w:pPr>
        <w:spacing w:before="240" w:after="240" w:line="257" w:lineRule="auto"/>
        <w:jc w:val="both"/>
        <w:rPr>
          <w:rFonts w:ascii="Times New Roman" w:eastAsia="Times New Roman" w:hAnsi="Times New Roman" w:cs="Times New Roman"/>
          <w:noProof/>
          <w:sz w:val="24"/>
          <w:szCs w:val="24"/>
        </w:rPr>
      </w:pPr>
      <w:r w:rsidRPr="004B4540">
        <w:rPr>
          <w:rFonts w:ascii="Times New Roman" w:eastAsia="Times New Roman" w:hAnsi="Times New Roman" w:cs="Times New Roman"/>
          <w:noProof/>
          <w:sz w:val="24"/>
          <w:szCs w:val="24"/>
        </w:rPr>
        <w:t xml:space="preserve">A dedicated Carbon Leakage List identifies sectors </w:t>
      </w:r>
      <w:r w:rsidR="00783865" w:rsidRPr="004B4540">
        <w:rPr>
          <w:rFonts w:ascii="Times New Roman" w:eastAsia="Times New Roman" w:hAnsi="Times New Roman" w:cs="Times New Roman"/>
          <w:noProof/>
          <w:sz w:val="24"/>
          <w:szCs w:val="24"/>
        </w:rPr>
        <w:t>at risk of carbon leakage</w:t>
      </w:r>
      <w:r w:rsidR="00D75EAA" w:rsidRPr="004B4540">
        <w:rPr>
          <w:rFonts w:ascii="Times New Roman" w:eastAsia="Times New Roman" w:hAnsi="Times New Roman" w:cs="Times New Roman"/>
          <w:noProof/>
          <w:sz w:val="24"/>
          <w:szCs w:val="24"/>
        </w:rPr>
        <w:t xml:space="preserve"> that are </w:t>
      </w:r>
      <w:r w:rsidR="00783865" w:rsidRPr="004B4540">
        <w:rPr>
          <w:rFonts w:ascii="Times New Roman" w:eastAsia="Times New Roman" w:hAnsi="Times New Roman" w:cs="Times New Roman"/>
          <w:noProof/>
          <w:sz w:val="24"/>
          <w:szCs w:val="24"/>
        </w:rPr>
        <w:t xml:space="preserve">eligible to receive free allocation at 100% of the relevant benchmark levels. </w:t>
      </w:r>
      <w:r w:rsidRPr="004B4540">
        <w:rPr>
          <w:rFonts w:ascii="Times New Roman" w:eastAsia="Times New Roman" w:hAnsi="Times New Roman" w:cs="Times New Roman"/>
          <w:noProof/>
          <w:sz w:val="24"/>
          <w:szCs w:val="24"/>
        </w:rPr>
        <w:t xml:space="preserve">The list for </w:t>
      </w:r>
      <w:r w:rsidR="003D56A7" w:rsidRPr="004B4540">
        <w:rPr>
          <w:rFonts w:ascii="Times New Roman" w:eastAsia="Times New Roman" w:hAnsi="Times New Roman" w:cs="Times New Roman"/>
          <w:noProof/>
          <w:sz w:val="24"/>
          <w:szCs w:val="24"/>
        </w:rPr>
        <w:t>2021-</w:t>
      </w:r>
      <w:r w:rsidR="00B737D5" w:rsidRPr="004B4540">
        <w:rPr>
          <w:rFonts w:ascii="Times New Roman" w:eastAsia="Times New Roman" w:hAnsi="Times New Roman" w:cs="Times New Roman"/>
          <w:noProof/>
          <w:sz w:val="24"/>
          <w:szCs w:val="24"/>
        </w:rPr>
        <w:t>20</w:t>
      </w:r>
      <w:r w:rsidR="003D56A7" w:rsidRPr="004B4540">
        <w:rPr>
          <w:rFonts w:ascii="Times New Roman" w:eastAsia="Times New Roman" w:hAnsi="Times New Roman" w:cs="Times New Roman"/>
          <w:noProof/>
          <w:sz w:val="24"/>
          <w:szCs w:val="24"/>
        </w:rPr>
        <w:t>30</w:t>
      </w:r>
      <w:r w:rsidR="007A5927" w:rsidRPr="004B4540">
        <w:rPr>
          <w:rStyle w:val="FootnoteReference"/>
          <w:rFonts w:ascii="Times New Roman" w:eastAsia="Times New Roman" w:hAnsi="Times New Roman" w:cs="Times New Roman"/>
          <w:noProof/>
          <w:sz w:val="24"/>
          <w:szCs w:val="24"/>
        </w:rPr>
        <w:footnoteReference w:id="36"/>
      </w:r>
      <w:r w:rsidRPr="004B4540">
        <w:rPr>
          <w:rFonts w:ascii="Times New Roman" w:eastAsia="Times New Roman" w:hAnsi="Times New Roman" w:cs="Times New Roman"/>
          <w:noProof/>
          <w:sz w:val="24"/>
          <w:szCs w:val="24"/>
        </w:rPr>
        <w:t xml:space="preserve"> identifies 63 sectors and sub-sectors covering about 94% of industrial emissions in the EU ETS.</w:t>
      </w:r>
    </w:p>
    <w:p w14:paraId="42C4191D" w14:textId="64E2C3A9" w:rsidR="00286BA6" w:rsidRPr="004B4540" w:rsidRDefault="001C7378">
      <w:pPr>
        <w:spacing w:before="240" w:after="240" w:line="257" w:lineRule="auto"/>
        <w:jc w:val="both"/>
        <w:rPr>
          <w:rStyle w:val="CMR23-textChar"/>
          <w:rFonts w:cs="Times New Roman"/>
          <w:noProof/>
          <w:szCs w:val="24"/>
        </w:rPr>
      </w:pPr>
      <w:r w:rsidRPr="004B4540">
        <w:rPr>
          <w:rFonts w:ascii="Times New Roman" w:eastAsia="Times New Roman" w:hAnsi="Times New Roman" w:cs="Times New Roman"/>
          <w:noProof/>
          <w:sz w:val="24"/>
          <w:szCs w:val="24"/>
        </w:rPr>
        <w:t xml:space="preserve">Free allocation to specific sectors is based on performance benchmarks. These benchmarks reflect an average emissions intensity per unit of product of the most efficient 10% of installations in each sector. Benchmarks are reduced incrementally to increase the incentive for the sector to decarbonise and advance innovation. </w:t>
      </w:r>
      <w:r w:rsidR="12CDB096" w:rsidRPr="004B4540">
        <w:rPr>
          <w:rFonts w:ascii="Times New Roman" w:eastAsia="Times New Roman" w:hAnsi="Times New Roman" w:cs="Times New Roman"/>
          <w:noProof/>
          <w:sz w:val="24"/>
          <w:szCs w:val="24"/>
        </w:rPr>
        <w:t>In 2021, the Commission updated the values of ETS benchmarks</w:t>
      </w:r>
      <w:r w:rsidR="000E05F7" w:rsidRPr="004B4540">
        <w:rPr>
          <w:rStyle w:val="FootnoteReference"/>
          <w:rFonts w:ascii="Times New Roman" w:eastAsia="Times New Roman" w:hAnsi="Times New Roman" w:cs="Times New Roman"/>
          <w:noProof/>
          <w:sz w:val="24"/>
          <w:szCs w:val="24"/>
        </w:rPr>
        <w:footnoteReference w:id="37"/>
      </w:r>
      <w:r w:rsidR="00E16404" w:rsidRPr="004B4540">
        <w:rPr>
          <w:rFonts w:ascii="Times New Roman" w:eastAsia="Times New Roman" w:hAnsi="Times New Roman" w:cs="Times New Roman"/>
          <w:noProof/>
          <w:sz w:val="24"/>
          <w:szCs w:val="24"/>
        </w:rPr>
        <w:t xml:space="preserve">, </w:t>
      </w:r>
      <w:r w:rsidR="004540DA" w:rsidRPr="004B4540">
        <w:rPr>
          <w:rFonts w:ascii="Times New Roman" w:eastAsia="Times New Roman" w:hAnsi="Times New Roman" w:cs="Times New Roman"/>
          <w:noProof/>
          <w:sz w:val="24"/>
          <w:szCs w:val="24"/>
        </w:rPr>
        <w:t xml:space="preserve">which apply in the first allocation period (2021-2025). The benchmarks will be updated for the second allocation period (2026-2030). According to the revised </w:t>
      </w:r>
      <w:r w:rsidR="004540DA" w:rsidRPr="004B4540">
        <w:rPr>
          <w:rStyle w:val="CMR23-textChar"/>
          <w:rFonts w:cs="Times New Roman"/>
          <w:noProof/>
          <w:szCs w:val="24"/>
        </w:rPr>
        <w:t>ETS Directive, the annual reduction rates will then be increased to stimulate further industrial transformation: the minimum rate from 0.2% to 0.3% and the maximum rate from 1.6% to 2.5%.</w:t>
      </w:r>
    </w:p>
    <w:p w14:paraId="2AEC9574" w14:textId="40F48CAA" w:rsidR="00286BA6" w:rsidRPr="004B4540" w:rsidRDefault="00E16404" w:rsidP="00D640E9">
      <w:pPr>
        <w:spacing w:before="240" w:after="240" w:line="257" w:lineRule="auto"/>
        <w:jc w:val="both"/>
        <w:rPr>
          <w:rFonts w:ascii="Times New Roman" w:eastAsia="Times New Roman" w:hAnsi="Times New Roman" w:cs="Times New Roman"/>
          <w:noProof/>
          <w:sz w:val="24"/>
          <w:szCs w:val="24"/>
        </w:rPr>
      </w:pPr>
      <w:r w:rsidRPr="004B4540">
        <w:rPr>
          <w:rFonts w:ascii="Times New Roman" w:eastAsia="Times New Roman" w:hAnsi="Times New Roman" w:cs="Times New Roman"/>
          <w:noProof/>
          <w:sz w:val="24"/>
          <w:szCs w:val="24"/>
        </w:rPr>
        <w:t>From</w:t>
      </w:r>
      <w:r w:rsidR="12CDB096" w:rsidRPr="004B4540">
        <w:rPr>
          <w:rFonts w:ascii="Times New Roman" w:eastAsia="Times New Roman" w:hAnsi="Times New Roman" w:cs="Times New Roman"/>
          <w:noProof/>
          <w:sz w:val="24"/>
          <w:szCs w:val="24"/>
        </w:rPr>
        <w:t xml:space="preserve"> </w:t>
      </w:r>
      <w:r w:rsidR="003D56A7" w:rsidRPr="004B4540">
        <w:rPr>
          <w:rFonts w:ascii="Times New Roman" w:eastAsia="Times New Roman" w:hAnsi="Times New Roman" w:cs="Times New Roman"/>
          <w:noProof/>
          <w:sz w:val="24"/>
          <w:szCs w:val="24"/>
        </w:rPr>
        <w:t>2021</w:t>
      </w:r>
      <w:r w:rsidR="12CDB096" w:rsidRPr="004B4540">
        <w:rPr>
          <w:rFonts w:ascii="Times New Roman" w:eastAsia="Times New Roman" w:hAnsi="Times New Roman" w:cs="Times New Roman"/>
          <w:noProof/>
          <w:sz w:val="24"/>
          <w:szCs w:val="24"/>
        </w:rPr>
        <w:t>, volumes of free allocation are adjusted when changes in industrial production occur</w:t>
      </w:r>
      <w:r w:rsidR="00212144" w:rsidRPr="004B4540">
        <w:rPr>
          <w:rStyle w:val="FootnoteReference"/>
          <w:rFonts w:ascii="Times New Roman" w:eastAsia="Times New Roman" w:hAnsi="Times New Roman" w:cs="Times New Roman"/>
          <w:noProof/>
          <w:sz w:val="24"/>
          <w:szCs w:val="24"/>
        </w:rPr>
        <w:footnoteReference w:id="38"/>
      </w:r>
      <w:r w:rsidR="12CDB096" w:rsidRPr="004B4540">
        <w:rPr>
          <w:rFonts w:ascii="Times New Roman" w:eastAsia="Times New Roman" w:hAnsi="Times New Roman" w:cs="Times New Roman"/>
          <w:noProof/>
          <w:sz w:val="24"/>
          <w:szCs w:val="24"/>
        </w:rPr>
        <w:t xml:space="preserve">. </w:t>
      </w:r>
      <w:r w:rsidR="00AF754F" w:rsidRPr="004B4540">
        <w:rPr>
          <w:rFonts w:ascii="Times New Roman" w:eastAsia="Times New Roman" w:hAnsi="Times New Roman" w:cs="Times New Roman"/>
          <w:noProof/>
          <w:sz w:val="24"/>
          <w:szCs w:val="24"/>
        </w:rPr>
        <w:t xml:space="preserve">The threshold for adjustments is set at a 15% increase or decrease in production. Operators are required to submit annual reports on production data to the relevant national authorities. Based on the data, adjustments may be made to the volume of free allocation issued. </w:t>
      </w:r>
      <w:r w:rsidR="00D67D91" w:rsidRPr="004B4540">
        <w:rPr>
          <w:rFonts w:ascii="Times New Roman" w:eastAsia="Times New Roman" w:hAnsi="Times New Roman" w:cs="Times New Roman"/>
          <w:noProof/>
          <w:sz w:val="24"/>
          <w:szCs w:val="24"/>
        </w:rPr>
        <w:t>This added stringency</w:t>
      </w:r>
      <w:r w:rsidR="00D67D91" w:rsidRPr="004B4540">
        <w:rPr>
          <w:rStyle w:val="FootnoteReference"/>
          <w:rFonts w:ascii="Times New Roman" w:eastAsia="Times New Roman" w:hAnsi="Times New Roman" w:cs="Times New Roman"/>
          <w:noProof/>
          <w:sz w:val="24"/>
          <w:szCs w:val="24"/>
        </w:rPr>
        <w:footnoteReference w:id="39"/>
      </w:r>
      <w:r w:rsidR="00D67D91" w:rsidRPr="004B4540">
        <w:rPr>
          <w:rFonts w:ascii="Times New Roman" w:eastAsia="Times New Roman" w:hAnsi="Times New Roman" w:cs="Times New Roman"/>
          <w:noProof/>
          <w:sz w:val="24"/>
          <w:szCs w:val="24"/>
        </w:rPr>
        <w:t xml:space="preserve"> </w:t>
      </w:r>
      <w:r w:rsidR="12CDB096" w:rsidRPr="004B4540">
        <w:rPr>
          <w:rFonts w:ascii="Times New Roman" w:eastAsia="Times New Roman" w:hAnsi="Times New Roman" w:cs="Times New Roman"/>
          <w:noProof/>
          <w:sz w:val="24"/>
          <w:szCs w:val="24"/>
        </w:rPr>
        <w:t xml:space="preserve">has led to an increase in </w:t>
      </w:r>
      <w:r w:rsidR="00E6650F" w:rsidRPr="004B4540">
        <w:rPr>
          <w:rFonts w:ascii="Times New Roman" w:eastAsia="Times New Roman" w:hAnsi="Times New Roman" w:cs="Times New Roman"/>
          <w:noProof/>
          <w:sz w:val="24"/>
          <w:szCs w:val="24"/>
        </w:rPr>
        <w:t>the number of annual adjustments to the free allocation volume. The average number of applications submitted in 2021 and 2022 was about 3 600, around three times more than the annual average up to 2020.</w:t>
      </w:r>
    </w:p>
    <w:p w14:paraId="45C767B1" w14:textId="2FA18892" w:rsidR="00286BA6" w:rsidRPr="004B4540" w:rsidRDefault="00E966DA" w:rsidP="52AF65FA">
      <w:pPr>
        <w:spacing w:before="240" w:after="240" w:line="257" w:lineRule="auto"/>
        <w:jc w:val="both"/>
        <w:rPr>
          <w:rFonts w:ascii="Times New Roman" w:eastAsia="Times New Roman" w:hAnsi="Times New Roman" w:cs="Times New Roman"/>
          <w:noProof/>
          <w:sz w:val="24"/>
          <w:szCs w:val="24"/>
        </w:rPr>
      </w:pPr>
      <w:r w:rsidRPr="004B4540">
        <w:rPr>
          <w:rFonts w:ascii="Times New Roman" w:eastAsia="Times New Roman" w:hAnsi="Times New Roman" w:cs="Times New Roman"/>
          <w:noProof/>
          <w:sz w:val="24"/>
          <w:szCs w:val="24"/>
        </w:rPr>
        <w:t xml:space="preserve">Initially, </w:t>
      </w:r>
      <w:r w:rsidR="007436F5" w:rsidRPr="004B4540">
        <w:rPr>
          <w:rFonts w:ascii="Times New Roman" w:eastAsia="Times New Roman" w:hAnsi="Times New Roman" w:cs="Times New Roman"/>
          <w:noProof/>
          <w:sz w:val="24"/>
          <w:szCs w:val="24"/>
        </w:rPr>
        <w:t>the</w:t>
      </w:r>
      <w:r w:rsidR="007436F5" w:rsidRPr="004B4540" w:rsidDel="00E966DA">
        <w:rPr>
          <w:rFonts w:ascii="Times New Roman" w:eastAsia="Times New Roman" w:hAnsi="Times New Roman" w:cs="Times New Roman"/>
          <w:noProof/>
          <w:sz w:val="24"/>
          <w:szCs w:val="24"/>
        </w:rPr>
        <w:t xml:space="preserve"> </w:t>
      </w:r>
      <w:r w:rsidR="007436F5" w:rsidRPr="004B4540">
        <w:rPr>
          <w:rFonts w:ascii="Times New Roman" w:eastAsia="Times New Roman" w:hAnsi="Times New Roman" w:cs="Times New Roman"/>
          <w:noProof/>
          <w:sz w:val="24"/>
          <w:szCs w:val="24"/>
        </w:rPr>
        <w:t>free allocation for 2021-2025 had been set at 2 791 million allowances for 7 430 installations.</w:t>
      </w:r>
      <w:r w:rsidR="12CDB096" w:rsidRPr="004B4540">
        <w:rPr>
          <w:rFonts w:ascii="Times New Roman" w:eastAsia="Times New Roman" w:hAnsi="Times New Roman" w:cs="Times New Roman"/>
          <w:noProof/>
          <w:sz w:val="24"/>
          <w:szCs w:val="24"/>
        </w:rPr>
        <w:t xml:space="preserve"> </w:t>
      </w:r>
      <w:r w:rsidR="00F31762" w:rsidRPr="004B4540">
        <w:rPr>
          <w:rFonts w:ascii="Times New Roman" w:eastAsia="Times New Roman" w:hAnsi="Times New Roman" w:cs="Times New Roman"/>
          <w:noProof/>
          <w:sz w:val="24"/>
          <w:szCs w:val="24"/>
        </w:rPr>
        <w:t>With an estimated carbon price of EUR</w:t>
      </w:r>
      <w:r w:rsidR="00D81345" w:rsidRPr="004B4540">
        <w:rPr>
          <w:rFonts w:ascii="Times New Roman" w:eastAsia="Times New Roman" w:hAnsi="Times New Roman" w:cs="Times New Roman"/>
          <w:noProof/>
          <w:sz w:val="24"/>
          <w:szCs w:val="24"/>
        </w:rPr>
        <w:t> </w:t>
      </w:r>
      <w:r w:rsidR="00F31762" w:rsidRPr="004B4540">
        <w:rPr>
          <w:rFonts w:ascii="Times New Roman" w:eastAsia="Times New Roman" w:hAnsi="Times New Roman" w:cs="Times New Roman"/>
          <w:noProof/>
          <w:sz w:val="24"/>
          <w:szCs w:val="24"/>
        </w:rPr>
        <w:t>85/tonne CO</w:t>
      </w:r>
      <w:r w:rsidR="00F31762" w:rsidRPr="004B4540">
        <w:rPr>
          <w:rFonts w:ascii="Times New Roman" w:eastAsia="Times New Roman" w:hAnsi="Times New Roman" w:cs="Times New Roman"/>
          <w:noProof/>
          <w:sz w:val="24"/>
          <w:szCs w:val="24"/>
          <w:vertAlign w:val="subscript"/>
        </w:rPr>
        <w:t>2</w:t>
      </w:r>
      <w:r w:rsidR="00F31762" w:rsidRPr="004B4540">
        <w:rPr>
          <w:rFonts w:ascii="Times New Roman" w:eastAsia="Times New Roman" w:hAnsi="Times New Roman" w:cs="Times New Roman"/>
          <w:noProof/>
          <w:sz w:val="24"/>
          <w:szCs w:val="24"/>
        </w:rPr>
        <w:t>eq, the value of this allocation would amount to about EUR</w:t>
      </w:r>
      <w:r w:rsidR="00890982" w:rsidRPr="004B4540">
        <w:rPr>
          <w:rFonts w:ascii="Times New Roman" w:eastAsia="Times New Roman" w:hAnsi="Times New Roman" w:cs="Times New Roman"/>
          <w:noProof/>
          <w:sz w:val="24"/>
          <w:szCs w:val="24"/>
        </w:rPr>
        <w:t> </w:t>
      </w:r>
      <w:r w:rsidR="00F31762" w:rsidRPr="004B4540">
        <w:rPr>
          <w:rFonts w:ascii="Times New Roman" w:eastAsia="Times New Roman" w:hAnsi="Times New Roman" w:cs="Times New Roman"/>
          <w:noProof/>
          <w:sz w:val="24"/>
          <w:szCs w:val="24"/>
        </w:rPr>
        <w:t xml:space="preserve">47 billion every year during this period. </w:t>
      </w:r>
      <w:r w:rsidR="12CDB096" w:rsidRPr="004B4540">
        <w:rPr>
          <w:rFonts w:ascii="Times New Roman" w:eastAsia="Times New Roman" w:hAnsi="Times New Roman" w:cs="Times New Roman"/>
          <w:noProof/>
          <w:sz w:val="24"/>
          <w:szCs w:val="24"/>
        </w:rPr>
        <w:t>By mid-</w:t>
      </w:r>
      <w:r w:rsidR="006F00E7" w:rsidRPr="004B4540">
        <w:rPr>
          <w:rFonts w:ascii="Times New Roman" w:eastAsia="Times New Roman" w:hAnsi="Times New Roman" w:cs="Times New Roman"/>
          <w:noProof/>
          <w:sz w:val="24"/>
          <w:szCs w:val="24"/>
        </w:rPr>
        <w:t>2023</w:t>
      </w:r>
      <w:r w:rsidR="12CDB096" w:rsidRPr="004B4540">
        <w:rPr>
          <w:rFonts w:ascii="Times New Roman" w:eastAsia="Times New Roman" w:hAnsi="Times New Roman" w:cs="Times New Roman"/>
          <w:noProof/>
          <w:sz w:val="24"/>
          <w:szCs w:val="24"/>
        </w:rPr>
        <w:t xml:space="preserve">, the Commission adopted </w:t>
      </w:r>
      <w:r w:rsidR="00B23F35" w:rsidRPr="004B4540">
        <w:rPr>
          <w:rFonts w:ascii="Times New Roman" w:eastAsia="Times New Roman" w:hAnsi="Times New Roman" w:cs="Times New Roman"/>
          <w:noProof/>
          <w:sz w:val="24"/>
          <w:szCs w:val="24"/>
        </w:rPr>
        <w:t xml:space="preserve">eight </w:t>
      </w:r>
      <w:r w:rsidR="12CDB096" w:rsidRPr="004B4540">
        <w:rPr>
          <w:rFonts w:ascii="Times New Roman" w:eastAsia="Times New Roman" w:hAnsi="Times New Roman" w:cs="Times New Roman"/>
          <w:noProof/>
          <w:sz w:val="24"/>
          <w:szCs w:val="24"/>
        </w:rPr>
        <w:t>decisions</w:t>
      </w:r>
      <w:r w:rsidR="008966D3" w:rsidRPr="004B4540">
        <w:rPr>
          <w:rStyle w:val="CMR23-textChar"/>
          <w:rFonts w:cs="Times New Roman"/>
          <w:noProof/>
          <w:szCs w:val="24"/>
          <w:vertAlign w:val="superscript"/>
        </w:rPr>
        <w:footnoteReference w:id="40"/>
      </w:r>
      <w:r w:rsidR="12CDB096" w:rsidRPr="004B4540">
        <w:rPr>
          <w:rStyle w:val="CMR23-textChar"/>
          <w:rFonts w:cs="Times New Roman"/>
          <w:noProof/>
          <w:szCs w:val="24"/>
          <w:vertAlign w:val="superscript"/>
        </w:rPr>
        <w:t xml:space="preserve"> </w:t>
      </w:r>
      <w:r w:rsidR="12CDB096" w:rsidRPr="004B4540">
        <w:rPr>
          <w:rFonts w:ascii="Times New Roman" w:eastAsia="Times New Roman" w:hAnsi="Times New Roman" w:cs="Times New Roman"/>
          <w:noProof/>
          <w:sz w:val="24"/>
          <w:szCs w:val="24"/>
        </w:rPr>
        <w:t>to adjust free allocation</w:t>
      </w:r>
      <w:r w:rsidR="008E0873" w:rsidRPr="004B4540">
        <w:rPr>
          <w:rFonts w:ascii="Times New Roman" w:eastAsia="Times New Roman" w:hAnsi="Times New Roman" w:cs="Times New Roman"/>
          <w:noProof/>
          <w:sz w:val="24"/>
          <w:szCs w:val="24"/>
        </w:rPr>
        <w:t xml:space="preserve"> volumes</w:t>
      </w:r>
      <w:r w:rsidR="00C03472" w:rsidRPr="004B4540">
        <w:rPr>
          <w:rFonts w:ascii="Times New Roman" w:eastAsia="Times New Roman" w:hAnsi="Times New Roman" w:cs="Times New Roman"/>
          <w:noProof/>
          <w:sz w:val="24"/>
          <w:szCs w:val="24"/>
        </w:rPr>
        <w:t>, resulting in a reduction</w:t>
      </w:r>
      <w:r w:rsidR="12CDB096" w:rsidRPr="004B4540">
        <w:rPr>
          <w:rFonts w:ascii="Times New Roman" w:eastAsia="Times New Roman" w:hAnsi="Times New Roman" w:cs="Times New Roman"/>
          <w:noProof/>
          <w:sz w:val="24"/>
          <w:szCs w:val="24"/>
        </w:rPr>
        <w:t xml:space="preserve"> </w:t>
      </w:r>
      <w:r w:rsidR="008C25C7" w:rsidRPr="004B4540">
        <w:rPr>
          <w:rFonts w:ascii="Times New Roman" w:eastAsia="Times New Roman" w:hAnsi="Times New Roman" w:cs="Times New Roman"/>
          <w:noProof/>
          <w:sz w:val="24"/>
          <w:szCs w:val="24"/>
        </w:rPr>
        <w:t xml:space="preserve">of </w:t>
      </w:r>
      <w:r w:rsidR="18B83683" w:rsidRPr="004B4540">
        <w:rPr>
          <w:rFonts w:ascii="Times New Roman" w:eastAsia="Times New Roman" w:hAnsi="Times New Roman" w:cs="Times New Roman"/>
          <w:noProof/>
          <w:sz w:val="24"/>
          <w:szCs w:val="24"/>
        </w:rPr>
        <w:t>90.</w:t>
      </w:r>
      <w:r w:rsidR="2403D2CF" w:rsidRPr="004B4540">
        <w:rPr>
          <w:rFonts w:ascii="Times New Roman" w:eastAsia="Times New Roman" w:hAnsi="Times New Roman" w:cs="Times New Roman"/>
          <w:noProof/>
          <w:sz w:val="24"/>
          <w:szCs w:val="24"/>
        </w:rPr>
        <w:t>4</w:t>
      </w:r>
      <w:r w:rsidR="008C25C7" w:rsidRPr="004B4540">
        <w:rPr>
          <w:rFonts w:ascii="Times New Roman" w:eastAsia="Times New Roman" w:hAnsi="Times New Roman" w:cs="Times New Roman"/>
          <w:noProof/>
          <w:sz w:val="24"/>
          <w:szCs w:val="24"/>
        </w:rPr>
        <w:t> </w:t>
      </w:r>
      <w:r w:rsidR="12CDB096" w:rsidRPr="004B4540">
        <w:rPr>
          <w:rFonts w:ascii="Times New Roman" w:eastAsia="Times New Roman" w:hAnsi="Times New Roman" w:cs="Times New Roman"/>
          <w:noProof/>
          <w:sz w:val="24"/>
          <w:szCs w:val="24"/>
        </w:rPr>
        <w:t xml:space="preserve">million allowances. In parallel, however, the Commission adopted </w:t>
      </w:r>
      <w:r w:rsidR="00B37401" w:rsidRPr="004B4540">
        <w:rPr>
          <w:rFonts w:ascii="Times New Roman" w:eastAsia="Times New Roman" w:hAnsi="Times New Roman" w:cs="Times New Roman"/>
          <w:noProof/>
          <w:sz w:val="24"/>
          <w:szCs w:val="24"/>
        </w:rPr>
        <w:t xml:space="preserve">three </w:t>
      </w:r>
      <w:r w:rsidR="12CDB096" w:rsidRPr="004B4540">
        <w:rPr>
          <w:rFonts w:ascii="Times New Roman" w:eastAsia="Times New Roman" w:hAnsi="Times New Roman" w:cs="Times New Roman"/>
          <w:noProof/>
          <w:sz w:val="24"/>
          <w:szCs w:val="24"/>
        </w:rPr>
        <w:t>decisions</w:t>
      </w:r>
      <w:r w:rsidR="00C76475" w:rsidRPr="004B4540">
        <w:rPr>
          <w:rStyle w:val="FootnoteReference"/>
          <w:rFonts w:ascii="Times New Roman" w:eastAsia="Times New Roman" w:hAnsi="Times New Roman" w:cs="Times New Roman"/>
          <w:noProof/>
          <w:sz w:val="24"/>
          <w:szCs w:val="24"/>
        </w:rPr>
        <w:footnoteReference w:id="41"/>
      </w:r>
      <w:r w:rsidR="12CDB096" w:rsidRPr="004B4540">
        <w:rPr>
          <w:rFonts w:ascii="Times New Roman" w:eastAsia="Times New Roman" w:hAnsi="Times New Roman" w:cs="Times New Roman"/>
          <w:noProof/>
          <w:sz w:val="24"/>
          <w:szCs w:val="24"/>
        </w:rPr>
        <w:t xml:space="preserve"> correcting the initial </w:t>
      </w:r>
      <w:r w:rsidR="00E96D73" w:rsidRPr="004B4540">
        <w:rPr>
          <w:rFonts w:ascii="Times New Roman" w:eastAsia="Times New Roman" w:hAnsi="Times New Roman" w:cs="Times New Roman"/>
          <w:noProof/>
          <w:sz w:val="24"/>
          <w:szCs w:val="24"/>
        </w:rPr>
        <w:t xml:space="preserve">level of </w:t>
      </w:r>
      <w:r w:rsidR="12CDB096" w:rsidRPr="004B4540">
        <w:rPr>
          <w:rFonts w:ascii="Times New Roman" w:eastAsia="Times New Roman" w:hAnsi="Times New Roman" w:cs="Times New Roman"/>
          <w:noProof/>
          <w:sz w:val="24"/>
          <w:szCs w:val="24"/>
        </w:rPr>
        <w:t>free allocation</w:t>
      </w:r>
      <w:r w:rsidR="00E96D73" w:rsidRPr="004B4540">
        <w:rPr>
          <w:rFonts w:ascii="Times New Roman" w:eastAsia="Times New Roman" w:hAnsi="Times New Roman" w:cs="Times New Roman"/>
          <w:noProof/>
          <w:sz w:val="24"/>
          <w:szCs w:val="24"/>
        </w:rPr>
        <w:t xml:space="preserve">, </w:t>
      </w:r>
      <w:r w:rsidR="12CDB096" w:rsidRPr="004B4540">
        <w:rPr>
          <w:rFonts w:ascii="Times New Roman" w:eastAsia="Times New Roman" w:hAnsi="Times New Roman" w:cs="Times New Roman"/>
          <w:noProof/>
          <w:sz w:val="24"/>
          <w:szCs w:val="24"/>
        </w:rPr>
        <w:t xml:space="preserve">adding </w:t>
      </w:r>
      <w:r w:rsidR="00AB750A" w:rsidRPr="004B4540">
        <w:rPr>
          <w:rFonts w:ascii="Times New Roman" w:eastAsia="Times New Roman" w:hAnsi="Times New Roman" w:cs="Times New Roman"/>
          <w:noProof/>
          <w:sz w:val="24"/>
          <w:szCs w:val="24"/>
        </w:rPr>
        <w:t>3.4</w:t>
      </w:r>
      <w:r w:rsidR="008C25C7" w:rsidRPr="004B4540">
        <w:rPr>
          <w:rFonts w:ascii="Times New Roman" w:eastAsia="Times New Roman" w:hAnsi="Times New Roman" w:cs="Times New Roman"/>
          <w:noProof/>
          <w:sz w:val="24"/>
          <w:szCs w:val="24"/>
        </w:rPr>
        <w:t> </w:t>
      </w:r>
      <w:r w:rsidR="12CDB096" w:rsidRPr="004B4540">
        <w:rPr>
          <w:rFonts w:ascii="Times New Roman" w:eastAsia="Times New Roman" w:hAnsi="Times New Roman" w:cs="Times New Roman"/>
          <w:noProof/>
          <w:sz w:val="24"/>
          <w:szCs w:val="24"/>
        </w:rPr>
        <w:t>million allowances. This was necessary due to errors found in the data submitted by installations and to implement court rulings.</w:t>
      </w:r>
      <w:r w:rsidR="00360490" w:rsidRPr="004B4540">
        <w:rPr>
          <w:rFonts w:ascii="Times New Roman" w:eastAsia="Times New Roman" w:hAnsi="Times New Roman" w:cs="Times New Roman"/>
          <w:noProof/>
          <w:sz w:val="24"/>
          <w:szCs w:val="24"/>
        </w:rPr>
        <w:t xml:space="preserve"> </w:t>
      </w:r>
      <w:r w:rsidR="00C11EDF" w:rsidRPr="004B4540">
        <w:rPr>
          <w:rFonts w:ascii="Times New Roman" w:eastAsia="Times New Roman" w:hAnsi="Times New Roman" w:cs="Times New Roman"/>
          <w:noProof/>
          <w:sz w:val="24"/>
          <w:szCs w:val="24"/>
        </w:rPr>
        <w:t>Overall, the free allocation for 2021-2025 has been reduced by 87 million allowances so far</w:t>
      </w:r>
      <w:r w:rsidR="00D1653B" w:rsidRPr="004B4540">
        <w:rPr>
          <w:rFonts w:ascii="Times New Roman" w:eastAsia="Times New Roman" w:hAnsi="Times New Roman" w:cs="Times New Roman"/>
          <w:noProof/>
          <w:sz w:val="24"/>
          <w:szCs w:val="24"/>
        </w:rPr>
        <w:t xml:space="preserve"> </w:t>
      </w:r>
      <w:r w:rsidR="00C114F6" w:rsidRPr="004B4540">
        <w:rPr>
          <w:rFonts w:ascii="Times New Roman" w:eastAsia="Times New Roman" w:hAnsi="Times New Roman" w:cs="Times New Roman"/>
          <w:noProof/>
          <w:sz w:val="24"/>
          <w:szCs w:val="24"/>
        </w:rPr>
        <w:t>compared to the initial decision</w:t>
      </w:r>
      <w:r w:rsidR="00410F73" w:rsidRPr="004B4540">
        <w:rPr>
          <w:rFonts w:ascii="Times New Roman" w:eastAsia="Times New Roman" w:hAnsi="Times New Roman" w:cs="Times New Roman"/>
          <w:noProof/>
          <w:sz w:val="24"/>
          <w:szCs w:val="24"/>
        </w:rPr>
        <w:t xml:space="preserve">. </w:t>
      </w:r>
    </w:p>
    <w:p w14:paraId="46AC3375" w14:textId="1641F6D7" w:rsidR="00286BA6" w:rsidRPr="004B4540" w:rsidRDefault="12CDB096" w:rsidP="744F0E99">
      <w:pPr>
        <w:spacing w:before="240" w:after="240" w:line="257" w:lineRule="auto"/>
        <w:jc w:val="both"/>
        <w:rPr>
          <w:rFonts w:ascii="Times New Roman" w:eastAsia="Times New Roman" w:hAnsi="Times New Roman" w:cs="Times New Roman"/>
          <w:noProof/>
          <w:sz w:val="24"/>
          <w:szCs w:val="24"/>
        </w:rPr>
      </w:pPr>
      <w:r w:rsidRPr="004B4540">
        <w:rPr>
          <w:rFonts w:ascii="Times New Roman" w:eastAsia="Times New Roman" w:hAnsi="Times New Roman" w:cs="Times New Roman"/>
          <w:noProof/>
          <w:sz w:val="24"/>
          <w:szCs w:val="24"/>
        </w:rPr>
        <w:t xml:space="preserve">Adjustments to the level of free allocation are made from the New Entrants’ Reserve (NER). These adjustments also include changes in allocation due to installations opening or closing. The initial volume of the NER at the start of </w:t>
      </w:r>
      <w:r w:rsidR="00594735" w:rsidRPr="004B4540">
        <w:rPr>
          <w:rFonts w:ascii="Times New Roman" w:eastAsia="Times New Roman" w:hAnsi="Times New Roman" w:cs="Times New Roman"/>
          <w:noProof/>
          <w:sz w:val="24"/>
          <w:szCs w:val="24"/>
        </w:rPr>
        <w:t>2021</w:t>
      </w:r>
      <w:r w:rsidRPr="004B4540">
        <w:rPr>
          <w:rFonts w:ascii="Times New Roman" w:eastAsia="Times New Roman" w:hAnsi="Times New Roman" w:cs="Times New Roman"/>
          <w:noProof/>
          <w:sz w:val="24"/>
          <w:szCs w:val="24"/>
        </w:rPr>
        <w:t xml:space="preserve"> amounted to 331.3 million allowances. This included unallocated allowances and 200 million allowances from the Market Stability Reserve.</w:t>
      </w:r>
    </w:p>
    <w:p w14:paraId="1C623D1A" w14:textId="539591E5" w:rsidR="00286BA6" w:rsidRPr="004B4540" w:rsidRDefault="00A5525D" w:rsidP="00D640E9">
      <w:pPr>
        <w:spacing w:before="240" w:after="240" w:line="257" w:lineRule="auto"/>
        <w:jc w:val="both"/>
        <w:rPr>
          <w:rFonts w:ascii="Times New Roman" w:eastAsia="Times New Roman" w:hAnsi="Times New Roman" w:cs="Times New Roman"/>
          <w:noProof/>
          <w:sz w:val="24"/>
          <w:szCs w:val="24"/>
        </w:rPr>
      </w:pPr>
      <w:r w:rsidRPr="00A5525D">
        <w:rPr>
          <w:rStyle w:val="CMR23-textChar"/>
          <w:noProof/>
          <w:highlight w:val="yellow"/>
        </w:rPr>
        <w:fldChar w:fldCharType="begin"/>
      </w:r>
      <w:r w:rsidRPr="00A5525D">
        <w:rPr>
          <w:rStyle w:val="CMR23-textChar"/>
          <w:noProof/>
          <w:highlight w:val="yellow"/>
        </w:rPr>
        <w:instrText xml:space="preserve"> REF _Ref145491854 \h </w:instrText>
      </w:r>
      <w:r>
        <w:rPr>
          <w:rStyle w:val="CMR23-textChar"/>
          <w:noProof/>
          <w:highlight w:val="yellow"/>
        </w:rPr>
        <w:instrText xml:space="preserve"> \* MERGEFORMAT </w:instrText>
      </w:r>
      <w:r w:rsidRPr="00A5525D">
        <w:rPr>
          <w:rStyle w:val="CMR23-textChar"/>
          <w:noProof/>
          <w:highlight w:val="yellow"/>
        </w:rPr>
      </w:r>
      <w:r w:rsidRPr="00A5525D">
        <w:rPr>
          <w:rStyle w:val="CMR23-textChar"/>
          <w:noProof/>
          <w:highlight w:val="yellow"/>
        </w:rPr>
        <w:fldChar w:fldCharType="separate"/>
      </w:r>
      <w:r w:rsidR="00B83BFA" w:rsidRPr="00B83BFA">
        <w:rPr>
          <w:rStyle w:val="CMR23-textChar"/>
          <w:noProof/>
        </w:rPr>
        <w:t>Table 3</w:t>
      </w:r>
      <w:r w:rsidRPr="00A5525D">
        <w:rPr>
          <w:rStyle w:val="CMR23-textChar"/>
          <w:noProof/>
          <w:highlight w:val="yellow"/>
        </w:rPr>
        <w:fldChar w:fldCharType="end"/>
      </w:r>
      <w:r w:rsidR="002E72BC" w:rsidRPr="00A5525D">
        <w:rPr>
          <w:rStyle w:val="CMR23-textChar"/>
          <w:noProof/>
        </w:rPr>
        <w:t xml:space="preserve"> </w:t>
      </w:r>
      <w:r w:rsidR="12CDB096" w:rsidRPr="00A5525D">
        <w:rPr>
          <w:rStyle w:val="CMR23-textChar"/>
          <w:noProof/>
        </w:rPr>
        <w:t xml:space="preserve">summarises the annual levels of free allocation </w:t>
      </w:r>
      <w:r w:rsidR="00BD723B" w:rsidRPr="0084026D">
        <w:rPr>
          <w:rStyle w:val="CMR23-textChar"/>
          <w:noProof/>
        </w:rPr>
        <w:t>in the first allocation</w:t>
      </w:r>
      <w:r w:rsidR="00BD723B" w:rsidRPr="004B4540">
        <w:rPr>
          <w:rFonts w:ascii="Times New Roman" w:eastAsia="Times New Roman" w:hAnsi="Times New Roman" w:cs="Times New Roman"/>
          <w:noProof/>
          <w:sz w:val="24"/>
          <w:szCs w:val="24"/>
        </w:rPr>
        <w:t xml:space="preserve"> period (initial and adjusted levels).</w:t>
      </w:r>
    </w:p>
    <w:p w14:paraId="70D20CCC" w14:textId="241A374D" w:rsidR="00A5525D" w:rsidRPr="004B4540" w:rsidRDefault="00A5525D" w:rsidP="00BC0039">
      <w:pPr>
        <w:pStyle w:val="Caption"/>
        <w:keepNext/>
        <w:spacing w:line="257" w:lineRule="auto"/>
        <w:rPr>
          <w:noProof/>
        </w:rPr>
      </w:pPr>
      <w:bookmarkStart w:id="40" w:name="_Ref145491854"/>
      <w:r w:rsidRPr="004B4540">
        <w:rPr>
          <w:noProof/>
        </w:rPr>
        <w:t xml:space="preserve">Table </w:t>
      </w:r>
      <w:r w:rsidRPr="004B4540">
        <w:rPr>
          <w:noProof/>
        </w:rPr>
        <w:fldChar w:fldCharType="begin"/>
      </w:r>
      <w:r w:rsidRPr="004B4540">
        <w:rPr>
          <w:noProof/>
        </w:rPr>
        <w:instrText>SEQ Table \* ARABIC</w:instrText>
      </w:r>
      <w:r w:rsidRPr="004B4540">
        <w:rPr>
          <w:noProof/>
        </w:rPr>
        <w:fldChar w:fldCharType="separate"/>
      </w:r>
      <w:r w:rsidR="00B83BFA">
        <w:rPr>
          <w:noProof/>
        </w:rPr>
        <w:t>3</w:t>
      </w:r>
      <w:r w:rsidRPr="004B4540">
        <w:rPr>
          <w:noProof/>
        </w:rPr>
        <w:fldChar w:fldCharType="end"/>
      </w:r>
      <w:bookmarkEnd w:id="40"/>
      <w:r w:rsidR="00BD723B" w:rsidRPr="004B4540">
        <w:rPr>
          <w:noProof/>
        </w:rPr>
        <w:t>:</w:t>
      </w:r>
      <w:r w:rsidRPr="004B4540">
        <w:rPr>
          <w:noProof/>
        </w:rPr>
        <w:t xml:space="preserve"> Free allocation in 2021-2</w:t>
      </w:r>
      <w:r w:rsidR="00BD723B" w:rsidRPr="004B4540">
        <w:rPr>
          <w:noProof/>
        </w:rPr>
        <w:t>02</w:t>
      </w:r>
      <w:r w:rsidRPr="004B4540">
        <w:rPr>
          <w:noProof/>
        </w:rPr>
        <w:t xml:space="preserve">5 </w:t>
      </w:r>
      <w:r w:rsidR="00BD723B" w:rsidRPr="004B4540">
        <w:rPr>
          <w:noProof/>
        </w:rPr>
        <w:t>(</w:t>
      </w:r>
      <w:r w:rsidRPr="004B4540">
        <w:rPr>
          <w:noProof/>
        </w:rPr>
        <w:t>million allowances</w:t>
      </w:r>
      <w:r w:rsidR="00BD723B" w:rsidRPr="004B4540">
        <w:rPr>
          <w:noProof/>
        </w:rPr>
        <w:t>)</w:t>
      </w:r>
    </w:p>
    <w:tbl>
      <w:tblPr>
        <w:tblStyle w:val="TableGridLight"/>
        <w:tblW w:w="5000" w:type="pct"/>
        <w:tblLook w:val="04A0" w:firstRow="1" w:lastRow="0" w:firstColumn="1" w:lastColumn="0" w:noHBand="0" w:noVBand="1"/>
      </w:tblPr>
      <w:tblGrid>
        <w:gridCol w:w="1660"/>
        <w:gridCol w:w="1226"/>
        <w:gridCol w:w="1226"/>
        <w:gridCol w:w="1226"/>
        <w:gridCol w:w="1226"/>
        <w:gridCol w:w="1226"/>
        <w:gridCol w:w="1226"/>
      </w:tblGrid>
      <w:tr w:rsidR="00E54CF4" w:rsidRPr="00D66A75" w14:paraId="727F313F" w14:textId="77777777" w:rsidTr="00D66A75">
        <w:trPr>
          <w:trHeight w:val="390"/>
        </w:trPr>
        <w:tc>
          <w:tcPr>
            <w:tcW w:w="920" w:type="pct"/>
            <w:vAlign w:val="center"/>
          </w:tcPr>
          <w:p w14:paraId="46C0EB3B" w14:textId="0A4A5659" w:rsidR="00E54CF4" w:rsidRPr="00D66A75" w:rsidRDefault="00E54CF4" w:rsidP="00D66A75">
            <w:pPr>
              <w:pStyle w:val="CMR2023-tablesheadings"/>
              <w:keepNext/>
              <w:jc w:val="left"/>
              <w:rPr>
                <w:b w:val="0"/>
                <w:bCs w:val="0"/>
                <w:noProof/>
                <w:sz w:val="22"/>
                <w:szCs w:val="22"/>
              </w:rPr>
            </w:pPr>
            <w:r w:rsidRPr="00D66A75">
              <w:rPr>
                <w:noProof/>
                <w:sz w:val="22"/>
                <w:szCs w:val="22"/>
              </w:rPr>
              <w:t>Year</w:t>
            </w:r>
          </w:p>
        </w:tc>
        <w:tc>
          <w:tcPr>
            <w:tcW w:w="680" w:type="pct"/>
            <w:vAlign w:val="center"/>
          </w:tcPr>
          <w:p w14:paraId="7F3A8340" w14:textId="6C816F6A" w:rsidR="00E54CF4" w:rsidRPr="00D66A75" w:rsidRDefault="00E54CF4" w:rsidP="00D66A75">
            <w:pPr>
              <w:pStyle w:val="CMR2023-tablesheadings"/>
              <w:keepNext/>
              <w:rPr>
                <w:b w:val="0"/>
                <w:bCs w:val="0"/>
                <w:noProof/>
                <w:sz w:val="22"/>
                <w:szCs w:val="22"/>
              </w:rPr>
            </w:pPr>
            <w:r w:rsidRPr="00D66A75">
              <w:rPr>
                <w:b w:val="0"/>
                <w:bCs w:val="0"/>
                <w:noProof/>
                <w:sz w:val="22"/>
                <w:szCs w:val="22"/>
              </w:rPr>
              <w:t>2021</w:t>
            </w:r>
          </w:p>
        </w:tc>
        <w:tc>
          <w:tcPr>
            <w:tcW w:w="680" w:type="pct"/>
            <w:vAlign w:val="center"/>
          </w:tcPr>
          <w:p w14:paraId="5C060E32" w14:textId="0149905B" w:rsidR="00E54CF4" w:rsidRPr="00D66A75" w:rsidRDefault="00E54CF4" w:rsidP="00D66A75">
            <w:pPr>
              <w:pStyle w:val="CMR2023-tablesheadings"/>
              <w:keepNext/>
              <w:rPr>
                <w:b w:val="0"/>
                <w:bCs w:val="0"/>
                <w:noProof/>
                <w:sz w:val="22"/>
                <w:szCs w:val="22"/>
              </w:rPr>
            </w:pPr>
            <w:r w:rsidRPr="00D66A75">
              <w:rPr>
                <w:b w:val="0"/>
                <w:bCs w:val="0"/>
                <w:noProof/>
                <w:sz w:val="22"/>
                <w:szCs w:val="22"/>
              </w:rPr>
              <w:t>2022</w:t>
            </w:r>
          </w:p>
        </w:tc>
        <w:tc>
          <w:tcPr>
            <w:tcW w:w="680" w:type="pct"/>
            <w:vAlign w:val="center"/>
          </w:tcPr>
          <w:p w14:paraId="7EE987B8" w14:textId="7E33AC4D" w:rsidR="00E54CF4" w:rsidRPr="00D66A75" w:rsidRDefault="00E54CF4" w:rsidP="00D66A75">
            <w:pPr>
              <w:pStyle w:val="CMR2023-tablesheadings"/>
              <w:keepNext/>
              <w:rPr>
                <w:b w:val="0"/>
                <w:bCs w:val="0"/>
                <w:noProof/>
                <w:sz w:val="22"/>
                <w:szCs w:val="22"/>
              </w:rPr>
            </w:pPr>
            <w:r w:rsidRPr="00D66A75">
              <w:rPr>
                <w:b w:val="0"/>
                <w:bCs w:val="0"/>
                <w:noProof/>
                <w:sz w:val="22"/>
                <w:szCs w:val="22"/>
              </w:rPr>
              <w:t>2023</w:t>
            </w:r>
          </w:p>
        </w:tc>
        <w:tc>
          <w:tcPr>
            <w:tcW w:w="680" w:type="pct"/>
            <w:vAlign w:val="center"/>
          </w:tcPr>
          <w:p w14:paraId="775DA229" w14:textId="1F65FD7D" w:rsidR="00E54CF4" w:rsidRPr="00D66A75" w:rsidRDefault="00E54CF4" w:rsidP="00D66A75">
            <w:pPr>
              <w:pStyle w:val="CMR2023-tablesheadings"/>
              <w:keepNext/>
              <w:rPr>
                <w:b w:val="0"/>
                <w:bCs w:val="0"/>
                <w:noProof/>
                <w:sz w:val="22"/>
                <w:szCs w:val="22"/>
              </w:rPr>
            </w:pPr>
            <w:r w:rsidRPr="00D66A75">
              <w:rPr>
                <w:b w:val="0"/>
                <w:bCs w:val="0"/>
                <w:noProof/>
                <w:sz w:val="22"/>
                <w:szCs w:val="22"/>
              </w:rPr>
              <w:t>2024</w:t>
            </w:r>
          </w:p>
        </w:tc>
        <w:tc>
          <w:tcPr>
            <w:tcW w:w="680" w:type="pct"/>
            <w:vAlign w:val="center"/>
          </w:tcPr>
          <w:p w14:paraId="330EE472" w14:textId="26BA58A3" w:rsidR="00E54CF4" w:rsidRPr="00D66A75" w:rsidRDefault="00E54CF4" w:rsidP="00D66A75">
            <w:pPr>
              <w:pStyle w:val="CMR2023-tablesheadings"/>
              <w:keepNext/>
              <w:rPr>
                <w:b w:val="0"/>
                <w:bCs w:val="0"/>
                <w:noProof/>
                <w:sz w:val="22"/>
                <w:szCs w:val="22"/>
              </w:rPr>
            </w:pPr>
            <w:r w:rsidRPr="00D66A75">
              <w:rPr>
                <w:b w:val="0"/>
                <w:bCs w:val="0"/>
                <w:noProof/>
                <w:sz w:val="22"/>
                <w:szCs w:val="22"/>
              </w:rPr>
              <w:t>2025</w:t>
            </w:r>
          </w:p>
        </w:tc>
        <w:tc>
          <w:tcPr>
            <w:tcW w:w="680" w:type="pct"/>
            <w:vAlign w:val="center"/>
          </w:tcPr>
          <w:p w14:paraId="4E0D9045" w14:textId="55E72FD8" w:rsidR="00E54CF4" w:rsidRPr="00D66A75" w:rsidRDefault="00E54CF4" w:rsidP="00D66A75">
            <w:pPr>
              <w:pStyle w:val="CMR2023-tablesheadings"/>
              <w:keepNext/>
              <w:rPr>
                <w:b w:val="0"/>
                <w:bCs w:val="0"/>
                <w:noProof/>
                <w:sz w:val="22"/>
                <w:szCs w:val="22"/>
              </w:rPr>
            </w:pPr>
            <w:r w:rsidRPr="00D66A75">
              <w:rPr>
                <w:b w:val="0"/>
                <w:bCs w:val="0"/>
                <w:noProof/>
                <w:sz w:val="22"/>
                <w:szCs w:val="22"/>
              </w:rPr>
              <w:t>Total</w:t>
            </w:r>
          </w:p>
        </w:tc>
      </w:tr>
      <w:tr w:rsidR="00E54CF4" w:rsidRPr="00D66A75" w14:paraId="2201DDE4" w14:textId="77777777" w:rsidTr="00D66A75">
        <w:trPr>
          <w:trHeight w:val="1740"/>
        </w:trPr>
        <w:tc>
          <w:tcPr>
            <w:tcW w:w="920" w:type="pct"/>
            <w:vAlign w:val="center"/>
          </w:tcPr>
          <w:p w14:paraId="051C26CF" w14:textId="39D29355" w:rsidR="00E54CF4" w:rsidRPr="00D66A75" w:rsidRDefault="00E54CF4" w:rsidP="00D66A75">
            <w:pPr>
              <w:pStyle w:val="CMR2023-tablesheadings"/>
              <w:keepNext/>
              <w:jc w:val="left"/>
              <w:rPr>
                <w:b w:val="0"/>
                <w:bCs w:val="0"/>
                <w:noProof/>
                <w:sz w:val="22"/>
                <w:szCs w:val="22"/>
              </w:rPr>
            </w:pPr>
            <w:r w:rsidRPr="00D66A75">
              <w:rPr>
                <w:noProof/>
                <w:sz w:val="22"/>
                <w:szCs w:val="22"/>
              </w:rPr>
              <w:t>Initial free allocation (EU-27 + Iceland, Liechtenstein, and Norway)</w:t>
            </w:r>
          </w:p>
        </w:tc>
        <w:tc>
          <w:tcPr>
            <w:tcW w:w="680" w:type="pct"/>
            <w:vAlign w:val="center"/>
          </w:tcPr>
          <w:p w14:paraId="35FFA2CE" w14:textId="66EBE292" w:rsidR="00E54CF4" w:rsidRPr="00D66A75" w:rsidRDefault="00E54CF4" w:rsidP="00D66A75">
            <w:pPr>
              <w:pStyle w:val="CMR2023-tablesheadings"/>
              <w:keepNext/>
              <w:rPr>
                <w:b w:val="0"/>
                <w:bCs w:val="0"/>
                <w:noProof/>
                <w:sz w:val="22"/>
                <w:szCs w:val="22"/>
              </w:rPr>
            </w:pPr>
            <w:r w:rsidRPr="00D66A75">
              <w:rPr>
                <w:b w:val="0"/>
                <w:bCs w:val="0"/>
                <w:noProof/>
                <w:sz w:val="22"/>
                <w:szCs w:val="22"/>
              </w:rPr>
              <w:t>559.6</w:t>
            </w:r>
          </w:p>
        </w:tc>
        <w:tc>
          <w:tcPr>
            <w:tcW w:w="680" w:type="pct"/>
            <w:vAlign w:val="center"/>
          </w:tcPr>
          <w:p w14:paraId="6598ACE6" w14:textId="699FD27B" w:rsidR="00E54CF4" w:rsidRPr="00D66A75" w:rsidRDefault="00E54CF4" w:rsidP="00D66A75">
            <w:pPr>
              <w:pStyle w:val="CMR2023-tablesheadings"/>
              <w:keepNext/>
              <w:rPr>
                <w:b w:val="0"/>
                <w:bCs w:val="0"/>
                <w:noProof/>
                <w:sz w:val="22"/>
                <w:szCs w:val="22"/>
              </w:rPr>
            </w:pPr>
            <w:r w:rsidRPr="00D66A75">
              <w:rPr>
                <w:b w:val="0"/>
                <w:bCs w:val="0"/>
                <w:noProof/>
                <w:sz w:val="22"/>
                <w:szCs w:val="22"/>
              </w:rPr>
              <w:t>558.9</w:t>
            </w:r>
          </w:p>
        </w:tc>
        <w:tc>
          <w:tcPr>
            <w:tcW w:w="680" w:type="pct"/>
            <w:vAlign w:val="center"/>
          </w:tcPr>
          <w:p w14:paraId="1F5571C5" w14:textId="335AA7BA" w:rsidR="00E54CF4" w:rsidRPr="00D66A75" w:rsidRDefault="00E54CF4" w:rsidP="00D66A75">
            <w:pPr>
              <w:pStyle w:val="CMR2023-tablesheadings"/>
              <w:keepNext/>
              <w:rPr>
                <w:b w:val="0"/>
                <w:bCs w:val="0"/>
                <w:noProof/>
                <w:sz w:val="22"/>
                <w:szCs w:val="22"/>
              </w:rPr>
            </w:pPr>
            <w:r w:rsidRPr="00D66A75">
              <w:rPr>
                <w:b w:val="0"/>
                <w:bCs w:val="0"/>
                <w:noProof/>
                <w:sz w:val="22"/>
                <w:szCs w:val="22"/>
              </w:rPr>
              <w:t>558.2</w:t>
            </w:r>
          </w:p>
        </w:tc>
        <w:tc>
          <w:tcPr>
            <w:tcW w:w="680" w:type="pct"/>
            <w:vAlign w:val="center"/>
          </w:tcPr>
          <w:p w14:paraId="68911E64" w14:textId="37E16BC1" w:rsidR="00E54CF4" w:rsidRPr="00D66A75" w:rsidRDefault="00E54CF4" w:rsidP="00D66A75">
            <w:pPr>
              <w:pStyle w:val="CMR2023-tablesheadings"/>
              <w:keepNext/>
              <w:rPr>
                <w:b w:val="0"/>
                <w:bCs w:val="0"/>
                <w:noProof/>
                <w:sz w:val="22"/>
                <w:szCs w:val="22"/>
              </w:rPr>
            </w:pPr>
            <w:r w:rsidRPr="00D66A75">
              <w:rPr>
                <w:b w:val="0"/>
                <w:bCs w:val="0"/>
                <w:noProof/>
                <w:sz w:val="22"/>
                <w:szCs w:val="22"/>
              </w:rPr>
              <w:t>557.5</w:t>
            </w:r>
          </w:p>
        </w:tc>
        <w:tc>
          <w:tcPr>
            <w:tcW w:w="680" w:type="pct"/>
            <w:vAlign w:val="center"/>
          </w:tcPr>
          <w:p w14:paraId="5273EB83" w14:textId="5DEF9524" w:rsidR="00E54CF4" w:rsidRPr="00D66A75" w:rsidRDefault="00E54CF4" w:rsidP="00D66A75">
            <w:pPr>
              <w:pStyle w:val="CMR2023-tablesheadings"/>
              <w:keepNext/>
              <w:rPr>
                <w:b w:val="0"/>
                <w:bCs w:val="0"/>
                <w:noProof/>
                <w:sz w:val="22"/>
                <w:szCs w:val="22"/>
              </w:rPr>
            </w:pPr>
            <w:r w:rsidRPr="00D66A75">
              <w:rPr>
                <w:b w:val="0"/>
                <w:bCs w:val="0"/>
                <w:noProof/>
                <w:sz w:val="22"/>
                <w:szCs w:val="22"/>
              </w:rPr>
              <w:t>556.8</w:t>
            </w:r>
          </w:p>
        </w:tc>
        <w:tc>
          <w:tcPr>
            <w:tcW w:w="680" w:type="pct"/>
            <w:vAlign w:val="center"/>
          </w:tcPr>
          <w:p w14:paraId="72B85468" w14:textId="4B39719A" w:rsidR="00E54CF4" w:rsidRPr="00D66A75" w:rsidRDefault="00E54CF4" w:rsidP="00D66A75">
            <w:pPr>
              <w:pStyle w:val="CMR2023-tablesheadings"/>
              <w:keepNext/>
              <w:rPr>
                <w:b w:val="0"/>
                <w:bCs w:val="0"/>
                <w:noProof/>
                <w:sz w:val="22"/>
                <w:szCs w:val="22"/>
              </w:rPr>
            </w:pPr>
            <w:r w:rsidRPr="00D66A75">
              <w:rPr>
                <w:b w:val="0"/>
                <w:bCs w:val="0"/>
                <w:noProof/>
                <w:sz w:val="22"/>
                <w:szCs w:val="22"/>
              </w:rPr>
              <w:t>2 791.1</w:t>
            </w:r>
          </w:p>
        </w:tc>
      </w:tr>
      <w:tr w:rsidR="00E54CF4" w:rsidRPr="00D66A75" w14:paraId="75EFB74B" w14:textId="77777777" w:rsidTr="00D66A75">
        <w:trPr>
          <w:trHeight w:val="675"/>
        </w:trPr>
        <w:tc>
          <w:tcPr>
            <w:tcW w:w="920" w:type="pct"/>
            <w:vAlign w:val="center"/>
          </w:tcPr>
          <w:p w14:paraId="22392DAE" w14:textId="4144FC52" w:rsidR="00E54CF4" w:rsidRPr="00D66A75" w:rsidRDefault="00E54CF4" w:rsidP="00D66A75">
            <w:pPr>
              <w:pStyle w:val="CMR2023-tablesheadings"/>
              <w:keepNext/>
              <w:jc w:val="left"/>
              <w:rPr>
                <w:b w:val="0"/>
                <w:bCs w:val="0"/>
                <w:noProof/>
                <w:sz w:val="22"/>
                <w:szCs w:val="22"/>
              </w:rPr>
            </w:pPr>
            <w:r w:rsidRPr="00D66A75">
              <w:rPr>
                <w:noProof/>
                <w:sz w:val="22"/>
                <w:szCs w:val="22"/>
              </w:rPr>
              <w:t>Actual free allocation</w:t>
            </w:r>
          </w:p>
        </w:tc>
        <w:tc>
          <w:tcPr>
            <w:tcW w:w="680" w:type="pct"/>
            <w:vAlign w:val="center"/>
          </w:tcPr>
          <w:p w14:paraId="1F489399" w14:textId="1CB2789E" w:rsidR="00E54CF4" w:rsidRPr="00D66A75" w:rsidRDefault="00E54CF4" w:rsidP="00D66A75">
            <w:pPr>
              <w:pStyle w:val="CMR2023-tablesheadings"/>
              <w:keepNext/>
              <w:rPr>
                <w:b w:val="0"/>
                <w:bCs w:val="0"/>
                <w:noProof/>
                <w:sz w:val="22"/>
                <w:szCs w:val="22"/>
              </w:rPr>
            </w:pPr>
            <w:r w:rsidRPr="00D66A75">
              <w:rPr>
                <w:b w:val="0"/>
                <w:bCs w:val="0"/>
                <w:noProof/>
                <w:sz w:val="22"/>
                <w:szCs w:val="22"/>
              </w:rPr>
              <w:t>545.9</w:t>
            </w:r>
          </w:p>
        </w:tc>
        <w:tc>
          <w:tcPr>
            <w:tcW w:w="680" w:type="pct"/>
            <w:vAlign w:val="center"/>
          </w:tcPr>
          <w:p w14:paraId="618A0B1B" w14:textId="062A4AB5" w:rsidR="00E54CF4" w:rsidRPr="00D66A75" w:rsidRDefault="00E54CF4" w:rsidP="00D66A75">
            <w:pPr>
              <w:pStyle w:val="CMR2023-tablesheadings"/>
              <w:keepNext/>
              <w:rPr>
                <w:b w:val="0"/>
                <w:bCs w:val="0"/>
                <w:noProof/>
                <w:sz w:val="22"/>
                <w:szCs w:val="22"/>
              </w:rPr>
            </w:pPr>
            <w:r w:rsidRPr="00D66A75">
              <w:rPr>
                <w:b w:val="0"/>
                <w:bCs w:val="0"/>
                <w:noProof/>
                <w:sz w:val="22"/>
                <w:szCs w:val="22"/>
              </w:rPr>
              <w:t>543.0</w:t>
            </w:r>
          </w:p>
        </w:tc>
        <w:tc>
          <w:tcPr>
            <w:tcW w:w="680" w:type="pct"/>
            <w:vAlign w:val="center"/>
          </w:tcPr>
          <w:p w14:paraId="6C651642" w14:textId="1F80C7BD" w:rsidR="00E54CF4" w:rsidRPr="00D66A75" w:rsidRDefault="00E54CF4" w:rsidP="00D66A75">
            <w:pPr>
              <w:pStyle w:val="CMR2023-tablesheadings"/>
              <w:keepNext/>
              <w:rPr>
                <w:b w:val="0"/>
                <w:bCs w:val="0"/>
                <w:noProof/>
                <w:sz w:val="22"/>
                <w:szCs w:val="22"/>
              </w:rPr>
            </w:pPr>
            <w:r w:rsidRPr="00D66A75">
              <w:rPr>
                <w:b w:val="0"/>
                <w:bCs w:val="0"/>
                <w:noProof/>
                <w:sz w:val="22"/>
                <w:szCs w:val="22"/>
              </w:rPr>
              <w:t>539.2</w:t>
            </w:r>
          </w:p>
        </w:tc>
        <w:tc>
          <w:tcPr>
            <w:tcW w:w="680" w:type="pct"/>
            <w:vAlign w:val="center"/>
          </w:tcPr>
          <w:p w14:paraId="49801A41" w14:textId="2A7B6A2A" w:rsidR="00E54CF4" w:rsidRPr="00D66A75" w:rsidRDefault="00E54CF4" w:rsidP="00D66A75">
            <w:pPr>
              <w:pStyle w:val="CMR2023-tablesheadings"/>
              <w:keepNext/>
              <w:rPr>
                <w:b w:val="0"/>
                <w:bCs w:val="0"/>
                <w:noProof/>
                <w:sz w:val="22"/>
                <w:szCs w:val="22"/>
              </w:rPr>
            </w:pPr>
            <w:r w:rsidRPr="00D66A75">
              <w:rPr>
                <w:b w:val="0"/>
                <w:bCs w:val="0"/>
                <w:noProof/>
                <w:sz w:val="22"/>
                <w:szCs w:val="22"/>
              </w:rPr>
              <w:t>538.4</w:t>
            </w:r>
          </w:p>
        </w:tc>
        <w:tc>
          <w:tcPr>
            <w:tcW w:w="680" w:type="pct"/>
            <w:vAlign w:val="center"/>
          </w:tcPr>
          <w:p w14:paraId="09DD1445" w14:textId="5BA49231" w:rsidR="00E54CF4" w:rsidRPr="00D66A75" w:rsidRDefault="00E54CF4" w:rsidP="00D66A75">
            <w:pPr>
              <w:pStyle w:val="CMR2023-tablesheadings"/>
              <w:keepNext/>
              <w:rPr>
                <w:b w:val="0"/>
                <w:bCs w:val="0"/>
                <w:noProof/>
                <w:sz w:val="22"/>
                <w:szCs w:val="22"/>
              </w:rPr>
            </w:pPr>
            <w:r w:rsidRPr="00D66A75">
              <w:rPr>
                <w:b w:val="0"/>
                <w:bCs w:val="0"/>
                <w:noProof/>
                <w:sz w:val="22"/>
                <w:szCs w:val="22"/>
              </w:rPr>
              <w:t>537.7</w:t>
            </w:r>
          </w:p>
        </w:tc>
        <w:tc>
          <w:tcPr>
            <w:tcW w:w="680" w:type="pct"/>
            <w:vAlign w:val="center"/>
          </w:tcPr>
          <w:p w14:paraId="0E00A472" w14:textId="53893FD6" w:rsidR="00E54CF4" w:rsidRPr="00D66A75" w:rsidRDefault="00E54CF4" w:rsidP="00D66A75">
            <w:pPr>
              <w:pStyle w:val="CMR2023-tablesheadings"/>
              <w:keepNext/>
              <w:rPr>
                <w:b w:val="0"/>
                <w:bCs w:val="0"/>
                <w:noProof/>
                <w:sz w:val="22"/>
                <w:szCs w:val="22"/>
              </w:rPr>
            </w:pPr>
            <w:r w:rsidRPr="00D66A75">
              <w:rPr>
                <w:b w:val="0"/>
                <w:bCs w:val="0"/>
                <w:noProof/>
                <w:sz w:val="22"/>
                <w:szCs w:val="22"/>
              </w:rPr>
              <w:t>2 704.1</w:t>
            </w:r>
          </w:p>
        </w:tc>
      </w:tr>
      <w:tr w:rsidR="00E54CF4" w:rsidRPr="00D66A75" w14:paraId="0414BEA8" w14:textId="77777777" w:rsidTr="00D66A75">
        <w:trPr>
          <w:trHeight w:val="930"/>
        </w:trPr>
        <w:tc>
          <w:tcPr>
            <w:tcW w:w="920" w:type="pct"/>
            <w:vAlign w:val="center"/>
          </w:tcPr>
          <w:p w14:paraId="7672847C" w14:textId="7F7ACD18" w:rsidR="00E54CF4" w:rsidRPr="00D66A75" w:rsidRDefault="00E54CF4" w:rsidP="00D66A75">
            <w:pPr>
              <w:pStyle w:val="CMR2023-tablesheadings"/>
              <w:keepNext/>
              <w:jc w:val="left"/>
              <w:rPr>
                <w:b w:val="0"/>
                <w:bCs w:val="0"/>
                <w:noProof/>
                <w:sz w:val="22"/>
                <w:szCs w:val="22"/>
              </w:rPr>
            </w:pPr>
            <w:r w:rsidRPr="00D66A75">
              <w:rPr>
                <w:noProof/>
                <w:sz w:val="22"/>
                <w:szCs w:val="22"/>
              </w:rPr>
              <w:t>Adjusted and corrected free allocation</w:t>
            </w:r>
          </w:p>
        </w:tc>
        <w:tc>
          <w:tcPr>
            <w:tcW w:w="680" w:type="pct"/>
            <w:vAlign w:val="center"/>
          </w:tcPr>
          <w:p w14:paraId="28CD9242" w14:textId="3E716A2A" w:rsidR="00E54CF4" w:rsidRPr="00D66A75" w:rsidRDefault="00E54CF4" w:rsidP="00D66A75">
            <w:pPr>
              <w:pStyle w:val="CMR2023-tablesheadings"/>
              <w:keepNext/>
              <w:rPr>
                <w:b w:val="0"/>
                <w:bCs w:val="0"/>
                <w:noProof/>
                <w:sz w:val="22"/>
                <w:szCs w:val="22"/>
              </w:rPr>
            </w:pPr>
            <w:r w:rsidRPr="00D66A75">
              <w:rPr>
                <w:b w:val="0"/>
                <w:bCs w:val="0"/>
                <w:noProof/>
                <w:sz w:val="22"/>
                <w:szCs w:val="22"/>
                <w:lang w:val="en-GB"/>
              </w:rPr>
              <w:t>−13.7</w:t>
            </w:r>
          </w:p>
        </w:tc>
        <w:tc>
          <w:tcPr>
            <w:tcW w:w="680" w:type="pct"/>
            <w:vAlign w:val="center"/>
          </w:tcPr>
          <w:p w14:paraId="31DF221B" w14:textId="20029FAE" w:rsidR="00E54CF4" w:rsidRPr="00D66A75" w:rsidRDefault="00E54CF4" w:rsidP="00D66A75">
            <w:pPr>
              <w:pStyle w:val="CMR2023-tablesheadings"/>
              <w:keepNext/>
              <w:rPr>
                <w:b w:val="0"/>
                <w:bCs w:val="0"/>
                <w:noProof/>
                <w:sz w:val="22"/>
                <w:szCs w:val="22"/>
              </w:rPr>
            </w:pPr>
            <w:r w:rsidRPr="00D66A75">
              <w:rPr>
                <w:b w:val="0"/>
                <w:bCs w:val="0"/>
                <w:noProof/>
                <w:sz w:val="22"/>
                <w:szCs w:val="22"/>
                <w:lang w:val="en-GB"/>
              </w:rPr>
              <w:t>−15.9</w:t>
            </w:r>
          </w:p>
        </w:tc>
        <w:tc>
          <w:tcPr>
            <w:tcW w:w="680" w:type="pct"/>
            <w:vAlign w:val="center"/>
          </w:tcPr>
          <w:p w14:paraId="6149BF24" w14:textId="1FB4A88F" w:rsidR="00E54CF4" w:rsidRPr="00D66A75" w:rsidRDefault="00E54CF4" w:rsidP="00D66A75">
            <w:pPr>
              <w:pStyle w:val="CMR2023-tablesheadings"/>
              <w:keepNext/>
              <w:rPr>
                <w:b w:val="0"/>
                <w:bCs w:val="0"/>
                <w:noProof/>
                <w:sz w:val="22"/>
                <w:szCs w:val="22"/>
              </w:rPr>
            </w:pPr>
            <w:r w:rsidRPr="00D66A75">
              <w:rPr>
                <w:b w:val="0"/>
                <w:bCs w:val="0"/>
                <w:noProof/>
                <w:sz w:val="22"/>
                <w:szCs w:val="22"/>
                <w:lang w:val="en-GB"/>
              </w:rPr>
              <w:t>−19.0</w:t>
            </w:r>
          </w:p>
        </w:tc>
        <w:tc>
          <w:tcPr>
            <w:tcW w:w="680" w:type="pct"/>
            <w:vAlign w:val="center"/>
          </w:tcPr>
          <w:p w14:paraId="6DA73A2C" w14:textId="70B34153" w:rsidR="00E54CF4" w:rsidRPr="00D66A75" w:rsidRDefault="00E54CF4" w:rsidP="00D66A75">
            <w:pPr>
              <w:pStyle w:val="CMR2023-tablesheadings"/>
              <w:keepNext/>
              <w:rPr>
                <w:b w:val="0"/>
                <w:bCs w:val="0"/>
                <w:noProof/>
                <w:sz w:val="22"/>
                <w:szCs w:val="22"/>
              </w:rPr>
            </w:pPr>
            <w:r w:rsidRPr="00D66A75">
              <w:rPr>
                <w:b w:val="0"/>
                <w:bCs w:val="0"/>
                <w:noProof/>
                <w:sz w:val="22"/>
                <w:szCs w:val="22"/>
                <w:lang w:val="en-GB"/>
              </w:rPr>
              <w:t>−19.1</w:t>
            </w:r>
          </w:p>
        </w:tc>
        <w:tc>
          <w:tcPr>
            <w:tcW w:w="680" w:type="pct"/>
            <w:vAlign w:val="center"/>
          </w:tcPr>
          <w:p w14:paraId="4069C32F" w14:textId="27DE0304" w:rsidR="00E54CF4" w:rsidRPr="00D66A75" w:rsidRDefault="00E54CF4" w:rsidP="00D66A75">
            <w:pPr>
              <w:pStyle w:val="CMR2023-tablesheadings"/>
              <w:keepNext/>
              <w:rPr>
                <w:b w:val="0"/>
                <w:bCs w:val="0"/>
                <w:noProof/>
                <w:sz w:val="22"/>
                <w:szCs w:val="22"/>
              </w:rPr>
            </w:pPr>
            <w:r w:rsidRPr="00D66A75">
              <w:rPr>
                <w:b w:val="0"/>
                <w:bCs w:val="0"/>
                <w:noProof/>
                <w:sz w:val="22"/>
                <w:szCs w:val="22"/>
                <w:lang w:val="en-GB"/>
              </w:rPr>
              <w:t>−19.1</w:t>
            </w:r>
          </w:p>
        </w:tc>
        <w:tc>
          <w:tcPr>
            <w:tcW w:w="680" w:type="pct"/>
            <w:vAlign w:val="center"/>
          </w:tcPr>
          <w:p w14:paraId="5D5CFD58" w14:textId="0B267FA8" w:rsidR="00E54CF4" w:rsidRPr="00D66A75" w:rsidRDefault="00E54CF4" w:rsidP="00D66A75">
            <w:pPr>
              <w:pStyle w:val="CMR2023-tablesheadings"/>
              <w:keepNext/>
              <w:rPr>
                <w:b w:val="0"/>
                <w:bCs w:val="0"/>
                <w:noProof/>
                <w:sz w:val="22"/>
                <w:szCs w:val="22"/>
              </w:rPr>
            </w:pPr>
            <w:r w:rsidRPr="00D66A75">
              <w:rPr>
                <w:b w:val="0"/>
                <w:bCs w:val="0"/>
                <w:noProof/>
                <w:sz w:val="22"/>
                <w:szCs w:val="22"/>
                <w:lang w:val="en-GB"/>
              </w:rPr>
              <w:t>−87.0</w:t>
            </w:r>
          </w:p>
        </w:tc>
      </w:tr>
    </w:tbl>
    <w:p w14:paraId="02BAAEBB" w14:textId="53C00722" w:rsidR="001D2459" w:rsidRPr="004B4540" w:rsidRDefault="549B7176" w:rsidP="001D2459">
      <w:pPr>
        <w:pStyle w:val="CMR23-text"/>
        <w:rPr>
          <w:rFonts w:cs="Times New Roman"/>
          <w:noProof/>
          <w:szCs w:val="24"/>
        </w:rPr>
      </w:pPr>
      <w:r w:rsidRPr="004B4540">
        <w:rPr>
          <w:rFonts w:cs="Times New Roman"/>
          <w:noProof/>
          <w:szCs w:val="24"/>
        </w:rPr>
        <w:t xml:space="preserve">The revision of the ETS Directive aligns  free allocation with the strengthened EU ETS. </w:t>
      </w:r>
      <w:r w:rsidR="00162664" w:rsidRPr="004B4540">
        <w:rPr>
          <w:rFonts w:cs="Times New Roman"/>
          <w:noProof/>
          <w:szCs w:val="24"/>
        </w:rPr>
        <w:t xml:space="preserve">It extends the </w:t>
      </w:r>
      <w:r w:rsidRPr="004B4540">
        <w:rPr>
          <w:rFonts w:cs="Times New Roman"/>
          <w:noProof/>
          <w:szCs w:val="24"/>
        </w:rPr>
        <w:t xml:space="preserve">scope of the activities regulated by the system and </w:t>
      </w:r>
      <w:r w:rsidR="0078445E" w:rsidRPr="004B4540">
        <w:rPr>
          <w:rFonts w:cs="Times New Roman"/>
          <w:noProof/>
          <w:szCs w:val="24"/>
        </w:rPr>
        <w:t xml:space="preserve">of the </w:t>
      </w:r>
      <w:r w:rsidRPr="004B4540">
        <w:rPr>
          <w:rFonts w:cs="Times New Roman"/>
          <w:noProof/>
          <w:szCs w:val="24"/>
        </w:rPr>
        <w:t>benchmarks</w:t>
      </w:r>
      <w:r w:rsidR="009A141A" w:rsidRPr="004B4540">
        <w:rPr>
          <w:rFonts w:cs="Times New Roman"/>
          <w:noProof/>
          <w:szCs w:val="24"/>
          <w:vertAlign w:val="superscript"/>
        </w:rPr>
        <w:footnoteReference w:id="42"/>
      </w:r>
      <w:r w:rsidRPr="004B4540">
        <w:rPr>
          <w:rFonts w:cs="Times New Roman"/>
          <w:noProof/>
          <w:szCs w:val="24"/>
        </w:rPr>
        <w:t xml:space="preserve"> to remove </w:t>
      </w:r>
      <w:r w:rsidR="0025338B" w:rsidRPr="004B4540">
        <w:rPr>
          <w:rFonts w:cs="Times New Roman"/>
          <w:noProof/>
          <w:szCs w:val="24"/>
        </w:rPr>
        <w:t>disincentive</w:t>
      </w:r>
      <w:r w:rsidRPr="004B4540">
        <w:rPr>
          <w:rFonts w:cs="Times New Roman"/>
          <w:noProof/>
          <w:szCs w:val="24"/>
        </w:rPr>
        <w:t xml:space="preserve">s for </w:t>
      </w:r>
      <w:r w:rsidR="001D2459" w:rsidRPr="004B4540">
        <w:rPr>
          <w:rFonts w:cs="Times New Roman"/>
          <w:noProof/>
          <w:szCs w:val="24"/>
        </w:rPr>
        <w:t xml:space="preserve">deploying new technologies, such as </w:t>
      </w:r>
      <w:r w:rsidR="00E729B4" w:rsidRPr="004B4540">
        <w:rPr>
          <w:rFonts w:cs="Times New Roman"/>
          <w:noProof/>
          <w:szCs w:val="24"/>
        </w:rPr>
        <w:t xml:space="preserve">renewable </w:t>
      </w:r>
      <w:r w:rsidR="001D2459" w:rsidRPr="004B4540">
        <w:rPr>
          <w:rFonts w:cs="Times New Roman"/>
          <w:noProof/>
          <w:szCs w:val="24"/>
        </w:rPr>
        <w:t>hydrogen or hydrogen-based steel. In parallel, conditions are introduced for accessing free allocation in the form of energy audits and, for certain installations, climate neutrality plans. The implementing rules on free allocation are currently being revised.</w:t>
      </w:r>
    </w:p>
    <w:p w14:paraId="14F37862" w14:textId="1A826EC5" w:rsidR="009A141A" w:rsidRPr="004B4540" w:rsidRDefault="00113CCC" w:rsidP="009A141A">
      <w:pPr>
        <w:pStyle w:val="CMR23-text"/>
        <w:rPr>
          <w:rFonts w:cs="Times New Roman"/>
          <w:noProof/>
          <w:szCs w:val="24"/>
        </w:rPr>
      </w:pPr>
      <w:r w:rsidRPr="004B4540">
        <w:rPr>
          <w:rFonts w:cs="Times New Roman"/>
          <w:noProof/>
          <w:szCs w:val="24"/>
        </w:rPr>
        <w:t xml:space="preserve">In certain ETS sectors (cement, aluminium, fertilisers, hydrogen, iron and steel), free allocation will be gradually replaced by a carbon border adjustment mechanism (CBAM) from 2026. </w:t>
      </w:r>
      <w:r w:rsidR="009A141A" w:rsidRPr="004B4540">
        <w:rPr>
          <w:rFonts w:cs="Times New Roman"/>
          <w:noProof/>
          <w:szCs w:val="24"/>
        </w:rPr>
        <w:t>Regulation 2023/956</w:t>
      </w:r>
      <w:r w:rsidR="009A141A" w:rsidRPr="004B4540">
        <w:rPr>
          <w:rStyle w:val="FootnoteReference"/>
          <w:rFonts w:cs="Times New Roman"/>
          <w:noProof/>
          <w:szCs w:val="24"/>
        </w:rPr>
        <w:footnoteReference w:id="43"/>
      </w:r>
      <w:r w:rsidR="009A141A" w:rsidRPr="004B4540">
        <w:rPr>
          <w:rFonts w:cs="Times New Roman"/>
          <w:noProof/>
          <w:szCs w:val="24"/>
        </w:rPr>
        <w:t xml:space="preserve"> (CBAM Regulation) </w:t>
      </w:r>
      <w:r w:rsidR="00683D31" w:rsidRPr="004B4540">
        <w:rPr>
          <w:rFonts w:cs="Times New Roman"/>
          <w:noProof/>
          <w:szCs w:val="24"/>
        </w:rPr>
        <w:t xml:space="preserve">was adopted as one of the Fit for 55 reforms to mitigate the risk of carbon leakage as the EU ramps up its climate ambition. </w:t>
      </w:r>
      <w:r w:rsidR="00625703" w:rsidRPr="004B4540">
        <w:rPr>
          <w:rFonts w:cs="Times New Roman"/>
          <w:noProof/>
          <w:szCs w:val="24"/>
        </w:rPr>
        <w:t>I</w:t>
      </w:r>
      <w:r w:rsidR="009A141A" w:rsidRPr="004B4540">
        <w:rPr>
          <w:rFonts w:cs="Times New Roman"/>
          <w:noProof/>
          <w:szCs w:val="24"/>
        </w:rPr>
        <w:t>mporters of products in CBAM sectors will incur a charge for the embedded emissions</w:t>
      </w:r>
      <w:r w:rsidR="005E6947" w:rsidRPr="004B4540">
        <w:rPr>
          <w:rFonts w:cs="Times New Roman"/>
          <w:noProof/>
          <w:szCs w:val="24"/>
        </w:rPr>
        <w:t xml:space="preserve"> equivalent to what EU producers pay</w:t>
      </w:r>
      <w:r w:rsidR="00DA04B8" w:rsidRPr="004B4540">
        <w:rPr>
          <w:rFonts w:cs="Times New Roman"/>
          <w:noProof/>
          <w:szCs w:val="24"/>
        </w:rPr>
        <w:t xml:space="preserve"> under the EU ETS</w:t>
      </w:r>
      <w:r w:rsidR="009A141A" w:rsidRPr="004B4540">
        <w:rPr>
          <w:rFonts w:cs="Times New Roman"/>
          <w:noProof/>
          <w:szCs w:val="24"/>
        </w:rPr>
        <w:t xml:space="preserve">. </w:t>
      </w:r>
      <w:r w:rsidR="00F01589" w:rsidRPr="004B4540">
        <w:rPr>
          <w:rFonts w:cs="Times New Roman"/>
          <w:noProof/>
          <w:szCs w:val="24"/>
        </w:rPr>
        <w:t>A transitional period beginning in 2023 gradually introduces the new regime</w:t>
      </w:r>
      <w:r w:rsidR="00F01589" w:rsidRPr="004B4540">
        <w:rPr>
          <w:rStyle w:val="FootnoteReference"/>
          <w:rFonts w:cs="Times New Roman"/>
          <w:noProof/>
          <w:szCs w:val="24"/>
        </w:rPr>
        <w:footnoteReference w:id="44"/>
      </w:r>
      <w:r w:rsidR="00F01589" w:rsidRPr="004B4540">
        <w:rPr>
          <w:rFonts w:cs="Times New Roman"/>
          <w:noProof/>
          <w:szCs w:val="24"/>
        </w:rPr>
        <w:t>. The revenue from phasing out free allowances for CBAM sectors will be used to increase the Innovation Fund's budget.</w:t>
      </w:r>
      <w:r w:rsidR="00F450BB" w:rsidRPr="004B4540">
        <w:rPr>
          <w:rFonts w:cs="Times New Roman"/>
          <w:noProof/>
          <w:szCs w:val="24"/>
        </w:rPr>
        <w:t xml:space="preserve"> </w:t>
      </w:r>
    </w:p>
    <w:p w14:paraId="28CAF73C" w14:textId="4E37FB80" w:rsidR="00286BA6" w:rsidRPr="004B4540" w:rsidRDefault="00175BA6" w:rsidP="00F84ECB">
      <w:pPr>
        <w:pStyle w:val="CMR23-heading"/>
        <w:rPr>
          <w:rFonts w:cs="Times New Roman"/>
          <w:noProof/>
          <w:sz w:val="24"/>
          <w:szCs w:val="24"/>
          <w:lang w:val="en-GB"/>
        </w:rPr>
      </w:pPr>
      <w:bookmarkStart w:id="41" w:name="_Toc145453236"/>
      <w:bookmarkStart w:id="42" w:name="_Toc148555881"/>
      <w:r w:rsidRPr="004B4540">
        <w:rPr>
          <w:rFonts w:cs="Times New Roman"/>
          <w:noProof/>
          <w:sz w:val="24"/>
          <w:szCs w:val="24"/>
          <w:lang w:val="en-GB"/>
        </w:rPr>
        <w:t>Revenues from emissions trading</w:t>
      </w:r>
      <w:bookmarkEnd w:id="41"/>
      <w:bookmarkEnd w:id="42"/>
    </w:p>
    <w:p w14:paraId="3281D294" w14:textId="2CDCB647" w:rsidR="006B40FC" w:rsidRPr="004B4540" w:rsidRDefault="00BC269D" w:rsidP="006B40FC">
      <w:pPr>
        <w:pStyle w:val="CMR23-text"/>
        <w:rPr>
          <w:rFonts w:cs="Times New Roman"/>
          <w:noProof/>
          <w:szCs w:val="24"/>
        </w:rPr>
      </w:pPr>
      <w:r w:rsidRPr="004B4540">
        <w:rPr>
          <w:rFonts w:cs="Times New Roman"/>
          <w:noProof/>
          <w:szCs w:val="24"/>
        </w:rPr>
        <w:t xml:space="preserve">The EU ETS generates substantial revenue that </w:t>
      </w:r>
      <w:r w:rsidR="009769EC" w:rsidRPr="004B4540">
        <w:rPr>
          <w:rFonts w:cs="Times New Roman"/>
          <w:noProof/>
          <w:szCs w:val="24"/>
        </w:rPr>
        <w:t>is</w:t>
      </w:r>
      <w:r w:rsidRPr="004B4540">
        <w:rPr>
          <w:rFonts w:cs="Times New Roman"/>
          <w:noProof/>
          <w:szCs w:val="24"/>
        </w:rPr>
        <w:t xml:space="preserve"> used to advance climate action</w:t>
      </w:r>
      <w:r w:rsidR="009B7F70" w:rsidRPr="004B4540">
        <w:rPr>
          <w:rFonts w:cs="Times New Roman"/>
          <w:noProof/>
          <w:szCs w:val="24"/>
        </w:rPr>
        <w:t xml:space="preserve">. </w:t>
      </w:r>
      <w:r w:rsidR="009769EC" w:rsidRPr="004B4540">
        <w:rPr>
          <w:rFonts w:cs="Times New Roman"/>
          <w:noProof/>
          <w:szCs w:val="24"/>
        </w:rPr>
        <w:t xml:space="preserve">This includes financing investments in energy transformation, industrial decarbonisation and technological innovation as well as </w:t>
      </w:r>
      <w:bookmarkStart w:id="43" w:name="_Hlk146629568"/>
      <w:r w:rsidR="009769EC" w:rsidRPr="004B4540">
        <w:rPr>
          <w:rFonts w:cs="Times New Roman"/>
          <w:noProof/>
          <w:szCs w:val="24"/>
        </w:rPr>
        <w:t>social measures in support of the green transition</w:t>
      </w:r>
      <w:bookmarkEnd w:id="43"/>
      <w:r w:rsidR="009769EC" w:rsidRPr="004B4540">
        <w:rPr>
          <w:rFonts w:cs="Times New Roman"/>
          <w:noProof/>
          <w:szCs w:val="24"/>
        </w:rPr>
        <w:t xml:space="preserve">. </w:t>
      </w:r>
      <w:r w:rsidR="009B7F70" w:rsidRPr="004B4540">
        <w:rPr>
          <w:rFonts w:cs="Times New Roman"/>
          <w:noProof/>
          <w:szCs w:val="24"/>
        </w:rPr>
        <w:t>This</w:t>
      </w:r>
      <w:r w:rsidR="009769EC" w:rsidRPr="004B4540">
        <w:rPr>
          <w:rFonts w:cs="Times New Roman"/>
          <w:noProof/>
          <w:szCs w:val="24"/>
        </w:rPr>
        <w:t xml:space="preserve"> way</w:t>
      </w:r>
      <w:r w:rsidR="00FE0074" w:rsidRPr="004B4540">
        <w:rPr>
          <w:rFonts w:cs="Times New Roman"/>
          <w:noProof/>
          <w:szCs w:val="24"/>
        </w:rPr>
        <w:t xml:space="preserve">, </w:t>
      </w:r>
      <w:r w:rsidRPr="004B4540">
        <w:rPr>
          <w:rFonts w:cs="Times New Roman"/>
          <w:noProof/>
          <w:szCs w:val="24"/>
        </w:rPr>
        <w:t xml:space="preserve">ETS sectors’ exposure to the carbon price </w:t>
      </w:r>
      <w:r w:rsidR="009769EC" w:rsidRPr="004B4540">
        <w:rPr>
          <w:rFonts w:cs="Times New Roman"/>
          <w:noProof/>
          <w:szCs w:val="24"/>
        </w:rPr>
        <w:t xml:space="preserve">can also be reduced </w:t>
      </w:r>
      <w:r w:rsidRPr="004B4540">
        <w:rPr>
          <w:rFonts w:cs="Times New Roman"/>
          <w:noProof/>
          <w:szCs w:val="24"/>
        </w:rPr>
        <w:t xml:space="preserve">over time. </w:t>
      </w:r>
      <w:r w:rsidR="006B40FC" w:rsidRPr="004B4540">
        <w:rPr>
          <w:rFonts w:cs="Times New Roman"/>
          <w:noProof/>
          <w:szCs w:val="24"/>
        </w:rPr>
        <w:t>A higher carbon price leads to higher revenue.</w:t>
      </w:r>
    </w:p>
    <w:p w14:paraId="69D64150" w14:textId="5B3B6654" w:rsidR="00BC269D" w:rsidRPr="004B4540" w:rsidRDefault="00D87004" w:rsidP="00BC269D">
      <w:pPr>
        <w:pStyle w:val="CMR23-text"/>
        <w:rPr>
          <w:rFonts w:cs="Times New Roman"/>
          <w:noProof/>
          <w:szCs w:val="24"/>
        </w:rPr>
      </w:pPr>
      <w:r w:rsidRPr="004B4540">
        <w:rPr>
          <w:rFonts w:cs="Times New Roman"/>
          <w:noProof/>
          <w:szCs w:val="24"/>
        </w:rPr>
        <w:t xml:space="preserve">The revenue from auctioning allowances in the EU ETS goes predominantly to Member States’ budgets. </w:t>
      </w:r>
      <w:r w:rsidR="00085809" w:rsidRPr="004B4540">
        <w:rPr>
          <w:rFonts w:cs="Times New Roman"/>
          <w:noProof/>
          <w:szCs w:val="24"/>
        </w:rPr>
        <w:t>In addition, a portion of allowances is auctioned and funds the Innovation Fund and the Modernisation Fund. The Innovation Fund succeeded the NER 300 programme, which was funded by the EU ETS up to 2020</w:t>
      </w:r>
      <w:r w:rsidR="00BC269D" w:rsidRPr="004B4540">
        <w:rPr>
          <w:rFonts w:cs="Times New Roman"/>
          <w:noProof/>
          <w:szCs w:val="24"/>
        </w:rPr>
        <w:t xml:space="preserve">. </w:t>
      </w:r>
      <w:r w:rsidR="00723C62" w:rsidRPr="004B4540">
        <w:rPr>
          <w:rFonts w:cs="Times New Roman"/>
          <w:noProof/>
          <w:szCs w:val="24"/>
        </w:rPr>
        <w:t>T</w:t>
      </w:r>
      <w:r w:rsidR="001F2120">
        <w:rPr>
          <w:rFonts w:cs="Times New Roman"/>
          <w:noProof/>
          <w:szCs w:val="24"/>
        </w:rPr>
        <w:t>ables 2 and 3 in t</w:t>
      </w:r>
      <w:r w:rsidR="00723C62" w:rsidRPr="004B4540">
        <w:rPr>
          <w:rFonts w:cs="Times New Roman"/>
          <w:noProof/>
          <w:szCs w:val="24"/>
        </w:rPr>
        <w:t xml:space="preserve">he </w:t>
      </w:r>
      <w:r w:rsidR="004A3C8F">
        <w:rPr>
          <w:rFonts w:cs="Times New Roman"/>
          <w:noProof/>
          <w:szCs w:val="24"/>
        </w:rPr>
        <w:t>Staff working document</w:t>
      </w:r>
      <w:r w:rsidR="009F78C2">
        <w:rPr>
          <w:rStyle w:val="FootnoteReference"/>
          <w:rFonts w:cs="Times New Roman"/>
          <w:noProof/>
          <w:szCs w:val="24"/>
        </w:rPr>
        <w:footnoteReference w:id="45"/>
      </w:r>
      <w:r w:rsidR="00723C62" w:rsidRPr="004B4540">
        <w:rPr>
          <w:rFonts w:cs="Times New Roman"/>
          <w:noProof/>
          <w:szCs w:val="24"/>
        </w:rPr>
        <w:t xml:space="preserve"> include a</w:t>
      </w:r>
      <w:r w:rsidR="005436DD" w:rsidRPr="004B4540">
        <w:rPr>
          <w:rFonts w:cs="Times New Roman"/>
          <w:noProof/>
          <w:szCs w:val="24"/>
        </w:rPr>
        <w:t xml:space="preserve"> breakdown of the 2022 ETS revenue per </w:t>
      </w:r>
      <w:r w:rsidR="00D11D39" w:rsidRPr="004B4540">
        <w:rPr>
          <w:rFonts w:cs="Times New Roman"/>
          <w:noProof/>
          <w:szCs w:val="24"/>
        </w:rPr>
        <w:t>EU ETS country</w:t>
      </w:r>
      <w:r w:rsidR="001F2120">
        <w:rPr>
          <w:rFonts w:cs="Times New Roman"/>
          <w:noProof/>
          <w:szCs w:val="24"/>
        </w:rPr>
        <w:t xml:space="preserve"> and Table 4 </w:t>
      </w:r>
      <w:r w:rsidR="00DE046F">
        <w:rPr>
          <w:rFonts w:cs="Times New Roman"/>
          <w:noProof/>
          <w:szCs w:val="24"/>
        </w:rPr>
        <w:t xml:space="preserve">shows </w:t>
      </w:r>
      <w:r w:rsidR="009C483E" w:rsidRPr="004B4540">
        <w:rPr>
          <w:rFonts w:cs="Times New Roman"/>
          <w:noProof/>
          <w:szCs w:val="24"/>
        </w:rPr>
        <w:t xml:space="preserve">revenue </w:t>
      </w:r>
      <w:r w:rsidR="00803C29" w:rsidRPr="004B4540">
        <w:rPr>
          <w:rFonts w:cs="Times New Roman"/>
          <w:noProof/>
          <w:szCs w:val="24"/>
        </w:rPr>
        <w:t>generated</w:t>
      </w:r>
      <w:r w:rsidR="00906E88" w:rsidRPr="004B4540">
        <w:rPr>
          <w:rFonts w:cs="Times New Roman"/>
          <w:noProof/>
          <w:szCs w:val="24"/>
        </w:rPr>
        <w:t xml:space="preserve"> in 2022</w:t>
      </w:r>
      <w:r w:rsidR="00803C29" w:rsidRPr="004B4540">
        <w:rPr>
          <w:rFonts w:cs="Times New Roman"/>
          <w:noProof/>
          <w:szCs w:val="24"/>
        </w:rPr>
        <w:t xml:space="preserve"> for </w:t>
      </w:r>
      <w:r w:rsidR="005436DD" w:rsidRPr="004B4540">
        <w:rPr>
          <w:rFonts w:cs="Times New Roman"/>
          <w:noProof/>
          <w:szCs w:val="24"/>
        </w:rPr>
        <w:t xml:space="preserve">the Innovation </w:t>
      </w:r>
      <w:r w:rsidR="0025661A" w:rsidRPr="004B4540">
        <w:rPr>
          <w:rFonts w:cs="Times New Roman"/>
          <w:noProof/>
          <w:szCs w:val="24"/>
        </w:rPr>
        <w:t xml:space="preserve">Fund </w:t>
      </w:r>
      <w:r w:rsidR="005436DD" w:rsidRPr="004B4540">
        <w:rPr>
          <w:rFonts w:cs="Times New Roman"/>
          <w:noProof/>
          <w:szCs w:val="24"/>
        </w:rPr>
        <w:t>and Modernisation Fund</w:t>
      </w:r>
      <w:r w:rsidR="00906E88" w:rsidRPr="004B4540">
        <w:rPr>
          <w:rFonts w:cs="Times New Roman"/>
          <w:noProof/>
          <w:szCs w:val="24"/>
        </w:rPr>
        <w:t>.</w:t>
      </w:r>
      <w:r w:rsidR="00D11D39" w:rsidRPr="004B4540">
        <w:rPr>
          <w:rFonts w:cs="Times New Roman"/>
          <w:noProof/>
          <w:szCs w:val="24"/>
        </w:rPr>
        <w:t xml:space="preserve"> </w:t>
      </w:r>
      <w:r w:rsidR="00B254F8">
        <w:rPr>
          <w:rFonts w:cs="Times New Roman"/>
          <w:noProof/>
          <w:szCs w:val="24"/>
        </w:rPr>
        <w:t>T</w:t>
      </w:r>
      <w:r w:rsidR="0068281C">
        <w:rPr>
          <w:rFonts w:cs="Times New Roman"/>
          <w:noProof/>
          <w:szCs w:val="24"/>
        </w:rPr>
        <w:t xml:space="preserve">he </w:t>
      </w:r>
      <w:r w:rsidR="004A3C8F">
        <w:rPr>
          <w:rFonts w:cs="Times New Roman"/>
          <w:noProof/>
          <w:szCs w:val="24"/>
        </w:rPr>
        <w:t>Staff working document</w:t>
      </w:r>
      <w:r w:rsidR="009F78C2">
        <w:rPr>
          <w:rStyle w:val="FootnoteReference"/>
          <w:rFonts w:cs="Times New Roman"/>
          <w:noProof/>
          <w:szCs w:val="24"/>
        </w:rPr>
        <w:footnoteReference w:id="46"/>
      </w:r>
      <w:r w:rsidR="00906E88" w:rsidRPr="004B4540">
        <w:rPr>
          <w:rFonts w:cs="Times New Roman"/>
          <w:noProof/>
          <w:szCs w:val="24"/>
        </w:rPr>
        <w:t xml:space="preserve"> also includes</w:t>
      </w:r>
      <w:r w:rsidR="00D11D39" w:rsidRPr="004B4540">
        <w:rPr>
          <w:rFonts w:cs="Times New Roman"/>
          <w:noProof/>
          <w:szCs w:val="24"/>
        </w:rPr>
        <w:t xml:space="preserve"> a summary </w:t>
      </w:r>
      <w:r w:rsidR="00504FB3" w:rsidRPr="004B4540">
        <w:rPr>
          <w:rFonts w:cs="Times New Roman"/>
          <w:noProof/>
          <w:szCs w:val="24"/>
        </w:rPr>
        <w:t xml:space="preserve">of </w:t>
      </w:r>
      <w:r w:rsidR="00D11D39" w:rsidRPr="004B4540">
        <w:rPr>
          <w:rFonts w:cs="Times New Roman"/>
          <w:noProof/>
          <w:szCs w:val="24"/>
        </w:rPr>
        <w:t>NER</w:t>
      </w:r>
      <w:r w:rsidR="00E53BEF" w:rsidRPr="004B4540">
        <w:rPr>
          <w:rFonts w:cs="Times New Roman"/>
          <w:noProof/>
          <w:szCs w:val="24"/>
        </w:rPr>
        <w:t> </w:t>
      </w:r>
      <w:r w:rsidR="00D11D39" w:rsidRPr="004B4540">
        <w:rPr>
          <w:rFonts w:cs="Times New Roman"/>
          <w:noProof/>
          <w:szCs w:val="24"/>
        </w:rPr>
        <w:t>300</w:t>
      </w:r>
      <w:r w:rsidR="0025661A" w:rsidRPr="004B4540">
        <w:rPr>
          <w:rFonts w:cs="Times New Roman"/>
          <w:noProof/>
          <w:szCs w:val="24"/>
        </w:rPr>
        <w:t xml:space="preserve"> implementation</w:t>
      </w:r>
      <w:r w:rsidR="00634781">
        <w:rPr>
          <w:rFonts w:cs="Times New Roman"/>
          <w:noProof/>
          <w:szCs w:val="24"/>
        </w:rPr>
        <w:t xml:space="preserve"> and projects supported through its funds (Table 5)</w:t>
      </w:r>
      <w:r w:rsidR="005436DD" w:rsidRPr="004B4540">
        <w:rPr>
          <w:rFonts w:cs="Times New Roman"/>
          <w:noProof/>
          <w:szCs w:val="24"/>
        </w:rPr>
        <w:t>.</w:t>
      </w:r>
    </w:p>
    <w:p w14:paraId="22FCCFA8" w14:textId="412E7C64" w:rsidR="009769EC" w:rsidRPr="004B4540" w:rsidRDefault="00886753" w:rsidP="009769EC">
      <w:pPr>
        <w:pStyle w:val="CMR23-text"/>
        <w:rPr>
          <w:rFonts w:cs="Times New Roman"/>
          <w:noProof/>
          <w:szCs w:val="24"/>
        </w:rPr>
      </w:pPr>
      <w:r w:rsidRPr="004B4540">
        <w:rPr>
          <w:rFonts w:cs="Times New Roman"/>
          <w:noProof/>
          <w:szCs w:val="24"/>
        </w:rPr>
        <w:t>In 2022, the EU ETS generated a total of EUR 38.8 billion in auction revenue, EUR 7.7 billion more than in 2021. Of this amount, EUR 29.7 billion was distributed directly to Member States</w:t>
      </w:r>
      <w:r w:rsidR="00E468B1" w:rsidRPr="004B4540">
        <w:rPr>
          <w:rStyle w:val="FootnoteReference"/>
          <w:rFonts w:cs="Times New Roman"/>
          <w:noProof/>
          <w:szCs w:val="24"/>
        </w:rPr>
        <w:footnoteReference w:id="47"/>
      </w:r>
      <w:r w:rsidR="00E468B1" w:rsidRPr="004B4540">
        <w:rPr>
          <w:rFonts w:cs="Times New Roman"/>
          <w:noProof/>
          <w:szCs w:val="24"/>
        </w:rPr>
        <w:t>.</w:t>
      </w:r>
      <w:r w:rsidR="007F2FE9" w:rsidRPr="004B4540">
        <w:rPr>
          <w:rFonts w:cs="Times New Roman"/>
          <w:noProof/>
          <w:szCs w:val="24"/>
        </w:rPr>
        <w:t xml:space="preserve"> </w:t>
      </w:r>
      <w:r w:rsidR="00D34EC2" w:rsidRPr="004B4540">
        <w:rPr>
          <w:rFonts w:cs="Times New Roman"/>
          <w:noProof/>
          <w:szCs w:val="24"/>
        </w:rPr>
        <w:t xml:space="preserve">They reported that they spent 76% of this revenue on average on climate- and energy-related projects – the same as in 2021 and in line </w:t>
      </w:r>
      <w:r w:rsidR="009769EC" w:rsidRPr="004B4540">
        <w:rPr>
          <w:rFonts w:cs="Times New Roman"/>
          <w:noProof/>
          <w:szCs w:val="24"/>
        </w:rPr>
        <w:t>with</w:t>
      </w:r>
      <w:r w:rsidR="00031BAC" w:rsidRPr="004B4540">
        <w:rPr>
          <w:rFonts w:cs="Times New Roman"/>
          <w:noProof/>
          <w:szCs w:val="24"/>
        </w:rPr>
        <w:t xml:space="preserve"> the</w:t>
      </w:r>
      <w:r w:rsidR="009769EC" w:rsidRPr="004B4540">
        <w:rPr>
          <w:rFonts w:cs="Times New Roman"/>
          <w:noProof/>
          <w:szCs w:val="24"/>
        </w:rPr>
        <w:t xml:space="preserve"> 75% average in 2013-</w:t>
      </w:r>
      <w:r w:rsidR="00602BCD" w:rsidRPr="004B4540">
        <w:rPr>
          <w:rFonts w:cs="Times New Roman"/>
          <w:noProof/>
          <w:szCs w:val="24"/>
        </w:rPr>
        <w:t>2020</w:t>
      </w:r>
      <w:r w:rsidR="009769EC" w:rsidRPr="004B4540">
        <w:rPr>
          <w:rFonts w:cs="Times New Roman"/>
          <w:noProof/>
          <w:szCs w:val="24"/>
        </w:rPr>
        <w:t>.</w:t>
      </w:r>
      <w:r w:rsidR="005436DD" w:rsidRPr="004B4540">
        <w:rPr>
          <w:rFonts w:cs="Times New Roman"/>
          <w:noProof/>
          <w:szCs w:val="24"/>
        </w:rPr>
        <w:t xml:space="preserve"> </w:t>
      </w:r>
      <w:r w:rsidR="008462E8" w:rsidRPr="004B4540">
        <w:rPr>
          <w:rFonts w:cs="Times New Roman"/>
          <w:noProof/>
          <w:szCs w:val="24"/>
        </w:rPr>
        <w:t>About 25% of Member State revenue is earmarked for specific climate and energy actions, 27% goes to dedicated environmental funds and 48% goes to national budgets. Member States have also continued to use their revenue to address the social impact of the energy crisis. A more detailed overview of Member States’ reporting on the use of their ETS revenue in 2022 is available in the 2023 Climate Action Progress Report</w:t>
      </w:r>
      <w:r w:rsidR="008462E8" w:rsidRPr="004B4540">
        <w:rPr>
          <w:rStyle w:val="FootnoteReference"/>
          <w:rFonts w:cs="Times New Roman"/>
          <w:noProof/>
          <w:szCs w:val="24"/>
        </w:rPr>
        <w:footnoteReference w:id="48"/>
      </w:r>
      <w:r w:rsidR="008462E8" w:rsidRPr="004B4540">
        <w:rPr>
          <w:rFonts w:cs="Times New Roman"/>
          <w:noProof/>
          <w:szCs w:val="24"/>
        </w:rPr>
        <w:t>.</w:t>
      </w:r>
    </w:p>
    <w:p w14:paraId="5B9497B7" w14:textId="2AED674C" w:rsidR="00BC269D" w:rsidRPr="004B4540" w:rsidRDefault="00F5603C" w:rsidP="00BC269D">
      <w:pPr>
        <w:pStyle w:val="CMR23-text"/>
        <w:rPr>
          <w:rFonts w:cs="Times New Roman"/>
          <w:noProof/>
          <w:szCs w:val="24"/>
        </w:rPr>
      </w:pPr>
      <w:r w:rsidRPr="004B4540">
        <w:rPr>
          <w:rFonts w:cs="Times New Roman"/>
          <w:noProof/>
          <w:szCs w:val="24"/>
        </w:rPr>
        <w:t>Before the latest revision, the ETS Directive required that Member States use at least 50% of their auction revenue</w:t>
      </w:r>
      <w:r w:rsidRPr="004B4540">
        <w:rPr>
          <w:rStyle w:val="FootnoteReference"/>
          <w:rFonts w:cs="Times New Roman"/>
          <w:noProof/>
          <w:szCs w:val="24"/>
        </w:rPr>
        <w:footnoteReference w:id="49"/>
      </w:r>
      <w:r w:rsidRPr="004B4540">
        <w:rPr>
          <w:rFonts w:cs="Times New Roman"/>
          <w:noProof/>
          <w:szCs w:val="24"/>
        </w:rPr>
        <w:t xml:space="preserve"> and all revenue from aviation allowances for climate- and energy-related purposes. The revised Directive introduces an obligation for Member States to spend all revenue from the EU ETS</w:t>
      </w:r>
      <w:r w:rsidRPr="004B4540">
        <w:rPr>
          <w:rStyle w:val="FootnoteReference"/>
          <w:rFonts w:cs="Times New Roman"/>
          <w:noProof/>
          <w:szCs w:val="24"/>
        </w:rPr>
        <w:footnoteReference w:id="50"/>
      </w:r>
      <w:r w:rsidRPr="004B4540">
        <w:rPr>
          <w:rFonts w:cs="Times New Roman"/>
          <w:noProof/>
          <w:szCs w:val="24"/>
        </w:rPr>
        <w:t xml:space="preserve"> (or an equivalent amount) on the green transition, including social measures. In the context of the extended scope, Member States are also encouraged to support the decarbonisation of maritime transport and marine biodiversity protection. The revised spending rules already entered into force on 5 June 2023; next year’s report will </w:t>
      </w:r>
      <w:r w:rsidR="00D37958" w:rsidRPr="004B4540">
        <w:rPr>
          <w:rFonts w:cs="Times New Roman"/>
          <w:noProof/>
          <w:szCs w:val="24"/>
        </w:rPr>
        <w:t>cover this</w:t>
      </w:r>
      <w:r w:rsidR="00F27292" w:rsidRPr="004B4540">
        <w:rPr>
          <w:rFonts w:cs="Times New Roman"/>
          <w:noProof/>
          <w:szCs w:val="24"/>
        </w:rPr>
        <w:t xml:space="preserve">. </w:t>
      </w:r>
    </w:p>
    <w:p w14:paraId="10B0437B" w14:textId="7AF55EAC" w:rsidR="00D16A0A" w:rsidRPr="004B4540" w:rsidRDefault="00305271" w:rsidP="00B36B2C">
      <w:pPr>
        <w:pStyle w:val="CMR2023-SUBheading"/>
        <w:rPr>
          <w:rFonts w:cs="Times New Roman"/>
          <w:noProof/>
          <w:szCs w:val="24"/>
        </w:rPr>
      </w:pPr>
      <w:bookmarkStart w:id="44" w:name="_Toc145453237"/>
      <w:bookmarkStart w:id="45" w:name="_Toc148555882"/>
      <w:r w:rsidRPr="004B4540">
        <w:rPr>
          <w:rFonts w:cs="Times New Roman"/>
          <w:noProof/>
          <w:szCs w:val="24"/>
        </w:rPr>
        <w:t>I</w:t>
      </w:r>
      <w:r w:rsidR="00E87C91" w:rsidRPr="004B4540">
        <w:rPr>
          <w:rFonts w:cs="Times New Roman"/>
          <w:noProof/>
          <w:szCs w:val="24"/>
        </w:rPr>
        <w:t>ndirect carbon costs</w:t>
      </w:r>
      <w:bookmarkEnd w:id="44"/>
      <w:bookmarkEnd w:id="45"/>
    </w:p>
    <w:p w14:paraId="389B133D" w14:textId="27D5654A" w:rsidR="001B6047" w:rsidRPr="004B4540" w:rsidRDefault="001B6047" w:rsidP="001B6047">
      <w:pPr>
        <w:spacing w:before="240" w:after="240"/>
        <w:jc w:val="both"/>
        <w:rPr>
          <w:rFonts w:ascii="Times New Roman" w:hAnsi="Times New Roman" w:cs="Times New Roman"/>
          <w:bCs/>
          <w:noProof/>
          <w:sz w:val="24"/>
          <w:szCs w:val="24"/>
        </w:rPr>
      </w:pPr>
      <w:r w:rsidRPr="004B4540">
        <w:rPr>
          <w:rFonts w:ascii="Times New Roman" w:hAnsi="Times New Roman" w:cs="Times New Roman"/>
          <w:bCs/>
          <w:noProof/>
          <w:sz w:val="24"/>
          <w:szCs w:val="24"/>
        </w:rPr>
        <w:t xml:space="preserve">Member States can grant State aid to certain </w:t>
      </w:r>
      <w:r w:rsidR="00767BF5" w:rsidRPr="004B4540">
        <w:rPr>
          <w:rFonts w:ascii="Times New Roman" w:hAnsi="Times New Roman" w:cs="Times New Roman"/>
          <w:bCs/>
          <w:noProof/>
          <w:sz w:val="24"/>
          <w:szCs w:val="24"/>
        </w:rPr>
        <w:t>electricity</w:t>
      </w:r>
      <w:r w:rsidRPr="004B4540">
        <w:rPr>
          <w:rFonts w:ascii="Times New Roman" w:hAnsi="Times New Roman" w:cs="Times New Roman"/>
          <w:bCs/>
          <w:noProof/>
          <w:sz w:val="24"/>
          <w:szCs w:val="24"/>
        </w:rPr>
        <w:t xml:space="preserve">-intensive industries for carbon costs arising from indirect emissions, specifically from high electricity prices due to </w:t>
      </w:r>
      <w:r w:rsidR="008B4A3C" w:rsidRPr="004B4540">
        <w:rPr>
          <w:rFonts w:ascii="Times New Roman" w:hAnsi="Times New Roman" w:cs="Times New Roman"/>
          <w:bCs/>
          <w:noProof/>
          <w:sz w:val="24"/>
          <w:szCs w:val="24"/>
        </w:rPr>
        <w:t>energy companies</w:t>
      </w:r>
      <w:r w:rsidRPr="004B4540">
        <w:rPr>
          <w:rFonts w:ascii="Times New Roman" w:hAnsi="Times New Roman" w:cs="Times New Roman"/>
          <w:bCs/>
          <w:noProof/>
          <w:sz w:val="24"/>
          <w:szCs w:val="24"/>
        </w:rPr>
        <w:t xml:space="preserve"> passing on the cost of buying allowances to consumers. </w:t>
      </w:r>
      <w:r w:rsidR="008545CC" w:rsidRPr="004B4540">
        <w:rPr>
          <w:rFonts w:ascii="Times New Roman" w:hAnsi="Times New Roman" w:cs="Times New Roman"/>
          <w:bCs/>
          <w:noProof/>
          <w:sz w:val="24"/>
          <w:szCs w:val="24"/>
        </w:rPr>
        <w:t>The Commission adopted EU ETS State aid guidelines t</w:t>
      </w:r>
      <w:r w:rsidRPr="004B4540">
        <w:rPr>
          <w:rFonts w:ascii="Times New Roman" w:hAnsi="Times New Roman" w:cs="Times New Roman"/>
          <w:bCs/>
          <w:noProof/>
          <w:sz w:val="24"/>
          <w:szCs w:val="24"/>
        </w:rPr>
        <w:t xml:space="preserve">o harmonise implementation of </w:t>
      </w:r>
      <w:r w:rsidR="006D44DF" w:rsidRPr="004B4540">
        <w:rPr>
          <w:rFonts w:ascii="Times New Roman" w:hAnsi="Times New Roman" w:cs="Times New Roman"/>
          <w:bCs/>
          <w:noProof/>
          <w:sz w:val="24"/>
          <w:szCs w:val="24"/>
        </w:rPr>
        <w:t>this</w:t>
      </w:r>
      <w:r w:rsidRPr="004B4540">
        <w:rPr>
          <w:rFonts w:ascii="Times New Roman" w:hAnsi="Times New Roman" w:cs="Times New Roman"/>
          <w:bCs/>
          <w:noProof/>
          <w:sz w:val="24"/>
          <w:szCs w:val="24"/>
        </w:rPr>
        <w:t xml:space="preserve"> aid between Member States and minimise competition distortions </w:t>
      </w:r>
      <w:r w:rsidR="00596C37" w:rsidRPr="004B4540">
        <w:rPr>
          <w:rFonts w:ascii="Times New Roman" w:hAnsi="Times New Roman" w:cs="Times New Roman"/>
          <w:bCs/>
          <w:noProof/>
          <w:sz w:val="24"/>
          <w:szCs w:val="24"/>
        </w:rPr>
        <w:t>i</w:t>
      </w:r>
      <w:r w:rsidRPr="004B4540">
        <w:rPr>
          <w:rFonts w:ascii="Times New Roman" w:hAnsi="Times New Roman" w:cs="Times New Roman"/>
          <w:bCs/>
          <w:noProof/>
          <w:sz w:val="24"/>
          <w:szCs w:val="24"/>
        </w:rPr>
        <w:t xml:space="preserve">n the </w:t>
      </w:r>
      <w:r w:rsidR="00596C37" w:rsidRPr="004B4540">
        <w:rPr>
          <w:rFonts w:ascii="Times New Roman" w:hAnsi="Times New Roman" w:cs="Times New Roman"/>
          <w:bCs/>
          <w:noProof/>
          <w:sz w:val="24"/>
          <w:szCs w:val="24"/>
        </w:rPr>
        <w:t>single</w:t>
      </w:r>
      <w:r w:rsidRPr="004B4540">
        <w:rPr>
          <w:rFonts w:ascii="Times New Roman" w:hAnsi="Times New Roman" w:cs="Times New Roman"/>
          <w:bCs/>
          <w:noProof/>
          <w:sz w:val="24"/>
          <w:szCs w:val="24"/>
        </w:rPr>
        <w:t xml:space="preserve"> market. These guidelines first applied to indirect costs incurred </w:t>
      </w:r>
      <w:r w:rsidR="00ED3D89" w:rsidRPr="004B4540">
        <w:rPr>
          <w:rFonts w:ascii="Times New Roman" w:hAnsi="Times New Roman" w:cs="Times New Roman"/>
          <w:bCs/>
          <w:noProof/>
          <w:sz w:val="24"/>
          <w:szCs w:val="24"/>
        </w:rPr>
        <w:t>in</w:t>
      </w:r>
      <w:r w:rsidRPr="004B4540">
        <w:rPr>
          <w:rFonts w:ascii="Times New Roman" w:hAnsi="Times New Roman" w:cs="Times New Roman"/>
          <w:bCs/>
          <w:noProof/>
          <w:sz w:val="24"/>
          <w:szCs w:val="24"/>
        </w:rPr>
        <w:t xml:space="preserve"> 2013</w:t>
      </w:r>
      <w:r w:rsidR="00ED3D89" w:rsidRPr="004B4540">
        <w:rPr>
          <w:rFonts w:ascii="Times New Roman" w:hAnsi="Times New Roman" w:cs="Times New Roman"/>
          <w:bCs/>
          <w:noProof/>
          <w:sz w:val="24"/>
          <w:szCs w:val="24"/>
        </w:rPr>
        <w:t>-</w:t>
      </w:r>
      <w:r w:rsidRPr="004B4540">
        <w:rPr>
          <w:rFonts w:ascii="Times New Roman" w:hAnsi="Times New Roman" w:cs="Times New Roman"/>
          <w:bCs/>
          <w:noProof/>
          <w:sz w:val="24"/>
          <w:szCs w:val="24"/>
        </w:rPr>
        <w:t>2020</w:t>
      </w:r>
      <w:r w:rsidRPr="004B4540">
        <w:rPr>
          <w:rStyle w:val="FootnoteReference"/>
          <w:rFonts w:ascii="Times New Roman" w:hAnsi="Times New Roman" w:cs="Times New Roman"/>
          <w:bCs/>
          <w:noProof/>
          <w:sz w:val="24"/>
          <w:szCs w:val="24"/>
        </w:rPr>
        <w:footnoteReference w:id="51"/>
      </w:r>
      <w:r w:rsidRPr="004B4540">
        <w:rPr>
          <w:rFonts w:ascii="Times New Roman" w:hAnsi="Times New Roman" w:cs="Times New Roman"/>
          <w:bCs/>
          <w:noProof/>
          <w:sz w:val="24"/>
          <w:szCs w:val="24"/>
        </w:rPr>
        <w:t>. The</w:t>
      </w:r>
      <w:r w:rsidR="00ED3D89" w:rsidRPr="004B4540">
        <w:rPr>
          <w:rFonts w:ascii="Times New Roman" w:hAnsi="Times New Roman" w:cs="Times New Roman"/>
          <w:bCs/>
          <w:noProof/>
          <w:sz w:val="24"/>
          <w:szCs w:val="24"/>
        </w:rPr>
        <w:t xml:space="preserve"> guidelines</w:t>
      </w:r>
      <w:r w:rsidRPr="004B4540">
        <w:rPr>
          <w:rFonts w:ascii="Times New Roman" w:hAnsi="Times New Roman" w:cs="Times New Roman"/>
          <w:bCs/>
          <w:noProof/>
          <w:sz w:val="24"/>
          <w:szCs w:val="24"/>
        </w:rPr>
        <w:t xml:space="preserve"> were revised in 2020 to cover 2021-2030</w:t>
      </w:r>
      <w:r w:rsidRPr="004B4540">
        <w:rPr>
          <w:rStyle w:val="FootnoteReference"/>
          <w:rFonts w:ascii="Times New Roman" w:hAnsi="Times New Roman" w:cs="Times New Roman"/>
          <w:bCs/>
          <w:noProof/>
          <w:sz w:val="24"/>
          <w:szCs w:val="24"/>
        </w:rPr>
        <w:footnoteReference w:id="52"/>
      </w:r>
      <w:r w:rsidRPr="004B4540">
        <w:rPr>
          <w:rFonts w:ascii="Times New Roman" w:hAnsi="Times New Roman" w:cs="Times New Roman"/>
          <w:bCs/>
          <w:noProof/>
          <w:sz w:val="24"/>
          <w:szCs w:val="24"/>
        </w:rPr>
        <w:t>.</w:t>
      </w:r>
    </w:p>
    <w:p w14:paraId="303DEA9F" w14:textId="4878060C" w:rsidR="001B6047" w:rsidRPr="004B4540" w:rsidRDefault="001B6047" w:rsidP="001B6047">
      <w:pPr>
        <w:spacing w:before="240" w:after="240"/>
        <w:jc w:val="both"/>
        <w:rPr>
          <w:rFonts w:ascii="Times New Roman" w:hAnsi="Times New Roman" w:cs="Times New Roman"/>
          <w:bCs/>
          <w:noProof/>
          <w:sz w:val="24"/>
          <w:szCs w:val="24"/>
        </w:rPr>
      </w:pPr>
      <w:r w:rsidRPr="004B4540">
        <w:rPr>
          <w:rFonts w:ascii="Times New Roman" w:hAnsi="Times New Roman" w:cs="Times New Roman"/>
          <w:bCs/>
          <w:noProof/>
          <w:sz w:val="24"/>
          <w:szCs w:val="24"/>
        </w:rPr>
        <w:t>In 2022, Member States paid for indirect costs based on the revised State aid guidelines</w:t>
      </w:r>
      <w:r w:rsidR="00D43ADA" w:rsidRPr="004B4540">
        <w:rPr>
          <w:rFonts w:ascii="Times New Roman" w:hAnsi="Times New Roman" w:cs="Times New Roman"/>
          <w:bCs/>
          <w:noProof/>
          <w:sz w:val="24"/>
          <w:szCs w:val="24"/>
        </w:rPr>
        <w:t xml:space="preserve"> for the first time</w:t>
      </w:r>
      <w:r w:rsidRPr="004B4540">
        <w:rPr>
          <w:rFonts w:ascii="Times New Roman" w:hAnsi="Times New Roman" w:cs="Times New Roman"/>
          <w:bCs/>
          <w:noProof/>
          <w:sz w:val="24"/>
          <w:szCs w:val="24"/>
        </w:rPr>
        <w:t xml:space="preserve">. In practice, this means that they </w:t>
      </w:r>
      <w:r w:rsidR="00974136" w:rsidRPr="004B4540">
        <w:rPr>
          <w:rFonts w:ascii="Times New Roman" w:hAnsi="Times New Roman" w:cs="Times New Roman"/>
          <w:bCs/>
          <w:noProof/>
          <w:sz w:val="24"/>
          <w:szCs w:val="24"/>
        </w:rPr>
        <w:t xml:space="preserve">had </w:t>
      </w:r>
      <w:r w:rsidRPr="004B4540">
        <w:rPr>
          <w:rFonts w:ascii="Times New Roman" w:hAnsi="Times New Roman" w:cs="Times New Roman"/>
          <w:bCs/>
          <w:noProof/>
          <w:sz w:val="24"/>
          <w:szCs w:val="24"/>
        </w:rPr>
        <w:t xml:space="preserve">notified schemes for the new period to the Commission for State aid assessment, which were subsequently approved as compatible with the </w:t>
      </w:r>
      <w:r w:rsidR="00974136" w:rsidRPr="004B4540">
        <w:rPr>
          <w:rFonts w:ascii="Times New Roman" w:hAnsi="Times New Roman" w:cs="Times New Roman"/>
          <w:bCs/>
          <w:noProof/>
          <w:sz w:val="24"/>
          <w:szCs w:val="24"/>
        </w:rPr>
        <w:t>single</w:t>
      </w:r>
      <w:r w:rsidRPr="004B4540">
        <w:rPr>
          <w:rFonts w:ascii="Times New Roman" w:hAnsi="Times New Roman" w:cs="Times New Roman"/>
          <w:bCs/>
          <w:noProof/>
          <w:sz w:val="24"/>
          <w:szCs w:val="24"/>
        </w:rPr>
        <w:t xml:space="preserve"> market. </w:t>
      </w:r>
    </w:p>
    <w:p w14:paraId="525E98F9" w14:textId="356FE7F7" w:rsidR="001B6047" w:rsidRPr="004B4540" w:rsidRDefault="00974136" w:rsidP="001B6047">
      <w:pPr>
        <w:spacing w:before="240" w:after="240"/>
        <w:jc w:val="both"/>
        <w:rPr>
          <w:rFonts w:ascii="Times New Roman" w:hAnsi="Times New Roman" w:cs="Times New Roman"/>
          <w:bCs/>
          <w:noProof/>
          <w:sz w:val="24"/>
          <w:szCs w:val="24"/>
        </w:rPr>
      </w:pPr>
      <w:r w:rsidRPr="004B4540">
        <w:rPr>
          <w:rFonts w:ascii="Times New Roman" w:hAnsi="Times New Roman" w:cs="Times New Roman"/>
          <w:bCs/>
          <w:noProof/>
          <w:sz w:val="24"/>
          <w:szCs w:val="24"/>
        </w:rPr>
        <w:t>In contrast</w:t>
      </w:r>
      <w:r w:rsidR="003A3FFD" w:rsidRPr="004B4540">
        <w:rPr>
          <w:rFonts w:ascii="Times New Roman" w:hAnsi="Times New Roman" w:cs="Times New Roman"/>
          <w:bCs/>
          <w:noProof/>
          <w:sz w:val="24"/>
          <w:szCs w:val="24"/>
        </w:rPr>
        <w:t xml:space="preserve"> to</w:t>
      </w:r>
      <w:r w:rsidR="001B6047" w:rsidRPr="004B4540">
        <w:rPr>
          <w:rFonts w:ascii="Times New Roman" w:hAnsi="Times New Roman" w:cs="Times New Roman"/>
          <w:bCs/>
          <w:noProof/>
          <w:sz w:val="24"/>
          <w:szCs w:val="24"/>
        </w:rPr>
        <w:t xml:space="preserve"> 2021, Lithuania stopped its indirect cost </w:t>
      </w:r>
      <w:r w:rsidR="0099012A" w:rsidRPr="004B4540">
        <w:rPr>
          <w:rFonts w:ascii="Times New Roman" w:hAnsi="Times New Roman" w:cs="Times New Roman"/>
          <w:bCs/>
          <w:noProof/>
          <w:sz w:val="24"/>
          <w:szCs w:val="24"/>
        </w:rPr>
        <w:t>compensation</w:t>
      </w:r>
      <w:r w:rsidR="003A3FFD" w:rsidRPr="004B4540">
        <w:rPr>
          <w:rFonts w:ascii="Times New Roman" w:hAnsi="Times New Roman" w:cs="Times New Roman"/>
          <w:bCs/>
          <w:noProof/>
          <w:sz w:val="24"/>
          <w:szCs w:val="24"/>
        </w:rPr>
        <w:t xml:space="preserve"> in 2022</w:t>
      </w:r>
      <w:r w:rsidR="001B6047" w:rsidRPr="004B4540">
        <w:rPr>
          <w:rFonts w:ascii="Times New Roman" w:hAnsi="Times New Roman" w:cs="Times New Roman"/>
          <w:bCs/>
          <w:noProof/>
          <w:sz w:val="24"/>
          <w:szCs w:val="24"/>
        </w:rPr>
        <w:t xml:space="preserve">. </w:t>
      </w:r>
      <w:r w:rsidR="003A3FFD" w:rsidRPr="004B4540">
        <w:rPr>
          <w:rFonts w:ascii="Times New Roman" w:hAnsi="Times New Roman" w:cs="Times New Roman"/>
          <w:bCs/>
          <w:noProof/>
          <w:sz w:val="24"/>
          <w:szCs w:val="24"/>
        </w:rPr>
        <w:t>However</w:t>
      </w:r>
      <w:r w:rsidR="001B6047" w:rsidRPr="004B4540">
        <w:rPr>
          <w:rFonts w:ascii="Times New Roman" w:hAnsi="Times New Roman" w:cs="Times New Roman"/>
          <w:bCs/>
          <w:noProof/>
          <w:sz w:val="24"/>
          <w:szCs w:val="24"/>
        </w:rPr>
        <w:t xml:space="preserve">, Slovenia and Austria introduced new schemes, but will only start payments in 2023. This means that in 2022, 13 Member States paid industry for indirect carbon costs that installations incurred in 2021. Portugal can be added to this list, but its scheme was adopted only at the end of 2022, which means that payments occurred later and no data </w:t>
      </w:r>
      <w:r w:rsidR="00A36FBC" w:rsidRPr="004B4540">
        <w:rPr>
          <w:rFonts w:ascii="Times New Roman" w:hAnsi="Times New Roman" w:cs="Times New Roman"/>
          <w:bCs/>
          <w:noProof/>
          <w:sz w:val="24"/>
          <w:szCs w:val="24"/>
        </w:rPr>
        <w:t>is</w:t>
      </w:r>
      <w:r w:rsidR="001B6047" w:rsidRPr="004B4540">
        <w:rPr>
          <w:rFonts w:ascii="Times New Roman" w:hAnsi="Times New Roman" w:cs="Times New Roman"/>
          <w:bCs/>
          <w:noProof/>
          <w:sz w:val="24"/>
          <w:szCs w:val="24"/>
        </w:rPr>
        <w:t xml:space="preserve"> available yet</w:t>
      </w:r>
      <w:r w:rsidR="001B6047" w:rsidRPr="004B4540">
        <w:rPr>
          <w:rStyle w:val="FootnoteReference"/>
          <w:rFonts w:ascii="Times New Roman" w:hAnsi="Times New Roman" w:cs="Times New Roman"/>
          <w:bCs/>
          <w:noProof/>
          <w:sz w:val="24"/>
          <w:szCs w:val="24"/>
        </w:rPr>
        <w:footnoteReference w:id="53"/>
      </w:r>
      <w:r w:rsidR="001B6047" w:rsidRPr="004B4540">
        <w:rPr>
          <w:rFonts w:ascii="Times New Roman" w:hAnsi="Times New Roman" w:cs="Times New Roman"/>
          <w:bCs/>
          <w:noProof/>
          <w:sz w:val="24"/>
          <w:szCs w:val="24"/>
        </w:rPr>
        <w:t xml:space="preserve">. </w:t>
      </w:r>
    </w:p>
    <w:p w14:paraId="121F5FAD" w14:textId="0D6A91E0" w:rsidR="001B6047" w:rsidRPr="004B4540" w:rsidRDefault="001B6047" w:rsidP="001B6047">
      <w:pPr>
        <w:spacing w:before="240" w:after="240"/>
        <w:jc w:val="both"/>
        <w:rPr>
          <w:rFonts w:ascii="Times New Roman" w:hAnsi="Times New Roman" w:cs="Times New Roman"/>
          <w:bCs/>
          <w:noProof/>
          <w:sz w:val="24"/>
          <w:szCs w:val="24"/>
        </w:rPr>
      </w:pPr>
      <w:r w:rsidRPr="004B4540">
        <w:rPr>
          <w:rFonts w:ascii="Times New Roman" w:hAnsi="Times New Roman" w:cs="Times New Roman"/>
          <w:bCs/>
          <w:noProof/>
          <w:sz w:val="24"/>
          <w:szCs w:val="24"/>
        </w:rPr>
        <w:t xml:space="preserve">Within </w:t>
      </w:r>
      <w:r w:rsidR="00565637">
        <w:rPr>
          <w:rFonts w:ascii="Times New Roman" w:hAnsi="Times New Roman" w:cs="Times New Roman"/>
          <w:bCs/>
          <w:noProof/>
          <w:sz w:val="24"/>
          <w:szCs w:val="24"/>
        </w:rPr>
        <w:t>three</w:t>
      </w:r>
      <w:r w:rsidRPr="004B4540">
        <w:rPr>
          <w:rFonts w:ascii="Times New Roman" w:hAnsi="Times New Roman" w:cs="Times New Roman"/>
          <w:bCs/>
          <w:noProof/>
          <w:sz w:val="24"/>
          <w:szCs w:val="24"/>
        </w:rPr>
        <w:t xml:space="preserve"> months </w:t>
      </w:r>
      <w:r w:rsidR="00A36FBC" w:rsidRPr="004B4540">
        <w:rPr>
          <w:rFonts w:ascii="Times New Roman" w:hAnsi="Times New Roman" w:cs="Times New Roman"/>
          <w:bCs/>
          <w:noProof/>
          <w:sz w:val="24"/>
          <w:szCs w:val="24"/>
        </w:rPr>
        <w:t>after</w:t>
      </w:r>
      <w:r w:rsidRPr="004B4540">
        <w:rPr>
          <w:rFonts w:ascii="Times New Roman" w:hAnsi="Times New Roman" w:cs="Times New Roman"/>
          <w:bCs/>
          <w:noProof/>
          <w:sz w:val="24"/>
          <w:szCs w:val="24"/>
        </w:rPr>
        <w:t xml:space="preserve"> the end of each year, Member States with an indirect cost compensation scheme in place </w:t>
      </w:r>
      <w:r w:rsidR="004A4A0E" w:rsidRPr="004B4540">
        <w:rPr>
          <w:rFonts w:ascii="Times New Roman" w:hAnsi="Times New Roman" w:cs="Times New Roman"/>
          <w:bCs/>
          <w:noProof/>
          <w:sz w:val="24"/>
          <w:szCs w:val="24"/>
        </w:rPr>
        <w:t>must</w:t>
      </w:r>
      <w:r w:rsidRPr="004B4540">
        <w:rPr>
          <w:rFonts w:ascii="Times New Roman" w:hAnsi="Times New Roman" w:cs="Times New Roman"/>
          <w:bCs/>
          <w:noProof/>
          <w:sz w:val="24"/>
          <w:szCs w:val="24"/>
        </w:rPr>
        <w:t xml:space="preserve"> publish the total compensation amounts paid out, including a breakdown per recipient sector and subsector. </w:t>
      </w:r>
      <w:r w:rsidRPr="004B4540">
        <w:rPr>
          <w:rFonts w:ascii="Times New Roman" w:hAnsi="Times New Roman" w:cs="Times New Roman"/>
          <w:bCs/>
          <w:noProof/>
          <w:sz w:val="24"/>
          <w:szCs w:val="24"/>
        </w:rPr>
        <w:fldChar w:fldCharType="begin"/>
      </w:r>
      <w:r w:rsidRPr="004B4540">
        <w:rPr>
          <w:rFonts w:ascii="Times New Roman" w:hAnsi="Times New Roman" w:cs="Times New Roman"/>
          <w:bCs/>
          <w:noProof/>
          <w:sz w:val="24"/>
          <w:szCs w:val="24"/>
        </w:rPr>
        <w:instrText xml:space="preserve"> REF _Ref114498950 \h  \* MERGEFORMAT </w:instrText>
      </w:r>
      <w:r w:rsidRPr="004B4540">
        <w:rPr>
          <w:rFonts w:ascii="Times New Roman" w:hAnsi="Times New Roman" w:cs="Times New Roman"/>
          <w:bCs/>
          <w:noProof/>
          <w:sz w:val="24"/>
          <w:szCs w:val="24"/>
        </w:rPr>
      </w:r>
      <w:r w:rsidRPr="004B4540">
        <w:rPr>
          <w:rFonts w:ascii="Times New Roman" w:hAnsi="Times New Roman" w:cs="Times New Roman"/>
          <w:bCs/>
          <w:noProof/>
          <w:sz w:val="24"/>
          <w:szCs w:val="24"/>
        </w:rPr>
        <w:fldChar w:fldCharType="separate"/>
      </w:r>
      <w:r w:rsidR="00B83BFA" w:rsidRPr="00B83BFA">
        <w:rPr>
          <w:rFonts w:ascii="Times New Roman" w:hAnsi="Times New Roman" w:cs="Times New Roman"/>
          <w:bCs/>
          <w:noProof/>
          <w:sz w:val="24"/>
          <w:szCs w:val="24"/>
        </w:rPr>
        <w:t>Table 4</w:t>
      </w:r>
      <w:r w:rsidRPr="004B4540">
        <w:rPr>
          <w:rFonts w:ascii="Times New Roman" w:hAnsi="Times New Roman" w:cs="Times New Roman"/>
          <w:bCs/>
          <w:noProof/>
          <w:sz w:val="24"/>
          <w:szCs w:val="24"/>
        </w:rPr>
        <w:fldChar w:fldCharType="end"/>
      </w:r>
      <w:r w:rsidRPr="004B4540">
        <w:rPr>
          <w:rFonts w:ascii="Times New Roman" w:hAnsi="Times New Roman" w:cs="Times New Roman"/>
          <w:bCs/>
          <w:noProof/>
          <w:sz w:val="24"/>
          <w:szCs w:val="24"/>
        </w:rPr>
        <w:t xml:space="preserve"> summarises the data published by Member States on the compensation paid</w:t>
      </w:r>
      <w:r w:rsidR="003F6E41" w:rsidRPr="004B4540">
        <w:rPr>
          <w:rFonts w:ascii="Times New Roman" w:hAnsi="Times New Roman" w:cs="Times New Roman"/>
          <w:bCs/>
          <w:noProof/>
          <w:sz w:val="24"/>
          <w:szCs w:val="24"/>
        </w:rPr>
        <w:t xml:space="preserve"> out</w:t>
      </w:r>
      <w:r w:rsidRPr="004B4540">
        <w:rPr>
          <w:rFonts w:ascii="Times New Roman" w:hAnsi="Times New Roman" w:cs="Times New Roman"/>
          <w:bCs/>
          <w:noProof/>
          <w:sz w:val="24"/>
          <w:szCs w:val="24"/>
        </w:rPr>
        <w:t xml:space="preserve"> in 2022. </w:t>
      </w:r>
      <w:r w:rsidR="003F6E41" w:rsidRPr="004B4540">
        <w:rPr>
          <w:rFonts w:ascii="Times New Roman" w:hAnsi="Times New Roman" w:cs="Times New Roman"/>
          <w:bCs/>
          <w:noProof/>
          <w:sz w:val="24"/>
          <w:szCs w:val="24"/>
        </w:rPr>
        <w:t>These c</w:t>
      </w:r>
      <w:r w:rsidRPr="004B4540">
        <w:rPr>
          <w:rFonts w:ascii="Times New Roman" w:hAnsi="Times New Roman" w:cs="Times New Roman"/>
          <w:bCs/>
          <w:noProof/>
          <w:sz w:val="24"/>
          <w:szCs w:val="24"/>
        </w:rPr>
        <w:t>ompensation amounts are also compared with 2021 auction revenue</w:t>
      </w:r>
      <w:r w:rsidRPr="004B4540">
        <w:rPr>
          <w:rStyle w:val="FootnoteReference"/>
          <w:rFonts w:ascii="Times New Roman" w:hAnsi="Times New Roman" w:cs="Times New Roman"/>
          <w:bCs/>
          <w:noProof/>
          <w:sz w:val="24"/>
          <w:szCs w:val="24"/>
        </w:rPr>
        <w:footnoteReference w:id="54"/>
      </w:r>
      <w:r w:rsidRPr="004B4540">
        <w:rPr>
          <w:rFonts w:ascii="Times New Roman" w:hAnsi="Times New Roman" w:cs="Times New Roman"/>
          <w:bCs/>
          <w:noProof/>
          <w:sz w:val="24"/>
          <w:szCs w:val="24"/>
        </w:rPr>
        <w:t>.</w:t>
      </w:r>
    </w:p>
    <w:p w14:paraId="159A7B33" w14:textId="3466D217" w:rsidR="00E87C91" w:rsidRPr="004B4540" w:rsidRDefault="00E87C91" w:rsidP="00BC0039">
      <w:pPr>
        <w:pStyle w:val="Caption"/>
        <w:keepNext/>
        <w:spacing w:line="257" w:lineRule="auto"/>
        <w:rPr>
          <w:noProof/>
          <w:sz w:val="24"/>
          <w:szCs w:val="24"/>
        </w:rPr>
      </w:pPr>
      <w:bookmarkStart w:id="46" w:name="_Ref114498950"/>
      <w:r w:rsidRPr="004B4540">
        <w:rPr>
          <w:noProof/>
          <w:sz w:val="24"/>
          <w:szCs w:val="24"/>
        </w:rPr>
        <w:t xml:space="preserve">Table </w:t>
      </w:r>
      <w:r w:rsidRPr="004B4540">
        <w:rPr>
          <w:noProof/>
          <w:sz w:val="24"/>
          <w:szCs w:val="24"/>
        </w:rPr>
        <w:fldChar w:fldCharType="begin"/>
      </w:r>
      <w:r w:rsidRPr="004B4540">
        <w:rPr>
          <w:noProof/>
          <w:sz w:val="24"/>
          <w:szCs w:val="24"/>
        </w:rPr>
        <w:instrText>SEQ Table \* ARABIC</w:instrText>
      </w:r>
      <w:r w:rsidRPr="004B4540">
        <w:rPr>
          <w:noProof/>
          <w:sz w:val="24"/>
          <w:szCs w:val="24"/>
        </w:rPr>
        <w:fldChar w:fldCharType="separate"/>
      </w:r>
      <w:r w:rsidR="00B83BFA">
        <w:rPr>
          <w:noProof/>
          <w:sz w:val="24"/>
          <w:szCs w:val="24"/>
        </w:rPr>
        <w:t>4</w:t>
      </w:r>
      <w:r w:rsidRPr="004B4540">
        <w:rPr>
          <w:noProof/>
          <w:sz w:val="24"/>
          <w:szCs w:val="24"/>
        </w:rPr>
        <w:fldChar w:fldCharType="end"/>
      </w:r>
      <w:bookmarkEnd w:id="46"/>
      <w:r w:rsidR="003F6E41" w:rsidRPr="004B4540">
        <w:rPr>
          <w:noProof/>
          <w:sz w:val="24"/>
          <w:szCs w:val="24"/>
        </w:rPr>
        <w:t>:</w:t>
      </w:r>
      <w:r w:rsidRPr="004B4540">
        <w:rPr>
          <w:noProof/>
          <w:sz w:val="24"/>
          <w:szCs w:val="24"/>
        </w:rPr>
        <w:t xml:space="preserve"> </w:t>
      </w:r>
      <w:r w:rsidR="00B47B36" w:rsidRPr="004B4540">
        <w:rPr>
          <w:noProof/>
          <w:sz w:val="24"/>
          <w:szCs w:val="24"/>
        </w:rPr>
        <w:t>Amounts</w:t>
      </w:r>
      <w:r w:rsidRPr="004B4540">
        <w:rPr>
          <w:noProof/>
          <w:sz w:val="24"/>
          <w:szCs w:val="24"/>
        </w:rPr>
        <w:t xml:space="preserve"> paid out in 202</w:t>
      </w:r>
      <w:r w:rsidR="006E7AA5" w:rsidRPr="004B4540">
        <w:rPr>
          <w:noProof/>
          <w:sz w:val="24"/>
          <w:szCs w:val="24"/>
        </w:rPr>
        <w:t>2</w:t>
      </w:r>
      <w:r w:rsidRPr="004B4540">
        <w:rPr>
          <w:noProof/>
          <w:sz w:val="24"/>
          <w:szCs w:val="24"/>
        </w:rPr>
        <w:t xml:space="preserve"> for indirect costs incurred in 202</w:t>
      </w:r>
      <w:r w:rsidR="006E7AA5" w:rsidRPr="004B4540">
        <w:rPr>
          <w:noProof/>
          <w:sz w:val="24"/>
          <w:szCs w:val="24"/>
        </w:rPr>
        <w:t>1</w:t>
      </w:r>
    </w:p>
    <w:tbl>
      <w:tblPr>
        <w:tblStyle w:val="TableGridLight"/>
        <w:tblW w:w="5060" w:type="pct"/>
        <w:tblLook w:val="04A0" w:firstRow="1" w:lastRow="0" w:firstColumn="1" w:lastColumn="0" w:noHBand="0" w:noVBand="1"/>
      </w:tblPr>
      <w:tblGrid>
        <w:gridCol w:w="1554"/>
        <w:gridCol w:w="1793"/>
        <w:gridCol w:w="1849"/>
        <w:gridCol w:w="1543"/>
        <w:gridCol w:w="2385"/>
      </w:tblGrid>
      <w:tr w:rsidR="00346A61" w:rsidRPr="00D66A75" w14:paraId="5D991222" w14:textId="77777777" w:rsidTr="00D66A75">
        <w:trPr>
          <w:trHeight w:val="306"/>
        </w:trPr>
        <w:tc>
          <w:tcPr>
            <w:tcW w:w="851" w:type="pct"/>
            <w:noWrap/>
            <w:vAlign w:val="center"/>
            <w:hideMark/>
          </w:tcPr>
          <w:p w14:paraId="62751876" w14:textId="77777777" w:rsidR="00E87C91" w:rsidRPr="00D66A75" w:rsidRDefault="00E87C91" w:rsidP="00D66A75">
            <w:pPr>
              <w:pStyle w:val="Bodytext-tables"/>
              <w:keepNext/>
              <w:spacing w:before="120" w:after="120" w:line="240" w:lineRule="auto"/>
              <w:jc w:val="center"/>
              <w:rPr>
                <w:b/>
                <w:bCs/>
                <w:noProof/>
                <w:sz w:val="22"/>
                <w:szCs w:val="22"/>
                <w:lang w:val="en-GB" w:eastAsia="en-IE"/>
              </w:rPr>
            </w:pPr>
            <w:bookmarkStart w:id="47" w:name="_Hlk143681710"/>
            <w:r w:rsidRPr="00D66A75">
              <w:rPr>
                <w:b/>
                <w:bCs/>
                <w:noProof/>
                <w:sz w:val="22"/>
                <w:szCs w:val="22"/>
                <w:lang w:val="en-GB" w:eastAsia="en-IE"/>
              </w:rPr>
              <w:t>Member State</w:t>
            </w:r>
          </w:p>
        </w:tc>
        <w:tc>
          <w:tcPr>
            <w:tcW w:w="981" w:type="pct"/>
            <w:noWrap/>
            <w:vAlign w:val="center"/>
            <w:hideMark/>
          </w:tcPr>
          <w:p w14:paraId="413844E7" w14:textId="71CE1819" w:rsidR="00E87C91" w:rsidRPr="00D66A75" w:rsidRDefault="00B47B36" w:rsidP="00D66A75">
            <w:pPr>
              <w:pStyle w:val="Bodytext-tables"/>
              <w:keepNext/>
              <w:spacing w:before="120" w:after="120" w:line="240" w:lineRule="auto"/>
              <w:jc w:val="center"/>
              <w:rPr>
                <w:b/>
                <w:bCs/>
                <w:noProof/>
                <w:color w:val="000000"/>
                <w:sz w:val="22"/>
                <w:szCs w:val="22"/>
                <w:lang w:val="en-GB" w:eastAsia="en-IE"/>
              </w:rPr>
            </w:pPr>
            <w:r w:rsidRPr="00D66A75">
              <w:rPr>
                <w:b/>
                <w:bCs/>
                <w:noProof/>
                <w:color w:val="000000"/>
                <w:sz w:val="22"/>
                <w:szCs w:val="22"/>
                <w:lang w:val="en-GB" w:eastAsia="en-IE"/>
              </w:rPr>
              <w:t>Amount</w:t>
            </w:r>
            <w:r w:rsidR="00E87C91" w:rsidRPr="00D66A75">
              <w:rPr>
                <w:b/>
                <w:bCs/>
                <w:noProof/>
                <w:color w:val="000000"/>
                <w:sz w:val="22"/>
                <w:szCs w:val="22"/>
                <w:lang w:val="en-GB" w:eastAsia="en-IE"/>
              </w:rPr>
              <w:t xml:space="preserve"> paid </w:t>
            </w:r>
            <w:r w:rsidR="00346A61" w:rsidRPr="00D66A75">
              <w:rPr>
                <w:b/>
                <w:bCs/>
                <w:noProof/>
                <w:color w:val="000000"/>
                <w:sz w:val="22"/>
                <w:szCs w:val="22"/>
                <w:lang w:val="en-GB" w:eastAsia="en-IE"/>
              </w:rPr>
              <w:br/>
            </w:r>
            <w:r w:rsidR="00E87C91" w:rsidRPr="00D66A75">
              <w:rPr>
                <w:b/>
                <w:bCs/>
                <w:noProof/>
                <w:color w:val="000000"/>
                <w:sz w:val="22"/>
                <w:szCs w:val="22"/>
                <w:lang w:val="en-GB" w:eastAsia="en-IE"/>
              </w:rPr>
              <w:t xml:space="preserve">for indirect costs </w:t>
            </w:r>
            <w:r w:rsidR="00346A61" w:rsidRPr="00D66A75">
              <w:rPr>
                <w:b/>
                <w:bCs/>
                <w:noProof/>
                <w:color w:val="000000"/>
                <w:sz w:val="22"/>
                <w:szCs w:val="22"/>
                <w:lang w:val="en-GB" w:eastAsia="en-IE"/>
              </w:rPr>
              <w:br/>
            </w:r>
            <w:r w:rsidR="00E87C91" w:rsidRPr="00D66A75">
              <w:rPr>
                <w:b/>
                <w:bCs/>
                <w:noProof/>
                <w:color w:val="000000"/>
                <w:sz w:val="22"/>
                <w:szCs w:val="22"/>
                <w:lang w:val="en-GB" w:eastAsia="en-IE"/>
              </w:rPr>
              <w:t>incurred in 202</w:t>
            </w:r>
            <w:r w:rsidR="00200D13" w:rsidRPr="00D66A75">
              <w:rPr>
                <w:b/>
                <w:bCs/>
                <w:noProof/>
                <w:color w:val="000000"/>
                <w:sz w:val="22"/>
                <w:szCs w:val="22"/>
                <w:lang w:val="en-GB" w:eastAsia="en-IE"/>
              </w:rPr>
              <w:t>1</w:t>
            </w:r>
            <w:r w:rsidR="00E87C91" w:rsidRPr="00D66A75">
              <w:rPr>
                <w:b/>
                <w:bCs/>
                <w:noProof/>
                <w:color w:val="000000"/>
                <w:sz w:val="22"/>
                <w:szCs w:val="22"/>
                <w:lang w:val="en-GB" w:eastAsia="en-IE"/>
              </w:rPr>
              <w:t xml:space="preserve"> </w:t>
            </w:r>
            <w:r w:rsidR="00E87C91" w:rsidRPr="00D66A75">
              <w:rPr>
                <w:b/>
                <w:bCs/>
                <w:noProof/>
                <w:color w:val="000000"/>
                <w:sz w:val="22"/>
                <w:szCs w:val="22"/>
                <w:lang w:val="en-GB" w:eastAsia="en-IE"/>
              </w:rPr>
              <w:br/>
            </w:r>
            <w:r w:rsidR="003F6E41" w:rsidRPr="00D66A75">
              <w:rPr>
                <w:b/>
                <w:bCs/>
                <w:noProof/>
                <w:color w:val="000000"/>
                <w:sz w:val="22"/>
                <w:szCs w:val="22"/>
                <w:lang w:val="en-GB" w:eastAsia="en-IE"/>
              </w:rPr>
              <w:t>(</w:t>
            </w:r>
            <w:r w:rsidR="00E87C91" w:rsidRPr="00D66A75">
              <w:rPr>
                <w:b/>
                <w:bCs/>
                <w:noProof/>
                <w:color w:val="000000"/>
                <w:sz w:val="22"/>
                <w:szCs w:val="22"/>
                <w:lang w:val="en-GB" w:eastAsia="en-IE"/>
              </w:rPr>
              <w:t>million EUR</w:t>
            </w:r>
            <w:r w:rsidR="003F6E41" w:rsidRPr="00D66A75">
              <w:rPr>
                <w:b/>
                <w:bCs/>
                <w:noProof/>
                <w:color w:val="000000"/>
                <w:sz w:val="22"/>
                <w:szCs w:val="22"/>
                <w:lang w:val="en-GB" w:eastAsia="en-IE"/>
              </w:rPr>
              <w:t>)</w:t>
            </w:r>
            <w:r w:rsidR="00E87C91" w:rsidRPr="00D66A75">
              <w:rPr>
                <w:b/>
                <w:bCs/>
                <w:noProof/>
                <w:color w:val="000000"/>
                <w:sz w:val="22"/>
                <w:szCs w:val="22"/>
                <w:lang w:val="en-GB" w:eastAsia="en-IE"/>
              </w:rPr>
              <w:t>]</w:t>
            </w:r>
          </w:p>
        </w:tc>
        <w:tc>
          <w:tcPr>
            <w:tcW w:w="1015" w:type="pct"/>
            <w:noWrap/>
            <w:vAlign w:val="center"/>
            <w:hideMark/>
          </w:tcPr>
          <w:p w14:paraId="26B82A2F" w14:textId="38A72642" w:rsidR="00E87C91" w:rsidRPr="00D66A75" w:rsidRDefault="00E87C91" w:rsidP="00D66A75">
            <w:pPr>
              <w:pStyle w:val="Bodytext-tables"/>
              <w:keepNext/>
              <w:spacing w:before="120" w:after="120" w:line="240" w:lineRule="auto"/>
              <w:jc w:val="center"/>
              <w:rPr>
                <w:b/>
                <w:bCs/>
                <w:noProof/>
                <w:color w:val="000000"/>
                <w:sz w:val="22"/>
                <w:szCs w:val="22"/>
                <w:lang w:val="en-GB" w:eastAsia="en-IE"/>
              </w:rPr>
            </w:pPr>
            <w:r w:rsidRPr="00D66A75">
              <w:rPr>
                <w:b/>
                <w:bCs/>
                <w:noProof/>
                <w:color w:val="000000"/>
                <w:sz w:val="22"/>
                <w:szCs w:val="22"/>
                <w:lang w:val="en-GB" w:eastAsia="en-IE"/>
              </w:rPr>
              <w:t xml:space="preserve">Number </w:t>
            </w:r>
            <w:r w:rsidR="00346A61" w:rsidRPr="00D66A75">
              <w:rPr>
                <w:b/>
                <w:bCs/>
                <w:noProof/>
                <w:color w:val="000000"/>
                <w:sz w:val="22"/>
                <w:szCs w:val="22"/>
                <w:lang w:val="en-GB" w:eastAsia="en-IE"/>
              </w:rPr>
              <w:br/>
            </w:r>
            <w:r w:rsidRPr="00D66A75">
              <w:rPr>
                <w:b/>
                <w:bCs/>
                <w:noProof/>
                <w:color w:val="000000"/>
                <w:sz w:val="22"/>
                <w:szCs w:val="22"/>
                <w:lang w:val="en-GB" w:eastAsia="en-IE"/>
              </w:rPr>
              <w:t>of recipients</w:t>
            </w:r>
            <w:r w:rsidR="00346A61" w:rsidRPr="00D66A75">
              <w:rPr>
                <w:b/>
                <w:bCs/>
                <w:noProof/>
                <w:color w:val="000000"/>
                <w:sz w:val="22"/>
                <w:szCs w:val="22"/>
                <w:lang w:val="en-GB" w:eastAsia="en-IE"/>
              </w:rPr>
              <w:br/>
            </w:r>
            <w:r w:rsidR="00200D13" w:rsidRPr="00D66A75">
              <w:rPr>
                <w:b/>
                <w:bCs/>
                <w:noProof/>
                <w:color w:val="000000"/>
                <w:sz w:val="22"/>
                <w:szCs w:val="22"/>
                <w:lang w:val="en-GB" w:eastAsia="en-IE"/>
              </w:rPr>
              <w:t xml:space="preserve"> (installations)</w:t>
            </w:r>
          </w:p>
        </w:tc>
        <w:tc>
          <w:tcPr>
            <w:tcW w:w="845" w:type="pct"/>
            <w:noWrap/>
            <w:vAlign w:val="center"/>
            <w:hideMark/>
          </w:tcPr>
          <w:p w14:paraId="023725DE" w14:textId="57AB3648" w:rsidR="00E87C91" w:rsidRPr="00D66A75" w:rsidRDefault="00E87C91" w:rsidP="00D66A75">
            <w:pPr>
              <w:pStyle w:val="Bodytext-tables"/>
              <w:keepNext/>
              <w:spacing w:before="120" w:after="120" w:line="240" w:lineRule="auto"/>
              <w:jc w:val="center"/>
              <w:rPr>
                <w:b/>
                <w:bCs/>
                <w:noProof/>
                <w:color w:val="000000"/>
                <w:sz w:val="22"/>
                <w:szCs w:val="22"/>
                <w:lang w:val="fr-BE" w:eastAsia="en-IE"/>
              </w:rPr>
            </w:pPr>
            <w:r w:rsidRPr="00D66A75">
              <w:rPr>
                <w:b/>
                <w:bCs/>
                <w:noProof/>
                <w:color w:val="000000"/>
                <w:sz w:val="22"/>
                <w:szCs w:val="22"/>
                <w:lang w:val="fr-BE" w:eastAsia="en-IE"/>
              </w:rPr>
              <w:t xml:space="preserve">Auction </w:t>
            </w:r>
            <w:r w:rsidR="00346A61" w:rsidRPr="00D66A75">
              <w:rPr>
                <w:b/>
                <w:bCs/>
                <w:noProof/>
                <w:color w:val="000000"/>
                <w:sz w:val="22"/>
                <w:szCs w:val="22"/>
                <w:lang w:val="fr-BE" w:eastAsia="en-IE"/>
              </w:rPr>
              <w:br/>
            </w:r>
            <w:r w:rsidRPr="00D66A75">
              <w:rPr>
                <w:b/>
                <w:bCs/>
                <w:noProof/>
                <w:color w:val="000000"/>
                <w:sz w:val="22"/>
                <w:szCs w:val="22"/>
                <w:lang w:val="fr-BE" w:eastAsia="en-IE"/>
              </w:rPr>
              <w:t xml:space="preserve">revenues </w:t>
            </w:r>
            <w:r w:rsidR="00346A61" w:rsidRPr="00D66A75">
              <w:rPr>
                <w:b/>
                <w:bCs/>
                <w:noProof/>
                <w:color w:val="000000"/>
                <w:sz w:val="22"/>
                <w:szCs w:val="22"/>
                <w:lang w:val="fr-BE" w:eastAsia="en-IE"/>
              </w:rPr>
              <w:br/>
            </w:r>
            <w:r w:rsidRPr="00D66A75">
              <w:rPr>
                <w:b/>
                <w:bCs/>
                <w:noProof/>
                <w:color w:val="000000"/>
                <w:sz w:val="22"/>
                <w:szCs w:val="22"/>
                <w:lang w:val="fr-BE" w:eastAsia="en-IE"/>
              </w:rPr>
              <w:t>in 202</w:t>
            </w:r>
            <w:r w:rsidR="00200D13" w:rsidRPr="00D66A75">
              <w:rPr>
                <w:b/>
                <w:bCs/>
                <w:noProof/>
                <w:color w:val="000000"/>
                <w:sz w:val="22"/>
                <w:szCs w:val="22"/>
                <w:lang w:val="fr-BE" w:eastAsia="en-IE"/>
              </w:rPr>
              <w:t>1</w:t>
            </w:r>
            <w:r w:rsidR="00346A61" w:rsidRPr="00D66A75">
              <w:rPr>
                <w:rStyle w:val="FootnoteReference"/>
                <w:b/>
                <w:bCs/>
                <w:noProof/>
                <w:color w:val="000000"/>
                <w:sz w:val="22"/>
                <w:szCs w:val="22"/>
                <w:lang w:val="fr-BE" w:eastAsia="en-IE"/>
              </w:rPr>
              <w:footnoteReference w:id="55"/>
            </w:r>
            <w:r w:rsidRPr="00D66A75">
              <w:rPr>
                <w:b/>
                <w:bCs/>
                <w:noProof/>
                <w:color w:val="000000"/>
                <w:sz w:val="22"/>
                <w:szCs w:val="22"/>
                <w:lang w:val="fr-BE" w:eastAsia="en-IE"/>
              </w:rPr>
              <w:t xml:space="preserve"> </w:t>
            </w:r>
            <w:r w:rsidRPr="00D66A75">
              <w:rPr>
                <w:b/>
                <w:bCs/>
                <w:noProof/>
                <w:color w:val="000000"/>
                <w:sz w:val="22"/>
                <w:szCs w:val="22"/>
                <w:lang w:val="fr-BE" w:eastAsia="en-IE"/>
              </w:rPr>
              <w:br/>
            </w:r>
            <w:r w:rsidR="003F6E41" w:rsidRPr="00D66A75">
              <w:rPr>
                <w:b/>
                <w:bCs/>
                <w:noProof/>
                <w:color w:val="000000"/>
                <w:sz w:val="22"/>
                <w:szCs w:val="22"/>
                <w:lang w:val="fr-BE" w:eastAsia="en-IE"/>
              </w:rPr>
              <w:t>(</w:t>
            </w:r>
            <w:r w:rsidRPr="00D66A75">
              <w:rPr>
                <w:b/>
                <w:bCs/>
                <w:noProof/>
                <w:color w:val="000000"/>
                <w:sz w:val="22"/>
                <w:szCs w:val="22"/>
                <w:lang w:val="fr-BE" w:eastAsia="en-IE"/>
              </w:rPr>
              <w:t>million EUR</w:t>
            </w:r>
            <w:r w:rsidR="003F6E41" w:rsidRPr="00D66A75">
              <w:rPr>
                <w:b/>
                <w:bCs/>
                <w:noProof/>
                <w:color w:val="000000"/>
                <w:sz w:val="22"/>
                <w:szCs w:val="22"/>
                <w:lang w:val="fr-BE" w:eastAsia="en-IE"/>
              </w:rPr>
              <w:t>)</w:t>
            </w:r>
          </w:p>
        </w:tc>
        <w:tc>
          <w:tcPr>
            <w:tcW w:w="1308" w:type="pct"/>
            <w:noWrap/>
            <w:vAlign w:val="center"/>
            <w:hideMark/>
          </w:tcPr>
          <w:p w14:paraId="18B4727E" w14:textId="7B5D9BBA" w:rsidR="00E87C91" w:rsidRPr="00D66A75" w:rsidRDefault="00E87C91" w:rsidP="00D66A75">
            <w:pPr>
              <w:pStyle w:val="Bodytext-tables"/>
              <w:keepNext/>
              <w:spacing w:before="120" w:after="120" w:line="240" w:lineRule="auto"/>
              <w:jc w:val="center"/>
              <w:rPr>
                <w:b/>
                <w:bCs/>
                <w:noProof/>
                <w:color w:val="000000"/>
                <w:sz w:val="22"/>
                <w:szCs w:val="22"/>
                <w:lang w:val="en-GB" w:eastAsia="en-IE"/>
              </w:rPr>
            </w:pPr>
            <w:r w:rsidRPr="00D66A75">
              <w:rPr>
                <w:b/>
                <w:bCs/>
                <w:noProof/>
                <w:color w:val="000000"/>
                <w:sz w:val="22"/>
                <w:szCs w:val="22"/>
                <w:lang w:val="en-GB" w:eastAsia="en-IE"/>
              </w:rPr>
              <w:t xml:space="preserve">Share of </w:t>
            </w:r>
            <w:r w:rsidR="00346A61" w:rsidRPr="00D66A75">
              <w:rPr>
                <w:b/>
                <w:bCs/>
                <w:noProof/>
                <w:color w:val="000000"/>
                <w:sz w:val="22"/>
                <w:szCs w:val="22"/>
                <w:lang w:val="en-GB" w:eastAsia="en-IE"/>
              </w:rPr>
              <w:br/>
            </w:r>
            <w:r w:rsidRPr="00D66A75">
              <w:rPr>
                <w:b/>
                <w:bCs/>
                <w:noProof/>
                <w:color w:val="000000"/>
                <w:sz w:val="22"/>
                <w:szCs w:val="22"/>
                <w:lang w:val="en-GB" w:eastAsia="en-IE"/>
              </w:rPr>
              <w:t>auction revenues</w:t>
            </w:r>
            <w:r w:rsidR="00346A61" w:rsidRPr="00D66A75">
              <w:rPr>
                <w:b/>
                <w:bCs/>
                <w:noProof/>
                <w:color w:val="000000"/>
                <w:sz w:val="22"/>
                <w:szCs w:val="22"/>
                <w:lang w:val="en-GB" w:eastAsia="en-IE"/>
              </w:rPr>
              <w:br/>
            </w:r>
            <w:r w:rsidRPr="00D66A75">
              <w:rPr>
                <w:b/>
                <w:bCs/>
                <w:noProof/>
                <w:color w:val="000000"/>
                <w:sz w:val="22"/>
                <w:szCs w:val="22"/>
                <w:lang w:val="en-GB" w:eastAsia="en-IE"/>
              </w:rPr>
              <w:t xml:space="preserve"> spent on </w:t>
            </w:r>
            <w:r w:rsidR="00346A61" w:rsidRPr="00D66A75">
              <w:rPr>
                <w:b/>
                <w:bCs/>
                <w:noProof/>
                <w:color w:val="000000"/>
                <w:sz w:val="22"/>
                <w:szCs w:val="22"/>
                <w:lang w:val="en-GB" w:eastAsia="en-IE"/>
              </w:rPr>
              <w:br/>
            </w:r>
            <w:r w:rsidRPr="00D66A75">
              <w:rPr>
                <w:b/>
                <w:bCs/>
                <w:noProof/>
                <w:color w:val="000000"/>
                <w:sz w:val="22"/>
                <w:szCs w:val="22"/>
                <w:lang w:val="en-GB" w:eastAsia="en-IE"/>
              </w:rPr>
              <w:t>indirect cost</w:t>
            </w:r>
            <w:r w:rsidR="00B47B36" w:rsidRPr="00D66A75">
              <w:rPr>
                <w:b/>
                <w:bCs/>
                <w:noProof/>
                <w:color w:val="000000"/>
                <w:sz w:val="22"/>
                <w:szCs w:val="22"/>
                <w:lang w:val="en-GB" w:eastAsia="en-IE"/>
              </w:rPr>
              <w:t>s</w:t>
            </w:r>
          </w:p>
        </w:tc>
      </w:tr>
      <w:tr w:rsidR="00346A61" w:rsidRPr="00D66A75" w14:paraId="367758B2" w14:textId="77777777" w:rsidTr="00D66A75">
        <w:trPr>
          <w:trHeight w:val="306"/>
        </w:trPr>
        <w:tc>
          <w:tcPr>
            <w:tcW w:w="851" w:type="pct"/>
            <w:noWrap/>
            <w:vAlign w:val="center"/>
            <w:hideMark/>
          </w:tcPr>
          <w:p w14:paraId="54598255" w14:textId="6D696837" w:rsidR="00E87C91" w:rsidRPr="00D66A75" w:rsidRDefault="00E87C91" w:rsidP="00D66A75">
            <w:pPr>
              <w:pStyle w:val="Bodytext-tables"/>
              <w:keepNext/>
              <w:spacing w:before="120" w:after="120" w:line="240" w:lineRule="auto"/>
              <w:jc w:val="left"/>
              <w:rPr>
                <w:b/>
                <w:bCs/>
                <w:noProof/>
                <w:color w:val="000000"/>
                <w:sz w:val="22"/>
                <w:szCs w:val="22"/>
                <w:lang w:val="en-GB" w:eastAsia="en-IE"/>
              </w:rPr>
            </w:pPr>
            <w:r w:rsidRPr="00D66A75">
              <w:rPr>
                <w:noProof/>
                <w:color w:val="000000"/>
                <w:sz w:val="22"/>
                <w:szCs w:val="22"/>
                <w:lang w:val="en-GB" w:eastAsia="en-IE"/>
              </w:rPr>
              <w:t>B</w:t>
            </w:r>
            <w:r w:rsidR="00346A61" w:rsidRPr="00D66A75">
              <w:rPr>
                <w:noProof/>
                <w:color w:val="000000"/>
                <w:sz w:val="22"/>
                <w:szCs w:val="22"/>
                <w:lang w:val="en-GB" w:eastAsia="en-IE"/>
              </w:rPr>
              <w:t>elgium</w:t>
            </w:r>
            <w:r w:rsidRPr="00D66A75">
              <w:rPr>
                <w:noProof/>
                <w:color w:val="000000"/>
                <w:sz w:val="22"/>
                <w:szCs w:val="22"/>
                <w:lang w:val="en-GB" w:eastAsia="en-IE"/>
              </w:rPr>
              <w:t xml:space="preserve"> (FL)</w:t>
            </w:r>
          </w:p>
        </w:tc>
        <w:tc>
          <w:tcPr>
            <w:tcW w:w="981" w:type="pct"/>
            <w:noWrap/>
            <w:vAlign w:val="center"/>
            <w:hideMark/>
          </w:tcPr>
          <w:p w14:paraId="08E9EADF" w14:textId="12AA652D" w:rsidR="00E87C9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75.2</w:t>
            </w:r>
          </w:p>
        </w:tc>
        <w:tc>
          <w:tcPr>
            <w:tcW w:w="1015" w:type="pct"/>
            <w:noWrap/>
            <w:vAlign w:val="center"/>
            <w:hideMark/>
          </w:tcPr>
          <w:p w14:paraId="10E42762" w14:textId="2707598D" w:rsidR="00E87C9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val="en-GB" w:eastAsia="en-IE"/>
              </w:rPr>
              <w:t>37</w:t>
            </w:r>
          </w:p>
        </w:tc>
        <w:tc>
          <w:tcPr>
            <w:tcW w:w="845" w:type="pct"/>
            <w:vMerge w:val="restart"/>
            <w:noWrap/>
            <w:vAlign w:val="center"/>
            <w:hideMark/>
          </w:tcPr>
          <w:p w14:paraId="1BC7A130" w14:textId="1B63B42E" w:rsidR="00E87C9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val="en-GB" w:eastAsia="en-IE"/>
              </w:rPr>
              <w:t>527.3</w:t>
            </w:r>
          </w:p>
        </w:tc>
        <w:tc>
          <w:tcPr>
            <w:tcW w:w="1308" w:type="pct"/>
            <w:vMerge w:val="restart"/>
            <w:noWrap/>
            <w:vAlign w:val="center"/>
            <w:hideMark/>
          </w:tcPr>
          <w:p w14:paraId="547F65F5" w14:textId="40149BCB" w:rsidR="00E87C9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val="en-GB" w:eastAsia="en-IE"/>
              </w:rPr>
              <w:t>17.0</w:t>
            </w:r>
            <w:r w:rsidR="00E87C91" w:rsidRPr="00D66A75">
              <w:rPr>
                <w:noProof/>
                <w:color w:val="000000"/>
                <w:sz w:val="22"/>
                <w:szCs w:val="22"/>
                <w:lang w:val="en-GB" w:eastAsia="en-IE"/>
              </w:rPr>
              <w:t>%</w:t>
            </w:r>
          </w:p>
        </w:tc>
      </w:tr>
      <w:tr w:rsidR="00346A61" w:rsidRPr="00D66A75" w14:paraId="5BE8E573" w14:textId="77777777" w:rsidTr="00D66A75">
        <w:trPr>
          <w:trHeight w:val="306"/>
        </w:trPr>
        <w:tc>
          <w:tcPr>
            <w:tcW w:w="851" w:type="pct"/>
            <w:noWrap/>
            <w:vAlign w:val="center"/>
            <w:hideMark/>
          </w:tcPr>
          <w:p w14:paraId="1B9285B3" w14:textId="68CC3C6C" w:rsidR="00E87C91" w:rsidRPr="00D66A75" w:rsidRDefault="00E87C91" w:rsidP="00D66A75">
            <w:pPr>
              <w:pStyle w:val="Bodytext-tables"/>
              <w:keepNext/>
              <w:spacing w:before="120" w:after="120" w:line="240" w:lineRule="auto"/>
              <w:jc w:val="left"/>
              <w:rPr>
                <w:b/>
                <w:bCs/>
                <w:noProof/>
                <w:color w:val="000000"/>
                <w:sz w:val="22"/>
                <w:szCs w:val="22"/>
                <w:lang w:val="en-GB" w:eastAsia="en-IE"/>
              </w:rPr>
            </w:pPr>
            <w:r w:rsidRPr="00D66A75">
              <w:rPr>
                <w:noProof/>
                <w:color w:val="000000"/>
                <w:sz w:val="22"/>
                <w:szCs w:val="22"/>
                <w:lang w:val="en-GB" w:eastAsia="en-IE"/>
              </w:rPr>
              <w:t>B</w:t>
            </w:r>
            <w:r w:rsidR="00346A61" w:rsidRPr="00D66A75">
              <w:rPr>
                <w:noProof/>
                <w:color w:val="000000"/>
                <w:sz w:val="22"/>
                <w:szCs w:val="22"/>
                <w:lang w:val="en-GB" w:eastAsia="en-IE"/>
              </w:rPr>
              <w:t>elgium</w:t>
            </w:r>
            <w:r w:rsidRPr="00D66A75">
              <w:rPr>
                <w:noProof/>
                <w:color w:val="000000"/>
                <w:sz w:val="22"/>
                <w:szCs w:val="22"/>
                <w:lang w:val="en-GB" w:eastAsia="en-IE"/>
              </w:rPr>
              <w:t xml:space="preserve"> (WL)</w:t>
            </w:r>
          </w:p>
        </w:tc>
        <w:tc>
          <w:tcPr>
            <w:tcW w:w="981" w:type="pct"/>
            <w:noWrap/>
            <w:vAlign w:val="center"/>
            <w:hideMark/>
          </w:tcPr>
          <w:p w14:paraId="5F1FE01E" w14:textId="228DD3A3" w:rsidR="00E87C9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14.2</w:t>
            </w:r>
          </w:p>
        </w:tc>
        <w:tc>
          <w:tcPr>
            <w:tcW w:w="1015" w:type="pct"/>
            <w:noWrap/>
            <w:vAlign w:val="center"/>
            <w:hideMark/>
          </w:tcPr>
          <w:p w14:paraId="64E5D2A9" w14:textId="43CDB951" w:rsidR="00E87C9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val="en-GB" w:eastAsia="en-IE"/>
              </w:rPr>
              <w:t>15</w:t>
            </w:r>
          </w:p>
        </w:tc>
        <w:tc>
          <w:tcPr>
            <w:tcW w:w="845" w:type="pct"/>
            <w:vMerge/>
            <w:vAlign w:val="center"/>
            <w:hideMark/>
          </w:tcPr>
          <w:p w14:paraId="5FCF8F95" w14:textId="77777777" w:rsidR="00E87C91" w:rsidRPr="00D66A75" w:rsidRDefault="00E87C91" w:rsidP="00D66A75">
            <w:pPr>
              <w:keepNext/>
              <w:spacing w:before="120" w:after="120"/>
              <w:jc w:val="right"/>
              <w:rPr>
                <w:rFonts w:ascii="Times New Roman" w:eastAsia="Times New Roman" w:hAnsi="Times New Roman" w:cs="Times New Roman"/>
                <w:noProof/>
                <w:color w:val="000000"/>
                <w:lang w:eastAsia="en-IE"/>
              </w:rPr>
            </w:pPr>
          </w:p>
        </w:tc>
        <w:tc>
          <w:tcPr>
            <w:tcW w:w="1308" w:type="pct"/>
            <w:vMerge/>
            <w:vAlign w:val="center"/>
            <w:hideMark/>
          </w:tcPr>
          <w:p w14:paraId="38C44070" w14:textId="77777777" w:rsidR="00E87C91" w:rsidRPr="00D66A75" w:rsidRDefault="00E87C91" w:rsidP="00D66A75">
            <w:pPr>
              <w:keepNext/>
              <w:spacing w:before="120" w:after="120"/>
              <w:jc w:val="right"/>
              <w:rPr>
                <w:rFonts w:ascii="Times New Roman" w:eastAsia="Times New Roman" w:hAnsi="Times New Roman" w:cs="Times New Roman"/>
                <w:noProof/>
                <w:color w:val="000000"/>
                <w:lang w:eastAsia="en-IE"/>
              </w:rPr>
            </w:pPr>
          </w:p>
        </w:tc>
      </w:tr>
      <w:tr w:rsidR="00346A61" w:rsidRPr="00D66A75" w14:paraId="61EB1D74" w14:textId="77777777" w:rsidTr="00D66A75">
        <w:trPr>
          <w:trHeight w:val="306"/>
        </w:trPr>
        <w:tc>
          <w:tcPr>
            <w:tcW w:w="851" w:type="pct"/>
            <w:noWrap/>
            <w:vAlign w:val="center"/>
            <w:hideMark/>
          </w:tcPr>
          <w:p w14:paraId="10B741AD" w14:textId="6A4482AD" w:rsidR="00200D13" w:rsidRPr="00D66A75" w:rsidRDefault="00200D13" w:rsidP="00D66A75">
            <w:pPr>
              <w:pStyle w:val="Bodytext-tables"/>
              <w:keepNext/>
              <w:spacing w:before="120" w:after="120" w:line="240" w:lineRule="auto"/>
              <w:jc w:val="left"/>
              <w:rPr>
                <w:b/>
                <w:bCs/>
                <w:noProof/>
                <w:color w:val="000000"/>
                <w:sz w:val="22"/>
                <w:szCs w:val="22"/>
                <w:lang w:val="en-GB" w:eastAsia="en-IE"/>
              </w:rPr>
            </w:pPr>
            <w:r w:rsidRPr="00D66A75">
              <w:rPr>
                <w:noProof/>
                <w:color w:val="000000"/>
                <w:sz w:val="22"/>
                <w:szCs w:val="22"/>
                <w:lang w:val="en-GB" w:eastAsia="en-IE"/>
              </w:rPr>
              <w:t>Czechia</w:t>
            </w:r>
          </w:p>
        </w:tc>
        <w:tc>
          <w:tcPr>
            <w:tcW w:w="981" w:type="pct"/>
            <w:noWrap/>
            <w:vAlign w:val="center"/>
            <w:hideMark/>
          </w:tcPr>
          <w:p w14:paraId="615F359B" w14:textId="41AD331F"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30</w:t>
            </w:r>
            <w:r w:rsidR="00346A61" w:rsidRPr="00D66A75">
              <w:rPr>
                <w:noProof/>
                <w:color w:val="000000"/>
                <w:sz w:val="22"/>
                <w:szCs w:val="22"/>
                <w:lang w:eastAsia="en-IE"/>
              </w:rPr>
              <w:t>.</w:t>
            </w:r>
            <w:r w:rsidRPr="00D66A75">
              <w:rPr>
                <w:noProof/>
                <w:color w:val="000000"/>
                <w:sz w:val="22"/>
                <w:szCs w:val="22"/>
                <w:lang w:eastAsia="en-IE"/>
              </w:rPr>
              <w:t>3</w:t>
            </w:r>
          </w:p>
        </w:tc>
        <w:tc>
          <w:tcPr>
            <w:tcW w:w="1015" w:type="pct"/>
            <w:noWrap/>
            <w:vAlign w:val="center"/>
            <w:hideMark/>
          </w:tcPr>
          <w:p w14:paraId="1C985826" w14:textId="0CF83B25"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27</w:t>
            </w:r>
          </w:p>
        </w:tc>
        <w:tc>
          <w:tcPr>
            <w:tcW w:w="845" w:type="pct"/>
            <w:noWrap/>
            <w:vAlign w:val="center"/>
            <w:hideMark/>
          </w:tcPr>
          <w:p w14:paraId="1B7A5F4E" w14:textId="25F7C6F8"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601</w:t>
            </w:r>
            <w:r w:rsidR="00346A61" w:rsidRPr="00D66A75">
              <w:rPr>
                <w:noProof/>
                <w:color w:val="000000"/>
                <w:sz w:val="22"/>
                <w:szCs w:val="22"/>
                <w:lang w:eastAsia="en-IE"/>
              </w:rPr>
              <w:t>.</w:t>
            </w:r>
            <w:r w:rsidRPr="00D66A75">
              <w:rPr>
                <w:noProof/>
                <w:color w:val="000000"/>
                <w:sz w:val="22"/>
                <w:szCs w:val="22"/>
                <w:lang w:eastAsia="en-IE"/>
              </w:rPr>
              <w:t>9</w:t>
            </w:r>
          </w:p>
        </w:tc>
        <w:tc>
          <w:tcPr>
            <w:tcW w:w="1308" w:type="pct"/>
            <w:noWrap/>
            <w:vAlign w:val="center"/>
            <w:hideMark/>
          </w:tcPr>
          <w:p w14:paraId="40A70156" w14:textId="095CFEE4"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5</w:t>
            </w:r>
            <w:r w:rsidR="00346A61" w:rsidRPr="00D66A75">
              <w:rPr>
                <w:noProof/>
                <w:color w:val="000000"/>
                <w:sz w:val="22"/>
                <w:szCs w:val="22"/>
                <w:lang w:eastAsia="en-IE"/>
              </w:rPr>
              <w:t>.</w:t>
            </w:r>
            <w:r w:rsidRPr="00D66A75">
              <w:rPr>
                <w:noProof/>
                <w:color w:val="000000"/>
                <w:sz w:val="22"/>
                <w:szCs w:val="22"/>
                <w:lang w:eastAsia="en-IE"/>
              </w:rPr>
              <w:t>0%</w:t>
            </w:r>
          </w:p>
        </w:tc>
      </w:tr>
      <w:tr w:rsidR="00346A61" w:rsidRPr="00D66A75" w14:paraId="2C886B40" w14:textId="77777777" w:rsidTr="00D66A75">
        <w:trPr>
          <w:trHeight w:val="306"/>
        </w:trPr>
        <w:tc>
          <w:tcPr>
            <w:tcW w:w="851" w:type="pct"/>
            <w:noWrap/>
            <w:vAlign w:val="center"/>
            <w:hideMark/>
          </w:tcPr>
          <w:p w14:paraId="13D5C37C" w14:textId="1CAC9AD4" w:rsidR="0049391A" w:rsidRPr="00D66A75" w:rsidRDefault="00200D13" w:rsidP="00D66A75">
            <w:pPr>
              <w:pStyle w:val="Bodytext-tables"/>
              <w:keepNext/>
              <w:spacing w:before="120" w:after="120" w:line="240" w:lineRule="auto"/>
              <w:jc w:val="left"/>
              <w:rPr>
                <w:b/>
                <w:bCs/>
                <w:noProof/>
                <w:color w:val="000000"/>
                <w:sz w:val="22"/>
                <w:szCs w:val="22"/>
                <w:lang w:val="en-GB" w:eastAsia="en-IE"/>
              </w:rPr>
            </w:pPr>
            <w:r w:rsidRPr="00D66A75">
              <w:rPr>
                <w:noProof/>
                <w:color w:val="000000"/>
                <w:sz w:val="22"/>
                <w:szCs w:val="22"/>
                <w:lang w:val="en-GB" w:eastAsia="en-IE"/>
              </w:rPr>
              <w:t>Germany</w:t>
            </w:r>
          </w:p>
        </w:tc>
        <w:tc>
          <w:tcPr>
            <w:tcW w:w="981" w:type="pct"/>
            <w:noWrap/>
            <w:vAlign w:val="center"/>
            <w:hideMark/>
          </w:tcPr>
          <w:p w14:paraId="0AB92572" w14:textId="701FE48A" w:rsidR="0049391A" w:rsidRPr="00D66A75" w:rsidRDefault="0049391A"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806</w:t>
            </w:r>
          </w:p>
        </w:tc>
        <w:tc>
          <w:tcPr>
            <w:tcW w:w="1015" w:type="pct"/>
            <w:noWrap/>
            <w:vAlign w:val="center"/>
            <w:hideMark/>
          </w:tcPr>
          <w:p w14:paraId="7BDE3F22" w14:textId="2590BA1D" w:rsidR="0049391A" w:rsidRPr="00D66A75" w:rsidRDefault="0049391A"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676</w:t>
            </w:r>
          </w:p>
        </w:tc>
        <w:tc>
          <w:tcPr>
            <w:tcW w:w="845" w:type="pct"/>
            <w:noWrap/>
            <w:vAlign w:val="center"/>
            <w:hideMark/>
          </w:tcPr>
          <w:p w14:paraId="1828E873" w14:textId="5DD9E2C4" w:rsidR="0049391A" w:rsidRPr="00D66A75" w:rsidRDefault="0049391A"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5</w:t>
            </w:r>
            <w:r w:rsidR="00346A61" w:rsidRPr="00D66A75">
              <w:rPr>
                <w:noProof/>
                <w:color w:val="000000"/>
                <w:sz w:val="22"/>
                <w:szCs w:val="22"/>
                <w:lang w:eastAsia="en-IE"/>
              </w:rPr>
              <w:t> </w:t>
            </w:r>
            <w:r w:rsidRPr="00D66A75">
              <w:rPr>
                <w:noProof/>
                <w:color w:val="000000"/>
                <w:sz w:val="22"/>
                <w:szCs w:val="22"/>
                <w:lang w:eastAsia="en-IE"/>
              </w:rPr>
              <w:t>270</w:t>
            </w:r>
            <w:r w:rsidR="00346A61" w:rsidRPr="00D66A75">
              <w:rPr>
                <w:noProof/>
                <w:color w:val="000000"/>
                <w:sz w:val="22"/>
                <w:szCs w:val="22"/>
                <w:lang w:eastAsia="en-IE"/>
              </w:rPr>
              <w:t>.</w:t>
            </w:r>
            <w:r w:rsidRPr="00D66A75">
              <w:rPr>
                <w:noProof/>
                <w:color w:val="000000"/>
                <w:sz w:val="22"/>
                <w:szCs w:val="22"/>
                <w:lang w:eastAsia="en-IE"/>
              </w:rPr>
              <w:t>9</w:t>
            </w:r>
          </w:p>
        </w:tc>
        <w:tc>
          <w:tcPr>
            <w:tcW w:w="1308" w:type="pct"/>
            <w:noWrap/>
            <w:vAlign w:val="center"/>
            <w:hideMark/>
          </w:tcPr>
          <w:p w14:paraId="746A493C" w14:textId="5DBF113A" w:rsidR="0049391A" w:rsidRPr="00D66A75" w:rsidRDefault="0049391A"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15.3%</w:t>
            </w:r>
          </w:p>
        </w:tc>
      </w:tr>
      <w:tr w:rsidR="00346A61" w:rsidRPr="00D66A75" w14:paraId="26B26819" w14:textId="77777777" w:rsidTr="00D66A75">
        <w:trPr>
          <w:trHeight w:val="306"/>
        </w:trPr>
        <w:tc>
          <w:tcPr>
            <w:tcW w:w="851" w:type="pct"/>
            <w:noWrap/>
            <w:vAlign w:val="center"/>
            <w:hideMark/>
          </w:tcPr>
          <w:p w14:paraId="088731D2" w14:textId="1F62C4A1" w:rsidR="00200D13" w:rsidRPr="00D66A75" w:rsidRDefault="00200D13" w:rsidP="00D66A75">
            <w:pPr>
              <w:pStyle w:val="Bodytext-tables"/>
              <w:keepNext/>
              <w:spacing w:before="120" w:after="120" w:line="240" w:lineRule="auto"/>
              <w:jc w:val="left"/>
              <w:rPr>
                <w:b/>
                <w:bCs/>
                <w:noProof/>
                <w:color w:val="000000"/>
                <w:sz w:val="22"/>
                <w:szCs w:val="22"/>
                <w:lang w:val="en-GB" w:eastAsia="en-IE"/>
              </w:rPr>
            </w:pPr>
            <w:r w:rsidRPr="00D66A75">
              <w:rPr>
                <w:noProof/>
                <w:color w:val="000000"/>
                <w:sz w:val="22"/>
                <w:szCs w:val="22"/>
                <w:lang w:val="en-GB" w:eastAsia="en-IE"/>
              </w:rPr>
              <w:t>Greec</w:t>
            </w:r>
            <w:r w:rsidRPr="0062742A">
              <w:rPr>
                <w:noProof/>
                <w:color w:val="000000"/>
                <w:sz w:val="22"/>
                <w:szCs w:val="22"/>
                <w:lang w:val="en-GB" w:eastAsia="en-IE"/>
              </w:rPr>
              <w:t>e</w:t>
            </w:r>
            <w:r w:rsidRPr="000928C6">
              <w:rPr>
                <w:rStyle w:val="FootnoteReference"/>
                <w:noProof/>
                <w:color w:val="000000"/>
                <w:sz w:val="22"/>
                <w:szCs w:val="22"/>
                <w:lang w:val="en-GB" w:eastAsia="en-IE"/>
              </w:rPr>
              <w:footnoteReference w:id="56"/>
            </w:r>
          </w:p>
        </w:tc>
        <w:tc>
          <w:tcPr>
            <w:tcW w:w="981" w:type="pct"/>
            <w:noWrap/>
            <w:vAlign w:val="center"/>
            <w:hideMark/>
          </w:tcPr>
          <w:p w14:paraId="458F0846" w14:textId="074E5516"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111</w:t>
            </w:r>
            <w:r w:rsidR="00346A61" w:rsidRPr="00D66A75">
              <w:rPr>
                <w:noProof/>
                <w:color w:val="000000"/>
                <w:sz w:val="22"/>
                <w:szCs w:val="22"/>
                <w:lang w:eastAsia="en-IE"/>
              </w:rPr>
              <w:t>.</w:t>
            </w:r>
            <w:r w:rsidRPr="00D66A75">
              <w:rPr>
                <w:noProof/>
                <w:color w:val="000000"/>
                <w:sz w:val="22"/>
                <w:szCs w:val="22"/>
                <w:lang w:eastAsia="en-IE"/>
              </w:rPr>
              <w:t>6</w:t>
            </w:r>
          </w:p>
        </w:tc>
        <w:tc>
          <w:tcPr>
            <w:tcW w:w="1015" w:type="pct"/>
            <w:noWrap/>
            <w:vAlign w:val="center"/>
            <w:hideMark/>
          </w:tcPr>
          <w:p w14:paraId="1B3D4E1B" w14:textId="16DD5844"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52</w:t>
            </w:r>
          </w:p>
        </w:tc>
        <w:tc>
          <w:tcPr>
            <w:tcW w:w="845" w:type="pct"/>
            <w:noWrap/>
            <w:vAlign w:val="center"/>
            <w:hideMark/>
          </w:tcPr>
          <w:p w14:paraId="19EA3222" w14:textId="67BEFF0E"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1</w:t>
            </w:r>
            <w:r w:rsidR="00346A61" w:rsidRPr="00D66A75">
              <w:rPr>
                <w:noProof/>
                <w:color w:val="000000"/>
                <w:sz w:val="22"/>
                <w:szCs w:val="22"/>
                <w:lang w:eastAsia="en-IE"/>
              </w:rPr>
              <w:t> </w:t>
            </w:r>
            <w:r w:rsidRPr="00D66A75">
              <w:rPr>
                <w:noProof/>
                <w:color w:val="000000"/>
                <w:sz w:val="22"/>
                <w:szCs w:val="22"/>
                <w:lang w:eastAsia="en-IE"/>
              </w:rPr>
              <w:t>003</w:t>
            </w:r>
            <w:r w:rsidR="00346A61" w:rsidRPr="00D66A75">
              <w:rPr>
                <w:noProof/>
                <w:color w:val="000000"/>
                <w:sz w:val="22"/>
                <w:szCs w:val="22"/>
                <w:lang w:eastAsia="en-IE"/>
              </w:rPr>
              <w:t>.</w:t>
            </w:r>
            <w:r w:rsidRPr="00D66A75">
              <w:rPr>
                <w:noProof/>
                <w:color w:val="000000"/>
                <w:sz w:val="22"/>
                <w:szCs w:val="22"/>
                <w:lang w:eastAsia="en-IE"/>
              </w:rPr>
              <w:t>9</w:t>
            </w:r>
          </w:p>
        </w:tc>
        <w:tc>
          <w:tcPr>
            <w:tcW w:w="1308" w:type="pct"/>
            <w:noWrap/>
            <w:vAlign w:val="center"/>
            <w:hideMark/>
          </w:tcPr>
          <w:p w14:paraId="48921167" w14:textId="725204E1"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11</w:t>
            </w:r>
            <w:r w:rsidR="00346A61" w:rsidRPr="00D66A75">
              <w:rPr>
                <w:noProof/>
                <w:color w:val="000000"/>
                <w:sz w:val="22"/>
                <w:szCs w:val="22"/>
                <w:lang w:eastAsia="en-IE"/>
              </w:rPr>
              <w:t>.</w:t>
            </w:r>
            <w:r w:rsidRPr="00D66A75">
              <w:rPr>
                <w:noProof/>
                <w:color w:val="000000"/>
                <w:sz w:val="22"/>
                <w:szCs w:val="22"/>
                <w:lang w:eastAsia="en-IE"/>
              </w:rPr>
              <w:t>1% </w:t>
            </w:r>
          </w:p>
        </w:tc>
      </w:tr>
      <w:bookmarkEnd w:id="47"/>
      <w:tr w:rsidR="00346A61" w:rsidRPr="00D66A75" w14:paraId="1D4E5780" w14:textId="77777777" w:rsidTr="00D66A75">
        <w:trPr>
          <w:trHeight w:val="306"/>
        </w:trPr>
        <w:tc>
          <w:tcPr>
            <w:tcW w:w="851" w:type="pct"/>
            <w:noWrap/>
            <w:vAlign w:val="center"/>
            <w:hideMark/>
          </w:tcPr>
          <w:p w14:paraId="25504C18" w14:textId="58236AD2" w:rsidR="00346A61" w:rsidRPr="00D66A75" w:rsidRDefault="00346A61" w:rsidP="00D66A75">
            <w:pPr>
              <w:pStyle w:val="Bodytext-tables"/>
              <w:keepNext/>
              <w:spacing w:before="120" w:after="120" w:line="240" w:lineRule="auto"/>
              <w:jc w:val="left"/>
              <w:rPr>
                <w:b/>
                <w:bCs/>
                <w:noProof/>
                <w:color w:val="000000"/>
                <w:sz w:val="22"/>
                <w:szCs w:val="22"/>
                <w:lang w:val="en-GB" w:eastAsia="en-IE"/>
              </w:rPr>
            </w:pPr>
            <w:r w:rsidRPr="00D66A75">
              <w:rPr>
                <w:noProof/>
                <w:color w:val="000000"/>
                <w:sz w:val="22"/>
                <w:szCs w:val="22"/>
                <w:lang w:val="en-GB" w:eastAsia="en-IE"/>
              </w:rPr>
              <w:t>Spain</w:t>
            </w:r>
          </w:p>
        </w:tc>
        <w:tc>
          <w:tcPr>
            <w:tcW w:w="981" w:type="pct"/>
            <w:noWrap/>
            <w:vAlign w:val="center"/>
            <w:hideMark/>
          </w:tcPr>
          <w:p w14:paraId="1483F35D" w14:textId="4E59BC31" w:rsidR="00346A6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244</w:t>
            </w:r>
          </w:p>
        </w:tc>
        <w:tc>
          <w:tcPr>
            <w:tcW w:w="1015" w:type="pct"/>
            <w:noWrap/>
            <w:vAlign w:val="center"/>
            <w:hideMark/>
          </w:tcPr>
          <w:p w14:paraId="251BE491" w14:textId="79410B67" w:rsidR="00346A6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211</w:t>
            </w:r>
          </w:p>
        </w:tc>
        <w:tc>
          <w:tcPr>
            <w:tcW w:w="845" w:type="pct"/>
            <w:noWrap/>
            <w:vAlign w:val="center"/>
            <w:hideMark/>
          </w:tcPr>
          <w:p w14:paraId="3A1C67D7" w14:textId="618C8234" w:rsidR="00346A6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2 452.4</w:t>
            </w:r>
          </w:p>
        </w:tc>
        <w:tc>
          <w:tcPr>
            <w:tcW w:w="1308" w:type="pct"/>
            <w:noWrap/>
            <w:vAlign w:val="center"/>
            <w:hideMark/>
          </w:tcPr>
          <w:p w14:paraId="6EC882C9" w14:textId="31E3D9F5" w:rsidR="00346A6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10.0%</w:t>
            </w:r>
          </w:p>
        </w:tc>
      </w:tr>
      <w:tr w:rsidR="00346A61" w:rsidRPr="00D66A75" w14:paraId="56FE3526" w14:textId="77777777" w:rsidTr="00D66A75">
        <w:trPr>
          <w:trHeight w:val="306"/>
        </w:trPr>
        <w:tc>
          <w:tcPr>
            <w:tcW w:w="851" w:type="pct"/>
            <w:noWrap/>
            <w:vAlign w:val="center"/>
            <w:hideMark/>
          </w:tcPr>
          <w:p w14:paraId="617F945A" w14:textId="652DD2F4" w:rsidR="00346A61" w:rsidRPr="00D66A75" w:rsidRDefault="00346A61" w:rsidP="00D66A75">
            <w:pPr>
              <w:pStyle w:val="Bodytext-tables"/>
              <w:keepNext/>
              <w:spacing w:before="120" w:after="120" w:line="240" w:lineRule="auto"/>
              <w:jc w:val="left"/>
              <w:rPr>
                <w:b/>
                <w:bCs/>
                <w:noProof/>
                <w:color w:val="000000"/>
                <w:sz w:val="22"/>
                <w:szCs w:val="22"/>
                <w:lang w:val="en-GB" w:eastAsia="en-IE"/>
              </w:rPr>
            </w:pPr>
            <w:r w:rsidRPr="00D66A75">
              <w:rPr>
                <w:noProof/>
                <w:color w:val="000000"/>
                <w:sz w:val="22"/>
                <w:szCs w:val="22"/>
                <w:lang w:val="en-GB" w:eastAsia="en-IE"/>
              </w:rPr>
              <w:t>Finland</w:t>
            </w:r>
          </w:p>
        </w:tc>
        <w:tc>
          <w:tcPr>
            <w:tcW w:w="981" w:type="pct"/>
            <w:noWrap/>
            <w:vAlign w:val="center"/>
            <w:hideMark/>
          </w:tcPr>
          <w:p w14:paraId="766B2C24" w14:textId="4A218340" w:rsidR="00346A6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63.3</w:t>
            </w:r>
          </w:p>
        </w:tc>
        <w:tc>
          <w:tcPr>
            <w:tcW w:w="1015" w:type="pct"/>
            <w:noWrap/>
            <w:vAlign w:val="center"/>
            <w:hideMark/>
          </w:tcPr>
          <w:p w14:paraId="08894D0E" w14:textId="720F61DE" w:rsidR="00346A6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50</w:t>
            </w:r>
          </w:p>
        </w:tc>
        <w:tc>
          <w:tcPr>
            <w:tcW w:w="845" w:type="pct"/>
            <w:noWrap/>
            <w:vAlign w:val="center"/>
            <w:hideMark/>
          </w:tcPr>
          <w:p w14:paraId="165DBBD3" w14:textId="58852178" w:rsidR="00346A6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404.6</w:t>
            </w:r>
          </w:p>
        </w:tc>
        <w:tc>
          <w:tcPr>
            <w:tcW w:w="1308" w:type="pct"/>
            <w:noWrap/>
            <w:vAlign w:val="center"/>
            <w:hideMark/>
          </w:tcPr>
          <w:p w14:paraId="24FB47CC" w14:textId="1F169EC2" w:rsidR="00346A6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15.6%</w:t>
            </w:r>
          </w:p>
        </w:tc>
      </w:tr>
      <w:tr w:rsidR="00346A61" w:rsidRPr="00D66A75" w14:paraId="60E53979" w14:textId="77777777" w:rsidTr="00D66A75">
        <w:trPr>
          <w:trHeight w:val="306"/>
        </w:trPr>
        <w:tc>
          <w:tcPr>
            <w:tcW w:w="851" w:type="pct"/>
            <w:noWrap/>
            <w:vAlign w:val="center"/>
            <w:hideMark/>
          </w:tcPr>
          <w:p w14:paraId="7149DD0D" w14:textId="1694DEC3" w:rsidR="00346A61" w:rsidRPr="00D66A75" w:rsidRDefault="00346A61" w:rsidP="00D66A75">
            <w:pPr>
              <w:pStyle w:val="Bodytext-tables"/>
              <w:keepNext/>
              <w:spacing w:before="120" w:after="120" w:line="240" w:lineRule="auto"/>
              <w:jc w:val="left"/>
              <w:rPr>
                <w:b/>
                <w:bCs/>
                <w:noProof/>
                <w:color w:val="000000"/>
                <w:sz w:val="22"/>
                <w:szCs w:val="22"/>
                <w:lang w:val="en-GB" w:eastAsia="en-IE"/>
              </w:rPr>
            </w:pPr>
            <w:r w:rsidRPr="00D66A75">
              <w:rPr>
                <w:noProof/>
                <w:color w:val="000000"/>
                <w:sz w:val="22"/>
                <w:szCs w:val="22"/>
                <w:lang w:val="en-GB" w:eastAsia="en-IE"/>
              </w:rPr>
              <w:t>France</w:t>
            </w:r>
          </w:p>
        </w:tc>
        <w:tc>
          <w:tcPr>
            <w:tcW w:w="981" w:type="pct"/>
            <w:noWrap/>
            <w:vAlign w:val="center"/>
            <w:hideMark/>
          </w:tcPr>
          <w:p w14:paraId="39B22B4B" w14:textId="77741B78" w:rsidR="00346A6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300.2</w:t>
            </w:r>
          </w:p>
        </w:tc>
        <w:tc>
          <w:tcPr>
            <w:tcW w:w="1015" w:type="pct"/>
            <w:noWrap/>
            <w:vAlign w:val="center"/>
            <w:hideMark/>
          </w:tcPr>
          <w:p w14:paraId="0333A18F" w14:textId="3CA8E92D" w:rsidR="00346A6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275</w:t>
            </w:r>
          </w:p>
        </w:tc>
        <w:tc>
          <w:tcPr>
            <w:tcW w:w="845" w:type="pct"/>
            <w:noWrap/>
            <w:vAlign w:val="center"/>
            <w:hideMark/>
          </w:tcPr>
          <w:p w14:paraId="6EC99F19" w14:textId="5FAB1499" w:rsidR="00346A6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1 445.9</w:t>
            </w:r>
          </w:p>
        </w:tc>
        <w:tc>
          <w:tcPr>
            <w:tcW w:w="1308" w:type="pct"/>
            <w:noWrap/>
            <w:vAlign w:val="center"/>
            <w:hideMark/>
          </w:tcPr>
          <w:p w14:paraId="47E96C1C" w14:textId="5F534C4D" w:rsidR="00346A61" w:rsidRPr="00D66A75" w:rsidRDefault="00346A61" w:rsidP="00D66A75">
            <w:pPr>
              <w:pStyle w:val="Bodytext-tables"/>
              <w:keepNext/>
              <w:spacing w:before="120" w:after="120" w:line="240" w:lineRule="auto"/>
              <w:jc w:val="right"/>
              <w:rPr>
                <w:noProof/>
                <w:color w:val="FF0000"/>
                <w:sz w:val="22"/>
                <w:szCs w:val="22"/>
                <w:lang w:val="en-GB" w:eastAsia="en-IE"/>
              </w:rPr>
            </w:pPr>
            <w:r w:rsidRPr="00D66A75">
              <w:rPr>
                <w:noProof/>
                <w:color w:val="000000"/>
                <w:sz w:val="22"/>
                <w:szCs w:val="22"/>
                <w:lang w:eastAsia="en-IE"/>
              </w:rPr>
              <w:t>20.7%</w:t>
            </w:r>
          </w:p>
        </w:tc>
      </w:tr>
      <w:tr w:rsidR="00346A61" w:rsidRPr="00D66A75" w14:paraId="748EE292" w14:textId="77777777" w:rsidTr="00D66A75">
        <w:trPr>
          <w:trHeight w:val="306"/>
        </w:trPr>
        <w:tc>
          <w:tcPr>
            <w:tcW w:w="851" w:type="pct"/>
            <w:noWrap/>
            <w:vAlign w:val="center"/>
            <w:hideMark/>
          </w:tcPr>
          <w:p w14:paraId="54DAC5DA" w14:textId="092FED2B" w:rsidR="00200D13" w:rsidRPr="00D66A75" w:rsidRDefault="00200D13" w:rsidP="00D66A75">
            <w:pPr>
              <w:pStyle w:val="Bodytext-tables"/>
              <w:keepNext/>
              <w:spacing w:before="120" w:after="120" w:line="240" w:lineRule="auto"/>
              <w:jc w:val="left"/>
              <w:rPr>
                <w:b/>
                <w:bCs/>
                <w:noProof/>
                <w:color w:val="000000"/>
                <w:sz w:val="22"/>
                <w:szCs w:val="22"/>
                <w:lang w:val="en-GB" w:eastAsia="en-IE"/>
              </w:rPr>
            </w:pPr>
            <w:r w:rsidRPr="00D66A75">
              <w:rPr>
                <w:noProof/>
                <w:color w:val="000000"/>
                <w:sz w:val="22"/>
                <w:szCs w:val="22"/>
                <w:lang w:val="en-GB" w:eastAsia="en-IE"/>
              </w:rPr>
              <w:t>Italy</w:t>
            </w:r>
          </w:p>
        </w:tc>
        <w:tc>
          <w:tcPr>
            <w:tcW w:w="981" w:type="pct"/>
            <w:noWrap/>
            <w:vAlign w:val="center"/>
            <w:hideMark/>
          </w:tcPr>
          <w:p w14:paraId="67E50F70" w14:textId="05AF8277"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146</w:t>
            </w:r>
            <w:r w:rsidR="00346A61" w:rsidRPr="00D66A75">
              <w:rPr>
                <w:noProof/>
                <w:color w:val="000000"/>
                <w:sz w:val="22"/>
                <w:szCs w:val="22"/>
                <w:lang w:eastAsia="en-IE"/>
              </w:rPr>
              <w:t>.</w:t>
            </w:r>
            <w:r w:rsidRPr="00D66A75">
              <w:rPr>
                <w:noProof/>
                <w:color w:val="000000"/>
                <w:sz w:val="22"/>
                <w:szCs w:val="22"/>
                <w:lang w:eastAsia="en-IE"/>
              </w:rPr>
              <w:t>8</w:t>
            </w:r>
          </w:p>
        </w:tc>
        <w:tc>
          <w:tcPr>
            <w:tcW w:w="1015" w:type="pct"/>
            <w:noWrap/>
            <w:vAlign w:val="center"/>
            <w:hideMark/>
          </w:tcPr>
          <w:p w14:paraId="598E3452" w14:textId="7F417617"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 229</w:t>
            </w:r>
          </w:p>
        </w:tc>
        <w:tc>
          <w:tcPr>
            <w:tcW w:w="845" w:type="pct"/>
            <w:noWrap/>
            <w:vAlign w:val="center"/>
            <w:hideMark/>
          </w:tcPr>
          <w:p w14:paraId="3F7A1890" w14:textId="46A4039F"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2</w:t>
            </w:r>
            <w:r w:rsidR="00346A61" w:rsidRPr="00D66A75">
              <w:rPr>
                <w:noProof/>
                <w:color w:val="000000"/>
                <w:sz w:val="22"/>
                <w:szCs w:val="22"/>
                <w:lang w:eastAsia="en-IE"/>
              </w:rPr>
              <w:t> </w:t>
            </w:r>
            <w:r w:rsidRPr="00D66A75">
              <w:rPr>
                <w:noProof/>
                <w:color w:val="000000"/>
                <w:sz w:val="22"/>
                <w:szCs w:val="22"/>
                <w:lang w:eastAsia="en-IE"/>
              </w:rPr>
              <w:t>495</w:t>
            </w:r>
            <w:r w:rsidR="00346A61" w:rsidRPr="00D66A75">
              <w:rPr>
                <w:noProof/>
                <w:color w:val="000000"/>
                <w:sz w:val="22"/>
                <w:szCs w:val="22"/>
                <w:lang w:eastAsia="en-IE"/>
              </w:rPr>
              <w:t>.</w:t>
            </w:r>
            <w:r w:rsidRPr="00D66A75">
              <w:rPr>
                <w:noProof/>
                <w:color w:val="000000"/>
                <w:sz w:val="22"/>
                <w:szCs w:val="22"/>
                <w:lang w:eastAsia="en-IE"/>
              </w:rPr>
              <w:t>8 </w:t>
            </w:r>
          </w:p>
        </w:tc>
        <w:tc>
          <w:tcPr>
            <w:tcW w:w="1308" w:type="pct"/>
            <w:noWrap/>
            <w:vAlign w:val="center"/>
            <w:hideMark/>
          </w:tcPr>
          <w:p w14:paraId="4A0D1FEF" w14:textId="392CD01E"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5</w:t>
            </w:r>
            <w:r w:rsidR="00346A61" w:rsidRPr="00D66A75">
              <w:rPr>
                <w:noProof/>
                <w:color w:val="000000"/>
                <w:sz w:val="22"/>
                <w:szCs w:val="22"/>
                <w:lang w:eastAsia="en-IE"/>
              </w:rPr>
              <w:t>.</w:t>
            </w:r>
            <w:r w:rsidRPr="00D66A75">
              <w:rPr>
                <w:noProof/>
                <w:color w:val="000000"/>
                <w:sz w:val="22"/>
                <w:szCs w:val="22"/>
                <w:lang w:eastAsia="en-IE"/>
              </w:rPr>
              <w:t>9%</w:t>
            </w:r>
          </w:p>
        </w:tc>
      </w:tr>
      <w:tr w:rsidR="00346A61" w:rsidRPr="00D66A75" w14:paraId="0F58BEC8" w14:textId="77777777" w:rsidTr="00D66A75">
        <w:trPr>
          <w:trHeight w:val="306"/>
        </w:trPr>
        <w:tc>
          <w:tcPr>
            <w:tcW w:w="851" w:type="pct"/>
            <w:noWrap/>
            <w:vAlign w:val="center"/>
            <w:hideMark/>
          </w:tcPr>
          <w:p w14:paraId="3FBDAF8C" w14:textId="63A6A088" w:rsidR="00200D13" w:rsidRPr="00D66A75" w:rsidRDefault="00200D13" w:rsidP="00D66A75">
            <w:pPr>
              <w:pStyle w:val="Bodytext-tables"/>
              <w:keepNext/>
              <w:spacing w:before="120" w:after="120" w:line="240" w:lineRule="auto"/>
              <w:jc w:val="left"/>
              <w:rPr>
                <w:b/>
                <w:bCs/>
                <w:noProof/>
                <w:color w:val="000000"/>
                <w:sz w:val="22"/>
                <w:szCs w:val="22"/>
                <w:lang w:val="en-GB" w:eastAsia="en-IE"/>
              </w:rPr>
            </w:pPr>
            <w:r w:rsidRPr="00D66A75">
              <w:rPr>
                <w:noProof/>
                <w:color w:val="000000"/>
                <w:sz w:val="22"/>
                <w:szCs w:val="22"/>
                <w:lang w:val="en-GB" w:eastAsia="en-IE"/>
              </w:rPr>
              <w:t>Luxembourg</w:t>
            </w:r>
          </w:p>
        </w:tc>
        <w:tc>
          <w:tcPr>
            <w:tcW w:w="981" w:type="pct"/>
            <w:noWrap/>
            <w:vAlign w:val="center"/>
            <w:hideMark/>
          </w:tcPr>
          <w:p w14:paraId="6B045291" w14:textId="5CF3C8CA"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12</w:t>
            </w:r>
          </w:p>
        </w:tc>
        <w:tc>
          <w:tcPr>
            <w:tcW w:w="1015" w:type="pct"/>
            <w:noWrap/>
            <w:vAlign w:val="center"/>
            <w:hideMark/>
          </w:tcPr>
          <w:p w14:paraId="1FE0742C" w14:textId="0E2D4A19"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4</w:t>
            </w:r>
          </w:p>
        </w:tc>
        <w:tc>
          <w:tcPr>
            <w:tcW w:w="845" w:type="pct"/>
            <w:noWrap/>
            <w:vAlign w:val="center"/>
            <w:hideMark/>
          </w:tcPr>
          <w:p w14:paraId="00D57A41" w14:textId="328120DC"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7</w:t>
            </w:r>
            <w:r w:rsidR="00346A61" w:rsidRPr="00D66A75">
              <w:rPr>
                <w:noProof/>
                <w:color w:val="000000"/>
                <w:sz w:val="22"/>
                <w:szCs w:val="22"/>
                <w:lang w:eastAsia="en-IE"/>
              </w:rPr>
              <w:t>.</w:t>
            </w:r>
            <w:r w:rsidRPr="00D66A75">
              <w:rPr>
                <w:noProof/>
                <w:color w:val="000000"/>
                <w:sz w:val="22"/>
                <w:szCs w:val="22"/>
                <w:lang w:eastAsia="en-IE"/>
              </w:rPr>
              <w:t>3</w:t>
            </w:r>
          </w:p>
        </w:tc>
        <w:tc>
          <w:tcPr>
            <w:tcW w:w="1308" w:type="pct"/>
            <w:noWrap/>
            <w:vAlign w:val="center"/>
            <w:hideMark/>
          </w:tcPr>
          <w:p w14:paraId="18BFC0EB" w14:textId="34840466"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176</w:t>
            </w:r>
            <w:r w:rsidR="00346A61" w:rsidRPr="00D66A75">
              <w:rPr>
                <w:noProof/>
                <w:color w:val="000000"/>
                <w:sz w:val="22"/>
                <w:szCs w:val="22"/>
                <w:lang w:eastAsia="en-IE"/>
              </w:rPr>
              <w:t>.</w:t>
            </w:r>
            <w:r w:rsidRPr="00D66A75">
              <w:rPr>
                <w:noProof/>
                <w:color w:val="000000"/>
                <w:sz w:val="22"/>
                <w:szCs w:val="22"/>
                <w:lang w:eastAsia="en-IE"/>
              </w:rPr>
              <w:t>7%</w:t>
            </w:r>
          </w:p>
        </w:tc>
      </w:tr>
      <w:tr w:rsidR="00346A61" w:rsidRPr="00D66A75" w14:paraId="7392D6A1" w14:textId="77777777" w:rsidTr="00D66A75">
        <w:trPr>
          <w:trHeight w:val="306"/>
        </w:trPr>
        <w:tc>
          <w:tcPr>
            <w:tcW w:w="851" w:type="pct"/>
            <w:noWrap/>
            <w:vAlign w:val="center"/>
            <w:hideMark/>
          </w:tcPr>
          <w:p w14:paraId="5A9BC19A" w14:textId="1D731605" w:rsidR="0049391A" w:rsidRPr="00D66A75" w:rsidRDefault="0049391A" w:rsidP="00D66A75">
            <w:pPr>
              <w:pStyle w:val="Bodytext-tables"/>
              <w:keepNext/>
              <w:spacing w:before="120" w:after="120" w:line="240" w:lineRule="auto"/>
              <w:jc w:val="left"/>
              <w:rPr>
                <w:b/>
                <w:bCs/>
                <w:noProof/>
                <w:color w:val="000000"/>
                <w:sz w:val="22"/>
                <w:szCs w:val="22"/>
                <w:lang w:val="en-GB" w:eastAsia="en-IE"/>
              </w:rPr>
            </w:pPr>
            <w:r w:rsidRPr="00D66A75">
              <w:rPr>
                <w:noProof/>
                <w:color w:val="000000"/>
                <w:sz w:val="22"/>
                <w:szCs w:val="22"/>
                <w:lang w:val="en-GB" w:eastAsia="en-IE"/>
              </w:rPr>
              <w:t>N</w:t>
            </w:r>
            <w:r w:rsidR="00346A61" w:rsidRPr="00D66A75">
              <w:rPr>
                <w:noProof/>
                <w:color w:val="000000"/>
                <w:sz w:val="22"/>
                <w:szCs w:val="22"/>
                <w:lang w:val="en-GB" w:eastAsia="en-IE"/>
              </w:rPr>
              <w:t>etherlands</w:t>
            </w:r>
          </w:p>
        </w:tc>
        <w:tc>
          <w:tcPr>
            <w:tcW w:w="981" w:type="pct"/>
            <w:noWrap/>
            <w:vAlign w:val="center"/>
            <w:hideMark/>
          </w:tcPr>
          <w:p w14:paraId="245F2952" w14:textId="1919C6C2" w:rsidR="0049391A" w:rsidRPr="00D66A75" w:rsidRDefault="0049391A"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59</w:t>
            </w:r>
            <w:r w:rsidR="00346A61" w:rsidRPr="00D66A75">
              <w:rPr>
                <w:noProof/>
                <w:color w:val="000000"/>
                <w:sz w:val="22"/>
                <w:szCs w:val="22"/>
                <w:lang w:eastAsia="en-IE"/>
              </w:rPr>
              <w:t>.</w:t>
            </w:r>
            <w:r w:rsidRPr="00D66A75">
              <w:rPr>
                <w:noProof/>
                <w:color w:val="000000"/>
                <w:sz w:val="22"/>
                <w:szCs w:val="22"/>
                <w:lang w:eastAsia="en-IE"/>
              </w:rPr>
              <w:t>8</w:t>
            </w:r>
          </w:p>
        </w:tc>
        <w:tc>
          <w:tcPr>
            <w:tcW w:w="1015" w:type="pct"/>
            <w:noWrap/>
            <w:vAlign w:val="center"/>
            <w:hideMark/>
          </w:tcPr>
          <w:p w14:paraId="71C0EE07" w14:textId="16BD4F3F" w:rsidR="0049391A" w:rsidRPr="00D66A75" w:rsidRDefault="0049391A"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59</w:t>
            </w:r>
          </w:p>
        </w:tc>
        <w:tc>
          <w:tcPr>
            <w:tcW w:w="845" w:type="pct"/>
            <w:noWrap/>
            <w:vAlign w:val="center"/>
            <w:hideMark/>
          </w:tcPr>
          <w:p w14:paraId="11786813" w14:textId="4C28C8CD" w:rsidR="0049391A" w:rsidRPr="00D66A75" w:rsidRDefault="0049391A"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894</w:t>
            </w:r>
          </w:p>
        </w:tc>
        <w:tc>
          <w:tcPr>
            <w:tcW w:w="1308" w:type="pct"/>
            <w:noWrap/>
            <w:vAlign w:val="center"/>
            <w:hideMark/>
          </w:tcPr>
          <w:p w14:paraId="533D592C" w14:textId="501180BC" w:rsidR="0049391A" w:rsidRPr="00D66A75" w:rsidRDefault="0049391A"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6</w:t>
            </w:r>
            <w:r w:rsidR="00346A61" w:rsidRPr="00D66A75">
              <w:rPr>
                <w:noProof/>
                <w:color w:val="000000"/>
                <w:sz w:val="22"/>
                <w:szCs w:val="22"/>
                <w:lang w:eastAsia="en-IE"/>
              </w:rPr>
              <w:t>.</w:t>
            </w:r>
            <w:r w:rsidRPr="00D66A75">
              <w:rPr>
                <w:noProof/>
                <w:color w:val="000000"/>
                <w:sz w:val="22"/>
                <w:szCs w:val="22"/>
                <w:lang w:eastAsia="en-IE"/>
              </w:rPr>
              <w:t>7%</w:t>
            </w:r>
          </w:p>
        </w:tc>
      </w:tr>
      <w:tr w:rsidR="00346A61" w:rsidRPr="00D66A75" w14:paraId="1F0E1AF6" w14:textId="77777777" w:rsidTr="00D66A75">
        <w:trPr>
          <w:trHeight w:val="306"/>
        </w:trPr>
        <w:tc>
          <w:tcPr>
            <w:tcW w:w="851" w:type="pct"/>
            <w:noWrap/>
            <w:vAlign w:val="center"/>
            <w:hideMark/>
          </w:tcPr>
          <w:p w14:paraId="6340E309" w14:textId="12736A33" w:rsidR="00200D13" w:rsidRPr="00D66A75" w:rsidRDefault="00200D13" w:rsidP="00D66A75">
            <w:pPr>
              <w:pStyle w:val="Bodytext-tables"/>
              <w:keepNext/>
              <w:spacing w:before="120" w:after="120" w:line="240" w:lineRule="auto"/>
              <w:jc w:val="left"/>
              <w:rPr>
                <w:b/>
                <w:bCs/>
                <w:noProof/>
                <w:color w:val="000000"/>
                <w:sz w:val="22"/>
                <w:szCs w:val="22"/>
                <w:lang w:val="en-GB" w:eastAsia="en-IE"/>
              </w:rPr>
            </w:pPr>
            <w:r w:rsidRPr="00D66A75">
              <w:rPr>
                <w:noProof/>
                <w:color w:val="000000"/>
                <w:sz w:val="22"/>
                <w:szCs w:val="22"/>
                <w:lang w:val="en-GB" w:eastAsia="en-IE"/>
              </w:rPr>
              <w:t>Poland</w:t>
            </w:r>
          </w:p>
        </w:tc>
        <w:tc>
          <w:tcPr>
            <w:tcW w:w="981" w:type="pct"/>
            <w:noWrap/>
            <w:vAlign w:val="center"/>
            <w:hideMark/>
          </w:tcPr>
          <w:p w14:paraId="4B52B68C" w14:textId="2581ACBC"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167</w:t>
            </w:r>
            <w:r w:rsidR="00346A61" w:rsidRPr="00D66A75">
              <w:rPr>
                <w:noProof/>
                <w:color w:val="000000"/>
                <w:sz w:val="22"/>
                <w:szCs w:val="22"/>
                <w:lang w:eastAsia="en-IE"/>
              </w:rPr>
              <w:t>.</w:t>
            </w:r>
            <w:r w:rsidRPr="00D66A75">
              <w:rPr>
                <w:noProof/>
                <w:color w:val="000000"/>
                <w:sz w:val="22"/>
                <w:szCs w:val="22"/>
                <w:lang w:eastAsia="en-IE"/>
              </w:rPr>
              <w:t>6</w:t>
            </w:r>
          </w:p>
        </w:tc>
        <w:tc>
          <w:tcPr>
            <w:tcW w:w="1015" w:type="pct"/>
            <w:noWrap/>
            <w:vAlign w:val="center"/>
            <w:hideMark/>
          </w:tcPr>
          <w:p w14:paraId="3F31F060" w14:textId="50182C86"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92</w:t>
            </w:r>
          </w:p>
        </w:tc>
        <w:tc>
          <w:tcPr>
            <w:tcW w:w="845" w:type="pct"/>
            <w:noWrap/>
            <w:vAlign w:val="center"/>
            <w:hideMark/>
          </w:tcPr>
          <w:p w14:paraId="79DF72B5" w14:textId="23DCD741"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4</w:t>
            </w:r>
            <w:r w:rsidR="00346A61" w:rsidRPr="00D66A75">
              <w:rPr>
                <w:noProof/>
                <w:color w:val="000000"/>
                <w:sz w:val="22"/>
                <w:szCs w:val="22"/>
                <w:lang w:eastAsia="en-IE"/>
              </w:rPr>
              <w:t> </w:t>
            </w:r>
            <w:r w:rsidRPr="00D66A75">
              <w:rPr>
                <w:noProof/>
                <w:color w:val="000000"/>
                <w:sz w:val="22"/>
                <w:szCs w:val="22"/>
                <w:lang w:eastAsia="en-IE"/>
              </w:rPr>
              <w:t>966</w:t>
            </w:r>
            <w:r w:rsidR="00346A61" w:rsidRPr="00D66A75">
              <w:rPr>
                <w:noProof/>
                <w:color w:val="000000"/>
                <w:sz w:val="22"/>
                <w:szCs w:val="22"/>
                <w:lang w:eastAsia="en-IE"/>
              </w:rPr>
              <w:t>.</w:t>
            </w:r>
            <w:r w:rsidRPr="00D66A75">
              <w:rPr>
                <w:noProof/>
                <w:color w:val="000000"/>
                <w:sz w:val="22"/>
                <w:szCs w:val="22"/>
                <w:lang w:eastAsia="en-IE"/>
              </w:rPr>
              <w:t>4</w:t>
            </w:r>
          </w:p>
        </w:tc>
        <w:tc>
          <w:tcPr>
            <w:tcW w:w="1308" w:type="pct"/>
            <w:noWrap/>
            <w:vAlign w:val="center"/>
            <w:hideMark/>
          </w:tcPr>
          <w:p w14:paraId="0C406FCF" w14:textId="586B6646"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3</w:t>
            </w:r>
            <w:r w:rsidR="00346A61" w:rsidRPr="00D66A75">
              <w:rPr>
                <w:noProof/>
                <w:color w:val="000000"/>
                <w:sz w:val="22"/>
                <w:szCs w:val="22"/>
                <w:lang w:eastAsia="en-IE"/>
              </w:rPr>
              <w:t>.</w:t>
            </w:r>
            <w:r w:rsidRPr="00D66A75">
              <w:rPr>
                <w:noProof/>
                <w:color w:val="000000"/>
                <w:sz w:val="22"/>
                <w:szCs w:val="22"/>
                <w:lang w:eastAsia="en-IE"/>
              </w:rPr>
              <w:t>4%</w:t>
            </w:r>
          </w:p>
        </w:tc>
      </w:tr>
      <w:tr w:rsidR="00346A61" w:rsidRPr="00D66A75" w14:paraId="22652BEE" w14:textId="77777777" w:rsidTr="00D66A75">
        <w:trPr>
          <w:trHeight w:val="306"/>
        </w:trPr>
        <w:tc>
          <w:tcPr>
            <w:tcW w:w="851" w:type="pct"/>
            <w:noWrap/>
            <w:vAlign w:val="center"/>
            <w:hideMark/>
          </w:tcPr>
          <w:p w14:paraId="7B2D2322" w14:textId="510B2150" w:rsidR="00200D13" w:rsidRPr="00D66A75" w:rsidRDefault="00200D13" w:rsidP="00D66A75">
            <w:pPr>
              <w:pStyle w:val="Bodytext-tables"/>
              <w:keepNext/>
              <w:spacing w:before="120" w:after="120" w:line="240" w:lineRule="auto"/>
              <w:jc w:val="left"/>
              <w:rPr>
                <w:b/>
                <w:bCs/>
                <w:noProof/>
                <w:color w:val="000000"/>
                <w:sz w:val="22"/>
                <w:szCs w:val="22"/>
                <w:lang w:val="en-GB" w:eastAsia="en-IE"/>
              </w:rPr>
            </w:pPr>
            <w:r w:rsidRPr="00D66A75">
              <w:rPr>
                <w:noProof/>
                <w:color w:val="000000"/>
                <w:sz w:val="22"/>
                <w:szCs w:val="22"/>
                <w:lang w:val="en-GB" w:eastAsia="en-IE"/>
              </w:rPr>
              <w:t>Romania</w:t>
            </w:r>
          </w:p>
        </w:tc>
        <w:tc>
          <w:tcPr>
            <w:tcW w:w="981" w:type="pct"/>
            <w:noWrap/>
            <w:vAlign w:val="center"/>
            <w:hideMark/>
          </w:tcPr>
          <w:p w14:paraId="0DA9D268" w14:textId="02A23EFE"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126</w:t>
            </w:r>
          </w:p>
        </w:tc>
        <w:tc>
          <w:tcPr>
            <w:tcW w:w="1015" w:type="pct"/>
            <w:noWrap/>
            <w:vAlign w:val="center"/>
            <w:hideMark/>
          </w:tcPr>
          <w:p w14:paraId="46F9876B" w14:textId="216D1426"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29</w:t>
            </w:r>
          </w:p>
        </w:tc>
        <w:tc>
          <w:tcPr>
            <w:tcW w:w="845" w:type="pct"/>
            <w:noWrap/>
            <w:vAlign w:val="center"/>
            <w:hideMark/>
          </w:tcPr>
          <w:p w14:paraId="6DCCF114" w14:textId="678F6CD0"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480</w:t>
            </w:r>
            <w:r w:rsidR="00346A61" w:rsidRPr="00D66A75">
              <w:rPr>
                <w:noProof/>
                <w:color w:val="000000"/>
                <w:sz w:val="22"/>
                <w:szCs w:val="22"/>
                <w:lang w:eastAsia="en-IE"/>
              </w:rPr>
              <w:t>.</w:t>
            </w:r>
            <w:r w:rsidRPr="00D66A75">
              <w:rPr>
                <w:noProof/>
                <w:color w:val="000000"/>
                <w:sz w:val="22"/>
                <w:szCs w:val="22"/>
                <w:lang w:eastAsia="en-IE"/>
              </w:rPr>
              <w:t>1</w:t>
            </w:r>
          </w:p>
        </w:tc>
        <w:tc>
          <w:tcPr>
            <w:tcW w:w="1308" w:type="pct"/>
            <w:noWrap/>
            <w:vAlign w:val="center"/>
            <w:hideMark/>
          </w:tcPr>
          <w:p w14:paraId="6A498AF8" w14:textId="3D3915EA" w:rsidR="00200D13" w:rsidRPr="00D66A75" w:rsidRDefault="00200D13"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26</w:t>
            </w:r>
            <w:r w:rsidR="00346A61" w:rsidRPr="00D66A75">
              <w:rPr>
                <w:noProof/>
                <w:color w:val="000000"/>
                <w:sz w:val="22"/>
                <w:szCs w:val="22"/>
                <w:lang w:eastAsia="en-IE"/>
              </w:rPr>
              <w:t>.</w:t>
            </w:r>
            <w:r w:rsidRPr="00D66A75">
              <w:rPr>
                <w:noProof/>
                <w:color w:val="000000"/>
                <w:sz w:val="22"/>
                <w:szCs w:val="22"/>
                <w:lang w:eastAsia="en-IE"/>
              </w:rPr>
              <w:t>2%</w:t>
            </w:r>
          </w:p>
        </w:tc>
      </w:tr>
      <w:tr w:rsidR="00346A61" w:rsidRPr="00D66A75" w14:paraId="562CF8F1" w14:textId="77777777" w:rsidTr="00D66A75">
        <w:trPr>
          <w:trHeight w:val="306"/>
        </w:trPr>
        <w:tc>
          <w:tcPr>
            <w:tcW w:w="851" w:type="pct"/>
            <w:noWrap/>
            <w:vAlign w:val="center"/>
            <w:hideMark/>
          </w:tcPr>
          <w:p w14:paraId="1E530927" w14:textId="5C524F4A" w:rsidR="00346A61" w:rsidRPr="00D66A75" w:rsidRDefault="00346A61" w:rsidP="00D66A75">
            <w:pPr>
              <w:pStyle w:val="Bodytext-tables"/>
              <w:keepNext/>
              <w:spacing w:before="120" w:after="120" w:line="240" w:lineRule="auto"/>
              <w:jc w:val="left"/>
              <w:rPr>
                <w:b/>
                <w:bCs/>
                <w:noProof/>
                <w:color w:val="000000"/>
                <w:sz w:val="22"/>
                <w:szCs w:val="22"/>
                <w:lang w:val="en-GB" w:eastAsia="en-IE"/>
              </w:rPr>
            </w:pPr>
            <w:r w:rsidRPr="00D66A75">
              <w:rPr>
                <w:noProof/>
                <w:color w:val="000000"/>
                <w:sz w:val="22"/>
                <w:szCs w:val="22"/>
                <w:lang w:val="en-GB" w:eastAsia="en-IE"/>
              </w:rPr>
              <w:t>Slovakia</w:t>
            </w:r>
          </w:p>
        </w:tc>
        <w:tc>
          <w:tcPr>
            <w:tcW w:w="981" w:type="pct"/>
            <w:noWrap/>
            <w:vAlign w:val="center"/>
            <w:hideMark/>
          </w:tcPr>
          <w:p w14:paraId="7292DFC7" w14:textId="43FCE21C" w:rsidR="00346A6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1</w:t>
            </w:r>
          </w:p>
        </w:tc>
        <w:tc>
          <w:tcPr>
            <w:tcW w:w="1015" w:type="pct"/>
            <w:noWrap/>
            <w:vAlign w:val="center"/>
            <w:hideMark/>
          </w:tcPr>
          <w:p w14:paraId="079FC17E" w14:textId="289C67B7" w:rsidR="00346A6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7</w:t>
            </w:r>
          </w:p>
        </w:tc>
        <w:tc>
          <w:tcPr>
            <w:tcW w:w="845" w:type="pct"/>
            <w:noWrap/>
            <w:vAlign w:val="center"/>
            <w:hideMark/>
          </w:tcPr>
          <w:p w14:paraId="16CEBD57" w14:textId="4BC50058" w:rsidR="00346A6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275.8</w:t>
            </w:r>
          </w:p>
        </w:tc>
        <w:tc>
          <w:tcPr>
            <w:tcW w:w="1308" w:type="pct"/>
            <w:noWrap/>
            <w:vAlign w:val="center"/>
            <w:hideMark/>
          </w:tcPr>
          <w:p w14:paraId="14427FC9" w14:textId="7AF9E61C" w:rsidR="00346A61" w:rsidRPr="00D66A75" w:rsidRDefault="00346A61" w:rsidP="00D66A75">
            <w:pPr>
              <w:pStyle w:val="Bodytext-tables"/>
              <w:keepNext/>
              <w:spacing w:before="120" w:after="120" w:line="240" w:lineRule="auto"/>
              <w:jc w:val="right"/>
              <w:rPr>
                <w:noProof/>
                <w:color w:val="000000"/>
                <w:sz w:val="22"/>
                <w:szCs w:val="22"/>
                <w:lang w:val="en-GB" w:eastAsia="en-IE"/>
              </w:rPr>
            </w:pPr>
            <w:r w:rsidRPr="00D66A75">
              <w:rPr>
                <w:noProof/>
                <w:color w:val="000000"/>
                <w:sz w:val="22"/>
                <w:szCs w:val="22"/>
                <w:lang w:eastAsia="en-IE"/>
              </w:rPr>
              <w:t>0.0%</w:t>
            </w:r>
          </w:p>
        </w:tc>
      </w:tr>
    </w:tbl>
    <w:p w14:paraId="298F1BEC" w14:textId="0738F448" w:rsidR="008C5B3E" w:rsidRPr="004B4540" w:rsidRDefault="008C5B3E" w:rsidP="008C5B3E">
      <w:pPr>
        <w:spacing w:before="240" w:after="240"/>
        <w:jc w:val="both"/>
        <w:rPr>
          <w:rFonts w:ascii="Times New Roman" w:hAnsi="Times New Roman" w:cs="Times New Roman"/>
          <w:bCs/>
          <w:noProof/>
          <w:sz w:val="24"/>
          <w:szCs w:val="24"/>
        </w:rPr>
      </w:pPr>
      <w:r w:rsidRPr="004B4540">
        <w:rPr>
          <w:rFonts w:ascii="Times New Roman" w:hAnsi="Times New Roman" w:cs="Times New Roman"/>
          <w:bCs/>
          <w:noProof/>
          <w:sz w:val="24"/>
          <w:szCs w:val="24"/>
        </w:rPr>
        <w:t>The total indirect cost payments by these 13 Member States in 2022 amounted to around EUR</w:t>
      </w:r>
      <w:r w:rsidR="007175FD">
        <w:rPr>
          <w:rFonts w:ascii="Times New Roman" w:hAnsi="Times New Roman" w:cs="Times New Roman"/>
          <w:bCs/>
          <w:noProof/>
          <w:sz w:val="24"/>
          <w:szCs w:val="24"/>
        </w:rPr>
        <w:t> </w:t>
      </w:r>
      <w:r w:rsidRPr="004B4540">
        <w:rPr>
          <w:rFonts w:ascii="Times New Roman" w:hAnsi="Times New Roman" w:cs="Times New Roman"/>
          <w:bCs/>
          <w:noProof/>
          <w:sz w:val="24"/>
          <w:szCs w:val="24"/>
        </w:rPr>
        <w:t>2.16 billion. This is less than the EUR 2.38 b</w:t>
      </w:r>
      <w:r w:rsidR="002262DB" w:rsidRPr="004B4540">
        <w:rPr>
          <w:rFonts w:ascii="Times New Roman" w:hAnsi="Times New Roman" w:cs="Times New Roman"/>
          <w:bCs/>
          <w:noProof/>
          <w:sz w:val="24"/>
          <w:szCs w:val="24"/>
        </w:rPr>
        <w:t>illio</w:t>
      </w:r>
      <w:r w:rsidRPr="004B4540">
        <w:rPr>
          <w:rFonts w:ascii="Times New Roman" w:hAnsi="Times New Roman" w:cs="Times New Roman"/>
          <w:bCs/>
          <w:noProof/>
          <w:sz w:val="24"/>
          <w:szCs w:val="24"/>
        </w:rPr>
        <w:t xml:space="preserve">n disbursed in 2021. The revised ETS Guidelines reduced the number of sectors eligible for compensation. The number of installations that received aid also decreased: from over 2000 in 2021, to around 1750 in 2022. The revised ETS Guidelines also updated the emission factors that Member States use to calculate the maximum aid amount, resulting in lower payments per </w:t>
      </w:r>
      <w:r w:rsidR="002262DB" w:rsidRPr="004B4540">
        <w:rPr>
          <w:rFonts w:ascii="Times New Roman" w:hAnsi="Times New Roman" w:cs="Times New Roman"/>
          <w:bCs/>
          <w:noProof/>
          <w:sz w:val="24"/>
          <w:szCs w:val="24"/>
        </w:rPr>
        <w:t>megawatt</w:t>
      </w:r>
      <w:r w:rsidR="004A4465" w:rsidRPr="004B4540">
        <w:rPr>
          <w:rFonts w:ascii="Times New Roman" w:hAnsi="Times New Roman" w:cs="Times New Roman"/>
          <w:bCs/>
          <w:noProof/>
          <w:sz w:val="24"/>
          <w:szCs w:val="24"/>
        </w:rPr>
        <w:t xml:space="preserve"> </w:t>
      </w:r>
      <w:r w:rsidR="002262DB" w:rsidRPr="004B4540">
        <w:rPr>
          <w:rFonts w:ascii="Times New Roman" w:hAnsi="Times New Roman" w:cs="Times New Roman"/>
          <w:bCs/>
          <w:noProof/>
          <w:sz w:val="24"/>
          <w:szCs w:val="24"/>
        </w:rPr>
        <w:t xml:space="preserve">hour </w:t>
      </w:r>
      <w:r w:rsidRPr="004B4540">
        <w:rPr>
          <w:rFonts w:ascii="Times New Roman" w:hAnsi="Times New Roman" w:cs="Times New Roman"/>
          <w:bCs/>
          <w:noProof/>
          <w:sz w:val="24"/>
          <w:szCs w:val="24"/>
        </w:rPr>
        <w:t>of benchmarked consumption. On the other hand, the inclusion of the refin</w:t>
      </w:r>
      <w:r w:rsidR="00921FB8">
        <w:rPr>
          <w:rFonts w:ascii="Times New Roman" w:hAnsi="Times New Roman" w:cs="Times New Roman"/>
          <w:bCs/>
          <w:noProof/>
          <w:sz w:val="24"/>
          <w:szCs w:val="24"/>
        </w:rPr>
        <w:t>ing</w:t>
      </w:r>
      <w:r w:rsidRPr="004B4540">
        <w:rPr>
          <w:rFonts w:ascii="Times New Roman" w:hAnsi="Times New Roman" w:cs="Times New Roman"/>
          <w:bCs/>
          <w:noProof/>
          <w:sz w:val="24"/>
          <w:szCs w:val="24"/>
        </w:rPr>
        <w:t xml:space="preserve"> sector as well as the introduction of a possibility to limit the maximum own contribution to indirect costs for very electro-intensive industries (</w:t>
      </w:r>
      <w:r w:rsidR="0055245D" w:rsidRPr="004B4540">
        <w:rPr>
          <w:rFonts w:ascii="Times New Roman" w:hAnsi="Times New Roman" w:cs="Times New Roman"/>
          <w:bCs/>
          <w:noProof/>
          <w:sz w:val="24"/>
          <w:szCs w:val="24"/>
        </w:rPr>
        <w:t>i.e.,</w:t>
      </w:r>
      <w:r w:rsidRPr="004B4540">
        <w:rPr>
          <w:rFonts w:ascii="Times New Roman" w:hAnsi="Times New Roman" w:cs="Times New Roman"/>
          <w:bCs/>
          <w:noProof/>
          <w:sz w:val="24"/>
          <w:szCs w:val="24"/>
        </w:rPr>
        <w:t xml:space="preserve"> to 1.5 % of beneficiary’s gross value added) have the opposite effect of increasing the overall aid amount. </w:t>
      </w:r>
    </w:p>
    <w:p w14:paraId="79265021" w14:textId="164FEAD4" w:rsidR="009A2AC2" w:rsidRPr="004B4540" w:rsidRDefault="00A42022" w:rsidP="009A2AC2">
      <w:pPr>
        <w:spacing w:before="240" w:after="240"/>
        <w:jc w:val="both"/>
        <w:rPr>
          <w:rFonts w:ascii="Times New Roman" w:hAnsi="Times New Roman" w:cs="Times New Roman"/>
          <w:bCs/>
          <w:noProof/>
          <w:sz w:val="24"/>
          <w:szCs w:val="24"/>
        </w:rPr>
      </w:pPr>
      <w:r w:rsidRPr="004B4540">
        <w:rPr>
          <w:rFonts w:ascii="Times New Roman" w:hAnsi="Times New Roman" w:cs="Times New Roman"/>
          <w:bCs/>
          <w:noProof/>
          <w:sz w:val="24"/>
          <w:szCs w:val="24"/>
        </w:rPr>
        <w:t>Under the</w:t>
      </w:r>
      <w:r w:rsidR="009A2AC2" w:rsidRPr="004B4540">
        <w:rPr>
          <w:rFonts w:ascii="Times New Roman" w:hAnsi="Times New Roman" w:cs="Times New Roman"/>
          <w:bCs/>
          <w:noProof/>
          <w:sz w:val="24"/>
          <w:szCs w:val="24"/>
        </w:rPr>
        <w:t xml:space="preserve"> new schemes implemented by Member States</w:t>
      </w:r>
      <w:r w:rsidR="008506F3" w:rsidRPr="004B4540">
        <w:rPr>
          <w:rFonts w:ascii="Times New Roman" w:hAnsi="Times New Roman" w:cs="Times New Roman"/>
          <w:bCs/>
          <w:noProof/>
          <w:sz w:val="24"/>
          <w:szCs w:val="24"/>
        </w:rPr>
        <w:t xml:space="preserve">, </w:t>
      </w:r>
      <w:r w:rsidR="009A2AC2" w:rsidRPr="004B4540">
        <w:rPr>
          <w:rFonts w:ascii="Times New Roman" w:hAnsi="Times New Roman" w:cs="Times New Roman"/>
          <w:bCs/>
          <w:noProof/>
          <w:sz w:val="24"/>
          <w:szCs w:val="24"/>
        </w:rPr>
        <w:t>beneficiaries should re-invest part of the aid in projects that lower their direct or indirect carbon footprint and hence their exposure to carbon leakage risk.</w:t>
      </w:r>
    </w:p>
    <w:p w14:paraId="4DDD02A4" w14:textId="71CBD827" w:rsidR="009A2AC2" w:rsidRPr="004B4540" w:rsidRDefault="009A2AC2" w:rsidP="009A2AC2">
      <w:pPr>
        <w:spacing w:before="240" w:after="240"/>
        <w:jc w:val="both"/>
        <w:rPr>
          <w:rFonts w:ascii="Times New Roman" w:hAnsi="Times New Roman" w:cs="Times New Roman"/>
          <w:bCs/>
          <w:noProof/>
          <w:sz w:val="24"/>
          <w:szCs w:val="24"/>
        </w:rPr>
      </w:pPr>
      <w:r w:rsidRPr="004B4540">
        <w:rPr>
          <w:rFonts w:ascii="Times New Roman" w:hAnsi="Times New Roman" w:cs="Times New Roman"/>
          <w:bCs/>
          <w:noProof/>
          <w:sz w:val="24"/>
          <w:szCs w:val="24"/>
        </w:rPr>
        <w:t>The carbon price used to evaluate indirect costs incurred in 2021 (calculated as the average futures price for that year registered in 2020) was EUR</w:t>
      </w:r>
      <w:r w:rsidR="008506F3" w:rsidRPr="004B4540">
        <w:rPr>
          <w:rFonts w:ascii="Times New Roman" w:hAnsi="Times New Roman" w:cs="Times New Roman"/>
          <w:bCs/>
          <w:noProof/>
          <w:sz w:val="24"/>
          <w:szCs w:val="24"/>
        </w:rPr>
        <w:t> </w:t>
      </w:r>
      <w:r w:rsidRPr="004B4540">
        <w:rPr>
          <w:rFonts w:ascii="Times New Roman" w:hAnsi="Times New Roman" w:cs="Times New Roman"/>
          <w:bCs/>
          <w:noProof/>
          <w:sz w:val="24"/>
          <w:szCs w:val="24"/>
        </w:rPr>
        <w:t>25.09, almost equal to the EUR</w:t>
      </w:r>
      <w:r w:rsidR="008506F3" w:rsidRPr="004B4540">
        <w:rPr>
          <w:rFonts w:ascii="Times New Roman" w:hAnsi="Times New Roman" w:cs="Times New Roman"/>
          <w:bCs/>
          <w:noProof/>
          <w:sz w:val="24"/>
          <w:szCs w:val="24"/>
        </w:rPr>
        <w:t> </w:t>
      </w:r>
      <w:r w:rsidRPr="004B4540">
        <w:rPr>
          <w:rFonts w:ascii="Times New Roman" w:hAnsi="Times New Roman" w:cs="Times New Roman"/>
          <w:bCs/>
          <w:noProof/>
          <w:sz w:val="24"/>
          <w:szCs w:val="24"/>
        </w:rPr>
        <w:t xml:space="preserve">25.20 used for indirect costs incurred in 2020. The compensation schemes </w:t>
      </w:r>
      <w:r w:rsidR="000D37D6" w:rsidRPr="004B4540">
        <w:rPr>
          <w:rFonts w:ascii="Times New Roman" w:hAnsi="Times New Roman" w:cs="Times New Roman"/>
          <w:bCs/>
          <w:noProof/>
          <w:sz w:val="24"/>
          <w:szCs w:val="24"/>
        </w:rPr>
        <w:t xml:space="preserve">typically </w:t>
      </w:r>
      <w:r w:rsidRPr="004B4540">
        <w:rPr>
          <w:rFonts w:ascii="Times New Roman" w:hAnsi="Times New Roman" w:cs="Times New Roman"/>
          <w:bCs/>
          <w:noProof/>
          <w:sz w:val="24"/>
          <w:szCs w:val="24"/>
        </w:rPr>
        <w:t xml:space="preserve">have a budget calculated for the whole application period (which for most Member States covers 2021-2030). </w:t>
      </w:r>
    </w:p>
    <w:p w14:paraId="32BB22C6" w14:textId="60491B8D" w:rsidR="009A2AC2" w:rsidRPr="004B4540" w:rsidRDefault="009A2AC2" w:rsidP="009A2AC2">
      <w:pPr>
        <w:spacing w:before="240" w:after="240"/>
        <w:jc w:val="both"/>
        <w:rPr>
          <w:rFonts w:ascii="Times New Roman" w:hAnsi="Times New Roman" w:cs="Times New Roman"/>
          <w:bCs/>
          <w:noProof/>
          <w:sz w:val="24"/>
          <w:szCs w:val="24"/>
        </w:rPr>
      </w:pPr>
      <w:r w:rsidRPr="004B4540">
        <w:rPr>
          <w:rFonts w:ascii="Times New Roman" w:hAnsi="Times New Roman" w:cs="Times New Roman"/>
          <w:bCs/>
          <w:noProof/>
          <w:sz w:val="24"/>
          <w:szCs w:val="24"/>
        </w:rPr>
        <w:t xml:space="preserve">The indirect cost payments </w:t>
      </w:r>
      <w:r w:rsidR="00270E83" w:rsidRPr="004B4540">
        <w:rPr>
          <w:rFonts w:ascii="Times New Roman" w:hAnsi="Times New Roman" w:cs="Times New Roman"/>
          <w:bCs/>
          <w:noProof/>
          <w:sz w:val="24"/>
          <w:szCs w:val="24"/>
        </w:rPr>
        <w:t xml:space="preserve">also </w:t>
      </w:r>
      <w:r w:rsidRPr="004B4540">
        <w:rPr>
          <w:rFonts w:ascii="Times New Roman" w:hAnsi="Times New Roman" w:cs="Times New Roman"/>
          <w:bCs/>
          <w:noProof/>
          <w:sz w:val="24"/>
          <w:szCs w:val="24"/>
        </w:rPr>
        <w:t xml:space="preserve">decreased in relative terms. The total payments for indirect costs in 2022 </w:t>
      </w:r>
      <w:r w:rsidR="00270E83" w:rsidRPr="004B4540">
        <w:rPr>
          <w:rFonts w:ascii="Times New Roman" w:hAnsi="Times New Roman" w:cs="Times New Roman"/>
          <w:bCs/>
          <w:noProof/>
          <w:sz w:val="24"/>
          <w:szCs w:val="24"/>
        </w:rPr>
        <w:t>were</w:t>
      </w:r>
      <w:r w:rsidRPr="004B4540">
        <w:rPr>
          <w:rFonts w:ascii="Times New Roman" w:hAnsi="Times New Roman" w:cs="Times New Roman"/>
          <w:bCs/>
          <w:noProof/>
          <w:sz w:val="24"/>
          <w:szCs w:val="24"/>
        </w:rPr>
        <w:t xml:space="preserve"> 10.4% of 2021 auction revenue collected by the 13 Member States. In 2021, they spent</w:t>
      </w:r>
      <w:r w:rsidR="005F47DA" w:rsidRPr="004B4540">
        <w:rPr>
          <w:rFonts w:ascii="Times New Roman" w:hAnsi="Times New Roman" w:cs="Times New Roman"/>
          <w:bCs/>
          <w:noProof/>
          <w:sz w:val="24"/>
          <w:szCs w:val="24"/>
        </w:rPr>
        <w:t>,</w:t>
      </w:r>
      <w:r w:rsidRPr="004B4540">
        <w:rPr>
          <w:rFonts w:ascii="Times New Roman" w:hAnsi="Times New Roman" w:cs="Times New Roman"/>
          <w:bCs/>
          <w:noProof/>
          <w:sz w:val="24"/>
          <w:szCs w:val="24"/>
        </w:rPr>
        <w:t xml:space="preserve"> on average</w:t>
      </w:r>
      <w:r w:rsidR="005F47DA" w:rsidRPr="004B4540">
        <w:rPr>
          <w:rFonts w:ascii="Times New Roman" w:hAnsi="Times New Roman" w:cs="Times New Roman"/>
          <w:bCs/>
          <w:noProof/>
          <w:sz w:val="24"/>
          <w:szCs w:val="24"/>
        </w:rPr>
        <w:t>,</w:t>
      </w:r>
      <w:r w:rsidRPr="004B4540">
        <w:rPr>
          <w:rFonts w:ascii="Times New Roman" w:hAnsi="Times New Roman" w:cs="Times New Roman"/>
          <w:bCs/>
          <w:noProof/>
          <w:sz w:val="24"/>
          <w:szCs w:val="24"/>
        </w:rPr>
        <w:t xml:space="preserve"> 19.2% of their auction revenue</w:t>
      </w:r>
      <w:r w:rsidR="005F47DA" w:rsidRPr="004B4540">
        <w:rPr>
          <w:rFonts w:ascii="Times New Roman" w:hAnsi="Times New Roman" w:cs="Times New Roman"/>
          <w:bCs/>
          <w:noProof/>
          <w:sz w:val="24"/>
          <w:szCs w:val="24"/>
        </w:rPr>
        <w:t xml:space="preserve"> on</w:t>
      </w:r>
      <w:r w:rsidRPr="004B4540">
        <w:rPr>
          <w:rFonts w:ascii="Times New Roman" w:hAnsi="Times New Roman" w:cs="Times New Roman"/>
          <w:bCs/>
          <w:noProof/>
          <w:sz w:val="24"/>
          <w:szCs w:val="24"/>
        </w:rPr>
        <w:t xml:space="preserve"> indirect carbon costs. Here, the main factor is not the reduced compensation, but the increased auction revenues in 2021 compared to 2020. </w:t>
      </w:r>
    </w:p>
    <w:p w14:paraId="5031CD8F" w14:textId="254CEB41" w:rsidR="009A2AC2" w:rsidRPr="004B4540" w:rsidRDefault="009A2AC2" w:rsidP="009A2AC2">
      <w:pPr>
        <w:spacing w:before="240" w:after="240"/>
        <w:jc w:val="both"/>
        <w:rPr>
          <w:rFonts w:ascii="Times New Roman" w:hAnsi="Times New Roman" w:cs="Times New Roman"/>
          <w:bCs/>
          <w:noProof/>
          <w:sz w:val="24"/>
          <w:szCs w:val="24"/>
        </w:rPr>
      </w:pPr>
      <w:r w:rsidRPr="004B4540">
        <w:rPr>
          <w:rFonts w:ascii="Times New Roman" w:hAnsi="Times New Roman" w:cs="Times New Roman"/>
          <w:bCs/>
          <w:noProof/>
          <w:sz w:val="24"/>
          <w:szCs w:val="24"/>
        </w:rPr>
        <w:t xml:space="preserve">Member States that spend more than 25% of their auction revenue on indirect costs in any year are </w:t>
      </w:r>
      <w:r w:rsidR="005F47DA" w:rsidRPr="004B4540">
        <w:rPr>
          <w:rFonts w:ascii="Times New Roman" w:hAnsi="Times New Roman" w:cs="Times New Roman"/>
          <w:bCs/>
          <w:noProof/>
          <w:sz w:val="24"/>
          <w:szCs w:val="24"/>
        </w:rPr>
        <w:t xml:space="preserve">also </w:t>
      </w:r>
      <w:r w:rsidRPr="004B4540">
        <w:rPr>
          <w:rFonts w:ascii="Times New Roman" w:hAnsi="Times New Roman" w:cs="Times New Roman"/>
          <w:bCs/>
          <w:noProof/>
          <w:sz w:val="24"/>
          <w:szCs w:val="24"/>
        </w:rPr>
        <w:t xml:space="preserve">required to publish a report explaining why they exceeded this threshold. In 2022, most Member States stayed well below this threshold. </w:t>
      </w:r>
      <w:r w:rsidR="005F47DA" w:rsidRPr="004B4540">
        <w:rPr>
          <w:rFonts w:ascii="Times New Roman" w:hAnsi="Times New Roman" w:cs="Times New Roman"/>
          <w:bCs/>
          <w:noProof/>
          <w:sz w:val="24"/>
          <w:szCs w:val="24"/>
        </w:rPr>
        <w:t>T</w:t>
      </w:r>
      <w:r w:rsidRPr="004B4540">
        <w:rPr>
          <w:rFonts w:ascii="Times New Roman" w:hAnsi="Times New Roman" w:cs="Times New Roman"/>
          <w:bCs/>
          <w:noProof/>
          <w:sz w:val="24"/>
          <w:szCs w:val="24"/>
        </w:rPr>
        <w:t>he increase in auction revenue is</w:t>
      </w:r>
      <w:r w:rsidR="000B1963" w:rsidRPr="004B4540">
        <w:rPr>
          <w:rFonts w:ascii="Times New Roman" w:hAnsi="Times New Roman" w:cs="Times New Roman"/>
          <w:bCs/>
          <w:noProof/>
          <w:sz w:val="24"/>
          <w:szCs w:val="24"/>
        </w:rPr>
        <w:t xml:space="preserve"> also</w:t>
      </w:r>
      <w:r w:rsidRPr="004B4540">
        <w:rPr>
          <w:rFonts w:ascii="Times New Roman" w:hAnsi="Times New Roman" w:cs="Times New Roman"/>
          <w:bCs/>
          <w:noProof/>
          <w:sz w:val="24"/>
          <w:szCs w:val="24"/>
        </w:rPr>
        <w:t xml:space="preserve"> the main driver</w:t>
      </w:r>
      <w:r w:rsidR="000B1963" w:rsidRPr="004B4540">
        <w:rPr>
          <w:rFonts w:ascii="Times New Roman" w:hAnsi="Times New Roman" w:cs="Times New Roman"/>
          <w:bCs/>
          <w:noProof/>
          <w:sz w:val="24"/>
          <w:szCs w:val="24"/>
        </w:rPr>
        <w:t xml:space="preserve"> here</w:t>
      </w:r>
      <w:r w:rsidRPr="004B4540">
        <w:rPr>
          <w:rFonts w:ascii="Times New Roman" w:hAnsi="Times New Roman" w:cs="Times New Roman"/>
          <w:bCs/>
          <w:noProof/>
          <w:sz w:val="24"/>
          <w:szCs w:val="24"/>
        </w:rPr>
        <w:t xml:space="preserve">. Nevertheless, two Member States spent more than 25% of their auction revenue on indirect cost payments: Luxembourg and Romania. </w:t>
      </w:r>
    </w:p>
    <w:p w14:paraId="6F6ECDCA" w14:textId="729FF2F7" w:rsidR="001B6047" w:rsidRPr="004B4540" w:rsidRDefault="009A2AC2" w:rsidP="00B26C35">
      <w:pPr>
        <w:spacing w:before="240" w:after="240"/>
        <w:jc w:val="both"/>
        <w:rPr>
          <w:rFonts w:ascii="Times New Roman" w:hAnsi="Times New Roman" w:cs="Times New Roman"/>
          <w:bCs/>
          <w:noProof/>
          <w:sz w:val="24"/>
          <w:szCs w:val="24"/>
        </w:rPr>
      </w:pPr>
      <w:r w:rsidRPr="004B4540">
        <w:rPr>
          <w:rFonts w:ascii="Times New Roman" w:hAnsi="Times New Roman" w:cs="Times New Roman"/>
          <w:bCs/>
          <w:noProof/>
          <w:sz w:val="24"/>
          <w:szCs w:val="24"/>
        </w:rPr>
        <w:t xml:space="preserve">Luxembourg’s expenditure far outweighed its total auction revenue. In large part, this was </w:t>
      </w:r>
      <w:r w:rsidR="00A8358E" w:rsidRPr="004B4540">
        <w:rPr>
          <w:rFonts w:ascii="Times New Roman" w:hAnsi="Times New Roman" w:cs="Times New Roman"/>
          <w:bCs/>
          <w:noProof/>
          <w:sz w:val="24"/>
          <w:szCs w:val="24"/>
        </w:rPr>
        <w:t>due to</w:t>
      </w:r>
      <w:r w:rsidRPr="004B4540">
        <w:rPr>
          <w:rFonts w:ascii="Times New Roman" w:hAnsi="Times New Roman" w:cs="Times New Roman"/>
          <w:bCs/>
          <w:noProof/>
          <w:sz w:val="24"/>
          <w:szCs w:val="24"/>
        </w:rPr>
        <w:t xml:space="preserve"> a drop in </w:t>
      </w:r>
      <w:r w:rsidR="000F545B" w:rsidRPr="004B4540">
        <w:rPr>
          <w:rFonts w:ascii="Times New Roman" w:hAnsi="Times New Roman" w:cs="Times New Roman"/>
          <w:bCs/>
          <w:noProof/>
          <w:sz w:val="24"/>
          <w:szCs w:val="24"/>
        </w:rPr>
        <w:t>the country’s</w:t>
      </w:r>
      <w:r w:rsidRPr="004B4540">
        <w:rPr>
          <w:rFonts w:ascii="Times New Roman" w:hAnsi="Times New Roman" w:cs="Times New Roman"/>
          <w:bCs/>
          <w:noProof/>
          <w:sz w:val="24"/>
          <w:szCs w:val="24"/>
        </w:rPr>
        <w:t xml:space="preserve"> auction volume caused primarily by its use of ETS allowances for offsetting emissions in the sectors</w:t>
      </w:r>
      <w:r w:rsidR="004B4175" w:rsidRPr="004B4540">
        <w:rPr>
          <w:rFonts w:ascii="Times New Roman" w:hAnsi="Times New Roman" w:cs="Times New Roman"/>
          <w:bCs/>
          <w:noProof/>
          <w:sz w:val="24"/>
          <w:szCs w:val="24"/>
        </w:rPr>
        <w:t xml:space="preserve"> covered by the Effort Sharing Regulation</w:t>
      </w:r>
      <w:r w:rsidRPr="004B4540">
        <w:rPr>
          <w:rFonts w:ascii="Times New Roman" w:hAnsi="Times New Roman" w:cs="Times New Roman"/>
          <w:bCs/>
          <w:noProof/>
          <w:sz w:val="24"/>
          <w:szCs w:val="24"/>
        </w:rPr>
        <w:t xml:space="preserve"> (‘ESR flexibility’). The net effect is that Luxembourg received less than half the amount of revenues in 2021 compared to 2020. In absolute terms, Luxembourg’s 2022 compensation actually decreased compared to 2021. Romania, by contrast, only slightly exceeded the </w:t>
      </w:r>
      <w:r w:rsidR="00474A6F" w:rsidRPr="004B4540">
        <w:rPr>
          <w:rFonts w:ascii="Times New Roman" w:hAnsi="Times New Roman" w:cs="Times New Roman"/>
          <w:bCs/>
          <w:noProof/>
          <w:sz w:val="24"/>
          <w:szCs w:val="24"/>
        </w:rPr>
        <w:t>threshold</w:t>
      </w:r>
      <w:r w:rsidRPr="004B4540">
        <w:rPr>
          <w:rFonts w:ascii="Times New Roman" w:hAnsi="Times New Roman" w:cs="Times New Roman"/>
          <w:bCs/>
          <w:noProof/>
          <w:sz w:val="24"/>
          <w:szCs w:val="24"/>
        </w:rPr>
        <w:t xml:space="preserve"> and explained this was </w:t>
      </w:r>
      <w:r w:rsidR="00474A6F" w:rsidRPr="004B4540">
        <w:rPr>
          <w:rFonts w:ascii="Times New Roman" w:hAnsi="Times New Roman" w:cs="Times New Roman"/>
          <w:bCs/>
          <w:noProof/>
          <w:sz w:val="24"/>
          <w:szCs w:val="24"/>
        </w:rPr>
        <w:t xml:space="preserve">partly </w:t>
      </w:r>
      <w:r w:rsidRPr="004B4540">
        <w:rPr>
          <w:rFonts w:ascii="Times New Roman" w:hAnsi="Times New Roman" w:cs="Times New Roman"/>
          <w:bCs/>
          <w:noProof/>
          <w:sz w:val="24"/>
          <w:szCs w:val="24"/>
        </w:rPr>
        <w:t xml:space="preserve">the result of the </w:t>
      </w:r>
      <w:r w:rsidR="00474A6F" w:rsidRPr="004B4540">
        <w:rPr>
          <w:rFonts w:ascii="Times New Roman" w:hAnsi="Times New Roman" w:cs="Times New Roman"/>
          <w:bCs/>
          <w:noProof/>
          <w:sz w:val="24"/>
          <w:szCs w:val="24"/>
        </w:rPr>
        <w:t xml:space="preserve">economic </w:t>
      </w:r>
      <w:r w:rsidRPr="004B4540">
        <w:rPr>
          <w:rFonts w:ascii="Times New Roman" w:hAnsi="Times New Roman" w:cs="Times New Roman"/>
          <w:bCs/>
          <w:noProof/>
          <w:sz w:val="24"/>
          <w:szCs w:val="24"/>
        </w:rPr>
        <w:t>recovery</w:t>
      </w:r>
      <w:r w:rsidR="00474A6F" w:rsidRPr="004B4540">
        <w:rPr>
          <w:rFonts w:ascii="Times New Roman" w:hAnsi="Times New Roman" w:cs="Times New Roman"/>
          <w:bCs/>
          <w:noProof/>
          <w:sz w:val="24"/>
          <w:szCs w:val="24"/>
        </w:rPr>
        <w:t xml:space="preserve">, </w:t>
      </w:r>
      <w:r w:rsidRPr="004B4540">
        <w:rPr>
          <w:rFonts w:ascii="Times New Roman" w:hAnsi="Times New Roman" w:cs="Times New Roman"/>
          <w:bCs/>
          <w:noProof/>
          <w:sz w:val="24"/>
          <w:szCs w:val="24"/>
        </w:rPr>
        <w:t xml:space="preserve">which </w:t>
      </w:r>
      <w:r w:rsidR="00474A6F" w:rsidRPr="004B4540">
        <w:rPr>
          <w:rFonts w:ascii="Times New Roman" w:hAnsi="Times New Roman" w:cs="Times New Roman"/>
          <w:bCs/>
          <w:noProof/>
          <w:sz w:val="24"/>
          <w:szCs w:val="24"/>
        </w:rPr>
        <w:t xml:space="preserve">had </w:t>
      </w:r>
      <w:r w:rsidRPr="004B4540">
        <w:rPr>
          <w:rFonts w:ascii="Times New Roman" w:hAnsi="Times New Roman" w:cs="Times New Roman"/>
          <w:bCs/>
          <w:noProof/>
          <w:sz w:val="24"/>
          <w:szCs w:val="24"/>
        </w:rPr>
        <w:t>led to an increase in industrial production and electricity consumption</w:t>
      </w:r>
      <w:r w:rsidR="00B16026" w:rsidRPr="004B4540">
        <w:rPr>
          <w:rFonts w:ascii="Times New Roman" w:hAnsi="Times New Roman" w:cs="Times New Roman"/>
          <w:bCs/>
          <w:noProof/>
          <w:sz w:val="24"/>
          <w:szCs w:val="24"/>
        </w:rPr>
        <w:t>.</w:t>
      </w:r>
      <w:r w:rsidRPr="004B4540">
        <w:rPr>
          <w:rFonts w:ascii="Times New Roman" w:hAnsi="Times New Roman" w:cs="Times New Roman"/>
          <w:bCs/>
          <w:noProof/>
          <w:sz w:val="24"/>
          <w:szCs w:val="24"/>
        </w:rPr>
        <w:t xml:space="preserve"> </w:t>
      </w:r>
    </w:p>
    <w:p w14:paraId="686EAFBD" w14:textId="607CBA0D" w:rsidR="00EC2E28" w:rsidRPr="004B4540" w:rsidRDefault="00EC2E28" w:rsidP="00B36B2C">
      <w:pPr>
        <w:pStyle w:val="CMR2023-SUBheading"/>
        <w:rPr>
          <w:rFonts w:cs="Times New Roman"/>
          <w:noProof/>
          <w:szCs w:val="24"/>
        </w:rPr>
      </w:pPr>
      <w:bookmarkStart w:id="48" w:name="_Toc148555883"/>
      <w:bookmarkStart w:id="49" w:name="_Toc148555884"/>
      <w:bookmarkStart w:id="50" w:name="_Toc148555885"/>
      <w:bookmarkStart w:id="51" w:name="_Toc148555886"/>
      <w:bookmarkStart w:id="52" w:name="_Toc148555887"/>
      <w:bookmarkStart w:id="53" w:name="_Toc148555888"/>
      <w:bookmarkStart w:id="54" w:name="_Toc145453238"/>
      <w:bookmarkStart w:id="55" w:name="_Toc148555889"/>
      <w:bookmarkEnd w:id="48"/>
      <w:bookmarkEnd w:id="49"/>
      <w:bookmarkEnd w:id="50"/>
      <w:bookmarkEnd w:id="51"/>
      <w:bookmarkEnd w:id="52"/>
      <w:bookmarkEnd w:id="53"/>
      <w:r w:rsidRPr="004B4540">
        <w:rPr>
          <w:rFonts w:cs="Times New Roman"/>
          <w:noProof/>
          <w:szCs w:val="24"/>
        </w:rPr>
        <w:t>Innovation Fund</w:t>
      </w:r>
      <w:bookmarkEnd w:id="54"/>
      <w:bookmarkEnd w:id="55"/>
    </w:p>
    <w:p w14:paraId="183C4A21" w14:textId="28A44B18" w:rsidR="009769EC" w:rsidRPr="004B4540" w:rsidRDefault="00CF1A48" w:rsidP="007C3072">
      <w:pPr>
        <w:pStyle w:val="CMR23-text"/>
        <w:rPr>
          <w:rFonts w:cs="Times New Roman"/>
          <w:noProof/>
          <w:szCs w:val="24"/>
        </w:rPr>
      </w:pPr>
      <w:r w:rsidRPr="004B4540">
        <w:rPr>
          <w:rFonts w:cs="Times New Roman"/>
          <w:noProof/>
          <w:szCs w:val="24"/>
        </w:rPr>
        <w:t xml:space="preserve">Funded entirely by the EU ETS, the Innovation Fund is one of the world’s largest funding programmes for deploying low- and zero-carbon innovative solutions and technologies in energy, industry and net-zero mobility. </w:t>
      </w:r>
      <w:r w:rsidR="00D829A6" w:rsidRPr="004B4540">
        <w:rPr>
          <w:rFonts w:cs="Times New Roman"/>
          <w:noProof/>
          <w:szCs w:val="24"/>
        </w:rPr>
        <w:t>The Fund provides grants for projects aimed at commercially deploying innovative low-carbon technologies and bringing to market industrial solutions to decarbonise Europe and support the transition to climate neutrality.</w:t>
      </w:r>
    </w:p>
    <w:p w14:paraId="69913FC2" w14:textId="4DDCF104" w:rsidR="00286BA6" w:rsidRPr="004B4540" w:rsidRDefault="00297B73" w:rsidP="007C3072">
      <w:pPr>
        <w:pStyle w:val="CMR23-text"/>
        <w:rPr>
          <w:rFonts w:cs="Times New Roman"/>
          <w:noProof/>
          <w:szCs w:val="24"/>
        </w:rPr>
      </w:pPr>
      <w:r w:rsidRPr="004B4540">
        <w:rPr>
          <w:rFonts w:cs="Times New Roman"/>
          <w:noProof/>
          <w:szCs w:val="24"/>
        </w:rPr>
        <w:t>The Commission reports in more detail on implementation of the Innovation Fund separately. The second Progress Report on implementation of the Innovation Fund is expected in Q4-2023</w:t>
      </w:r>
      <w:r w:rsidR="009769EC" w:rsidRPr="004B4540">
        <w:rPr>
          <w:rStyle w:val="FootnoteReference"/>
          <w:rFonts w:cs="Times New Roman"/>
          <w:noProof/>
          <w:szCs w:val="24"/>
        </w:rPr>
        <w:footnoteReference w:id="57"/>
      </w:r>
      <w:r w:rsidR="00636811" w:rsidRPr="004B4540">
        <w:rPr>
          <w:rFonts w:cs="Times New Roman"/>
          <w:noProof/>
          <w:szCs w:val="24"/>
        </w:rPr>
        <w:t>.</w:t>
      </w:r>
    </w:p>
    <w:p w14:paraId="5C26A354" w14:textId="55B88613" w:rsidR="00A426C9" w:rsidRPr="004B4540" w:rsidRDefault="004A1B79" w:rsidP="00A426C9">
      <w:pPr>
        <w:pStyle w:val="CMR23-text"/>
        <w:rPr>
          <w:rFonts w:cs="Times New Roman"/>
          <w:noProof/>
          <w:szCs w:val="24"/>
        </w:rPr>
      </w:pPr>
      <w:r w:rsidRPr="004B4540">
        <w:rPr>
          <w:rFonts w:cs="Times New Roman"/>
          <w:noProof/>
        </w:rPr>
        <w:t>In terms of concrete results</w:t>
      </w:r>
      <w:r w:rsidR="00584FEA" w:rsidRPr="004B4540">
        <w:rPr>
          <w:rFonts w:cs="Times New Roman"/>
          <w:noProof/>
        </w:rPr>
        <w:t xml:space="preserve"> so far</w:t>
      </w:r>
      <w:r w:rsidRPr="004B4540">
        <w:rPr>
          <w:rFonts w:cs="Times New Roman"/>
          <w:noProof/>
        </w:rPr>
        <w:t>, 16 large-scale and 16 small</w:t>
      </w:r>
      <w:r w:rsidR="00DC7EC2" w:rsidRPr="004B4540">
        <w:rPr>
          <w:rFonts w:cs="Times New Roman"/>
          <w:noProof/>
        </w:rPr>
        <w:t>-</w:t>
      </w:r>
      <w:r w:rsidRPr="004B4540">
        <w:rPr>
          <w:rFonts w:cs="Times New Roman"/>
          <w:noProof/>
        </w:rPr>
        <w:t xml:space="preserve">scale projects signed grant agreements following the second </w:t>
      </w:r>
      <w:r w:rsidR="00DC7EC2" w:rsidRPr="004B4540">
        <w:rPr>
          <w:rFonts w:cs="Times New Roman"/>
          <w:noProof/>
        </w:rPr>
        <w:t>round of calls for</w:t>
      </w:r>
      <w:r w:rsidR="00EC4470" w:rsidRPr="004B4540">
        <w:rPr>
          <w:rFonts w:cs="Times New Roman"/>
          <w:noProof/>
        </w:rPr>
        <w:t xml:space="preserve"> </w:t>
      </w:r>
      <w:r w:rsidRPr="004B4540">
        <w:rPr>
          <w:rFonts w:cs="Times New Roman"/>
          <w:noProof/>
        </w:rPr>
        <w:t>proposals</w:t>
      </w:r>
      <w:r w:rsidR="004620F0" w:rsidRPr="004B4540">
        <w:rPr>
          <w:rFonts w:cs="Times New Roman"/>
          <w:noProof/>
        </w:rPr>
        <w:t xml:space="preserve"> concluded in 2022</w:t>
      </w:r>
      <w:r w:rsidRPr="004B4540">
        <w:rPr>
          <w:rFonts w:cs="Times New Roman"/>
          <w:noProof/>
        </w:rPr>
        <w:t xml:space="preserve">. </w:t>
      </w:r>
      <w:r w:rsidR="00A426C9" w:rsidRPr="004B4540">
        <w:rPr>
          <w:rFonts w:cs="Times New Roman"/>
          <w:noProof/>
          <w:szCs w:val="24"/>
        </w:rPr>
        <w:t>Over EUR 1.8 billion will fund innovation, including in the cement, hydrogen, chemicals and manufacturing sectors, and advance decarbonisation in eight ETS countries</w:t>
      </w:r>
      <w:r w:rsidR="00A426C9" w:rsidRPr="004B4540">
        <w:rPr>
          <w:rStyle w:val="FootnoteReference"/>
          <w:rFonts w:eastAsia="Times New Roman" w:cs="Times New Roman"/>
          <w:noProof/>
          <w:color w:val="333333"/>
          <w:szCs w:val="24"/>
        </w:rPr>
        <w:footnoteReference w:id="58"/>
      </w:r>
      <w:r w:rsidR="00A426C9" w:rsidRPr="004B4540">
        <w:rPr>
          <w:rFonts w:cs="Times New Roman"/>
          <w:noProof/>
          <w:szCs w:val="24"/>
        </w:rPr>
        <w:t>. About EUR 60 million will fund small-scale innovation in several hard-to-abate sectors, including glass, cement, energy storage and renewables</w:t>
      </w:r>
      <w:r w:rsidR="00A426C9" w:rsidRPr="004B4540">
        <w:rPr>
          <w:rStyle w:val="FootnoteReference"/>
          <w:rFonts w:eastAsia="Times New Roman" w:cs="Times New Roman"/>
          <w:noProof/>
          <w:color w:val="333333"/>
          <w:szCs w:val="24"/>
        </w:rPr>
        <w:footnoteReference w:id="59"/>
      </w:r>
      <w:r w:rsidR="00A426C9" w:rsidRPr="004B4540">
        <w:rPr>
          <w:rFonts w:cs="Times New Roman"/>
          <w:noProof/>
          <w:szCs w:val="24"/>
        </w:rPr>
        <w:t>.</w:t>
      </w:r>
    </w:p>
    <w:p w14:paraId="721D7ABF" w14:textId="152FECB9" w:rsidR="004A1B79" w:rsidRPr="004B4540" w:rsidRDefault="0046004E" w:rsidP="004A1B79">
      <w:pPr>
        <w:pStyle w:val="CMR23-text"/>
        <w:rPr>
          <w:rFonts w:cs="Times New Roman"/>
          <w:noProof/>
          <w:szCs w:val="24"/>
        </w:rPr>
      </w:pPr>
      <w:r w:rsidRPr="004B4540">
        <w:rPr>
          <w:rFonts w:cs="Times New Roman"/>
          <w:noProof/>
          <w:szCs w:val="24"/>
        </w:rPr>
        <w:t xml:space="preserve">With projects awarded support in Czechia, Slovenia, Lithuania and Cyprus, the sectoral and geographical balance of the Innovation Fund improved. </w:t>
      </w:r>
      <w:r w:rsidR="00C0022E" w:rsidRPr="004B4540">
        <w:rPr>
          <w:rFonts w:cs="Times New Roman"/>
          <w:noProof/>
          <w:szCs w:val="24"/>
        </w:rPr>
        <w:t>By June 2023, t</w:t>
      </w:r>
      <w:r w:rsidR="004A1B79" w:rsidRPr="004B4540">
        <w:rPr>
          <w:rFonts w:cs="Times New Roman"/>
          <w:noProof/>
          <w:szCs w:val="24"/>
        </w:rPr>
        <w:t xml:space="preserve">he total Innovation Fund portfolio counted 69 projects under implementation </w:t>
      </w:r>
      <w:r w:rsidR="00A60FE9" w:rsidRPr="004B4540">
        <w:rPr>
          <w:rFonts w:cs="Times New Roman"/>
          <w:noProof/>
          <w:szCs w:val="24"/>
        </w:rPr>
        <w:t>with an ETS contribution of EUR 3.1 billion</w:t>
      </w:r>
      <w:r w:rsidR="004A1B79" w:rsidRPr="004B4540">
        <w:rPr>
          <w:rStyle w:val="FootnoteReference"/>
          <w:rFonts w:eastAsia="Times New Roman" w:cs="Times New Roman"/>
          <w:noProof/>
          <w:color w:val="333333"/>
          <w:szCs w:val="24"/>
        </w:rPr>
        <w:footnoteReference w:id="60"/>
      </w:r>
      <w:r w:rsidR="00837283" w:rsidRPr="004B4540">
        <w:rPr>
          <w:rFonts w:cs="Times New Roman"/>
          <w:noProof/>
          <w:szCs w:val="24"/>
        </w:rPr>
        <w:t xml:space="preserve">. </w:t>
      </w:r>
      <w:r w:rsidR="000766BE" w:rsidRPr="004B4540">
        <w:rPr>
          <w:rFonts w:cs="Times New Roman"/>
          <w:noProof/>
          <w:szCs w:val="24"/>
        </w:rPr>
        <w:t>When completed, it is estimated that these projects will save around 215 Mt CO</w:t>
      </w:r>
      <w:r w:rsidR="000766BE" w:rsidRPr="004B4540">
        <w:rPr>
          <w:rFonts w:cs="Times New Roman"/>
          <w:noProof/>
          <w:szCs w:val="24"/>
          <w:vertAlign w:val="subscript"/>
        </w:rPr>
        <w:t>2</w:t>
      </w:r>
      <w:r w:rsidR="000766BE" w:rsidRPr="009C5CA0">
        <w:rPr>
          <w:rFonts w:cs="Times New Roman"/>
          <w:noProof/>
          <w:szCs w:val="24"/>
        </w:rPr>
        <w:t>eq</w:t>
      </w:r>
      <w:r w:rsidR="000766BE" w:rsidRPr="004B4540">
        <w:rPr>
          <w:rFonts w:cs="Times New Roman"/>
          <w:noProof/>
          <w:szCs w:val="24"/>
          <w:vertAlign w:val="subscript"/>
        </w:rPr>
        <w:t xml:space="preserve"> </w:t>
      </w:r>
      <w:r w:rsidR="000766BE" w:rsidRPr="004B4540">
        <w:rPr>
          <w:rFonts w:cs="Times New Roman"/>
          <w:noProof/>
          <w:szCs w:val="24"/>
        </w:rPr>
        <w:t>of emissions in their first 10 years of operation.</w:t>
      </w:r>
    </w:p>
    <w:p w14:paraId="4F83A6CD" w14:textId="413CA071" w:rsidR="00F76E10" w:rsidRPr="004B4540" w:rsidRDefault="00D44560" w:rsidP="00F76E10">
      <w:pPr>
        <w:pStyle w:val="CMR23-text"/>
        <w:rPr>
          <w:rFonts w:cs="Times New Roman"/>
          <w:noProof/>
          <w:szCs w:val="24"/>
        </w:rPr>
      </w:pPr>
      <w:r w:rsidRPr="004B4540">
        <w:rPr>
          <w:rFonts w:cs="Times New Roman"/>
          <w:noProof/>
          <w:szCs w:val="24"/>
        </w:rPr>
        <w:t xml:space="preserve">The incentive from the EU ETS carbon price for these projects is much larger than the amount of Innovation Fund-sourced funding. </w:t>
      </w:r>
      <w:r w:rsidR="00BC49AD" w:rsidRPr="004B4540">
        <w:rPr>
          <w:rFonts w:cs="Times New Roman"/>
          <w:noProof/>
          <w:szCs w:val="24"/>
        </w:rPr>
        <w:t>For example, the carbon price benefit to companies’ business cases from the projects supported by the Innovation Fund so far is around EUR 17.3 billion (carbon costs avoided due to lower emissions). This incentive clearly exceeds the Innovation Fund support for these projects of EUR 3.1 billion. This reflects the EU ETS logic whereby carbon price is the main long-term incentive, while the Innovation Fund supplements this incentive to accelerate change</w:t>
      </w:r>
      <w:r w:rsidR="00F76E10" w:rsidRPr="004B4540">
        <w:rPr>
          <w:rStyle w:val="FootnoteReference"/>
          <w:rFonts w:cs="Times New Roman"/>
          <w:noProof/>
          <w:szCs w:val="24"/>
        </w:rPr>
        <w:footnoteReference w:id="61"/>
      </w:r>
      <w:r w:rsidR="00F76E10" w:rsidRPr="004B4540">
        <w:rPr>
          <w:rFonts w:cs="Times New Roman"/>
          <w:noProof/>
          <w:szCs w:val="24"/>
        </w:rPr>
        <w:t>.</w:t>
      </w:r>
    </w:p>
    <w:p w14:paraId="494DE963" w14:textId="670009D8" w:rsidR="00EC4470" w:rsidRPr="004B4540" w:rsidRDefault="004A1B79" w:rsidP="004A1B79">
      <w:pPr>
        <w:pStyle w:val="CMR23-text"/>
        <w:rPr>
          <w:rFonts w:cs="Times New Roman"/>
          <w:noProof/>
          <w:szCs w:val="24"/>
        </w:rPr>
      </w:pPr>
      <w:r w:rsidRPr="004B4540">
        <w:rPr>
          <w:rFonts w:cs="Times New Roman"/>
          <w:noProof/>
          <w:szCs w:val="24"/>
        </w:rPr>
        <w:t xml:space="preserve">In parallel, 18 unsuccessful projects from the second round of calls (both large- and small-scale) </w:t>
      </w:r>
      <w:r w:rsidR="004E0F24" w:rsidRPr="004B4540">
        <w:rPr>
          <w:rFonts w:cs="Times New Roman"/>
          <w:noProof/>
          <w:szCs w:val="24"/>
        </w:rPr>
        <w:t xml:space="preserve">were </w:t>
      </w:r>
      <w:r w:rsidRPr="004B4540">
        <w:rPr>
          <w:rFonts w:cs="Times New Roman"/>
          <w:noProof/>
          <w:szCs w:val="24"/>
        </w:rPr>
        <w:t xml:space="preserve">selected for project development assistance under the Innovation Fund. </w:t>
      </w:r>
      <w:r w:rsidR="003F4469" w:rsidRPr="004B4540">
        <w:rPr>
          <w:rFonts w:cs="Times New Roman"/>
          <w:noProof/>
          <w:szCs w:val="24"/>
        </w:rPr>
        <w:t xml:space="preserve">This support amounts to EUR 6.87 million </w:t>
      </w:r>
      <w:r w:rsidRPr="004B4540">
        <w:rPr>
          <w:rFonts w:cs="Times New Roman"/>
          <w:noProof/>
          <w:szCs w:val="24"/>
        </w:rPr>
        <w:t>and is provided by the European Investment Bank</w:t>
      </w:r>
      <w:r w:rsidR="00EC4470" w:rsidRPr="004B4540">
        <w:rPr>
          <w:rFonts w:cs="Times New Roman"/>
          <w:noProof/>
          <w:szCs w:val="24"/>
        </w:rPr>
        <w:t xml:space="preserve"> (EIB)</w:t>
      </w:r>
      <w:r w:rsidRPr="004B4540">
        <w:rPr>
          <w:rFonts w:cs="Times New Roman"/>
          <w:noProof/>
          <w:szCs w:val="24"/>
        </w:rPr>
        <w:t>. Since the beginning of the programme, 43 projects have been awarded project development assistance</w:t>
      </w:r>
      <w:r w:rsidR="00EC4470" w:rsidRPr="004B4540">
        <w:rPr>
          <w:rFonts w:cs="Times New Roman"/>
          <w:noProof/>
          <w:szCs w:val="24"/>
        </w:rPr>
        <w:t xml:space="preserve">, </w:t>
      </w:r>
      <w:r w:rsidRPr="004B4540">
        <w:rPr>
          <w:rFonts w:cs="Times New Roman"/>
          <w:noProof/>
          <w:szCs w:val="24"/>
        </w:rPr>
        <w:t>creating a strong pipeline of</w:t>
      </w:r>
      <w:r w:rsidR="00F214A4" w:rsidRPr="004B4540">
        <w:rPr>
          <w:rFonts w:cs="Times New Roman"/>
          <w:noProof/>
          <w:szCs w:val="24"/>
        </w:rPr>
        <w:t xml:space="preserve"> future</w:t>
      </w:r>
      <w:r w:rsidRPr="004B4540">
        <w:rPr>
          <w:rFonts w:cs="Times New Roman"/>
          <w:noProof/>
          <w:szCs w:val="24"/>
        </w:rPr>
        <w:t xml:space="preserve"> good quality applications. </w:t>
      </w:r>
    </w:p>
    <w:p w14:paraId="6FFAE78C" w14:textId="304227FC" w:rsidR="004A1B79" w:rsidRPr="004B4540" w:rsidRDefault="00F72D64" w:rsidP="416E0994">
      <w:pPr>
        <w:pStyle w:val="CMR23-text"/>
        <w:rPr>
          <w:rFonts w:cs="Times New Roman"/>
          <w:noProof/>
        </w:rPr>
      </w:pPr>
      <w:r w:rsidRPr="004B4540">
        <w:rPr>
          <w:rFonts w:cs="Times New Roman"/>
          <w:noProof/>
          <w:szCs w:val="24"/>
        </w:rPr>
        <w:t>The third call for large-scale projects focused specifically on areas linked to the EU’s REPowerEU plan</w:t>
      </w:r>
      <w:r w:rsidR="004A1B79" w:rsidRPr="004B4540">
        <w:rPr>
          <w:rFonts w:cs="Times New Roman"/>
          <w:noProof/>
        </w:rPr>
        <w:t xml:space="preserve">. </w:t>
      </w:r>
      <w:r w:rsidR="007C151C" w:rsidRPr="004B4540">
        <w:rPr>
          <w:rFonts w:cs="Times New Roman"/>
          <w:noProof/>
        </w:rPr>
        <w:t>In July</w:t>
      </w:r>
      <w:r w:rsidR="009C5CA0">
        <w:rPr>
          <w:rFonts w:cs="Times New Roman"/>
          <w:noProof/>
        </w:rPr>
        <w:t> </w:t>
      </w:r>
      <w:r w:rsidR="007C151C" w:rsidRPr="004B4540">
        <w:rPr>
          <w:rFonts w:cs="Times New Roman"/>
          <w:noProof/>
        </w:rPr>
        <w:t xml:space="preserve">2023, </w:t>
      </w:r>
      <w:r w:rsidR="004A1B79" w:rsidRPr="004B4540">
        <w:rPr>
          <w:rFonts w:cs="Times New Roman"/>
          <w:noProof/>
        </w:rPr>
        <w:t>41 projects</w:t>
      </w:r>
      <w:r w:rsidR="004A1B79" w:rsidRPr="004B4540">
        <w:rPr>
          <w:rStyle w:val="FootnoteReference"/>
          <w:rFonts w:eastAsia="Times New Roman" w:cs="Times New Roman"/>
          <w:noProof/>
          <w:color w:val="333333"/>
        </w:rPr>
        <w:footnoteReference w:id="62"/>
      </w:r>
      <w:r w:rsidR="004A1B79" w:rsidRPr="004B4540">
        <w:rPr>
          <w:rFonts w:cs="Times New Roman"/>
          <w:noProof/>
        </w:rPr>
        <w:t xml:space="preserve"> were pre-selected </w:t>
      </w:r>
      <w:r w:rsidR="00D33C89" w:rsidRPr="004B4540">
        <w:rPr>
          <w:rFonts w:cs="Times New Roman"/>
          <w:noProof/>
          <w:szCs w:val="24"/>
        </w:rPr>
        <w:t>to prepare grant agreements for an unprecedented Innovation Fund contribution of EUR 3.6 billion</w:t>
      </w:r>
      <w:r w:rsidR="004A1B79" w:rsidRPr="004B4540">
        <w:rPr>
          <w:rFonts w:cs="Times New Roman"/>
          <w:noProof/>
        </w:rPr>
        <w:t xml:space="preserve">. The agreements are expected to be signed by the end of 2023. </w:t>
      </w:r>
      <w:r w:rsidR="00810D9F" w:rsidRPr="004B4540">
        <w:rPr>
          <w:rFonts w:cs="Times New Roman"/>
          <w:noProof/>
        </w:rPr>
        <w:t xml:space="preserve">The third </w:t>
      </w:r>
      <w:r w:rsidR="004A1B79" w:rsidRPr="004B4540">
        <w:rPr>
          <w:rFonts w:cs="Times New Roman"/>
          <w:noProof/>
        </w:rPr>
        <w:t>small-scale call, with a budget of EUR</w:t>
      </w:r>
      <w:r w:rsidR="00403D50" w:rsidRPr="004B4540">
        <w:rPr>
          <w:rFonts w:cs="Times New Roman"/>
          <w:noProof/>
        </w:rPr>
        <w:t> </w:t>
      </w:r>
      <w:r w:rsidR="004A1B79" w:rsidRPr="004B4540">
        <w:rPr>
          <w:rFonts w:cs="Times New Roman"/>
          <w:noProof/>
        </w:rPr>
        <w:t>1</w:t>
      </w:r>
      <w:r w:rsidR="03341473" w:rsidRPr="004B4540">
        <w:rPr>
          <w:rFonts w:cs="Times New Roman"/>
          <w:noProof/>
        </w:rPr>
        <w:t>00</w:t>
      </w:r>
      <w:r w:rsidR="00403D50" w:rsidRPr="004B4540">
        <w:rPr>
          <w:rFonts w:cs="Times New Roman"/>
          <w:noProof/>
        </w:rPr>
        <w:t> </w:t>
      </w:r>
      <w:r w:rsidR="004A1B79" w:rsidRPr="004B4540">
        <w:rPr>
          <w:rFonts w:cs="Times New Roman"/>
          <w:noProof/>
        </w:rPr>
        <w:t xml:space="preserve">million </w:t>
      </w:r>
      <w:r w:rsidR="00BA04F5" w:rsidRPr="004B4540">
        <w:rPr>
          <w:rFonts w:cs="Times New Roman"/>
          <w:noProof/>
        </w:rPr>
        <w:t>closed on</w:t>
      </w:r>
      <w:r w:rsidR="004A1B79" w:rsidRPr="004B4540">
        <w:rPr>
          <w:rFonts w:cs="Times New Roman"/>
          <w:noProof/>
        </w:rPr>
        <w:t xml:space="preserve"> 19</w:t>
      </w:r>
      <w:r w:rsidR="007055D6" w:rsidRPr="004B4540">
        <w:rPr>
          <w:rFonts w:cs="Times New Roman"/>
          <w:noProof/>
        </w:rPr>
        <w:t> </w:t>
      </w:r>
      <w:r w:rsidR="004A1B79" w:rsidRPr="004B4540">
        <w:rPr>
          <w:rFonts w:cs="Times New Roman"/>
          <w:noProof/>
        </w:rPr>
        <w:t>September 2023</w:t>
      </w:r>
      <w:r w:rsidR="009C5CA0">
        <w:rPr>
          <w:rFonts w:cs="Times New Roman"/>
          <w:noProof/>
        </w:rPr>
        <w:t xml:space="preserve"> with 72 proposals received.</w:t>
      </w:r>
      <w:r w:rsidR="004A1B79" w:rsidRPr="004B4540">
        <w:rPr>
          <w:rFonts w:cs="Times New Roman"/>
          <w:noProof/>
        </w:rPr>
        <w:t xml:space="preserve">. </w:t>
      </w:r>
    </w:p>
    <w:p w14:paraId="75F7AC74" w14:textId="240C1805" w:rsidR="009019CC" w:rsidRPr="004B4540" w:rsidRDefault="49315468" w:rsidP="007C3072">
      <w:pPr>
        <w:pStyle w:val="CMR23-text"/>
        <w:rPr>
          <w:rFonts w:cs="Times New Roman"/>
          <w:noProof/>
          <w:szCs w:val="24"/>
        </w:rPr>
      </w:pPr>
      <w:r w:rsidRPr="004B4540">
        <w:rPr>
          <w:rFonts w:cs="Times New Roman"/>
          <w:noProof/>
          <w:szCs w:val="24"/>
        </w:rPr>
        <w:t>The revision of the ETS Directive</w:t>
      </w:r>
      <w:r w:rsidR="00A86FA1" w:rsidRPr="004B4540">
        <w:rPr>
          <w:rFonts w:cs="Times New Roman"/>
          <w:noProof/>
          <w:szCs w:val="24"/>
        </w:rPr>
        <w:t xml:space="preserve"> </w:t>
      </w:r>
      <w:r w:rsidR="00D54526" w:rsidRPr="004B4540">
        <w:rPr>
          <w:rFonts w:cs="Times New Roman"/>
          <w:noProof/>
          <w:szCs w:val="24"/>
        </w:rPr>
        <w:t>brings</w:t>
      </w:r>
      <w:r w:rsidRPr="004B4540">
        <w:rPr>
          <w:rFonts w:cs="Times New Roman"/>
          <w:noProof/>
          <w:szCs w:val="24"/>
        </w:rPr>
        <w:t xml:space="preserve"> important changes </w:t>
      </w:r>
      <w:r w:rsidR="00D54526" w:rsidRPr="004B4540">
        <w:rPr>
          <w:rFonts w:cs="Times New Roman"/>
          <w:noProof/>
          <w:szCs w:val="24"/>
        </w:rPr>
        <w:t xml:space="preserve">to </w:t>
      </w:r>
      <w:r w:rsidRPr="004B4540">
        <w:rPr>
          <w:rFonts w:cs="Times New Roman"/>
          <w:noProof/>
          <w:szCs w:val="24"/>
        </w:rPr>
        <w:t>the Innovation Fund</w:t>
      </w:r>
      <w:r w:rsidR="141F3440" w:rsidRPr="004B4540">
        <w:rPr>
          <w:rFonts w:cs="Times New Roman"/>
          <w:noProof/>
          <w:szCs w:val="24"/>
        </w:rPr>
        <w:t>.</w:t>
      </w:r>
      <w:r w:rsidR="00D54526" w:rsidRPr="004B4540">
        <w:rPr>
          <w:rFonts w:cs="Times New Roman"/>
          <w:noProof/>
          <w:szCs w:val="24"/>
        </w:rPr>
        <w:t xml:space="preserve"> T</w:t>
      </w:r>
      <w:r w:rsidR="08450244" w:rsidRPr="004B4540">
        <w:rPr>
          <w:rFonts w:cs="Times New Roman"/>
          <w:noProof/>
          <w:szCs w:val="24"/>
        </w:rPr>
        <w:t xml:space="preserve">he Fund </w:t>
      </w:r>
      <w:r w:rsidR="00287AE0" w:rsidRPr="004B4540">
        <w:rPr>
          <w:rFonts w:cs="Times New Roman"/>
          <w:noProof/>
          <w:szCs w:val="24"/>
        </w:rPr>
        <w:t xml:space="preserve">is </w:t>
      </w:r>
      <w:r w:rsidR="08450244" w:rsidRPr="004B4540">
        <w:rPr>
          <w:rFonts w:cs="Times New Roman"/>
          <w:noProof/>
          <w:szCs w:val="24"/>
        </w:rPr>
        <w:t xml:space="preserve">increased from 450 to around 530 million allowances, </w:t>
      </w:r>
      <w:r w:rsidR="00CE4686" w:rsidRPr="004B4540">
        <w:rPr>
          <w:rFonts w:cs="Times New Roman"/>
          <w:noProof/>
          <w:szCs w:val="24"/>
        </w:rPr>
        <w:t xml:space="preserve">the sale of </w:t>
      </w:r>
      <w:r w:rsidR="08450244" w:rsidRPr="004B4540">
        <w:rPr>
          <w:rFonts w:cs="Times New Roman"/>
          <w:noProof/>
          <w:szCs w:val="24"/>
        </w:rPr>
        <w:t xml:space="preserve">which </w:t>
      </w:r>
      <w:r w:rsidR="00CE4686" w:rsidRPr="004B4540">
        <w:rPr>
          <w:rFonts w:cs="Times New Roman"/>
          <w:noProof/>
          <w:szCs w:val="24"/>
        </w:rPr>
        <w:t xml:space="preserve">is expected to </w:t>
      </w:r>
      <w:r w:rsidR="00FE0A8C" w:rsidRPr="004B4540">
        <w:rPr>
          <w:rFonts w:cs="Times New Roman"/>
          <w:noProof/>
          <w:szCs w:val="24"/>
        </w:rPr>
        <w:t>pool</w:t>
      </w:r>
      <w:r w:rsidR="08450244" w:rsidRPr="004B4540">
        <w:rPr>
          <w:rFonts w:cs="Times New Roman"/>
          <w:noProof/>
          <w:szCs w:val="24"/>
        </w:rPr>
        <w:t xml:space="preserve"> about EUR 40 billion</w:t>
      </w:r>
      <w:r w:rsidR="00CE4686" w:rsidRPr="004B4540">
        <w:rPr>
          <w:rFonts w:cs="Times New Roman"/>
          <w:noProof/>
          <w:szCs w:val="24"/>
        </w:rPr>
        <w:t xml:space="preserve"> in reve</w:t>
      </w:r>
      <w:r w:rsidR="00E906AB" w:rsidRPr="004B4540">
        <w:rPr>
          <w:rFonts w:cs="Times New Roman"/>
          <w:noProof/>
          <w:szCs w:val="24"/>
        </w:rPr>
        <w:t>nue</w:t>
      </w:r>
      <w:r w:rsidR="08450244" w:rsidRPr="004B4540">
        <w:rPr>
          <w:rFonts w:cs="Times New Roman"/>
          <w:noProof/>
          <w:szCs w:val="24"/>
        </w:rPr>
        <w:t xml:space="preserve"> available until </w:t>
      </w:r>
      <w:r w:rsidR="4CE1B52F" w:rsidRPr="004B4540">
        <w:rPr>
          <w:rFonts w:cs="Times New Roman"/>
          <w:noProof/>
          <w:szCs w:val="24"/>
        </w:rPr>
        <w:t>2030</w:t>
      </w:r>
      <w:r w:rsidR="00BE7ABE" w:rsidRPr="004B4540">
        <w:rPr>
          <w:rStyle w:val="FootnoteReference"/>
          <w:rFonts w:cs="Times New Roman"/>
          <w:noProof/>
          <w:szCs w:val="24"/>
        </w:rPr>
        <w:footnoteReference w:id="63"/>
      </w:r>
      <w:r w:rsidR="4CE1B52F" w:rsidRPr="004B4540">
        <w:rPr>
          <w:rFonts w:cs="Times New Roman"/>
          <w:noProof/>
          <w:szCs w:val="24"/>
        </w:rPr>
        <w:t xml:space="preserve">. </w:t>
      </w:r>
      <w:r w:rsidR="00390DEE" w:rsidRPr="004B4540">
        <w:rPr>
          <w:rFonts w:cs="Times New Roman"/>
          <w:noProof/>
          <w:szCs w:val="24"/>
        </w:rPr>
        <w:t>M</w:t>
      </w:r>
      <w:r w:rsidR="4CE1B52F" w:rsidRPr="004B4540">
        <w:rPr>
          <w:rFonts w:cs="Times New Roman"/>
          <w:noProof/>
          <w:szCs w:val="24"/>
        </w:rPr>
        <w:t>ore sectors</w:t>
      </w:r>
      <w:r w:rsidR="005C7A6C" w:rsidRPr="004B4540">
        <w:rPr>
          <w:rFonts w:cs="Times New Roman"/>
          <w:noProof/>
          <w:szCs w:val="24"/>
        </w:rPr>
        <w:t xml:space="preserve"> are included in the scope of the Fund</w:t>
      </w:r>
      <w:r w:rsidR="4CE1B52F" w:rsidRPr="004B4540">
        <w:rPr>
          <w:rFonts w:cs="Times New Roman"/>
          <w:noProof/>
          <w:szCs w:val="24"/>
        </w:rPr>
        <w:t xml:space="preserve"> </w:t>
      </w:r>
      <w:r w:rsidR="00D81F68" w:rsidRPr="004B4540">
        <w:rPr>
          <w:rFonts w:cs="Times New Roman"/>
          <w:noProof/>
          <w:szCs w:val="24"/>
        </w:rPr>
        <w:t xml:space="preserve">- </w:t>
      </w:r>
      <w:r w:rsidR="4CE1B52F" w:rsidRPr="004B4540">
        <w:rPr>
          <w:rFonts w:cs="Times New Roman"/>
          <w:noProof/>
          <w:szCs w:val="24"/>
        </w:rPr>
        <w:t>maritime, buildings</w:t>
      </w:r>
      <w:r w:rsidR="00D81F68" w:rsidRPr="004B4540">
        <w:rPr>
          <w:rFonts w:cs="Times New Roman"/>
          <w:noProof/>
          <w:szCs w:val="24"/>
        </w:rPr>
        <w:t xml:space="preserve"> and</w:t>
      </w:r>
      <w:r w:rsidR="4CE1B52F" w:rsidRPr="004B4540">
        <w:rPr>
          <w:rFonts w:cs="Times New Roman"/>
          <w:noProof/>
          <w:szCs w:val="24"/>
        </w:rPr>
        <w:t xml:space="preserve"> road transport</w:t>
      </w:r>
      <w:r w:rsidR="00363808" w:rsidRPr="004B4540">
        <w:rPr>
          <w:rFonts w:cs="Times New Roman"/>
          <w:noProof/>
          <w:szCs w:val="24"/>
        </w:rPr>
        <w:t>.</w:t>
      </w:r>
      <w:r w:rsidR="4CE1B52F" w:rsidRPr="004B4540">
        <w:rPr>
          <w:rFonts w:cs="Times New Roman"/>
          <w:noProof/>
          <w:szCs w:val="24"/>
        </w:rPr>
        <w:t xml:space="preserve"> </w:t>
      </w:r>
      <w:r w:rsidR="00645617" w:rsidRPr="004B4540">
        <w:rPr>
          <w:rFonts w:cs="Times New Roman"/>
          <w:noProof/>
          <w:szCs w:val="24"/>
        </w:rPr>
        <w:t>Also, n</w:t>
      </w:r>
      <w:r w:rsidR="003D0511" w:rsidRPr="004B4540">
        <w:rPr>
          <w:rFonts w:cs="Times New Roman"/>
          <w:noProof/>
          <w:szCs w:val="24"/>
        </w:rPr>
        <w:t xml:space="preserve">ew elements </w:t>
      </w:r>
      <w:r w:rsidR="00645617" w:rsidRPr="004B4540">
        <w:rPr>
          <w:rFonts w:cs="Times New Roman"/>
          <w:noProof/>
          <w:szCs w:val="24"/>
        </w:rPr>
        <w:t xml:space="preserve">are introduced in the Fund’s coverage to better align it with market needs, </w:t>
      </w:r>
      <w:r w:rsidR="00F76E10" w:rsidRPr="004B4540">
        <w:rPr>
          <w:rFonts w:cs="Times New Roman"/>
          <w:noProof/>
          <w:szCs w:val="24"/>
        </w:rPr>
        <w:t>including a category of medium-scale projects and funding mechanisms such as competitive bidding procedures (auctions)</w:t>
      </w:r>
      <w:r w:rsidR="00034B11" w:rsidRPr="004B4540">
        <w:rPr>
          <w:rFonts w:cs="Times New Roman"/>
          <w:noProof/>
          <w:szCs w:val="24"/>
        </w:rPr>
        <w:t>.</w:t>
      </w:r>
      <w:r w:rsidR="003D0511" w:rsidRPr="004B4540">
        <w:rPr>
          <w:rFonts w:cs="Times New Roman"/>
          <w:noProof/>
          <w:szCs w:val="24"/>
        </w:rPr>
        <w:t xml:space="preserve"> </w:t>
      </w:r>
      <w:r w:rsidR="00645617" w:rsidRPr="004B4540">
        <w:rPr>
          <w:rFonts w:cs="Times New Roman"/>
          <w:noProof/>
          <w:szCs w:val="24"/>
        </w:rPr>
        <w:t>While t</w:t>
      </w:r>
      <w:r w:rsidR="009B71BE" w:rsidRPr="004B4540">
        <w:rPr>
          <w:rFonts w:cs="Times New Roman"/>
          <w:noProof/>
          <w:szCs w:val="24"/>
        </w:rPr>
        <w:t xml:space="preserve">he Fund remains focused on </w:t>
      </w:r>
      <w:r w:rsidR="00F76E10" w:rsidRPr="004B4540">
        <w:rPr>
          <w:rFonts w:cs="Times New Roman"/>
          <w:noProof/>
          <w:szCs w:val="24"/>
        </w:rPr>
        <w:t xml:space="preserve">breakthrough </w:t>
      </w:r>
      <w:r w:rsidR="009B71BE" w:rsidRPr="004B4540">
        <w:rPr>
          <w:rFonts w:cs="Times New Roman"/>
          <w:noProof/>
          <w:szCs w:val="24"/>
        </w:rPr>
        <w:t>innovation</w:t>
      </w:r>
      <w:r w:rsidR="00645617" w:rsidRPr="004B4540">
        <w:rPr>
          <w:rFonts w:cs="Times New Roman"/>
          <w:noProof/>
          <w:szCs w:val="24"/>
        </w:rPr>
        <w:t xml:space="preserve">, it </w:t>
      </w:r>
      <w:r w:rsidR="00884D8D" w:rsidRPr="004B4540">
        <w:rPr>
          <w:rFonts w:cs="Times New Roman"/>
          <w:noProof/>
          <w:szCs w:val="24"/>
        </w:rPr>
        <w:t xml:space="preserve">is </w:t>
      </w:r>
      <w:r w:rsidR="00B7197A" w:rsidRPr="004B4540">
        <w:rPr>
          <w:rFonts w:cs="Times New Roman"/>
          <w:noProof/>
          <w:szCs w:val="24"/>
        </w:rPr>
        <w:t>e</w:t>
      </w:r>
      <w:r w:rsidR="00884D8D" w:rsidRPr="004B4540">
        <w:rPr>
          <w:rFonts w:cs="Times New Roman"/>
          <w:noProof/>
          <w:szCs w:val="24"/>
        </w:rPr>
        <w:t xml:space="preserve">xpanded </w:t>
      </w:r>
      <w:r w:rsidR="00B7197A" w:rsidRPr="004B4540">
        <w:rPr>
          <w:rFonts w:cs="Times New Roman"/>
          <w:noProof/>
          <w:szCs w:val="24"/>
        </w:rPr>
        <w:t xml:space="preserve">to </w:t>
      </w:r>
      <w:r w:rsidR="4CE1B52F" w:rsidRPr="004B4540">
        <w:rPr>
          <w:rFonts w:cs="Times New Roman"/>
          <w:noProof/>
          <w:szCs w:val="24"/>
        </w:rPr>
        <w:t xml:space="preserve">scaling </w:t>
      </w:r>
      <w:r w:rsidR="00B7197A" w:rsidRPr="004B4540">
        <w:rPr>
          <w:rFonts w:cs="Times New Roman"/>
          <w:noProof/>
          <w:szCs w:val="24"/>
        </w:rPr>
        <w:t xml:space="preserve">up </w:t>
      </w:r>
      <w:r w:rsidR="4CE1B52F" w:rsidRPr="004B4540">
        <w:rPr>
          <w:rFonts w:cs="Times New Roman"/>
          <w:noProof/>
          <w:szCs w:val="24"/>
        </w:rPr>
        <w:t>innovative technologies</w:t>
      </w:r>
      <w:r w:rsidR="00645617" w:rsidRPr="004B4540">
        <w:rPr>
          <w:rFonts w:cs="Times New Roman"/>
          <w:noProof/>
          <w:szCs w:val="24"/>
        </w:rPr>
        <w:t xml:space="preserve"> and the</w:t>
      </w:r>
      <w:r w:rsidR="00B7197A" w:rsidRPr="004B4540">
        <w:rPr>
          <w:rFonts w:cs="Times New Roman"/>
          <w:noProof/>
          <w:szCs w:val="24"/>
        </w:rPr>
        <w:t xml:space="preserve"> auctions </w:t>
      </w:r>
      <w:r w:rsidR="00645617" w:rsidRPr="004B4540">
        <w:rPr>
          <w:rFonts w:cs="Times New Roman"/>
          <w:noProof/>
          <w:szCs w:val="24"/>
        </w:rPr>
        <w:t>should aid this</w:t>
      </w:r>
      <w:r w:rsidR="4CE1B52F" w:rsidRPr="004B4540">
        <w:rPr>
          <w:rFonts w:cs="Times New Roman"/>
          <w:noProof/>
          <w:szCs w:val="24"/>
        </w:rPr>
        <w:t>.</w:t>
      </w:r>
      <w:r w:rsidR="003D0511" w:rsidRPr="004B4540">
        <w:rPr>
          <w:rFonts w:cs="Times New Roman"/>
          <w:noProof/>
          <w:szCs w:val="24"/>
        </w:rPr>
        <w:t xml:space="preserve"> </w:t>
      </w:r>
      <w:r w:rsidR="00864D42" w:rsidRPr="004B4540">
        <w:rPr>
          <w:rFonts w:cs="Times New Roman"/>
          <w:noProof/>
          <w:szCs w:val="24"/>
        </w:rPr>
        <w:t>In view of the revision,</w:t>
      </w:r>
      <w:r w:rsidR="00864D42" w:rsidRPr="004B4540" w:rsidDel="00356F91">
        <w:rPr>
          <w:rFonts w:cs="Times New Roman"/>
          <w:noProof/>
          <w:szCs w:val="24"/>
        </w:rPr>
        <w:t xml:space="preserve"> </w:t>
      </w:r>
      <w:r w:rsidR="00864D42" w:rsidRPr="004B4540">
        <w:rPr>
          <w:rFonts w:cs="Times New Roman"/>
          <w:noProof/>
          <w:szCs w:val="24"/>
        </w:rPr>
        <w:t>t</w:t>
      </w:r>
      <w:r w:rsidR="63784B6B" w:rsidRPr="004B4540">
        <w:rPr>
          <w:rFonts w:cs="Times New Roman"/>
          <w:noProof/>
          <w:szCs w:val="24"/>
        </w:rPr>
        <w:t>he Innovation Fund</w:t>
      </w:r>
      <w:r w:rsidR="00D070B3" w:rsidRPr="004B4540">
        <w:rPr>
          <w:rFonts w:cs="Times New Roman"/>
          <w:noProof/>
          <w:szCs w:val="24"/>
        </w:rPr>
        <w:t xml:space="preserve"> </w:t>
      </w:r>
      <w:r w:rsidR="63784B6B" w:rsidRPr="004B4540">
        <w:rPr>
          <w:rFonts w:cs="Times New Roman"/>
          <w:noProof/>
          <w:szCs w:val="24"/>
        </w:rPr>
        <w:t>Regulation 2019/856</w:t>
      </w:r>
      <w:r w:rsidR="00F0734B" w:rsidRPr="004B4540">
        <w:rPr>
          <w:rStyle w:val="FootnoteReference"/>
          <w:rFonts w:cs="Times New Roman"/>
          <w:noProof/>
          <w:szCs w:val="24"/>
        </w:rPr>
        <w:footnoteReference w:id="64"/>
      </w:r>
      <w:r w:rsidR="63784B6B" w:rsidRPr="004B4540">
        <w:rPr>
          <w:rFonts w:cs="Times New Roman"/>
          <w:noProof/>
          <w:szCs w:val="24"/>
        </w:rPr>
        <w:t xml:space="preserve"> </w:t>
      </w:r>
      <w:r w:rsidR="00D15E05" w:rsidRPr="004B4540">
        <w:rPr>
          <w:rFonts w:cs="Times New Roman"/>
          <w:noProof/>
          <w:szCs w:val="24"/>
        </w:rPr>
        <w:t xml:space="preserve">has </w:t>
      </w:r>
      <w:r w:rsidR="00657DF9" w:rsidRPr="004B4540">
        <w:rPr>
          <w:rFonts w:cs="Times New Roman"/>
          <w:noProof/>
          <w:szCs w:val="24"/>
        </w:rPr>
        <w:t xml:space="preserve">undergone </w:t>
      </w:r>
      <w:r w:rsidR="00D053C7" w:rsidRPr="004B4540">
        <w:rPr>
          <w:rFonts w:cs="Times New Roman"/>
          <w:noProof/>
          <w:szCs w:val="24"/>
        </w:rPr>
        <w:t>an amendment</w:t>
      </w:r>
      <w:r w:rsidR="00281954" w:rsidRPr="004B4540">
        <w:rPr>
          <w:rFonts w:cs="Times New Roman"/>
          <w:noProof/>
          <w:szCs w:val="24"/>
        </w:rPr>
        <w:t xml:space="preserve">. </w:t>
      </w:r>
      <w:r w:rsidR="0045250F" w:rsidRPr="004B4540">
        <w:rPr>
          <w:rFonts w:cs="Times New Roman"/>
          <w:noProof/>
          <w:szCs w:val="24"/>
        </w:rPr>
        <w:t>It</w:t>
      </w:r>
      <w:r w:rsidR="63784B6B" w:rsidRPr="004B4540">
        <w:rPr>
          <w:rFonts w:cs="Times New Roman"/>
          <w:noProof/>
          <w:szCs w:val="24"/>
        </w:rPr>
        <w:t xml:space="preserve"> is expected </w:t>
      </w:r>
      <w:r w:rsidR="009E7466" w:rsidRPr="004B4540">
        <w:rPr>
          <w:rFonts w:cs="Times New Roman"/>
          <w:noProof/>
          <w:szCs w:val="24"/>
        </w:rPr>
        <w:t>to enter into force at the</w:t>
      </w:r>
      <w:r w:rsidR="63784B6B" w:rsidRPr="004B4540">
        <w:rPr>
          <w:rFonts w:cs="Times New Roman"/>
          <w:noProof/>
          <w:szCs w:val="24"/>
        </w:rPr>
        <w:t xml:space="preserve"> beginning of November 2023. </w:t>
      </w:r>
    </w:p>
    <w:p w14:paraId="4F3526EC" w14:textId="62FB33F6" w:rsidR="00286BA6" w:rsidRPr="004B4540" w:rsidRDefault="004A1B79" w:rsidP="007C3072">
      <w:pPr>
        <w:pStyle w:val="CMR23-text"/>
        <w:rPr>
          <w:rFonts w:cs="Times New Roman"/>
          <w:noProof/>
          <w:szCs w:val="24"/>
        </w:rPr>
      </w:pPr>
      <w:r w:rsidRPr="004B4540">
        <w:rPr>
          <w:rFonts w:cs="Times New Roman"/>
          <w:noProof/>
          <w:szCs w:val="24"/>
        </w:rPr>
        <w:t>The</w:t>
      </w:r>
      <w:r w:rsidR="63784B6B" w:rsidRPr="004B4540">
        <w:rPr>
          <w:rFonts w:cs="Times New Roman"/>
          <w:noProof/>
          <w:szCs w:val="24"/>
        </w:rPr>
        <w:t xml:space="preserve"> </w:t>
      </w:r>
      <w:r w:rsidR="2DCDF67C" w:rsidRPr="004B4540">
        <w:rPr>
          <w:rFonts w:cs="Times New Roman"/>
          <w:noProof/>
          <w:szCs w:val="24"/>
        </w:rPr>
        <w:t xml:space="preserve">fourth </w:t>
      </w:r>
      <w:r w:rsidR="63784B6B" w:rsidRPr="004B4540">
        <w:rPr>
          <w:rFonts w:cs="Times New Roman"/>
          <w:noProof/>
          <w:szCs w:val="24"/>
        </w:rPr>
        <w:t>call for proposals, covering small</w:t>
      </w:r>
      <w:r w:rsidR="009A0109" w:rsidRPr="004B4540">
        <w:rPr>
          <w:rFonts w:cs="Times New Roman"/>
          <w:noProof/>
          <w:szCs w:val="24"/>
        </w:rPr>
        <w:t>-</w:t>
      </w:r>
      <w:r w:rsidR="63784B6B" w:rsidRPr="004B4540">
        <w:rPr>
          <w:rFonts w:cs="Times New Roman"/>
          <w:noProof/>
          <w:szCs w:val="24"/>
        </w:rPr>
        <w:t>, medium</w:t>
      </w:r>
      <w:r w:rsidR="009A0109" w:rsidRPr="004B4540">
        <w:rPr>
          <w:rFonts w:cs="Times New Roman"/>
          <w:noProof/>
          <w:szCs w:val="24"/>
        </w:rPr>
        <w:t>-</w:t>
      </w:r>
      <w:r w:rsidR="63784B6B" w:rsidRPr="004B4540">
        <w:rPr>
          <w:rFonts w:cs="Times New Roman"/>
          <w:noProof/>
          <w:szCs w:val="24"/>
        </w:rPr>
        <w:t xml:space="preserve"> and large-scale projects, with a tentative budget of EUR 4 b</w:t>
      </w:r>
      <w:r w:rsidR="00680C67" w:rsidRPr="004B4540">
        <w:rPr>
          <w:rFonts w:cs="Times New Roman"/>
          <w:noProof/>
          <w:szCs w:val="24"/>
        </w:rPr>
        <w:t>illio</w:t>
      </w:r>
      <w:r w:rsidR="63784B6B" w:rsidRPr="004B4540">
        <w:rPr>
          <w:rFonts w:cs="Times New Roman"/>
          <w:noProof/>
          <w:szCs w:val="24"/>
        </w:rPr>
        <w:t xml:space="preserve">n </w:t>
      </w:r>
      <w:r w:rsidR="5B739348" w:rsidRPr="004B4540">
        <w:rPr>
          <w:rFonts w:cs="Times New Roman"/>
          <w:noProof/>
          <w:szCs w:val="24"/>
        </w:rPr>
        <w:t xml:space="preserve">as well as </w:t>
      </w:r>
      <w:r w:rsidR="63784B6B" w:rsidRPr="004B4540">
        <w:rPr>
          <w:rFonts w:cs="Times New Roman"/>
          <w:noProof/>
          <w:szCs w:val="24"/>
        </w:rPr>
        <w:t>the first auction for renewable hydrogen with a budget of EUR 800 million</w:t>
      </w:r>
      <w:r w:rsidR="00E05B4C" w:rsidRPr="004B4540">
        <w:rPr>
          <w:rFonts w:cs="Times New Roman"/>
          <w:noProof/>
          <w:szCs w:val="24"/>
        </w:rPr>
        <w:t xml:space="preserve"> will be launched before the end of 2023</w:t>
      </w:r>
      <w:r w:rsidR="00F76E10" w:rsidRPr="004B4540">
        <w:rPr>
          <w:rFonts w:cs="Times New Roman"/>
          <w:noProof/>
          <w:szCs w:val="24"/>
        </w:rPr>
        <w:t>, under the revised rules</w:t>
      </w:r>
      <w:r w:rsidR="64A4945D" w:rsidRPr="004B4540">
        <w:rPr>
          <w:rFonts w:cs="Times New Roman"/>
          <w:noProof/>
          <w:szCs w:val="24"/>
        </w:rPr>
        <w:t>.</w:t>
      </w:r>
      <w:r w:rsidR="00ED39F6" w:rsidRPr="004B4540">
        <w:rPr>
          <w:rFonts w:cs="Times New Roman"/>
          <w:noProof/>
          <w:szCs w:val="24"/>
        </w:rPr>
        <w:t xml:space="preserve"> </w:t>
      </w:r>
      <w:r w:rsidR="00040F43" w:rsidRPr="004B4540">
        <w:rPr>
          <w:rFonts w:cs="Times New Roman"/>
          <w:noProof/>
          <w:szCs w:val="24"/>
        </w:rPr>
        <w:t xml:space="preserve">The pilot auction and the following one are open to Member States to assign to them national budgets in order to </w:t>
      </w:r>
      <w:r w:rsidR="00DE4D75" w:rsidRPr="004B4540">
        <w:rPr>
          <w:rFonts w:cs="Times New Roman"/>
          <w:noProof/>
          <w:szCs w:val="24"/>
        </w:rPr>
        <w:t>support additional projects</w:t>
      </w:r>
      <w:r w:rsidR="009D11EF" w:rsidRPr="004B4540">
        <w:rPr>
          <w:rFonts w:cs="Times New Roman"/>
          <w:noProof/>
          <w:szCs w:val="24"/>
        </w:rPr>
        <w:t xml:space="preserve"> – this is the concept of </w:t>
      </w:r>
      <w:r w:rsidR="00F76E10" w:rsidRPr="004B4540">
        <w:rPr>
          <w:rFonts w:cs="Times New Roman"/>
          <w:noProof/>
          <w:szCs w:val="24"/>
        </w:rPr>
        <w:t>‘</w:t>
      </w:r>
      <w:r w:rsidR="009D11EF" w:rsidRPr="004B4540">
        <w:rPr>
          <w:rFonts w:cs="Times New Roman"/>
          <w:noProof/>
          <w:szCs w:val="24"/>
        </w:rPr>
        <w:t>Auction as a Service</w:t>
      </w:r>
      <w:r w:rsidR="00F76E10" w:rsidRPr="004B4540">
        <w:rPr>
          <w:rFonts w:cs="Times New Roman"/>
          <w:noProof/>
          <w:szCs w:val="24"/>
        </w:rPr>
        <w:t>’</w:t>
      </w:r>
      <w:r w:rsidR="009D11EF" w:rsidRPr="004B4540">
        <w:rPr>
          <w:rFonts w:cs="Times New Roman"/>
          <w:noProof/>
          <w:szCs w:val="24"/>
        </w:rPr>
        <w:t xml:space="preserve"> outlined in the European Hydrogen Bank Communication</w:t>
      </w:r>
      <w:r w:rsidR="009D11EF" w:rsidRPr="004B4540">
        <w:rPr>
          <w:rStyle w:val="FootnoteReference"/>
          <w:rFonts w:cs="Times New Roman"/>
          <w:noProof/>
          <w:szCs w:val="24"/>
        </w:rPr>
        <w:footnoteReference w:id="65"/>
      </w:r>
      <w:r w:rsidR="64A4945D" w:rsidRPr="004B4540">
        <w:rPr>
          <w:rFonts w:cs="Times New Roman"/>
          <w:noProof/>
          <w:szCs w:val="24"/>
        </w:rPr>
        <w:t>.</w:t>
      </w:r>
    </w:p>
    <w:p w14:paraId="6F71AD73" w14:textId="7D98AE6C" w:rsidR="00EC2E28" w:rsidRPr="004B4540" w:rsidRDefault="00EC2E28" w:rsidP="00B36B2C">
      <w:pPr>
        <w:pStyle w:val="CMR2023-SUBheading"/>
        <w:rPr>
          <w:rFonts w:cs="Times New Roman"/>
          <w:noProof/>
          <w:szCs w:val="24"/>
        </w:rPr>
      </w:pPr>
      <w:bookmarkStart w:id="58" w:name="_Toc145453239"/>
      <w:bookmarkStart w:id="59" w:name="_Toc148555890"/>
      <w:r w:rsidRPr="004B4540">
        <w:rPr>
          <w:rFonts w:cs="Times New Roman"/>
          <w:noProof/>
          <w:szCs w:val="24"/>
        </w:rPr>
        <w:t>Modernisation Fund</w:t>
      </w:r>
      <w:bookmarkEnd w:id="58"/>
      <w:bookmarkEnd w:id="59"/>
    </w:p>
    <w:p w14:paraId="5FAE7068" w14:textId="130CEB54" w:rsidR="00EA390B" w:rsidRPr="004B4540" w:rsidRDefault="00CD5E52" w:rsidP="00F506AD">
      <w:pPr>
        <w:pStyle w:val="CMR23-text"/>
        <w:rPr>
          <w:rFonts w:cs="Times New Roman"/>
          <w:noProof/>
          <w:szCs w:val="24"/>
        </w:rPr>
      </w:pPr>
      <w:r w:rsidRPr="004B4540">
        <w:rPr>
          <w:rFonts w:cs="Times New Roman"/>
          <w:noProof/>
          <w:szCs w:val="24"/>
        </w:rPr>
        <w:t xml:space="preserve">The Modernisation Fund is a </w:t>
      </w:r>
      <w:r w:rsidR="00C65C8F" w:rsidRPr="004B4540">
        <w:rPr>
          <w:rFonts w:cs="Times New Roman"/>
          <w:noProof/>
          <w:szCs w:val="24"/>
        </w:rPr>
        <w:t xml:space="preserve">solidarity </w:t>
      </w:r>
      <w:r w:rsidRPr="004B4540">
        <w:rPr>
          <w:rFonts w:cs="Times New Roman"/>
          <w:noProof/>
          <w:szCs w:val="24"/>
        </w:rPr>
        <w:t xml:space="preserve">programme </w:t>
      </w:r>
      <w:r w:rsidR="00E43254" w:rsidRPr="004B4540">
        <w:rPr>
          <w:rFonts w:cs="Times New Roman"/>
          <w:noProof/>
          <w:szCs w:val="24"/>
        </w:rPr>
        <w:t>financed from the EU ETS. It</w:t>
      </w:r>
      <w:r w:rsidRPr="004B4540">
        <w:rPr>
          <w:rFonts w:cs="Times New Roman"/>
          <w:noProof/>
          <w:szCs w:val="24"/>
        </w:rPr>
        <w:t xml:space="preserve"> support</w:t>
      </w:r>
      <w:r w:rsidR="00E43254" w:rsidRPr="004B4540">
        <w:rPr>
          <w:rFonts w:cs="Times New Roman"/>
          <w:noProof/>
          <w:szCs w:val="24"/>
        </w:rPr>
        <w:t>s</w:t>
      </w:r>
      <w:r w:rsidR="001E7A7E" w:rsidRPr="004B4540">
        <w:rPr>
          <w:rFonts w:cs="Times New Roman"/>
          <w:noProof/>
          <w:szCs w:val="24"/>
        </w:rPr>
        <w:t xml:space="preserve"> </w:t>
      </w:r>
      <w:r w:rsidR="00D070B3" w:rsidRPr="004B4540">
        <w:rPr>
          <w:rFonts w:cs="Times New Roman"/>
          <w:noProof/>
          <w:szCs w:val="24"/>
        </w:rPr>
        <w:t>1</w:t>
      </w:r>
      <w:r w:rsidR="001E7A7E" w:rsidRPr="004B4540">
        <w:rPr>
          <w:rFonts w:cs="Times New Roman"/>
          <w:noProof/>
          <w:szCs w:val="24"/>
        </w:rPr>
        <w:t>0</w:t>
      </w:r>
      <w:r w:rsidR="00D070B3" w:rsidRPr="004B4540">
        <w:rPr>
          <w:rFonts w:cs="Times New Roman"/>
          <w:noProof/>
          <w:szCs w:val="24"/>
        </w:rPr>
        <w:t xml:space="preserve"> </w:t>
      </w:r>
      <w:r w:rsidR="00311AC8" w:rsidRPr="004B4540">
        <w:rPr>
          <w:rFonts w:cs="Times New Roman"/>
          <w:noProof/>
          <w:szCs w:val="24"/>
        </w:rPr>
        <w:t xml:space="preserve">lower-income </w:t>
      </w:r>
      <w:r w:rsidRPr="004B4540">
        <w:rPr>
          <w:rFonts w:cs="Times New Roman"/>
          <w:noProof/>
          <w:szCs w:val="24"/>
        </w:rPr>
        <w:t>Member States</w:t>
      </w:r>
      <w:r w:rsidR="00273826" w:rsidRPr="004B4540">
        <w:rPr>
          <w:rStyle w:val="FootnoteReference"/>
          <w:rFonts w:cs="Times New Roman"/>
          <w:noProof/>
          <w:szCs w:val="24"/>
        </w:rPr>
        <w:footnoteReference w:id="66"/>
      </w:r>
      <w:r w:rsidRPr="004B4540">
        <w:rPr>
          <w:rFonts w:cs="Times New Roman"/>
          <w:noProof/>
          <w:szCs w:val="24"/>
        </w:rPr>
        <w:t xml:space="preserve"> </w:t>
      </w:r>
      <w:r w:rsidR="001E7A7E" w:rsidRPr="004B4540">
        <w:rPr>
          <w:rFonts w:cs="Times New Roman"/>
          <w:noProof/>
          <w:szCs w:val="24"/>
        </w:rPr>
        <w:t>and from 2024</w:t>
      </w:r>
      <w:r w:rsidR="006C610C" w:rsidRPr="004B4540">
        <w:rPr>
          <w:rFonts w:cs="Times New Roman"/>
          <w:noProof/>
          <w:szCs w:val="24"/>
        </w:rPr>
        <w:t>,</w:t>
      </w:r>
      <w:r w:rsidR="001E7A7E" w:rsidRPr="004B4540">
        <w:rPr>
          <w:rFonts w:cs="Times New Roman"/>
          <w:noProof/>
          <w:szCs w:val="24"/>
        </w:rPr>
        <w:t xml:space="preserve"> 1</w:t>
      </w:r>
      <w:r w:rsidR="00514857" w:rsidRPr="004B4540">
        <w:rPr>
          <w:rFonts w:cs="Times New Roman"/>
          <w:noProof/>
          <w:szCs w:val="24"/>
        </w:rPr>
        <w:t>3</w:t>
      </w:r>
      <w:r w:rsidR="001E7A7E" w:rsidRPr="004B4540">
        <w:rPr>
          <w:rFonts w:cs="Times New Roman"/>
          <w:noProof/>
          <w:szCs w:val="24"/>
        </w:rPr>
        <w:t xml:space="preserve"> </w:t>
      </w:r>
      <w:r w:rsidR="006C610C" w:rsidRPr="004B4540">
        <w:rPr>
          <w:rFonts w:cs="Times New Roman"/>
          <w:noProof/>
          <w:szCs w:val="24"/>
        </w:rPr>
        <w:t xml:space="preserve">lower-income </w:t>
      </w:r>
      <w:r w:rsidR="00514857" w:rsidRPr="004B4540">
        <w:rPr>
          <w:rFonts w:cs="Times New Roman"/>
          <w:noProof/>
          <w:szCs w:val="24"/>
        </w:rPr>
        <w:t xml:space="preserve">Member States </w:t>
      </w:r>
      <w:r w:rsidR="00E04920" w:rsidRPr="004B4540">
        <w:rPr>
          <w:rFonts w:cs="Times New Roman"/>
          <w:noProof/>
          <w:szCs w:val="24"/>
        </w:rPr>
        <w:t>in</w:t>
      </w:r>
      <w:r w:rsidRPr="004B4540">
        <w:rPr>
          <w:rFonts w:cs="Times New Roman"/>
          <w:noProof/>
          <w:szCs w:val="24"/>
        </w:rPr>
        <w:t xml:space="preserve"> meet</w:t>
      </w:r>
      <w:r w:rsidR="00E04920" w:rsidRPr="004B4540">
        <w:rPr>
          <w:rFonts w:cs="Times New Roman"/>
          <w:noProof/>
          <w:szCs w:val="24"/>
        </w:rPr>
        <w:t>ing</w:t>
      </w:r>
      <w:r w:rsidR="00485D63" w:rsidRPr="004B4540">
        <w:rPr>
          <w:rFonts w:cs="Times New Roman"/>
          <w:noProof/>
          <w:szCs w:val="24"/>
        </w:rPr>
        <w:t xml:space="preserve"> the</w:t>
      </w:r>
      <w:r w:rsidRPr="004B4540">
        <w:rPr>
          <w:rFonts w:cs="Times New Roman"/>
          <w:noProof/>
          <w:szCs w:val="24"/>
        </w:rPr>
        <w:t xml:space="preserve"> 2030 </w:t>
      </w:r>
      <w:r w:rsidR="00CF78DA" w:rsidRPr="004B4540">
        <w:rPr>
          <w:rFonts w:cs="Times New Roman"/>
          <w:noProof/>
          <w:szCs w:val="24"/>
        </w:rPr>
        <w:t xml:space="preserve">climate and </w:t>
      </w:r>
      <w:r w:rsidRPr="004B4540">
        <w:rPr>
          <w:rFonts w:cs="Times New Roman"/>
          <w:noProof/>
          <w:szCs w:val="24"/>
        </w:rPr>
        <w:t>energy targets by helping</w:t>
      </w:r>
      <w:r w:rsidR="009D2041" w:rsidRPr="004B4540">
        <w:rPr>
          <w:rFonts w:cs="Times New Roman"/>
          <w:noProof/>
          <w:szCs w:val="24"/>
        </w:rPr>
        <w:t xml:space="preserve"> </w:t>
      </w:r>
      <w:r w:rsidR="003E027F" w:rsidRPr="004B4540">
        <w:rPr>
          <w:rFonts w:cs="Times New Roman"/>
          <w:noProof/>
          <w:szCs w:val="24"/>
        </w:rPr>
        <w:t xml:space="preserve">deploy </w:t>
      </w:r>
      <w:r w:rsidR="00D24121">
        <w:rPr>
          <w:rFonts w:cs="Times New Roman"/>
          <w:noProof/>
          <w:szCs w:val="24"/>
        </w:rPr>
        <w:t xml:space="preserve">projects </w:t>
      </w:r>
      <w:r w:rsidR="00B7655B" w:rsidRPr="004B4540">
        <w:rPr>
          <w:rFonts w:cs="Times New Roman"/>
          <w:noProof/>
          <w:szCs w:val="24"/>
        </w:rPr>
        <w:t>that modernise energy systems and improve energy efficiency. Its budget comes from auctioning a share of the EU ETS cap; it is allocated between the beneficiary Member States according to a fixed key</w:t>
      </w:r>
      <w:r w:rsidR="00E77C65" w:rsidRPr="004B4540">
        <w:rPr>
          <w:rStyle w:val="FootnoteReference"/>
          <w:rFonts w:cs="Times New Roman"/>
          <w:noProof/>
          <w:szCs w:val="24"/>
        </w:rPr>
        <w:footnoteReference w:id="67"/>
      </w:r>
      <w:r w:rsidR="00495C62" w:rsidRPr="004B4540">
        <w:rPr>
          <w:rFonts w:cs="Times New Roman"/>
          <w:noProof/>
          <w:szCs w:val="24"/>
        </w:rPr>
        <w:t xml:space="preserve">. </w:t>
      </w:r>
    </w:p>
    <w:p w14:paraId="68E53D9D" w14:textId="71ACB2E1" w:rsidR="00226815" w:rsidRPr="004B4540" w:rsidRDefault="004E1ED6" w:rsidP="00F506AD">
      <w:pPr>
        <w:pStyle w:val="CMR23-text"/>
        <w:rPr>
          <w:rFonts w:cs="Times New Roman"/>
          <w:noProof/>
          <w:szCs w:val="24"/>
        </w:rPr>
      </w:pPr>
      <w:r w:rsidRPr="004B4540">
        <w:rPr>
          <w:rFonts w:cs="Times New Roman"/>
          <w:noProof/>
          <w:szCs w:val="24"/>
        </w:rPr>
        <w:t xml:space="preserve">Member States </w:t>
      </w:r>
      <w:r w:rsidR="0057364D" w:rsidRPr="004B4540">
        <w:rPr>
          <w:rFonts w:cs="Times New Roman"/>
          <w:noProof/>
          <w:szCs w:val="24"/>
        </w:rPr>
        <w:t xml:space="preserve">submit </w:t>
      </w:r>
      <w:r w:rsidRPr="004B4540">
        <w:rPr>
          <w:rFonts w:cs="Times New Roman"/>
          <w:noProof/>
          <w:szCs w:val="24"/>
        </w:rPr>
        <w:t>investment</w:t>
      </w:r>
      <w:r w:rsidR="0057364D" w:rsidRPr="004B4540">
        <w:rPr>
          <w:rFonts w:cs="Times New Roman"/>
          <w:noProof/>
          <w:szCs w:val="24"/>
        </w:rPr>
        <w:t xml:space="preserve"> proposals</w:t>
      </w:r>
      <w:r w:rsidRPr="004B4540">
        <w:rPr>
          <w:rFonts w:cs="Times New Roman"/>
          <w:noProof/>
          <w:szCs w:val="24"/>
        </w:rPr>
        <w:t xml:space="preserve"> </w:t>
      </w:r>
      <w:r w:rsidR="00362DDF" w:rsidRPr="004B4540">
        <w:rPr>
          <w:rFonts w:cs="Times New Roman"/>
          <w:noProof/>
          <w:szCs w:val="24"/>
        </w:rPr>
        <w:t>th</w:t>
      </w:r>
      <w:r w:rsidR="003E4389" w:rsidRPr="004B4540">
        <w:rPr>
          <w:rFonts w:cs="Times New Roman"/>
          <w:noProof/>
          <w:szCs w:val="24"/>
        </w:rPr>
        <w:t>e</w:t>
      </w:r>
      <w:r w:rsidR="00362DDF" w:rsidRPr="004B4540">
        <w:rPr>
          <w:rFonts w:cs="Times New Roman"/>
          <w:noProof/>
          <w:szCs w:val="24"/>
        </w:rPr>
        <w:t xml:space="preserve">y select to be </w:t>
      </w:r>
      <w:r w:rsidR="00D0673B" w:rsidRPr="004B4540">
        <w:rPr>
          <w:rFonts w:cs="Times New Roman"/>
          <w:noProof/>
          <w:szCs w:val="24"/>
        </w:rPr>
        <w:t>assessed by the European Investment Bank</w:t>
      </w:r>
      <w:r w:rsidRPr="004B4540">
        <w:rPr>
          <w:rFonts w:cs="Times New Roman"/>
          <w:noProof/>
          <w:szCs w:val="24"/>
        </w:rPr>
        <w:t>.</w:t>
      </w:r>
      <w:r w:rsidR="00806137" w:rsidRPr="004B4540">
        <w:rPr>
          <w:rFonts w:cs="Times New Roman"/>
          <w:noProof/>
          <w:szCs w:val="24"/>
        </w:rPr>
        <w:t xml:space="preserve"> </w:t>
      </w:r>
      <w:r w:rsidR="00665FD8" w:rsidRPr="004B4540">
        <w:rPr>
          <w:rFonts w:cs="Times New Roman"/>
          <w:noProof/>
          <w:szCs w:val="24"/>
        </w:rPr>
        <w:t xml:space="preserve">They are, however, required </w:t>
      </w:r>
      <w:r w:rsidR="0072012F" w:rsidRPr="004B4540">
        <w:rPr>
          <w:rFonts w:cs="Times New Roman"/>
          <w:noProof/>
          <w:szCs w:val="24"/>
        </w:rPr>
        <w:t xml:space="preserve">to </w:t>
      </w:r>
      <w:r w:rsidR="00D70F68" w:rsidRPr="004B4540">
        <w:rPr>
          <w:rFonts w:cs="Times New Roman"/>
          <w:noProof/>
          <w:szCs w:val="24"/>
        </w:rPr>
        <w:t xml:space="preserve">use most of their </w:t>
      </w:r>
      <w:r w:rsidR="00482D1B" w:rsidRPr="004B4540">
        <w:rPr>
          <w:rFonts w:cs="Times New Roman"/>
          <w:noProof/>
          <w:szCs w:val="24"/>
        </w:rPr>
        <w:t>resources</w:t>
      </w:r>
      <w:r w:rsidR="00EA390B" w:rsidRPr="004B4540">
        <w:rPr>
          <w:rFonts w:cs="Times New Roman"/>
          <w:noProof/>
          <w:szCs w:val="24"/>
        </w:rPr>
        <w:t xml:space="preserve"> under the Fund</w:t>
      </w:r>
      <w:r w:rsidR="00482D1B" w:rsidRPr="004B4540">
        <w:rPr>
          <w:rFonts w:cs="Times New Roman"/>
          <w:noProof/>
          <w:szCs w:val="24"/>
        </w:rPr>
        <w:t xml:space="preserve"> </w:t>
      </w:r>
      <w:r w:rsidR="00396642" w:rsidRPr="004B4540">
        <w:rPr>
          <w:rFonts w:cs="Times New Roman"/>
          <w:noProof/>
          <w:szCs w:val="24"/>
        </w:rPr>
        <w:t xml:space="preserve">on priority investments </w:t>
      </w:r>
      <w:r w:rsidR="00C70B9E" w:rsidRPr="004B4540">
        <w:rPr>
          <w:rFonts w:cs="Times New Roman"/>
          <w:noProof/>
          <w:szCs w:val="24"/>
        </w:rPr>
        <w:t xml:space="preserve">that </w:t>
      </w:r>
      <w:r w:rsidR="00C70B9E" w:rsidRPr="004B4540">
        <w:rPr>
          <w:rFonts w:cs="Times New Roman"/>
          <w:bCs/>
          <w:noProof/>
          <w:szCs w:val="24"/>
        </w:rPr>
        <w:t xml:space="preserve">help advance their </w:t>
      </w:r>
      <w:r w:rsidR="0056064E" w:rsidRPr="004B4540">
        <w:rPr>
          <w:rFonts w:cs="Times New Roman"/>
          <w:bCs/>
          <w:noProof/>
          <w:szCs w:val="24"/>
        </w:rPr>
        <w:t>energy transformation</w:t>
      </w:r>
      <w:r w:rsidR="00CE79E5" w:rsidRPr="004B4540">
        <w:rPr>
          <w:rFonts w:cs="Times New Roman"/>
          <w:bCs/>
          <w:noProof/>
          <w:szCs w:val="24"/>
        </w:rPr>
        <w:t xml:space="preserve">. </w:t>
      </w:r>
      <w:r w:rsidR="003860F0" w:rsidRPr="004B4540">
        <w:rPr>
          <w:rFonts w:cs="Times New Roman"/>
          <w:bCs/>
          <w:noProof/>
          <w:szCs w:val="24"/>
        </w:rPr>
        <w:t>The Commission takes a disbursement decision once an investment is confirmed as a priority by the EIB or recommended for financing by the Fund’s Investment Committee as a non-priority</w:t>
      </w:r>
      <w:r w:rsidR="00817C42">
        <w:rPr>
          <w:rFonts w:cs="Times New Roman"/>
          <w:bCs/>
          <w:noProof/>
          <w:szCs w:val="24"/>
        </w:rPr>
        <w:t>.</w:t>
      </w:r>
      <w:r w:rsidR="003860F0" w:rsidRPr="004B4540">
        <w:rPr>
          <w:rFonts w:cs="Times New Roman"/>
          <w:bCs/>
          <w:noProof/>
          <w:szCs w:val="24"/>
        </w:rPr>
        <w:t xml:space="preserve"> </w:t>
      </w:r>
      <w:r w:rsidR="00EA390B" w:rsidRPr="004B4540">
        <w:rPr>
          <w:rFonts w:cs="Times New Roman"/>
          <w:bCs/>
          <w:noProof/>
          <w:szCs w:val="24"/>
        </w:rPr>
        <w:t>D</w:t>
      </w:r>
      <w:r w:rsidR="00640738" w:rsidRPr="004B4540">
        <w:rPr>
          <w:rFonts w:cs="Times New Roman"/>
          <w:bCs/>
          <w:noProof/>
          <w:szCs w:val="24"/>
        </w:rPr>
        <w:t xml:space="preserve">isbursement decisions </w:t>
      </w:r>
      <w:r w:rsidR="00EA390B" w:rsidRPr="004B4540">
        <w:rPr>
          <w:rFonts w:cs="Times New Roman"/>
          <w:bCs/>
          <w:noProof/>
          <w:szCs w:val="24"/>
        </w:rPr>
        <w:t>are issued in two cycles every year</w:t>
      </w:r>
      <w:r w:rsidR="00640738" w:rsidRPr="004B4540">
        <w:rPr>
          <w:rFonts w:cs="Times New Roman"/>
          <w:bCs/>
          <w:noProof/>
          <w:szCs w:val="24"/>
        </w:rPr>
        <w:t>, covering investments in all beneficiary Member States.</w:t>
      </w:r>
    </w:p>
    <w:p w14:paraId="47FF57C3" w14:textId="43B6B0C3" w:rsidR="001A3B43" w:rsidRPr="004B4540" w:rsidRDefault="00753285" w:rsidP="00F506AD">
      <w:pPr>
        <w:pStyle w:val="CMR23-text"/>
        <w:rPr>
          <w:rFonts w:cs="Times New Roman"/>
          <w:noProof/>
          <w:szCs w:val="24"/>
        </w:rPr>
      </w:pPr>
      <w:r w:rsidRPr="004B4540">
        <w:rPr>
          <w:rFonts w:cs="Times New Roman"/>
          <w:noProof/>
          <w:szCs w:val="24"/>
        </w:rPr>
        <w:t>Total disbursements from the Modernisation Fund since January 2021 amount to around EUR 7.5</w:t>
      </w:r>
      <w:r w:rsidR="00C97E3F">
        <w:rPr>
          <w:rFonts w:cs="Times New Roman"/>
          <w:noProof/>
          <w:szCs w:val="24"/>
        </w:rPr>
        <w:t> </w:t>
      </w:r>
      <w:r w:rsidRPr="004B4540">
        <w:rPr>
          <w:rFonts w:cs="Times New Roman"/>
          <w:noProof/>
          <w:szCs w:val="24"/>
        </w:rPr>
        <w:t>billion, benefiting all eligible Member States.</w:t>
      </w:r>
      <w:r w:rsidR="00DB0659" w:rsidRPr="004B4540">
        <w:rPr>
          <w:rFonts w:cs="Times New Roman"/>
          <w:noProof/>
          <w:szCs w:val="24"/>
        </w:rPr>
        <w:t xml:space="preserve"> </w:t>
      </w:r>
      <w:r w:rsidR="00405B6F" w:rsidRPr="004B4540">
        <w:rPr>
          <w:rFonts w:cs="Times New Roman"/>
          <w:noProof/>
          <w:szCs w:val="24"/>
        </w:rPr>
        <w:fldChar w:fldCharType="begin"/>
      </w:r>
      <w:r w:rsidR="00405B6F" w:rsidRPr="004B4540">
        <w:rPr>
          <w:rFonts w:cs="Times New Roman"/>
          <w:noProof/>
          <w:szCs w:val="24"/>
        </w:rPr>
        <w:instrText xml:space="preserve"> REF _Ref145494004 \h </w:instrText>
      </w:r>
      <w:r w:rsidR="004B4540">
        <w:rPr>
          <w:rFonts w:cs="Times New Roman"/>
          <w:noProof/>
          <w:szCs w:val="24"/>
        </w:rPr>
        <w:instrText xml:space="preserve"> \* MERGEFORMAT </w:instrText>
      </w:r>
      <w:r w:rsidR="00405B6F" w:rsidRPr="004B4540">
        <w:rPr>
          <w:rFonts w:cs="Times New Roman"/>
          <w:noProof/>
          <w:szCs w:val="24"/>
        </w:rPr>
      </w:r>
      <w:r w:rsidR="00405B6F" w:rsidRPr="004B4540">
        <w:rPr>
          <w:rFonts w:cs="Times New Roman"/>
          <w:noProof/>
          <w:szCs w:val="24"/>
        </w:rPr>
        <w:fldChar w:fldCharType="separate"/>
      </w:r>
      <w:r w:rsidR="00B83BFA" w:rsidRPr="00B83BFA">
        <w:rPr>
          <w:rFonts w:cs="Times New Roman"/>
          <w:noProof/>
        </w:rPr>
        <w:t>Table 5</w:t>
      </w:r>
      <w:r w:rsidR="00405B6F" w:rsidRPr="004B4540">
        <w:rPr>
          <w:rFonts w:cs="Times New Roman"/>
          <w:noProof/>
          <w:szCs w:val="24"/>
        </w:rPr>
        <w:fldChar w:fldCharType="end"/>
      </w:r>
      <w:r w:rsidR="00E07724" w:rsidRPr="004B4540">
        <w:rPr>
          <w:rFonts w:cs="Times New Roman"/>
          <w:noProof/>
          <w:szCs w:val="24"/>
        </w:rPr>
        <w:t xml:space="preserve"> </w:t>
      </w:r>
      <w:r w:rsidR="006F45A4" w:rsidRPr="004B4540">
        <w:rPr>
          <w:rFonts w:cs="Times New Roman"/>
          <w:noProof/>
          <w:szCs w:val="24"/>
        </w:rPr>
        <w:t>presents</w:t>
      </w:r>
      <w:r w:rsidR="00295FBD" w:rsidRPr="004B4540">
        <w:rPr>
          <w:rFonts w:cs="Times New Roman"/>
          <w:noProof/>
          <w:szCs w:val="24"/>
        </w:rPr>
        <w:t xml:space="preserve"> </w:t>
      </w:r>
      <w:r w:rsidR="00614B46" w:rsidRPr="004B4540">
        <w:rPr>
          <w:rFonts w:cs="Times New Roman"/>
          <w:noProof/>
          <w:szCs w:val="24"/>
        </w:rPr>
        <w:t xml:space="preserve">the </w:t>
      </w:r>
      <w:r w:rsidR="00295FBD" w:rsidRPr="004B4540">
        <w:rPr>
          <w:rFonts w:cs="Times New Roman"/>
          <w:noProof/>
          <w:szCs w:val="24"/>
        </w:rPr>
        <w:t xml:space="preserve">amounts </w:t>
      </w:r>
      <w:r w:rsidR="006F45A4" w:rsidRPr="004B4540">
        <w:rPr>
          <w:rFonts w:cs="Times New Roman"/>
          <w:noProof/>
          <w:szCs w:val="24"/>
        </w:rPr>
        <w:t xml:space="preserve">disbursed </w:t>
      </w:r>
      <w:r w:rsidR="00C47E4D" w:rsidRPr="004B4540">
        <w:rPr>
          <w:rFonts w:cs="Times New Roman"/>
          <w:noProof/>
          <w:szCs w:val="24"/>
        </w:rPr>
        <w:t>per Member State.</w:t>
      </w:r>
      <w:r w:rsidR="0056064E" w:rsidRPr="004B4540">
        <w:rPr>
          <w:rFonts w:cs="Times New Roman"/>
          <w:noProof/>
          <w:szCs w:val="24"/>
        </w:rPr>
        <w:t xml:space="preserve"> In June 2023, the Commission adopted the </w:t>
      </w:r>
      <w:r w:rsidR="00D070B3" w:rsidRPr="004B4540">
        <w:rPr>
          <w:rFonts w:cs="Times New Roman"/>
          <w:noProof/>
          <w:szCs w:val="24"/>
        </w:rPr>
        <w:t>fifth disbursement decision</w:t>
      </w:r>
      <w:r w:rsidR="00D070B3" w:rsidRPr="004B4540">
        <w:rPr>
          <w:rStyle w:val="FootnoteReference"/>
          <w:rFonts w:cs="Times New Roman"/>
          <w:noProof/>
          <w:szCs w:val="24"/>
        </w:rPr>
        <w:footnoteReference w:id="68"/>
      </w:r>
      <w:r w:rsidR="0056064E" w:rsidRPr="004B4540">
        <w:rPr>
          <w:rFonts w:cs="Times New Roman"/>
          <w:noProof/>
          <w:szCs w:val="24"/>
        </w:rPr>
        <w:t xml:space="preserve"> under the Modernisation Fund. </w:t>
      </w:r>
      <w:r w:rsidR="00F13B2B" w:rsidRPr="004B4540">
        <w:rPr>
          <w:rFonts w:cs="Times New Roman"/>
          <w:noProof/>
          <w:szCs w:val="24"/>
        </w:rPr>
        <w:t>On this basis, the EIB made payments for a total of EUR 2.4 billion to seven beneficiary Member States</w:t>
      </w:r>
      <w:r w:rsidR="007E51E1" w:rsidRPr="004B4540">
        <w:rPr>
          <w:rStyle w:val="FootnoteReference"/>
          <w:rFonts w:cs="Times New Roman"/>
          <w:noProof/>
          <w:szCs w:val="24"/>
        </w:rPr>
        <w:footnoteReference w:id="69"/>
      </w:r>
      <w:r w:rsidR="0056064E" w:rsidRPr="004B4540">
        <w:rPr>
          <w:rFonts w:cs="Times New Roman"/>
          <w:noProof/>
          <w:szCs w:val="24"/>
        </w:rPr>
        <w:t xml:space="preserve"> to finance 31 investment proposals.</w:t>
      </w:r>
      <w:r w:rsidR="00782A58" w:rsidRPr="004B4540">
        <w:rPr>
          <w:rFonts w:cs="Times New Roman"/>
          <w:noProof/>
          <w:szCs w:val="24"/>
        </w:rPr>
        <w:t xml:space="preserve"> </w:t>
      </w:r>
      <w:r w:rsidR="00EF7EAC" w:rsidRPr="004B4540">
        <w:rPr>
          <w:rFonts w:cs="Times New Roman"/>
          <w:noProof/>
          <w:szCs w:val="24"/>
        </w:rPr>
        <w:t>Submissions for another round of proposals under the Modernisation Fund closed on 15 August 2023 for non-priority projects and on 12 September</w:t>
      </w:r>
      <w:r w:rsidR="00C97E3F">
        <w:rPr>
          <w:rFonts w:cs="Times New Roman"/>
          <w:noProof/>
          <w:szCs w:val="24"/>
        </w:rPr>
        <w:t> </w:t>
      </w:r>
      <w:r w:rsidR="00EF7EAC" w:rsidRPr="004B4540">
        <w:rPr>
          <w:rFonts w:cs="Times New Roman"/>
          <w:noProof/>
          <w:szCs w:val="24"/>
        </w:rPr>
        <w:t>2023 for priority projects.</w:t>
      </w:r>
      <w:r w:rsidR="00A13BAF" w:rsidRPr="004B4540">
        <w:rPr>
          <w:rFonts w:cs="Times New Roman"/>
          <w:noProof/>
          <w:szCs w:val="24"/>
        </w:rPr>
        <w:t xml:space="preserve"> </w:t>
      </w:r>
    </w:p>
    <w:p w14:paraId="0A15CEFE" w14:textId="68F65738" w:rsidR="00405B6F" w:rsidRPr="004B4540" w:rsidRDefault="00405B6F" w:rsidP="00405B6F">
      <w:pPr>
        <w:pStyle w:val="Caption"/>
        <w:keepNext/>
        <w:rPr>
          <w:noProof/>
        </w:rPr>
      </w:pPr>
      <w:bookmarkStart w:id="60" w:name="_Ref145494004"/>
      <w:r w:rsidRPr="004B4540">
        <w:rPr>
          <w:noProof/>
        </w:rPr>
        <w:t xml:space="preserve">Table </w:t>
      </w:r>
      <w:r w:rsidRPr="004B4540">
        <w:rPr>
          <w:noProof/>
        </w:rPr>
        <w:fldChar w:fldCharType="begin"/>
      </w:r>
      <w:r w:rsidRPr="004B4540">
        <w:rPr>
          <w:noProof/>
        </w:rPr>
        <w:instrText>SEQ Table \* ARABIC</w:instrText>
      </w:r>
      <w:r w:rsidRPr="004B4540">
        <w:rPr>
          <w:noProof/>
        </w:rPr>
        <w:fldChar w:fldCharType="separate"/>
      </w:r>
      <w:r w:rsidR="00B83BFA">
        <w:rPr>
          <w:noProof/>
        </w:rPr>
        <w:t>5</w:t>
      </w:r>
      <w:r w:rsidRPr="004B4540">
        <w:rPr>
          <w:noProof/>
        </w:rPr>
        <w:fldChar w:fldCharType="end"/>
      </w:r>
      <w:bookmarkEnd w:id="60"/>
      <w:r w:rsidR="00EE4B7F" w:rsidRPr="004B4540">
        <w:rPr>
          <w:noProof/>
        </w:rPr>
        <w:t>:</w:t>
      </w:r>
      <w:r w:rsidRPr="004B4540">
        <w:rPr>
          <w:noProof/>
        </w:rPr>
        <w:t xml:space="preserve"> </w:t>
      </w:r>
      <w:r w:rsidR="00EE4B7F" w:rsidRPr="004B4540">
        <w:rPr>
          <w:noProof/>
        </w:rPr>
        <w:t>Total disbursements from the Modernisation Fund (1 January 2021 to 30 June 2023)</w:t>
      </w:r>
    </w:p>
    <w:tbl>
      <w:tblPr>
        <w:tblStyle w:val="TableGridLight"/>
        <w:tblW w:w="4972" w:type="pct"/>
        <w:tblLook w:val="04A0" w:firstRow="1" w:lastRow="0" w:firstColumn="1" w:lastColumn="0" w:noHBand="0" w:noVBand="1"/>
      </w:tblPr>
      <w:tblGrid>
        <w:gridCol w:w="4483"/>
        <w:gridCol w:w="4483"/>
      </w:tblGrid>
      <w:tr w:rsidR="008C020B" w:rsidRPr="004B4540" w14:paraId="5B4E75FE" w14:textId="77777777" w:rsidTr="003730B9">
        <w:trPr>
          <w:trHeight w:val="334"/>
        </w:trPr>
        <w:tc>
          <w:tcPr>
            <w:tcW w:w="2500" w:type="pct"/>
            <w:noWrap/>
            <w:vAlign w:val="center"/>
            <w:hideMark/>
          </w:tcPr>
          <w:p w14:paraId="13FD12B8" w14:textId="77AFA1F1" w:rsidR="008C020B" w:rsidRPr="003730B9" w:rsidRDefault="00CD5D93" w:rsidP="003730B9">
            <w:pPr>
              <w:pStyle w:val="Bodytext-tables"/>
              <w:keepNext/>
              <w:spacing w:before="120" w:after="120" w:line="240" w:lineRule="auto"/>
              <w:jc w:val="center"/>
              <w:rPr>
                <w:b/>
                <w:bCs/>
                <w:noProof/>
                <w:sz w:val="22"/>
                <w:szCs w:val="22"/>
                <w:lang w:val="en-GB" w:eastAsia="en-IE"/>
              </w:rPr>
            </w:pPr>
            <w:r w:rsidRPr="003730B9">
              <w:rPr>
                <w:b/>
                <w:bCs/>
                <w:noProof/>
                <w:sz w:val="22"/>
                <w:szCs w:val="22"/>
                <w:lang w:val="en-GB" w:eastAsia="en-IE"/>
              </w:rPr>
              <w:t xml:space="preserve">Beneficiary </w:t>
            </w:r>
            <w:r w:rsidR="008C020B" w:rsidRPr="003730B9">
              <w:rPr>
                <w:b/>
                <w:bCs/>
                <w:noProof/>
                <w:sz w:val="22"/>
                <w:szCs w:val="22"/>
                <w:lang w:val="en-GB" w:eastAsia="en-IE"/>
              </w:rPr>
              <w:t>Member State</w:t>
            </w:r>
          </w:p>
        </w:tc>
        <w:tc>
          <w:tcPr>
            <w:tcW w:w="2500" w:type="pct"/>
            <w:noWrap/>
            <w:vAlign w:val="center"/>
            <w:hideMark/>
          </w:tcPr>
          <w:p w14:paraId="6EC3E6CC" w14:textId="09C119B5" w:rsidR="008C020B" w:rsidRPr="003730B9" w:rsidRDefault="00CD5D93" w:rsidP="003730B9">
            <w:pPr>
              <w:pStyle w:val="Bodytext-tables"/>
              <w:keepNext/>
              <w:spacing w:before="120" w:after="120" w:line="240" w:lineRule="auto"/>
              <w:jc w:val="center"/>
              <w:rPr>
                <w:b/>
                <w:bCs/>
                <w:noProof/>
                <w:color w:val="000000"/>
                <w:sz w:val="22"/>
                <w:szCs w:val="22"/>
                <w:lang w:val="en-GB" w:eastAsia="en-IE"/>
              </w:rPr>
            </w:pPr>
            <w:r w:rsidRPr="003730B9">
              <w:rPr>
                <w:b/>
                <w:bCs/>
                <w:noProof/>
                <w:color w:val="000000"/>
                <w:sz w:val="22"/>
                <w:szCs w:val="22"/>
                <w:lang w:val="en-GB" w:eastAsia="en-IE"/>
              </w:rPr>
              <w:t>Disbursed amounts since</w:t>
            </w:r>
            <w:r w:rsidR="008C020B" w:rsidRPr="003730B9">
              <w:rPr>
                <w:b/>
                <w:bCs/>
                <w:noProof/>
                <w:color w:val="000000"/>
                <w:sz w:val="22"/>
                <w:szCs w:val="22"/>
                <w:lang w:val="en-GB" w:eastAsia="en-IE"/>
              </w:rPr>
              <w:t xml:space="preserve"> </w:t>
            </w:r>
            <w:r w:rsidRPr="003730B9">
              <w:rPr>
                <w:b/>
                <w:bCs/>
                <w:noProof/>
                <w:color w:val="000000"/>
                <w:sz w:val="22"/>
                <w:szCs w:val="22"/>
                <w:lang w:val="en-GB" w:eastAsia="en-IE"/>
              </w:rPr>
              <w:t>2021</w:t>
            </w:r>
            <w:r w:rsidR="008C020B" w:rsidRPr="003730B9">
              <w:rPr>
                <w:b/>
                <w:bCs/>
                <w:noProof/>
                <w:color w:val="000000"/>
                <w:sz w:val="22"/>
                <w:szCs w:val="22"/>
                <w:lang w:val="en-GB" w:eastAsia="en-IE"/>
              </w:rPr>
              <w:br/>
            </w:r>
            <w:r w:rsidR="00C2339D" w:rsidRPr="003730B9">
              <w:rPr>
                <w:b/>
                <w:bCs/>
                <w:noProof/>
                <w:color w:val="000000"/>
                <w:sz w:val="22"/>
                <w:szCs w:val="22"/>
                <w:lang w:val="en-GB" w:eastAsia="en-IE"/>
              </w:rPr>
              <w:t>(million EUR)</w:t>
            </w:r>
          </w:p>
        </w:tc>
      </w:tr>
      <w:tr w:rsidR="008C020B" w:rsidRPr="004B4540" w14:paraId="529DC2DF" w14:textId="77777777" w:rsidTr="003730B9">
        <w:trPr>
          <w:trHeight w:val="334"/>
        </w:trPr>
        <w:tc>
          <w:tcPr>
            <w:tcW w:w="2500" w:type="pct"/>
            <w:noWrap/>
            <w:vAlign w:val="center"/>
            <w:hideMark/>
          </w:tcPr>
          <w:p w14:paraId="6C117B25" w14:textId="4712FBA2" w:rsidR="008C020B" w:rsidRPr="004B4540" w:rsidRDefault="003761B0" w:rsidP="003730B9">
            <w:pPr>
              <w:pStyle w:val="Bodytext-tables"/>
              <w:keepNext/>
              <w:spacing w:before="120" w:after="120" w:line="240" w:lineRule="auto"/>
              <w:jc w:val="left"/>
              <w:rPr>
                <w:b/>
                <w:noProof/>
                <w:color w:val="000000"/>
                <w:sz w:val="22"/>
                <w:szCs w:val="22"/>
                <w:lang w:val="en-GB" w:eastAsia="en-IE"/>
              </w:rPr>
            </w:pPr>
            <w:r w:rsidRPr="004B4540">
              <w:rPr>
                <w:noProof/>
                <w:color w:val="000000"/>
                <w:sz w:val="22"/>
                <w:szCs w:val="22"/>
                <w:lang w:val="en-GB" w:eastAsia="en-IE"/>
              </w:rPr>
              <w:t>B</w:t>
            </w:r>
            <w:r w:rsidR="00273826" w:rsidRPr="004B4540">
              <w:rPr>
                <w:noProof/>
                <w:color w:val="000000"/>
                <w:sz w:val="22"/>
                <w:szCs w:val="22"/>
                <w:lang w:val="en-GB" w:eastAsia="en-IE"/>
              </w:rPr>
              <w:t>ulgaria</w:t>
            </w:r>
          </w:p>
        </w:tc>
        <w:tc>
          <w:tcPr>
            <w:tcW w:w="2500" w:type="pct"/>
            <w:noWrap/>
            <w:vAlign w:val="center"/>
            <w:hideMark/>
          </w:tcPr>
          <w:p w14:paraId="75AE2D87" w14:textId="5FA434CC" w:rsidR="008C020B" w:rsidRPr="004B4540" w:rsidRDefault="00CB42EF" w:rsidP="003730B9">
            <w:pPr>
              <w:pStyle w:val="Bodytext-tables"/>
              <w:keepNext/>
              <w:spacing w:before="120" w:after="120" w:line="240" w:lineRule="auto"/>
              <w:jc w:val="right"/>
              <w:rPr>
                <w:noProof/>
                <w:color w:val="000000"/>
                <w:sz w:val="22"/>
                <w:szCs w:val="22"/>
                <w:lang w:val="en-GB" w:eastAsia="en-IE"/>
              </w:rPr>
            </w:pPr>
            <w:r w:rsidRPr="004B4540">
              <w:rPr>
                <w:noProof/>
                <w:color w:val="000000"/>
                <w:sz w:val="22"/>
                <w:szCs w:val="22"/>
                <w:lang w:val="en-GB" w:eastAsia="en-IE"/>
              </w:rPr>
              <w:t>196</w:t>
            </w:r>
            <w:r w:rsidR="008C020B" w:rsidRPr="004B4540">
              <w:rPr>
                <w:noProof/>
                <w:color w:val="000000"/>
                <w:sz w:val="22"/>
                <w:szCs w:val="22"/>
                <w:lang w:val="en-GB" w:eastAsia="en-IE"/>
              </w:rPr>
              <w:t>.</w:t>
            </w:r>
            <w:r w:rsidRPr="004B4540">
              <w:rPr>
                <w:noProof/>
                <w:color w:val="000000"/>
                <w:sz w:val="22"/>
                <w:szCs w:val="22"/>
                <w:lang w:val="en-GB" w:eastAsia="en-IE"/>
              </w:rPr>
              <w:t>6</w:t>
            </w:r>
          </w:p>
        </w:tc>
      </w:tr>
      <w:tr w:rsidR="008C020B" w:rsidRPr="004B4540" w14:paraId="0A28858C" w14:textId="77777777" w:rsidTr="003730B9">
        <w:trPr>
          <w:trHeight w:val="334"/>
        </w:trPr>
        <w:tc>
          <w:tcPr>
            <w:tcW w:w="2500" w:type="pct"/>
            <w:noWrap/>
            <w:vAlign w:val="center"/>
            <w:hideMark/>
          </w:tcPr>
          <w:p w14:paraId="0949BF14" w14:textId="15C0F3F3" w:rsidR="008C020B" w:rsidRPr="004B4540" w:rsidRDefault="003761B0" w:rsidP="003730B9">
            <w:pPr>
              <w:pStyle w:val="Bodytext-tables"/>
              <w:keepNext/>
              <w:spacing w:before="120" w:after="120" w:line="240" w:lineRule="auto"/>
              <w:jc w:val="left"/>
              <w:rPr>
                <w:b/>
                <w:noProof/>
                <w:color w:val="000000"/>
                <w:sz w:val="22"/>
                <w:szCs w:val="22"/>
                <w:lang w:val="en-GB" w:eastAsia="en-IE"/>
              </w:rPr>
            </w:pPr>
            <w:r w:rsidRPr="004B4540">
              <w:rPr>
                <w:noProof/>
                <w:color w:val="000000"/>
                <w:sz w:val="22"/>
                <w:szCs w:val="22"/>
                <w:lang w:val="en-GB" w:eastAsia="en-IE"/>
              </w:rPr>
              <w:t>C</w:t>
            </w:r>
            <w:r w:rsidR="00273826" w:rsidRPr="004B4540">
              <w:rPr>
                <w:noProof/>
                <w:color w:val="000000"/>
                <w:sz w:val="22"/>
                <w:szCs w:val="22"/>
                <w:lang w:val="en-GB" w:eastAsia="en-IE"/>
              </w:rPr>
              <w:t>zechia</w:t>
            </w:r>
          </w:p>
        </w:tc>
        <w:tc>
          <w:tcPr>
            <w:tcW w:w="2500" w:type="pct"/>
            <w:noWrap/>
            <w:vAlign w:val="center"/>
            <w:hideMark/>
          </w:tcPr>
          <w:p w14:paraId="6D34227A" w14:textId="5003EB60" w:rsidR="008C020B" w:rsidRPr="004B4540" w:rsidRDefault="00151FD3" w:rsidP="003730B9">
            <w:pPr>
              <w:pStyle w:val="Bodytext-tables"/>
              <w:keepNext/>
              <w:spacing w:before="120" w:after="120" w:line="240" w:lineRule="auto"/>
              <w:jc w:val="right"/>
              <w:rPr>
                <w:noProof/>
                <w:color w:val="000000"/>
                <w:sz w:val="22"/>
                <w:szCs w:val="22"/>
                <w:lang w:val="en-GB" w:eastAsia="en-IE"/>
              </w:rPr>
            </w:pPr>
            <w:r w:rsidRPr="004B4540">
              <w:rPr>
                <w:noProof/>
                <w:color w:val="000000"/>
                <w:sz w:val="22"/>
                <w:szCs w:val="22"/>
                <w:lang w:val="en-GB" w:eastAsia="en-IE"/>
              </w:rPr>
              <w:t>2 677.2</w:t>
            </w:r>
          </w:p>
        </w:tc>
      </w:tr>
      <w:tr w:rsidR="008C020B" w:rsidRPr="004B4540" w14:paraId="5A8CAACF" w14:textId="77777777" w:rsidTr="003730B9">
        <w:trPr>
          <w:trHeight w:val="334"/>
        </w:trPr>
        <w:tc>
          <w:tcPr>
            <w:tcW w:w="2500" w:type="pct"/>
            <w:noWrap/>
            <w:vAlign w:val="center"/>
            <w:hideMark/>
          </w:tcPr>
          <w:p w14:paraId="4F980BFF" w14:textId="7258F830" w:rsidR="008C020B" w:rsidRPr="004B4540" w:rsidRDefault="003761B0" w:rsidP="003730B9">
            <w:pPr>
              <w:pStyle w:val="Bodytext-tables"/>
              <w:keepNext/>
              <w:spacing w:before="120" w:after="120" w:line="240" w:lineRule="auto"/>
              <w:jc w:val="left"/>
              <w:rPr>
                <w:b/>
                <w:noProof/>
                <w:color w:val="000000"/>
                <w:sz w:val="22"/>
                <w:szCs w:val="22"/>
                <w:lang w:val="en-GB" w:eastAsia="en-IE"/>
              </w:rPr>
            </w:pPr>
            <w:r w:rsidRPr="004B4540">
              <w:rPr>
                <w:noProof/>
                <w:color w:val="000000"/>
                <w:sz w:val="22"/>
                <w:szCs w:val="22"/>
                <w:lang w:val="en-GB" w:eastAsia="en-IE"/>
              </w:rPr>
              <w:t>E</w:t>
            </w:r>
            <w:r w:rsidR="00335A13" w:rsidRPr="004B4540">
              <w:rPr>
                <w:noProof/>
                <w:color w:val="000000"/>
                <w:sz w:val="22"/>
                <w:szCs w:val="22"/>
                <w:lang w:val="en-GB" w:eastAsia="en-IE"/>
              </w:rPr>
              <w:t>stonia</w:t>
            </w:r>
          </w:p>
        </w:tc>
        <w:tc>
          <w:tcPr>
            <w:tcW w:w="2500" w:type="pct"/>
            <w:noWrap/>
            <w:vAlign w:val="center"/>
            <w:hideMark/>
          </w:tcPr>
          <w:p w14:paraId="17112210" w14:textId="611E71A5" w:rsidR="008C020B" w:rsidRPr="004B4540" w:rsidRDefault="00CB42EF" w:rsidP="003730B9">
            <w:pPr>
              <w:pStyle w:val="Bodytext-tables"/>
              <w:keepNext/>
              <w:spacing w:before="120" w:after="120" w:line="240" w:lineRule="auto"/>
              <w:jc w:val="right"/>
              <w:rPr>
                <w:noProof/>
                <w:color w:val="000000"/>
                <w:sz w:val="22"/>
                <w:szCs w:val="22"/>
                <w:lang w:val="en-GB" w:eastAsia="en-IE"/>
              </w:rPr>
            </w:pPr>
            <w:r w:rsidRPr="004B4540">
              <w:rPr>
                <w:noProof/>
                <w:color w:val="000000"/>
                <w:sz w:val="22"/>
                <w:szCs w:val="22"/>
                <w:lang w:val="en-GB" w:eastAsia="en-IE"/>
              </w:rPr>
              <w:t>87</w:t>
            </w:r>
            <w:r w:rsidR="008C020B" w:rsidRPr="004B4540">
              <w:rPr>
                <w:noProof/>
                <w:color w:val="000000"/>
                <w:sz w:val="22"/>
                <w:szCs w:val="22"/>
                <w:lang w:val="en-GB" w:eastAsia="en-IE"/>
              </w:rPr>
              <w:t>.</w:t>
            </w:r>
            <w:r w:rsidRPr="004B4540">
              <w:rPr>
                <w:noProof/>
                <w:color w:val="000000"/>
                <w:sz w:val="22"/>
                <w:szCs w:val="22"/>
                <w:lang w:val="en-GB" w:eastAsia="en-IE"/>
              </w:rPr>
              <w:t>0</w:t>
            </w:r>
          </w:p>
        </w:tc>
      </w:tr>
      <w:tr w:rsidR="008C020B" w:rsidRPr="004B4540" w14:paraId="6481B9C4" w14:textId="77777777" w:rsidTr="003730B9">
        <w:trPr>
          <w:trHeight w:val="334"/>
        </w:trPr>
        <w:tc>
          <w:tcPr>
            <w:tcW w:w="2500" w:type="pct"/>
            <w:noWrap/>
            <w:vAlign w:val="center"/>
            <w:hideMark/>
          </w:tcPr>
          <w:p w14:paraId="6181B1BF" w14:textId="532492DC" w:rsidR="008C020B" w:rsidRPr="004B4540" w:rsidRDefault="00335A13" w:rsidP="003730B9">
            <w:pPr>
              <w:pStyle w:val="Bodytext-tables"/>
              <w:keepNext/>
              <w:spacing w:before="120" w:after="120" w:line="240" w:lineRule="auto"/>
              <w:jc w:val="left"/>
              <w:rPr>
                <w:b/>
                <w:noProof/>
                <w:color w:val="000000"/>
                <w:sz w:val="22"/>
                <w:szCs w:val="22"/>
                <w:lang w:val="en-GB" w:eastAsia="en-IE"/>
              </w:rPr>
            </w:pPr>
            <w:r w:rsidRPr="004B4540">
              <w:rPr>
                <w:noProof/>
                <w:color w:val="000000"/>
                <w:sz w:val="22"/>
                <w:szCs w:val="22"/>
                <w:lang w:val="en-GB" w:eastAsia="en-IE"/>
              </w:rPr>
              <w:t>Croatia</w:t>
            </w:r>
          </w:p>
        </w:tc>
        <w:tc>
          <w:tcPr>
            <w:tcW w:w="2500" w:type="pct"/>
            <w:noWrap/>
            <w:vAlign w:val="center"/>
            <w:hideMark/>
          </w:tcPr>
          <w:p w14:paraId="478CD177" w14:textId="00C268A1" w:rsidR="008C020B" w:rsidRPr="004B4540" w:rsidRDefault="00A87692" w:rsidP="003730B9">
            <w:pPr>
              <w:pStyle w:val="Bodytext-tables"/>
              <w:keepNext/>
              <w:spacing w:before="120" w:after="120" w:line="240" w:lineRule="auto"/>
              <w:jc w:val="right"/>
              <w:rPr>
                <w:noProof/>
                <w:color w:val="000000"/>
                <w:sz w:val="22"/>
                <w:szCs w:val="22"/>
                <w:lang w:val="en-GB" w:eastAsia="en-IE"/>
              </w:rPr>
            </w:pPr>
            <w:r w:rsidRPr="004B4540">
              <w:rPr>
                <w:noProof/>
                <w:color w:val="000000"/>
                <w:sz w:val="22"/>
                <w:szCs w:val="22"/>
                <w:lang w:val="en-GB" w:eastAsia="en-IE"/>
              </w:rPr>
              <w:t>210</w:t>
            </w:r>
            <w:r w:rsidR="008C020B" w:rsidRPr="004B4540">
              <w:rPr>
                <w:noProof/>
                <w:color w:val="000000"/>
                <w:sz w:val="22"/>
                <w:szCs w:val="22"/>
                <w:lang w:val="en-GB" w:eastAsia="en-IE"/>
              </w:rPr>
              <w:t>.0</w:t>
            </w:r>
          </w:p>
        </w:tc>
      </w:tr>
      <w:tr w:rsidR="008C020B" w:rsidRPr="004B4540" w14:paraId="673D95A6" w14:textId="77777777" w:rsidTr="003730B9">
        <w:trPr>
          <w:trHeight w:val="334"/>
        </w:trPr>
        <w:tc>
          <w:tcPr>
            <w:tcW w:w="2500" w:type="pct"/>
            <w:noWrap/>
            <w:vAlign w:val="center"/>
            <w:hideMark/>
          </w:tcPr>
          <w:p w14:paraId="5FC073E3" w14:textId="3A3FC53E" w:rsidR="008C020B" w:rsidRPr="004B4540" w:rsidRDefault="00335A13" w:rsidP="003730B9">
            <w:pPr>
              <w:pStyle w:val="Bodytext-tables"/>
              <w:keepNext/>
              <w:spacing w:before="120" w:after="120" w:line="240" w:lineRule="auto"/>
              <w:jc w:val="left"/>
              <w:rPr>
                <w:b/>
                <w:noProof/>
                <w:color w:val="000000"/>
                <w:sz w:val="22"/>
                <w:szCs w:val="22"/>
                <w:lang w:val="en-GB" w:eastAsia="en-IE"/>
              </w:rPr>
            </w:pPr>
            <w:r w:rsidRPr="004B4540">
              <w:rPr>
                <w:noProof/>
                <w:color w:val="000000"/>
                <w:sz w:val="22"/>
                <w:szCs w:val="22"/>
                <w:lang w:val="en-GB" w:eastAsia="en-IE"/>
              </w:rPr>
              <w:t>Hungary</w:t>
            </w:r>
          </w:p>
        </w:tc>
        <w:tc>
          <w:tcPr>
            <w:tcW w:w="2500" w:type="pct"/>
            <w:noWrap/>
            <w:vAlign w:val="center"/>
            <w:hideMark/>
          </w:tcPr>
          <w:p w14:paraId="752AA394" w14:textId="79C2B5F6" w:rsidR="008C020B" w:rsidRPr="004B4540" w:rsidRDefault="00A87692" w:rsidP="003730B9">
            <w:pPr>
              <w:pStyle w:val="Bodytext-tables"/>
              <w:keepNext/>
              <w:spacing w:before="120" w:after="120" w:line="240" w:lineRule="auto"/>
              <w:jc w:val="right"/>
              <w:rPr>
                <w:noProof/>
                <w:color w:val="000000"/>
                <w:sz w:val="22"/>
                <w:szCs w:val="22"/>
                <w:lang w:val="en-GB" w:eastAsia="en-IE"/>
              </w:rPr>
            </w:pPr>
            <w:r w:rsidRPr="004B4540">
              <w:rPr>
                <w:noProof/>
                <w:color w:val="000000"/>
                <w:sz w:val="22"/>
                <w:szCs w:val="22"/>
                <w:lang w:val="en-GB" w:eastAsia="en-IE"/>
              </w:rPr>
              <w:t>108</w:t>
            </w:r>
            <w:r w:rsidR="008C020B" w:rsidRPr="004B4540">
              <w:rPr>
                <w:noProof/>
                <w:color w:val="000000"/>
                <w:sz w:val="22"/>
                <w:szCs w:val="22"/>
                <w:lang w:val="en-GB" w:eastAsia="en-IE"/>
              </w:rPr>
              <w:t>.</w:t>
            </w:r>
            <w:r w:rsidRPr="004B4540">
              <w:rPr>
                <w:noProof/>
                <w:color w:val="000000"/>
                <w:sz w:val="22"/>
                <w:szCs w:val="22"/>
                <w:lang w:val="en-GB" w:eastAsia="en-IE"/>
              </w:rPr>
              <w:t>6</w:t>
            </w:r>
          </w:p>
        </w:tc>
      </w:tr>
      <w:tr w:rsidR="003761B0" w:rsidRPr="004B4540" w14:paraId="5DA88B89" w14:textId="77777777" w:rsidTr="003730B9">
        <w:trPr>
          <w:trHeight w:val="334"/>
        </w:trPr>
        <w:tc>
          <w:tcPr>
            <w:tcW w:w="2500" w:type="pct"/>
            <w:noWrap/>
            <w:vAlign w:val="center"/>
          </w:tcPr>
          <w:p w14:paraId="2491AB8E" w14:textId="2A2ACA26" w:rsidR="003761B0" w:rsidRPr="004B4540" w:rsidRDefault="00335A13" w:rsidP="003730B9">
            <w:pPr>
              <w:pStyle w:val="Bodytext-tables"/>
              <w:keepNext/>
              <w:spacing w:before="120" w:after="120" w:line="240" w:lineRule="auto"/>
              <w:jc w:val="left"/>
              <w:rPr>
                <w:noProof/>
                <w:color w:val="000000"/>
                <w:sz w:val="22"/>
                <w:szCs w:val="22"/>
                <w:lang w:val="en-GB" w:eastAsia="en-IE"/>
              </w:rPr>
            </w:pPr>
            <w:r w:rsidRPr="004B4540">
              <w:rPr>
                <w:noProof/>
                <w:color w:val="000000"/>
                <w:sz w:val="22"/>
                <w:szCs w:val="22"/>
                <w:lang w:val="en-GB" w:eastAsia="en-IE"/>
              </w:rPr>
              <w:t>Lithuania</w:t>
            </w:r>
          </w:p>
        </w:tc>
        <w:tc>
          <w:tcPr>
            <w:tcW w:w="2500" w:type="pct"/>
            <w:noWrap/>
            <w:vAlign w:val="center"/>
          </w:tcPr>
          <w:p w14:paraId="036F3DF5" w14:textId="120AB8CD" w:rsidR="003761B0" w:rsidRPr="004B4540" w:rsidRDefault="00A87692" w:rsidP="003730B9">
            <w:pPr>
              <w:pStyle w:val="Bodytext-tables"/>
              <w:keepNext/>
              <w:spacing w:before="120" w:after="120" w:line="240" w:lineRule="auto"/>
              <w:jc w:val="right"/>
              <w:rPr>
                <w:noProof/>
                <w:color w:val="000000"/>
                <w:sz w:val="22"/>
                <w:szCs w:val="22"/>
                <w:lang w:val="en-GB" w:eastAsia="en-IE"/>
              </w:rPr>
            </w:pPr>
            <w:r w:rsidRPr="004B4540">
              <w:rPr>
                <w:noProof/>
                <w:color w:val="000000"/>
                <w:sz w:val="22"/>
                <w:szCs w:val="22"/>
                <w:lang w:val="en-GB" w:eastAsia="en-IE"/>
              </w:rPr>
              <w:t>114.0</w:t>
            </w:r>
          </w:p>
        </w:tc>
      </w:tr>
      <w:tr w:rsidR="003761B0" w:rsidRPr="004B4540" w14:paraId="5277FF82" w14:textId="77777777" w:rsidTr="003730B9">
        <w:trPr>
          <w:trHeight w:val="334"/>
        </w:trPr>
        <w:tc>
          <w:tcPr>
            <w:tcW w:w="2500" w:type="pct"/>
            <w:noWrap/>
            <w:vAlign w:val="center"/>
          </w:tcPr>
          <w:p w14:paraId="25FDF511" w14:textId="7912647B" w:rsidR="003761B0" w:rsidRPr="004B4540" w:rsidRDefault="00335A13" w:rsidP="003730B9">
            <w:pPr>
              <w:pStyle w:val="Bodytext-tables"/>
              <w:keepNext/>
              <w:spacing w:before="120" w:after="120" w:line="240" w:lineRule="auto"/>
              <w:jc w:val="left"/>
              <w:rPr>
                <w:b/>
                <w:bCs/>
                <w:noProof/>
                <w:color w:val="000000"/>
                <w:sz w:val="22"/>
                <w:szCs w:val="22"/>
                <w:lang w:val="en-GB" w:eastAsia="en-IE"/>
              </w:rPr>
            </w:pPr>
            <w:r w:rsidRPr="004B4540">
              <w:rPr>
                <w:noProof/>
                <w:color w:val="000000"/>
                <w:sz w:val="22"/>
                <w:szCs w:val="22"/>
                <w:lang w:val="en-GB" w:eastAsia="en-IE"/>
              </w:rPr>
              <w:t>Latvia</w:t>
            </w:r>
          </w:p>
        </w:tc>
        <w:tc>
          <w:tcPr>
            <w:tcW w:w="2500" w:type="pct"/>
            <w:noWrap/>
            <w:vAlign w:val="center"/>
          </w:tcPr>
          <w:p w14:paraId="1AAF4F0A" w14:textId="1683410E" w:rsidR="003761B0" w:rsidRPr="004B4540" w:rsidRDefault="00F05F7D" w:rsidP="003730B9">
            <w:pPr>
              <w:pStyle w:val="Bodytext-tables"/>
              <w:keepNext/>
              <w:spacing w:before="120" w:after="120" w:line="240" w:lineRule="auto"/>
              <w:jc w:val="right"/>
              <w:rPr>
                <w:noProof/>
                <w:color w:val="000000"/>
                <w:sz w:val="22"/>
                <w:szCs w:val="22"/>
                <w:lang w:val="en-GB" w:eastAsia="en-IE"/>
              </w:rPr>
            </w:pPr>
            <w:r w:rsidRPr="004B4540">
              <w:rPr>
                <w:noProof/>
                <w:color w:val="000000"/>
                <w:sz w:val="22"/>
                <w:szCs w:val="22"/>
                <w:lang w:val="en-GB" w:eastAsia="en-IE"/>
              </w:rPr>
              <w:t>5.0</w:t>
            </w:r>
          </w:p>
        </w:tc>
      </w:tr>
      <w:tr w:rsidR="00600236" w:rsidRPr="004B4540" w14:paraId="756CCEE2" w14:textId="77777777" w:rsidTr="003730B9">
        <w:trPr>
          <w:trHeight w:val="334"/>
        </w:trPr>
        <w:tc>
          <w:tcPr>
            <w:tcW w:w="2500" w:type="pct"/>
            <w:noWrap/>
            <w:vAlign w:val="center"/>
          </w:tcPr>
          <w:p w14:paraId="60920600" w14:textId="726551BC" w:rsidR="00600236" w:rsidRPr="004B4540" w:rsidRDefault="00600236" w:rsidP="003730B9">
            <w:pPr>
              <w:pStyle w:val="Bodytext-tables"/>
              <w:keepNext/>
              <w:spacing w:before="120" w:after="120" w:line="240" w:lineRule="auto"/>
              <w:jc w:val="left"/>
              <w:rPr>
                <w:b/>
                <w:bCs/>
                <w:noProof/>
                <w:color w:val="000000"/>
                <w:sz w:val="22"/>
                <w:szCs w:val="22"/>
                <w:lang w:val="en-GB" w:eastAsia="en-IE"/>
              </w:rPr>
            </w:pPr>
            <w:r w:rsidRPr="004B4540">
              <w:rPr>
                <w:noProof/>
                <w:color w:val="000000"/>
                <w:sz w:val="22"/>
                <w:szCs w:val="22"/>
                <w:lang w:val="en-GB" w:eastAsia="en-IE"/>
              </w:rPr>
              <w:t>Poland</w:t>
            </w:r>
          </w:p>
        </w:tc>
        <w:tc>
          <w:tcPr>
            <w:tcW w:w="2500" w:type="pct"/>
            <w:noWrap/>
            <w:vAlign w:val="center"/>
          </w:tcPr>
          <w:p w14:paraId="5CFD1DCB" w14:textId="4169ABAD" w:rsidR="00600236" w:rsidRPr="004B4540" w:rsidRDefault="00600236" w:rsidP="003730B9">
            <w:pPr>
              <w:pStyle w:val="Bodytext-tables"/>
              <w:keepNext/>
              <w:spacing w:before="120" w:after="120" w:line="240" w:lineRule="auto"/>
              <w:jc w:val="right"/>
              <w:rPr>
                <w:noProof/>
                <w:color w:val="000000"/>
                <w:sz w:val="22"/>
                <w:szCs w:val="22"/>
                <w:lang w:val="en-GB" w:eastAsia="en-IE"/>
              </w:rPr>
            </w:pPr>
            <w:r w:rsidRPr="004B4540">
              <w:rPr>
                <w:noProof/>
                <w:color w:val="000000"/>
                <w:sz w:val="22"/>
                <w:szCs w:val="22"/>
                <w:lang w:val="en-GB" w:eastAsia="en-IE"/>
              </w:rPr>
              <w:t>1 036.2</w:t>
            </w:r>
          </w:p>
        </w:tc>
      </w:tr>
      <w:tr w:rsidR="00600236" w:rsidRPr="004B4540" w14:paraId="7D8B7514" w14:textId="77777777" w:rsidTr="003730B9">
        <w:trPr>
          <w:trHeight w:val="334"/>
        </w:trPr>
        <w:tc>
          <w:tcPr>
            <w:tcW w:w="2500" w:type="pct"/>
            <w:noWrap/>
            <w:vAlign w:val="center"/>
          </w:tcPr>
          <w:p w14:paraId="6A49A1A5" w14:textId="48F68B5F" w:rsidR="00600236" w:rsidRPr="004B4540" w:rsidRDefault="00600236" w:rsidP="003730B9">
            <w:pPr>
              <w:pStyle w:val="Bodytext-tables"/>
              <w:keepNext/>
              <w:spacing w:before="120" w:after="120" w:line="240" w:lineRule="auto"/>
              <w:jc w:val="left"/>
              <w:rPr>
                <w:b/>
                <w:bCs/>
                <w:noProof/>
                <w:color w:val="000000"/>
                <w:sz w:val="22"/>
                <w:szCs w:val="22"/>
                <w:lang w:val="en-GB" w:eastAsia="en-IE"/>
              </w:rPr>
            </w:pPr>
            <w:r w:rsidRPr="004B4540">
              <w:rPr>
                <w:noProof/>
                <w:color w:val="000000"/>
                <w:sz w:val="22"/>
                <w:szCs w:val="22"/>
                <w:lang w:val="en-GB" w:eastAsia="en-IE"/>
              </w:rPr>
              <w:t>Romania</w:t>
            </w:r>
          </w:p>
        </w:tc>
        <w:tc>
          <w:tcPr>
            <w:tcW w:w="2500" w:type="pct"/>
            <w:noWrap/>
            <w:vAlign w:val="center"/>
          </w:tcPr>
          <w:p w14:paraId="25CB265D" w14:textId="0DEBD19C" w:rsidR="00600236" w:rsidRPr="004B4540" w:rsidRDefault="00600236" w:rsidP="003730B9">
            <w:pPr>
              <w:pStyle w:val="Bodytext-tables"/>
              <w:keepNext/>
              <w:spacing w:before="120" w:after="120" w:line="240" w:lineRule="auto"/>
              <w:jc w:val="right"/>
              <w:rPr>
                <w:noProof/>
                <w:color w:val="000000"/>
                <w:sz w:val="22"/>
                <w:szCs w:val="22"/>
                <w:lang w:val="en-GB" w:eastAsia="en-IE"/>
              </w:rPr>
            </w:pPr>
            <w:r w:rsidRPr="004B4540">
              <w:rPr>
                <w:noProof/>
                <w:color w:val="000000"/>
                <w:sz w:val="22"/>
                <w:szCs w:val="22"/>
                <w:lang w:val="en-GB" w:eastAsia="en-IE"/>
              </w:rPr>
              <w:t>2 558.2</w:t>
            </w:r>
          </w:p>
        </w:tc>
      </w:tr>
      <w:tr w:rsidR="003761B0" w:rsidRPr="004B4540" w14:paraId="60D2A41E" w14:textId="77777777" w:rsidTr="003730B9">
        <w:trPr>
          <w:trHeight w:val="334"/>
        </w:trPr>
        <w:tc>
          <w:tcPr>
            <w:tcW w:w="2500" w:type="pct"/>
            <w:noWrap/>
            <w:vAlign w:val="center"/>
          </w:tcPr>
          <w:p w14:paraId="6A17826A" w14:textId="3F87B06E" w:rsidR="003761B0" w:rsidRPr="004B4540" w:rsidRDefault="00335A13" w:rsidP="003730B9">
            <w:pPr>
              <w:pStyle w:val="Bodytext-tables"/>
              <w:keepNext/>
              <w:spacing w:before="120" w:after="120" w:line="240" w:lineRule="auto"/>
              <w:jc w:val="left"/>
              <w:rPr>
                <w:b/>
                <w:bCs/>
                <w:noProof/>
                <w:color w:val="000000"/>
                <w:sz w:val="22"/>
                <w:szCs w:val="22"/>
                <w:lang w:val="en-GB" w:eastAsia="en-IE"/>
              </w:rPr>
            </w:pPr>
            <w:r w:rsidRPr="004B4540">
              <w:rPr>
                <w:noProof/>
                <w:color w:val="000000"/>
                <w:sz w:val="22"/>
                <w:szCs w:val="22"/>
                <w:lang w:val="en-GB" w:eastAsia="en-IE"/>
              </w:rPr>
              <w:t>Slovakia</w:t>
            </w:r>
          </w:p>
        </w:tc>
        <w:tc>
          <w:tcPr>
            <w:tcW w:w="2500" w:type="pct"/>
            <w:noWrap/>
            <w:vAlign w:val="center"/>
          </w:tcPr>
          <w:p w14:paraId="22F309FB" w14:textId="403B77F5" w:rsidR="003761B0" w:rsidRPr="004B4540" w:rsidRDefault="00F05F7D" w:rsidP="003730B9">
            <w:pPr>
              <w:pStyle w:val="Bodytext-tables"/>
              <w:keepNext/>
              <w:spacing w:before="120" w:after="120" w:line="240" w:lineRule="auto"/>
              <w:jc w:val="right"/>
              <w:rPr>
                <w:noProof/>
                <w:color w:val="000000"/>
                <w:sz w:val="22"/>
                <w:szCs w:val="22"/>
                <w:lang w:val="en-GB" w:eastAsia="en-IE"/>
              </w:rPr>
            </w:pPr>
            <w:r w:rsidRPr="004B4540">
              <w:rPr>
                <w:noProof/>
                <w:color w:val="000000"/>
                <w:sz w:val="22"/>
                <w:szCs w:val="22"/>
                <w:lang w:val="en-GB" w:eastAsia="en-IE"/>
              </w:rPr>
              <w:t>519.5</w:t>
            </w:r>
          </w:p>
        </w:tc>
      </w:tr>
      <w:tr w:rsidR="006A5A24" w:rsidRPr="004B4540" w14:paraId="25F5B7AC" w14:textId="77777777" w:rsidTr="003730B9">
        <w:trPr>
          <w:trHeight w:val="334"/>
        </w:trPr>
        <w:tc>
          <w:tcPr>
            <w:tcW w:w="2500" w:type="pct"/>
            <w:noWrap/>
            <w:vAlign w:val="center"/>
          </w:tcPr>
          <w:p w14:paraId="7C646EF1" w14:textId="18DA4F3D" w:rsidR="006A5A24" w:rsidRPr="004B4540" w:rsidRDefault="006A5A24" w:rsidP="003730B9">
            <w:pPr>
              <w:pStyle w:val="Bodytext-tables"/>
              <w:keepNext/>
              <w:spacing w:before="120" w:after="120" w:line="240" w:lineRule="auto"/>
              <w:jc w:val="left"/>
              <w:rPr>
                <w:noProof/>
                <w:color w:val="000000"/>
                <w:sz w:val="22"/>
                <w:szCs w:val="22"/>
                <w:lang w:val="en-GB" w:eastAsia="en-IE"/>
              </w:rPr>
            </w:pPr>
            <w:r w:rsidRPr="004B4540">
              <w:rPr>
                <w:noProof/>
                <w:color w:val="000000"/>
                <w:sz w:val="22"/>
                <w:szCs w:val="22"/>
                <w:lang w:val="en-GB" w:eastAsia="en-IE"/>
              </w:rPr>
              <w:t>TOTAL</w:t>
            </w:r>
          </w:p>
        </w:tc>
        <w:tc>
          <w:tcPr>
            <w:tcW w:w="2500" w:type="pct"/>
            <w:noWrap/>
            <w:vAlign w:val="center"/>
          </w:tcPr>
          <w:p w14:paraId="340103A6" w14:textId="2AD50545" w:rsidR="006A5A24" w:rsidRPr="004B4540" w:rsidRDefault="006A5A24" w:rsidP="003730B9">
            <w:pPr>
              <w:pStyle w:val="Bodytext-tables"/>
              <w:keepNext/>
              <w:spacing w:before="120" w:after="120" w:line="240" w:lineRule="auto"/>
              <w:jc w:val="right"/>
              <w:rPr>
                <w:b/>
                <w:noProof/>
                <w:color w:val="000000"/>
                <w:sz w:val="22"/>
                <w:szCs w:val="22"/>
                <w:lang w:val="en-GB" w:eastAsia="en-IE"/>
              </w:rPr>
            </w:pPr>
            <w:r w:rsidRPr="004B4540">
              <w:rPr>
                <w:b/>
                <w:noProof/>
                <w:color w:val="000000"/>
                <w:sz w:val="22"/>
                <w:szCs w:val="22"/>
                <w:lang w:val="en-GB" w:eastAsia="en-IE"/>
              </w:rPr>
              <w:t>7 512.2</w:t>
            </w:r>
          </w:p>
        </w:tc>
      </w:tr>
    </w:tbl>
    <w:p w14:paraId="29D9600B" w14:textId="04F32C80" w:rsidR="00286BA6" w:rsidRPr="004B4540" w:rsidRDefault="0078012A" w:rsidP="00BA4E2D">
      <w:pPr>
        <w:pStyle w:val="CMR23-text"/>
        <w:rPr>
          <w:rFonts w:cs="Times New Roman"/>
          <w:noProof/>
          <w:szCs w:val="24"/>
        </w:rPr>
      </w:pPr>
      <w:r w:rsidRPr="004B4540">
        <w:rPr>
          <w:rFonts w:cs="Times New Roman"/>
          <w:noProof/>
          <w:szCs w:val="24"/>
        </w:rPr>
        <w:t xml:space="preserve">The revision of the ETS Directive brings important changes to the Modernisation Fund’s size and governance. The size of the Fund is increased with 110 million allowances added to the original 640 million. This top-up is shared between 13 beneficiary Member States – the 10 original beneficiaries plus Greece, Portugal and Slovenia. </w:t>
      </w:r>
      <w:r w:rsidR="00854D64" w:rsidRPr="004B4540">
        <w:rPr>
          <w:rFonts w:cs="Times New Roman"/>
          <w:noProof/>
          <w:szCs w:val="24"/>
        </w:rPr>
        <w:t>Even</w:t>
      </w:r>
      <w:r w:rsidR="006E23F4" w:rsidRPr="004B4540">
        <w:rPr>
          <w:rFonts w:cs="Times New Roman"/>
          <w:noProof/>
          <w:szCs w:val="24"/>
        </w:rPr>
        <w:t xml:space="preserve"> </w:t>
      </w:r>
      <w:r w:rsidR="00854D64" w:rsidRPr="004B4540">
        <w:rPr>
          <w:rFonts w:cs="Times New Roman"/>
          <w:noProof/>
          <w:szCs w:val="24"/>
        </w:rPr>
        <w:t xml:space="preserve">more </w:t>
      </w:r>
      <w:r w:rsidR="000E5AF4" w:rsidRPr="004B4540">
        <w:rPr>
          <w:rFonts w:cs="Times New Roman"/>
          <w:noProof/>
          <w:szCs w:val="24"/>
        </w:rPr>
        <w:t xml:space="preserve">ETS </w:t>
      </w:r>
      <w:r w:rsidR="00854D64" w:rsidRPr="004B4540">
        <w:rPr>
          <w:rFonts w:cs="Times New Roman"/>
          <w:noProof/>
          <w:szCs w:val="24"/>
        </w:rPr>
        <w:t>resources under the Fund are allocated to priority resources</w:t>
      </w:r>
      <w:r w:rsidR="000E5AF4" w:rsidRPr="004B4540">
        <w:rPr>
          <w:rFonts w:cs="Times New Roman"/>
          <w:noProof/>
          <w:szCs w:val="24"/>
        </w:rPr>
        <w:t>,</w:t>
      </w:r>
      <w:r w:rsidR="00854D64" w:rsidRPr="004B4540">
        <w:rPr>
          <w:rFonts w:cs="Times New Roman"/>
          <w:noProof/>
          <w:szCs w:val="24"/>
        </w:rPr>
        <w:t xml:space="preserve"> while the list of priorities is broadened</w:t>
      </w:r>
      <w:r w:rsidR="00900B7D" w:rsidRPr="004B4540">
        <w:rPr>
          <w:rFonts w:cs="Times New Roman"/>
          <w:noProof/>
          <w:szCs w:val="24"/>
        </w:rPr>
        <w:t>.</w:t>
      </w:r>
      <w:r w:rsidR="00ED5571" w:rsidRPr="004B4540">
        <w:rPr>
          <w:rFonts w:cs="Times New Roman"/>
          <w:noProof/>
          <w:szCs w:val="24"/>
        </w:rPr>
        <w:t xml:space="preserve"> </w:t>
      </w:r>
      <w:r w:rsidR="00A60365" w:rsidRPr="004B4540">
        <w:rPr>
          <w:rFonts w:cs="Times New Roman"/>
          <w:noProof/>
          <w:szCs w:val="24"/>
        </w:rPr>
        <w:t>In view of the revision,</w:t>
      </w:r>
      <w:r w:rsidR="00A60365" w:rsidRPr="004B4540" w:rsidDel="00356F91">
        <w:rPr>
          <w:rFonts w:cs="Times New Roman"/>
          <w:noProof/>
          <w:szCs w:val="24"/>
        </w:rPr>
        <w:t xml:space="preserve"> </w:t>
      </w:r>
      <w:r w:rsidR="00A60365" w:rsidRPr="004B4540">
        <w:rPr>
          <w:rFonts w:cs="Times New Roman"/>
          <w:noProof/>
          <w:szCs w:val="24"/>
        </w:rPr>
        <w:t>t</w:t>
      </w:r>
      <w:r w:rsidR="003A2B00" w:rsidRPr="004B4540">
        <w:rPr>
          <w:rFonts w:cs="Times New Roman"/>
          <w:noProof/>
          <w:szCs w:val="24"/>
        </w:rPr>
        <w:t>he Mod</w:t>
      </w:r>
      <w:r w:rsidR="00F032ED" w:rsidRPr="004B4540">
        <w:rPr>
          <w:rFonts w:cs="Times New Roman"/>
          <w:noProof/>
          <w:szCs w:val="24"/>
        </w:rPr>
        <w:t xml:space="preserve">ernisation Fund </w:t>
      </w:r>
      <w:r w:rsidR="00DB0659" w:rsidRPr="004B4540">
        <w:rPr>
          <w:rFonts w:cs="Times New Roman"/>
          <w:noProof/>
          <w:szCs w:val="24"/>
        </w:rPr>
        <w:t>Regulation 2020/1001</w:t>
      </w:r>
      <w:r w:rsidR="002B7C0C" w:rsidRPr="004B4540">
        <w:rPr>
          <w:rStyle w:val="FootnoteReference"/>
          <w:rFonts w:cs="Times New Roman"/>
          <w:noProof/>
          <w:szCs w:val="24"/>
        </w:rPr>
        <w:footnoteReference w:id="70"/>
      </w:r>
      <w:r w:rsidR="00DB0659" w:rsidRPr="004B4540">
        <w:rPr>
          <w:rFonts w:cs="Times New Roman"/>
          <w:noProof/>
          <w:szCs w:val="24"/>
        </w:rPr>
        <w:t xml:space="preserve"> </w:t>
      </w:r>
      <w:r w:rsidR="00423089" w:rsidRPr="004B4540">
        <w:rPr>
          <w:rFonts w:cs="Times New Roman"/>
          <w:noProof/>
          <w:szCs w:val="24"/>
        </w:rPr>
        <w:t>is being amended</w:t>
      </w:r>
      <w:r w:rsidR="006A0BFC" w:rsidRPr="004B4540">
        <w:rPr>
          <w:rFonts w:cs="Times New Roman"/>
          <w:noProof/>
          <w:szCs w:val="24"/>
        </w:rPr>
        <w:t>.</w:t>
      </w:r>
      <w:r w:rsidR="00132BCA" w:rsidRPr="004B4540">
        <w:rPr>
          <w:rFonts w:cs="Times New Roman"/>
          <w:noProof/>
          <w:szCs w:val="24"/>
        </w:rPr>
        <w:t xml:space="preserve"> </w:t>
      </w:r>
      <w:r w:rsidR="001F675E" w:rsidRPr="004B4540">
        <w:rPr>
          <w:rFonts w:cs="Times New Roman"/>
          <w:noProof/>
          <w:szCs w:val="24"/>
        </w:rPr>
        <w:t>It is scheduled for</w:t>
      </w:r>
      <w:r w:rsidR="009A60B5" w:rsidRPr="004B4540">
        <w:rPr>
          <w:rFonts w:cs="Times New Roman"/>
          <w:noProof/>
          <w:szCs w:val="24"/>
        </w:rPr>
        <w:t xml:space="preserve"> adoption </w:t>
      </w:r>
      <w:r w:rsidR="001F675E" w:rsidRPr="004B4540">
        <w:rPr>
          <w:rFonts w:cs="Times New Roman"/>
          <w:noProof/>
          <w:szCs w:val="24"/>
        </w:rPr>
        <w:t>in</w:t>
      </w:r>
      <w:r w:rsidR="009A60B5" w:rsidRPr="004B4540">
        <w:rPr>
          <w:rFonts w:cs="Times New Roman"/>
          <w:noProof/>
          <w:szCs w:val="24"/>
        </w:rPr>
        <w:t xml:space="preserve"> </w:t>
      </w:r>
      <w:r w:rsidR="006F1A6D" w:rsidRPr="004B4540">
        <w:rPr>
          <w:rFonts w:cs="Times New Roman"/>
          <w:noProof/>
          <w:szCs w:val="24"/>
        </w:rPr>
        <w:t xml:space="preserve">Q4 2023. </w:t>
      </w:r>
      <w:r w:rsidR="00DB0659" w:rsidRPr="004B4540">
        <w:rPr>
          <w:rFonts w:cs="Times New Roman"/>
          <w:noProof/>
          <w:szCs w:val="24"/>
        </w:rPr>
        <w:t xml:space="preserve">The </w:t>
      </w:r>
      <w:r w:rsidR="009A60B5" w:rsidRPr="004B4540">
        <w:rPr>
          <w:rFonts w:cs="Times New Roman"/>
          <w:noProof/>
          <w:szCs w:val="24"/>
        </w:rPr>
        <w:t>amended Regulation would</w:t>
      </w:r>
      <w:r w:rsidR="00DB0659" w:rsidRPr="004B4540">
        <w:rPr>
          <w:rFonts w:cs="Times New Roman"/>
          <w:noProof/>
          <w:szCs w:val="24"/>
        </w:rPr>
        <w:t xml:space="preserve"> enter into application on 1 January 2024, for the new rules to apply </w:t>
      </w:r>
      <w:r w:rsidR="006F1A6D" w:rsidRPr="004B4540">
        <w:rPr>
          <w:rFonts w:cs="Times New Roman"/>
          <w:noProof/>
          <w:szCs w:val="24"/>
        </w:rPr>
        <w:t>already in</w:t>
      </w:r>
      <w:r w:rsidR="00DB0659" w:rsidRPr="004B4540">
        <w:rPr>
          <w:rFonts w:cs="Times New Roman"/>
          <w:noProof/>
          <w:szCs w:val="24"/>
        </w:rPr>
        <w:t xml:space="preserve"> the first disbursement cycle</w:t>
      </w:r>
      <w:r w:rsidR="006F1A6D" w:rsidRPr="004B4540">
        <w:rPr>
          <w:rFonts w:cs="Times New Roman"/>
          <w:noProof/>
          <w:szCs w:val="24"/>
        </w:rPr>
        <w:t xml:space="preserve"> that year</w:t>
      </w:r>
      <w:r w:rsidR="00DB0659" w:rsidRPr="004B4540">
        <w:rPr>
          <w:rFonts w:cs="Times New Roman"/>
          <w:noProof/>
          <w:szCs w:val="24"/>
        </w:rPr>
        <w:t>.</w:t>
      </w:r>
    </w:p>
    <w:p w14:paraId="561C6CDE" w14:textId="0284FA5F" w:rsidR="00207543" w:rsidRPr="004B4540" w:rsidRDefault="00207543" w:rsidP="00F84ECB">
      <w:pPr>
        <w:pStyle w:val="CMR23-heading"/>
        <w:rPr>
          <w:rFonts w:cs="Times New Roman"/>
          <w:noProof/>
          <w:sz w:val="24"/>
          <w:szCs w:val="24"/>
          <w:lang w:val="en-GB"/>
        </w:rPr>
      </w:pPr>
      <w:bookmarkStart w:id="61" w:name="_Toc148555891"/>
      <w:bookmarkStart w:id="62" w:name="_Toc145453240"/>
      <w:r w:rsidRPr="004B4540">
        <w:rPr>
          <w:rFonts w:cs="Times New Roman"/>
          <w:noProof/>
          <w:sz w:val="24"/>
          <w:szCs w:val="24"/>
          <w:lang w:val="en-GB"/>
        </w:rPr>
        <w:t>Emission reductions</w:t>
      </w:r>
      <w:r w:rsidR="00120A96" w:rsidRPr="004B4540">
        <w:rPr>
          <w:rFonts w:cs="Times New Roman"/>
          <w:noProof/>
          <w:sz w:val="24"/>
          <w:szCs w:val="24"/>
          <w:lang w:val="en-GB"/>
        </w:rPr>
        <w:t xml:space="preserve"> in the EU ETS</w:t>
      </w:r>
      <w:bookmarkEnd w:id="61"/>
      <w:r w:rsidRPr="004B4540">
        <w:rPr>
          <w:rFonts w:cs="Times New Roman"/>
          <w:noProof/>
          <w:sz w:val="24"/>
          <w:szCs w:val="24"/>
          <w:lang w:val="en-GB"/>
        </w:rPr>
        <w:t xml:space="preserve"> </w:t>
      </w:r>
      <w:bookmarkEnd w:id="62"/>
    </w:p>
    <w:p w14:paraId="633D8231" w14:textId="52D165C4" w:rsidR="00933D25" w:rsidRPr="004B4540" w:rsidRDefault="00982313" w:rsidP="00933D25">
      <w:pPr>
        <w:pStyle w:val="CMR23-text"/>
        <w:rPr>
          <w:rFonts w:cs="Times New Roman"/>
          <w:noProof/>
          <w:szCs w:val="24"/>
        </w:rPr>
      </w:pPr>
      <w:r w:rsidRPr="004B4540">
        <w:rPr>
          <w:rFonts w:cs="Times New Roman"/>
          <w:noProof/>
        </w:rPr>
        <w:t>In 2022, overall emissions in the EU ETS amounted to 1 362.1 million tonnes CO</w:t>
      </w:r>
      <w:r w:rsidRPr="004B4540">
        <w:rPr>
          <w:rFonts w:cs="Times New Roman"/>
          <w:noProof/>
          <w:vertAlign w:val="subscript"/>
        </w:rPr>
        <w:t>2</w:t>
      </w:r>
      <w:r w:rsidRPr="004B4540">
        <w:rPr>
          <w:rFonts w:cs="Times New Roman"/>
          <w:noProof/>
        </w:rPr>
        <w:t>eq (down from 1 364.9 million tonnes CO</w:t>
      </w:r>
      <w:r w:rsidRPr="004B4540">
        <w:rPr>
          <w:rFonts w:cs="Times New Roman"/>
          <w:noProof/>
          <w:vertAlign w:val="subscript"/>
        </w:rPr>
        <w:t>2</w:t>
      </w:r>
      <w:r w:rsidRPr="004B4540">
        <w:rPr>
          <w:rFonts w:cs="Times New Roman"/>
          <w:noProof/>
        </w:rPr>
        <w:t>eq in 2021). Emissions from installations accounted for 1 313 million tonnes CO</w:t>
      </w:r>
      <w:r w:rsidRPr="004B4540">
        <w:rPr>
          <w:rFonts w:cs="Times New Roman"/>
          <w:noProof/>
          <w:vertAlign w:val="subscript"/>
        </w:rPr>
        <w:t>2</w:t>
      </w:r>
      <w:r w:rsidRPr="004B4540">
        <w:rPr>
          <w:rFonts w:cs="Times New Roman"/>
          <w:noProof/>
        </w:rPr>
        <w:t xml:space="preserve">eq, 1.8% less than in 2021. </w:t>
      </w:r>
      <w:r w:rsidRPr="004B4540">
        <w:rPr>
          <w:rFonts w:cs="Times New Roman"/>
          <w:noProof/>
          <w:szCs w:val="24"/>
        </w:rPr>
        <w:t xml:space="preserve">Emission reductions were driven mainly by industry installations (−6.5% in 2022). </w:t>
      </w:r>
      <w:r w:rsidR="00E9494A" w:rsidRPr="004B4540">
        <w:rPr>
          <w:rFonts w:cs="Times New Roman"/>
          <w:noProof/>
          <w:szCs w:val="24"/>
        </w:rPr>
        <w:t>Emissions from electricity and heat generation</w:t>
      </w:r>
      <w:r w:rsidR="00C3561A" w:rsidRPr="004B4540">
        <w:rPr>
          <w:rFonts w:cs="Times New Roman"/>
          <w:noProof/>
          <w:szCs w:val="24"/>
        </w:rPr>
        <w:t xml:space="preserve"> </w:t>
      </w:r>
      <w:r w:rsidR="00E9494A" w:rsidRPr="004B4540">
        <w:rPr>
          <w:rFonts w:cs="Times New Roman"/>
          <w:noProof/>
          <w:szCs w:val="24"/>
        </w:rPr>
        <w:t>increased for the second year in a row (+2</w:t>
      </w:r>
      <w:r w:rsidR="00922CF2" w:rsidRPr="004B4540">
        <w:rPr>
          <w:rFonts w:cs="Times New Roman"/>
          <w:noProof/>
          <w:szCs w:val="24"/>
        </w:rPr>
        <w:t>.</w:t>
      </w:r>
      <w:r w:rsidR="00E9494A" w:rsidRPr="004B4540">
        <w:rPr>
          <w:rFonts w:cs="Times New Roman"/>
          <w:noProof/>
          <w:szCs w:val="24"/>
        </w:rPr>
        <w:t>4% in 2022)</w:t>
      </w:r>
      <w:r w:rsidR="00C3561A" w:rsidRPr="004B4540">
        <w:rPr>
          <w:rFonts w:cs="Times New Roman"/>
          <w:noProof/>
          <w:szCs w:val="24"/>
        </w:rPr>
        <w:t>.</w:t>
      </w:r>
      <w:r w:rsidR="00E33530" w:rsidRPr="004B4540">
        <w:rPr>
          <w:rFonts w:cs="Times New Roman"/>
          <w:noProof/>
          <w:szCs w:val="24"/>
        </w:rPr>
        <w:t xml:space="preserve"> </w:t>
      </w:r>
      <w:r w:rsidR="00933D25" w:rsidRPr="004B4540">
        <w:rPr>
          <w:rFonts w:cs="Times New Roman"/>
          <w:noProof/>
          <w:szCs w:val="24"/>
        </w:rPr>
        <w:t>This was mainly due to the energy crisis in Europe and the subsequent higher use of fossil fuels in electricity generation.</w:t>
      </w:r>
    </w:p>
    <w:p w14:paraId="624480E6" w14:textId="02B6A2DB" w:rsidR="00E9494A" w:rsidRPr="004B4540" w:rsidRDefault="00E25B98" w:rsidP="00F506AD">
      <w:pPr>
        <w:pStyle w:val="CMR23-text"/>
        <w:rPr>
          <w:rFonts w:cs="Times New Roman"/>
          <w:noProof/>
          <w:szCs w:val="24"/>
        </w:rPr>
      </w:pPr>
      <w:r w:rsidRPr="004B4540">
        <w:rPr>
          <w:rFonts w:cs="Times New Roman"/>
          <w:noProof/>
          <w:szCs w:val="24"/>
        </w:rPr>
        <w:t>Emissions from industrial installations fell by 6.5% in 2022 compared to 2021. Significant decreases could be observed in the production of cement clinker, pig iron or steel, bulk chemicals, lime and the calcination of dolomite/magnesite and ammonia. An increase in emissions could be seen in the mineral oil refining sector</w:t>
      </w:r>
      <w:r w:rsidRPr="004B4540">
        <w:rPr>
          <w:rFonts w:cs="Times New Roman"/>
          <w:noProof/>
          <w:spacing w:val="-2"/>
          <w:szCs w:val="24"/>
        </w:rPr>
        <w:t xml:space="preserve">. </w:t>
      </w:r>
      <w:r w:rsidR="00BC0039" w:rsidRPr="004B4540">
        <w:rPr>
          <w:rFonts w:cs="Times New Roman"/>
          <w:noProof/>
          <w:szCs w:val="24"/>
        </w:rPr>
        <w:fldChar w:fldCharType="begin"/>
      </w:r>
      <w:r w:rsidR="00BC0039" w:rsidRPr="004B4540">
        <w:rPr>
          <w:rFonts w:cs="Times New Roman"/>
          <w:noProof/>
          <w:spacing w:val="-2"/>
          <w:szCs w:val="24"/>
        </w:rPr>
        <w:instrText xml:space="preserve"> REF _Ref145493380 \h </w:instrText>
      </w:r>
      <w:r w:rsidR="004B4540">
        <w:rPr>
          <w:rFonts w:cs="Times New Roman"/>
          <w:noProof/>
          <w:szCs w:val="24"/>
        </w:rPr>
        <w:instrText xml:space="preserve"> \* MERGEFORMAT </w:instrText>
      </w:r>
      <w:r w:rsidR="00BC0039" w:rsidRPr="004B4540">
        <w:rPr>
          <w:rFonts w:cs="Times New Roman"/>
          <w:noProof/>
          <w:szCs w:val="24"/>
        </w:rPr>
      </w:r>
      <w:r w:rsidR="00BC0039" w:rsidRPr="004B4540">
        <w:rPr>
          <w:rFonts w:cs="Times New Roman"/>
          <w:noProof/>
          <w:szCs w:val="24"/>
        </w:rPr>
        <w:fldChar w:fldCharType="separate"/>
      </w:r>
      <w:r w:rsidR="00B83BFA" w:rsidRPr="00B83BFA">
        <w:rPr>
          <w:rFonts w:cs="Times New Roman"/>
          <w:noProof/>
        </w:rPr>
        <w:t xml:space="preserve">Table </w:t>
      </w:r>
      <w:r w:rsidR="00B83BFA">
        <w:rPr>
          <w:noProof/>
        </w:rPr>
        <w:t>6</w:t>
      </w:r>
      <w:r w:rsidR="00BC0039" w:rsidRPr="004B4540">
        <w:rPr>
          <w:rFonts w:cs="Times New Roman"/>
          <w:noProof/>
          <w:szCs w:val="24"/>
        </w:rPr>
        <w:fldChar w:fldCharType="end"/>
      </w:r>
      <w:r w:rsidR="008C6674" w:rsidRPr="004B4540">
        <w:rPr>
          <w:rFonts w:cs="Times New Roman"/>
          <w:noProof/>
          <w:szCs w:val="24"/>
        </w:rPr>
        <w:t xml:space="preserve">6 </w:t>
      </w:r>
      <w:r w:rsidR="007C3FA2" w:rsidRPr="004B4540">
        <w:rPr>
          <w:rFonts w:cs="Times New Roman"/>
          <w:noProof/>
          <w:szCs w:val="24"/>
        </w:rPr>
        <w:t>shows the</w:t>
      </w:r>
      <w:r w:rsidR="007C3FA2" w:rsidRPr="004B4540">
        <w:rPr>
          <w:rFonts w:cs="Times New Roman"/>
          <w:noProof/>
          <w:spacing w:val="-2"/>
          <w:szCs w:val="24"/>
        </w:rPr>
        <w:t xml:space="preserve"> </w:t>
      </w:r>
      <w:r w:rsidR="007C3FA2" w:rsidRPr="004B4540">
        <w:rPr>
          <w:rFonts w:cs="Times New Roman"/>
          <w:noProof/>
          <w:szCs w:val="24"/>
        </w:rPr>
        <w:t>trend</w:t>
      </w:r>
      <w:r w:rsidR="00E9494A" w:rsidRPr="004B4540">
        <w:rPr>
          <w:rFonts w:cs="Times New Roman"/>
          <w:noProof/>
          <w:spacing w:val="-1"/>
          <w:szCs w:val="24"/>
        </w:rPr>
        <w:t xml:space="preserve"> </w:t>
      </w:r>
      <w:r w:rsidR="00E9494A" w:rsidRPr="004B4540">
        <w:rPr>
          <w:rFonts w:cs="Times New Roman"/>
          <w:noProof/>
          <w:szCs w:val="24"/>
        </w:rPr>
        <w:t>in</w:t>
      </w:r>
      <w:r w:rsidR="00E9494A" w:rsidRPr="004B4540">
        <w:rPr>
          <w:rFonts w:cs="Times New Roman"/>
          <w:noProof/>
          <w:spacing w:val="-1"/>
          <w:szCs w:val="24"/>
        </w:rPr>
        <w:t xml:space="preserve"> </w:t>
      </w:r>
      <w:r w:rsidR="00E9494A" w:rsidRPr="004B4540">
        <w:rPr>
          <w:rFonts w:cs="Times New Roman"/>
          <w:noProof/>
          <w:szCs w:val="24"/>
        </w:rPr>
        <w:t>ETS</w:t>
      </w:r>
      <w:r w:rsidR="00E9494A" w:rsidRPr="004B4540">
        <w:rPr>
          <w:rFonts w:cs="Times New Roman"/>
          <w:noProof/>
          <w:spacing w:val="-2"/>
          <w:szCs w:val="24"/>
        </w:rPr>
        <w:t xml:space="preserve"> </w:t>
      </w:r>
      <w:r w:rsidR="00E9494A" w:rsidRPr="004B4540">
        <w:rPr>
          <w:rFonts w:cs="Times New Roman"/>
          <w:noProof/>
          <w:szCs w:val="24"/>
        </w:rPr>
        <w:t>emissions</w:t>
      </w:r>
      <w:r w:rsidR="00E9494A" w:rsidRPr="004B4540">
        <w:rPr>
          <w:rFonts w:cs="Times New Roman"/>
          <w:noProof/>
          <w:spacing w:val="-2"/>
          <w:szCs w:val="24"/>
        </w:rPr>
        <w:t xml:space="preserve"> </w:t>
      </w:r>
      <w:r w:rsidR="00E9494A" w:rsidRPr="004B4540">
        <w:rPr>
          <w:rFonts w:cs="Times New Roman"/>
          <w:noProof/>
          <w:szCs w:val="24"/>
        </w:rPr>
        <w:t>from</w:t>
      </w:r>
      <w:r w:rsidR="00E9494A" w:rsidRPr="004B4540">
        <w:rPr>
          <w:rFonts w:cs="Times New Roman"/>
          <w:noProof/>
          <w:spacing w:val="-2"/>
          <w:szCs w:val="24"/>
        </w:rPr>
        <w:t xml:space="preserve"> </w:t>
      </w:r>
      <w:r w:rsidR="00E9494A" w:rsidRPr="004B4540">
        <w:rPr>
          <w:rFonts w:cs="Times New Roman"/>
          <w:noProof/>
          <w:szCs w:val="24"/>
        </w:rPr>
        <w:t>installations</w:t>
      </w:r>
      <w:r w:rsidR="00E9494A" w:rsidRPr="004B4540">
        <w:rPr>
          <w:rFonts w:cs="Times New Roman"/>
          <w:noProof/>
          <w:spacing w:val="1"/>
          <w:szCs w:val="24"/>
        </w:rPr>
        <w:t xml:space="preserve"> </w:t>
      </w:r>
      <w:r w:rsidR="007F7392" w:rsidRPr="004B4540">
        <w:rPr>
          <w:rFonts w:cs="Times New Roman"/>
          <w:noProof/>
          <w:szCs w:val="24"/>
        </w:rPr>
        <w:t>in recent years</w:t>
      </w:r>
      <w:r w:rsidR="00E9494A" w:rsidRPr="004B4540">
        <w:rPr>
          <w:rFonts w:cs="Times New Roman"/>
          <w:noProof/>
          <w:spacing w:val="-2"/>
          <w:szCs w:val="24"/>
        </w:rPr>
        <w:t>.</w:t>
      </w:r>
    </w:p>
    <w:p w14:paraId="0F070DDE" w14:textId="1A094D86" w:rsidR="00405B6F" w:rsidRPr="004B4540" w:rsidRDefault="00405B6F" w:rsidP="003D6E95">
      <w:pPr>
        <w:pStyle w:val="Caption"/>
        <w:keepNext/>
        <w:rPr>
          <w:noProof/>
        </w:rPr>
      </w:pPr>
      <w:bookmarkStart w:id="63" w:name="_bookmark20"/>
      <w:bookmarkStart w:id="64" w:name="_Ref145493380"/>
      <w:bookmarkEnd w:id="63"/>
      <w:r w:rsidRPr="004B4540">
        <w:rPr>
          <w:noProof/>
        </w:rPr>
        <w:t xml:space="preserve">Table </w:t>
      </w:r>
      <w:r w:rsidRPr="004B4540">
        <w:rPr>
          <w:noProof/>
        </w:rPr>
        <w:fldChar w:fldCharType="begin"/>
      </w:r>
      <w:r w:rsidRPr="004B4540">
        <w:rPr>
          <w:noProof/>
        </w:rPr>
        <w:instrText>SEQ Table \* ARABIC</w:instrText>
      </w:r>
      <w:r w:rsidRPr="004B4540">
        <w:rPr>
          <w:noProof/>
        </w:rPr>
        <w:fldChar w:fldCharType="separate"/>
      </w:r>
      <w:r w:rsidR="00B83BFA">
        <w:rPr>
          <w:noProof/>
        </w:rPr>
        <w:t>6</w:t>
      </w:r>
      <w:r w:rsidRPr="004B4540">
        <w:rPr>
          <w:noProof/>
        </w:rPr>
        <w:fldChar w:fldCharType="end"/>
      </w:r>
      <w:bookmarkEnd w:id="64"/>
      <w:r w:rsidRPr="004B4540">
        <w:rPr>
          <w:noProof/>
        </w:rPr>
        <w:t>. Verified emissions from installations in the EU ETS [million tonnes].</w:t>
      </w:r>
    </w:p>
    <w:tbl>
      <w:tblPr>
        <w:tblStyle w:val="TableGridLight"/>
        <w:tblW w:w="5000" w:type="pct"/>
        <w:tblLook w:val="04A0" w:firstRow="1" w:lastRow="0" w:firstColumn="1" w:lastColumn="0" w:noHBand="0" w:noVBand="1"/>
      </w:tblPr>
      <w:tblGrid>
        <w:gridCol w:w="1924"/>
        <w:gridCol w:w="1096"/>
        <w:gridCol w:w="2490"/>
        <w:gridCol w:w="2449"/>
        <w:gridCol w:w="1057"/>
      </w:tblGrid>
      <w:tr w:rsidR="00D070B3" w:rsidRPr="004B4540" w14:paraId="27D8E344" w14:textId="77777777" w:rsidTr="000928C6">
        <w:trPr>
          <w:trHeight w:val="330"/>
        </w:trPr>
        <w:tc>
          <w:tcPr>
            <w:tcW w:w="1067" w:type="pct"/>
            <w:vAlign w:val="center"/>
            <w:hideMark/>
          </w:tcPr>
          <w:p w14:paraId="658D0E15" w14:textId="3E876552" w:rsidR="00D070B3" w:rsidRPr="003730B9" w:rsidRDefault="00D070B3" w:rsidP="000928C6">
            <w:pPr>
              <w:keepNext/>
              <w:jc w:val="center"/>
              <w:rPr>
                <w:rFonts w:ascii="Times New Roman" w:hAnsi="Times New Roman" w:cs="Times New Roman"/>
                <w:b/>
                <w:bCs/>
                <w:noProof/>
                <w:color w:val="000000"/>
                <w:lang w:eastAsia="en-GB"/>
              </w:rPr>
            </w:pPr>
            <w:r w:rsidRPr="003730B9">
              <w:rPr>
                <w:rFonts w:ascii="Times New Roman" w:hAnsi="Times New Roman" w:cs="Times New Roman"/>
                <w:b/>
                <w:bCs/>
                <w:noProof/>
                <w:color w:val="000000"/>
                <w:lang w:eastAsia="en-GB"/>
              </w:rPr>
              <w:t>Year</w:t>
            </w:r>
          </w:p>
        </w:tc>
        <w:tc>
          <w:tcPr>
            <w:tcW w:w="608" w:type="pct"/>
            <w:vAlign w:val="center"/>
            <w:hideMark/>
          </w:tcPr>
          <w:p w14:paraId="2BF569EB" w14:textId="77777777" w:rsidR="00D070B3" w:rsidRPr="00505E13" w:rsidRDefault="00D070B3" w:rsidP="005F1122">
            <w:pPr>
              <w:keepNext/>
              <w:jc w:val="center"/>
              <w:rPr>
                <w:rFonts w:ascii="Times New Roman" w:hAnsi="Times New Roman" w:cs="Times New Roman"/>
                <w:bCs/>
                <w:noProof/>
                <w:color w:val="000000"/>
                <w:lang w:eastAsia="en-GB"/>
              </w:rPr>
            </w:pPr>
            <w:r w:rsidRPr="00505E13">
              <w:rPr>
                <w:rFonts w:ascii="Times New Roman" w:hAnsi="Times New Roman" w:cs="Times New Roman"/>
                <w:bCs/>
                <w:noProof/>
                <w:color w:val="000000"/>
                <w:spacing w:val="-4"/>
                <w:lang w:eastAsia="en-GB"/>
              </w:rPr>
              <w:t>2019</w:t>
            </w:r>
          </w:p>
        </w:tc>
        <w:tc>
          <w:tcPr>
            <w:tcW w:w="1381" w:type="pct"/>
            <w:vAlign w:val="center"/>
            <w:hideMark/>
          </w:tcPr>
          <w:p w14:paraId="00ED2368" w14:textId="77777777" w:rsidR="00D070B3" w:rsidRPr="00505E13" w:rsidRDefault="00D070B3" w:rsidP="005918EC">
            <w:pPr>
              <w:keepNext/>
              <w:jc w:val="center"/>
              <w:rPr>
                <w:rFonts w:ascii="Times New Roman" w:hAnsi="Times New Roman" w:cs="Times New Roman"/>
                <w:bCs/>
                <w:noProof/>
                <w:color w:val="000000"/>
                <w:lang w:eastAsia="en-GB"/>
              </w:rPr>
            </w:pPr>
            <w:r w:rsidRPr="00505E13">
              <w:rPr>
                <w:rFonts w:ascii="Times New Roman" w:hAnsi="Times New Roman" w:cs="Times New Roman"/>
                <w:bCs/>
                <w:noProof/>
                <w:color w:val="000000"/>
                <w:spacing w:val="-4"/>
                <w:lang w:eastAsia="en-GB"/>
              </w:rPr>
              <w:t>2020</w:t>
            </w:r>
          </w:p>
        </w:tc>
        <w:tc>
          <w:tcPr>
            <w:tcW w:w="1358" w:type="pct"/>
            <w:vAlign w:val="center"/>
            <w:hideMark/>
          </w:tcPr>
          <w:p w14:paraId="247407C0" w14:textId="77777777" w:rsidR="00D070B3" w:rsidRPr="00505E13" w:rsidRDefault="00D070B3" w:rsidP="005918EC">
            <w:pPr>
              <w:keepNext/>
              <w:jc w:val="center"/>
              <w:rPr>
                <w:rFonts w:ascii="Times New Roman" w:hAnsi="Times New Roman" w:cs="Times New Roman"/>
                <w:bCs/>
                <w:noProof/>
                <w:color w:val="000000"/>
                <w:lang w:eastAsia="en-GB"/>
              </w:rPr>
            </w:pPr>
            <w:r w:rsidRPr="00505E13">
              <w:rPr>
                <w:rFonts w:ascii="Times New Roman" w:hAnsi="Times New Roman" w:cs="Times New Roman"/>
                <w:bCs/>
                <w:noProof/>
                <w:color w:val="000000"/>
                <w:spacing w:val="-2"/>
                <w:lang w:eastAsia="en-GB"/>
              </w:rPr>
              <w:t>2021</w:t>
            </w:r>
          </w:p>
        </w:tc>
        <w:tc>
          <w:tcPr>
            <w:tcW w:w="586" w:type="pct"/>
            <w:vAlign w:val="center"/>
            <w:hideMark/>
          </w:tcPr>
          <w:p w14:paraId="125A28B8" w14:textId="77777777" w:rsidR="00D070B3" w:rsidRPr="00505E13" w:rsidRDefault="00D070B3" w:rsidP="005918EC">
            <w:pPr>
              <w:keepNext/>
              <w:jc w:val="center"/>
              <w:rPr>
                <w:rFonts w:ascii="Times New Roman" w:hAnsi="Times New Roman" w:cs="Times New Roman"/>
                <w:bCs/>
                <w:noProof/>
                <w:color w:val="000000"/>
                <w:lang w:eastAsia="en-GB"/>
              </w:rPr>
            </w:pPr>
            <w:r w:rsidRPr="00505E13">
              <w:rPr>
                <w:rFonts w:ascii="Times New Roman" w:hAnsi="Times New Roman" w:cs="Times New Roman"/>
                <w:bCs/>
                <w:noProof/>
                <w:color w:val="000000"/>
                <w:lang w:eastAsia="en-GB"/>
              </w:rPr>
              <w:t>2022</w:t>
            </w:r>
          </w:p>
        </w:tc>
      </w:tr>
      <w:tr w:rsidR="00D070B3" w:rsidRPr="004B4540" w14:paraId="6842A217" w14:textId="77777777" w:rsidTr="000928C6">
        <w:trPr>
          <w:trHeight w:val="1455"/>
        </w:trPr>
        <w:tc>
          <w:tcPr>
            <w:tcW w:w="1067" w:type="pct"/>
            <w:vAlign w:val="center"/>
            <w:hideMark/>
          </w:tcPr>
          <w:p w14:paraId="46935D50" w14:textId="77777777" w:rsidR="00D070B3" w:rsidRPr="003730B9" w:rsidRDefault="00D070B3" w:rsidP="005F1122">
            <w:pPr>
              <w:keepNext/>
              <w:rPr>
                <w:rFonts w:ascii="Times New Roman" w:hAnsi="Times New Roman" w:cs="Times New Roman"/>
                <w:b/>
                <w:bCs/>
                <w:noProof/>
                <w:color w:val="000000"/>
                <w:lang w:eastAsia="en-GB"/>
              </w:rPr>
            </w:pPr>
            <w:r w:rsidRPr="003730B9">
              <w:rPr>
                <w:rFonts w:ascii="Times New Roman" w:hAnsi="Times New Roman" w:cs="Times New Roman"/>
                <w:b/>
                <w:bCs/>
                <w:noProof/>
                <w:color w:val="000000"/>
                <w:spacing w:val="-2"/>
                <w:lang w:eastAsia="en-GB"/>
              </w:rPr>
              <w:t>Verified emissions from stationary installations</w:t>
            </w:r>
          </w:p>
        </w:tc>
        <w:tc>
          <w:tcPr>
            <w:tcW w:w="608" w:type="pct"/>
            <w:noWrap/>
            <w:vAlign w:val="center"/>
            <w:hideMark/>
          </w:tcPr>
          <w:p w14:paraId="519BBBF1" w14:textId="61CBCE38" w:rsidR="00D070B3" w:rsidRPr="004B4540" w:rsidRDefault="00D070B3"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1</w:t>
            </w:r>
            <w:r w:rsidR="00405B6F" w:rsidRPr="004B4540">
              <w:rPr>
                <w:rFonts w:ascii="Times New Roman" w:hAnsi="Times New Roman" w:cs="Times New Roman"/>
                <w:noProof/>
                <w:color w:val="000000"/>
                <w:lang w:eastAsia="en-GB"/>
              </w:rPr>
              <w:t> </w:t>
            </w:r>
            <w:r w:rsidRPr="004B4540">
              <w:rPr>
                <w:rFonts w:ascii="Times New Roman" w:hAnsi="Times New Roman" w:cs="Times New Roman"/>
                <w:noProof/>
                <w:color w:val="000000"/>
                <w:lang w:eastAsia="en-GB"/>
              </w:rPr>
              <w:t>530</w:t>
            </w:r>
          </w:p>
        </w:tc>
        <w:tc>
          <w:tcPr>
            <w:tcW w:w="1381" w:type="pct"/>
            <w:noWrap/>
            <w:vAlign w:val="center"/>
            <w:hideMark/>
          </w:tcPr>
          <w:p w14:paraId="5E85E1AB" w14:textId="62B327D0" w:rsidR="00D070B3" w:rsidRPr="004B4540" w:rsidRDefault="00D070B3"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1</w:t>
            </w:r>
            <w:r w:rsidR="00405B6F" w:rsidRPr="004B4540">
              <w:rPr>
                <w:rFonts w:ascii="Times New Roman" w:hAnsi="Times New Roman" w:cs="Times New Roman"/>
                <w:noProof/>
                <w:color w:val="000000"/>
                <w:lang w:eastAsia="en-GB"/>
              </w:rPr>
              <w:t> </w:t>
            </w:r>
            <w:r w:rsidRPr="004B4540">
              <w:rPr>
                <w:rFonts w:ascii="Times New Roman" w:hAnsi="Times New Roman" w:cs="Times New Roman"/>
                <w:noProof/>
                <w:color w:val="000000"/>
                <w:lang w:eastAsia="en-GB"/>
              </w:rPr>
              <w:t>356</w:t>
            </w:r>
          </w:p>
          <w:p w14:paraId="512F4426" w14:textId="72FAF5A3" w:rsidR="00D070B3" w:rsidRPr="004B4540" w:rsidRDefault="00D070B3"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(1.253 UK excluded)</w:t>
            </w:r>
          </w:p>
        </w:tc>
        <w:tc>
          <w:tcPr>
            <w:tcW w:w="1358" w:type="pct"/>
            <w:noWrap/>
            <w:vAlign w:val="center"/>
            <w:hideMark/>
          </w:tcPr>
          <w:p w14:paraId="1D563648" w14:textId="0E0B3EDE" w:rsidR="00D070B3" w:rsidRPr="004B4540" w:rsidRDefault="00D070B3"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1</w:t>
            </w:r>
            <w:r w:rsidR="00405B6F" w:rsidRPr="004B4540">
              <w:rPr>
                <w:rFonts w:ascii="Times New Roman" w:hAnsi="Times New Roman" w:cs="Times New Roman"/>
                <w:noProof/>
                <w:color w:val="000000"/>
                <w:lang w:eastAsia="en-GB"/>
              </w:rPr>
              <w:t> </w:t>
            </w:r>
            <w:r w:rsidRPr="004B4540">
              <w:rPr>
                <w:rFonts w:ascii="Times New Roman" w:hAnsi="Times New Roman" w:cs="Times New Roman"/>
                <w:noProof/>
                <w:color w:val="000000"/>
                <w:lang w:eastAsia="en-GB"/>
              </w:rPr>
              <w:t>337</w:t>
            </w:r>
          </w:p>
        </w:tc>
        <w:tc>
          <w:tcPr>
            <w:tcW w:w="586" w:type="pct"/>
            <w:noWrap/>
            <w:vAlign w:val="center"/>
            <w:hideMark/>
          </w:tcPr>
          <w:p w14:paraId="0F6D1EC8" w14:textId="60777821" w:rsidR="00D070B3" w:rsidRPr="004B4540" w:rsidRDefault="00D070B3"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1</w:t>
            </w:r>
            <w:r w:rsidR="00405B6F" w:rsidRPr="004B4540">
              <w:rPr>
                <w:rFonts w:ascii="Times New Roman" w:hAnsi="Times New Roman" w:cs="Times New Roman"/>
                <w:noProof/>
                <w:color w:val="000000"/>
                <w:lang w:eastAsia="en-GB"/>
              </w:rPr>
              <w:t> </w:t>
            </w:r>
            <w:r w:rsidRPr="004B4540">
              <w:rPr>
                <w:rFonts w:ascii="Times New Roman" w:hAnsi="Times New Roman" w:cs="Times New Roman"/>
                <w:noProof/>
                <w:color w:val="000000"/>
                <w:lang w:eastAsia="en-GB"/>
              </w:rPr>
              <w:t>313</w:t>
            </w:r>
          </w:p>
        </w:tc>
      </w:tr>
      <w:tr w:rsidR="009A1A24" w:rsidRPr="004B4540" w14:paraId="30F0AF09" w14:textId="77777777" w:rsidTr="000928C6">
        <w:trPr>
          <w:trHeight w:val="600"/>
        </w:trPr>
        <w:tc>
          <w:tcPr>
            <w:tcW w:w="1067" w:type="pct"/>
            <w:vAlign w:val="center"/>
            <w:hideMark/>
          </w:tcPr>
          <w:p w14:paraId="5F51387A" w14:textId="77777777" w:rsidR="009A1A24" w:rsidRPr="003730B9" w:rsidRDefault="009A1A24" w:rsidP="005F1122">
            <w:pPr>
              <w:keepNext/>
              <w:rPr>
                <w:rFonts w:ascii="Times New Roman" w:hAnsi="Times New Roman" w:cs="Times New Roman"/>
                <w:b/>
                <w:bCs/>
                <w:noProof/>
                <w:color w:val="000000"/>
                <w:lang w:eastAsia="en-GB"/>
              </w:rPr>
            </w:pPr>
            <w:r w:rsidRPr="003730B9">
              <w:rPr>
                <w:rFonts w:ascii="Times New Roman" w:hAnsi="Times New Roman" w:cs="Times New Roman"/>
                <w:b/>
                <w:bCs/>
                <w:noProof/>
                <w:color w:val="000000"/>
                <w:spacing w:val="-2"/>
                <w:lang w:eastAsia="en-GB"/>
              </w:rPr>
              <w:t>Change year-on- year</w:t>
            </w:r>
          </w:p>
        </w:tc>
        <w:tc>
          <w:tcPr>
            <w:tcW w:w="608" w:type="pct"/>
            <w:noWrap/>
            <w:vAlign w:val="center"/>
            <w:hideMark/>
          </w:tcPr>
          <w:p w14:paraId="5C584E7C" w14:textId="327A37A5" w:rsidR="009A1A24" w:rsidRPr="004B4540" w:rsidRDefault="009A1A24"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−9.1%</w:t>
            </w:r>
          </w:p>
        </w:tc>
        <w:tc>
          <w:tcPr>
            <w:tcW w:w="1381" w:type="pct"/>
            <w:noWrap/>
            <w:vAlign w:val="center"/>
            <w:hideMark/>
          </w:tcPr>
          <w:p w14:paraId="42C7D452" w14:textId="15B5912E" w:rsidR="009A1A24" w:rsidRPr="004B4540" w:rsidRDefault="009A1A24"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−11.4%</w:t>
            </w:r>
          </w:p>
        </w:tc>
        <w:tc>
          <w:tcPr>
            <w:tcW w:w="1358" w:type="pct"/>
            <w:noWrap/>
            <w:vAlign w:val="center"/>
            <w:hideMark/>
          </w:tcPr>
          <w:p w14:paraId="7BF12476" w14:textId="718F5C30" w:rsidR="009A1A24" w:rsidRPr="004B4540" w:rsidRDefault="009A1A24"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−1.4%</w:t>
            </w:r>
          </w:p>
          <w:p w14:paraId="520FEF95" w14:textId="6D10BDD2" w:rsidR="009A1A24" w:rsidRPr="004B4540" w:rsidRDefault="009A1A24"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(6.6% UK excluded)</w:t>
            </w:r>
          </w:p>
        </w:tc>
        <w:tc>
          <w:tcPr>
            <w:tcW w:w="586" w:type="pct"/>
            <w:noWrap/>
            <w:vAlign w:val="center"/>
            <w:hideMark/>
          </w:tcPr>
          <w:p w14:paraId="4866F5CE" w14:textId="23D08C69" w:rsidR="009A1A24" w:rsidRPr="004B4540" w:rsidRDefault="009A1A24"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−1.8%</w:t>
            </w:r>
          </w:p>
        </w:tc>
      </w:tr>
      <w:tr w:rsidR="00D070B3" w:rsidRPr="004B4540" w14:paraId="60E454D4" w14:textId="77777777" w:rsidTr="000928C6">
        <w:trPr>
          <w:trHeight w:val="1740"/>
        </w:trPr>
        <w:tc>
          <w:tcPr>
            <w:tcW w:w="1067" w:type="pct"/>
            <w:vAlign w:val="center"/>
            <w:hideMark/>
          </w:tcPr>
          <w:p w14:paraId="1C77C5E3" w14:textId="77777777" w:rsidR="00D070B3" w:rsidRPr="003730B9" w:rsidRDefault="00D070B3" w:rsidP="005F1122">
            <w:pPr>
              <w:keepNext/>
              <w:rPr>
                <w:rFonts w:ascii="Times New Roman" w:hAnsi="Times New Roman" w:cs="Times New Roman"/>
                <w:b/>
                <w:bCs/>
                <w:noProof/>
                <w:color w:val="000000"/>
                <w:lang w:eastAsia="en-GB"/>
              </w:rPr>
            </w:pPr>
            <w:r w:rsidRPr="003730B9">
              <w:rPr>
                <w:rFonts w:ascii="Times New Roman" w:hAnsi="Times New Roman" w:cs="Times New Roman"/>
                <w:b/>
                <w:bCs/>
                <w:noProof/>
                <w:color w:val="000000"/>
                <w:spacing w:val="-2"/>
                <w:lang w:eastAsia="en-GB"/>
              </w:rPr>
              <w:t>Verified emissions from electricity and heat generation</w:t>
            </w:r>
          </w:p>
        </w:tc>
        <w:tc>
          <w:tcPr>
            <w:tcW w:w="608" w:type="pct"/>
            <w:noWrap/>
            <w:vAlign w:val="center"/>
            <w:hideMark/>
          </w:tcPr>
          <w:p w14:paraId="4EB9EACE" w14:textId="0A0628B9" w:rsidR="00D070B3" w:rsidRPr="004B4540" w:rsidRDefault="00D070B3"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822</w:t>
            </w:r>
          </w:p>
        </w:tc>
        <w:tc>
          <w:tcPr>
            <w:tcW w:w="1381" w:type="pct"/>
            <w:noWrap/>
            <w:vAlign w:val="center"/>
            <w:hideMark/>
          </w:tcPr>
          <w:p w14:paraId="4D71B488" w14:textId="2954FE0D" w:rsidR="00D070B3" w:rsidRPr="004B4540" w:rsidRDefault="00D070B3"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696</w:t>
            </w:r>
          </w:p>
          <w:p w14:paraId="1E279B20" w14:textId="3CA2FF15" w:rsidR="00D070B3" w:rsidRPr="004B4540" w:rsidRDefault="00D070B3"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(653 UK excluded)</w:t>
            </w:r>
          </w:p>
        </w:tc>
        <w:tc>
          <w:tcPr>
            <w:tcW w:w="1358" w:type="pct"/>
            <w:noWrap/>
            <w:vAlign w:val="center"/>
            <w:hideMark/>
          </w:tcPr>
          <w:p w14:paraId="7076ECAB" w14:textId="007EE45E" w:rsidR="00D070B3" w:rsidRPr="004B4540" w:rsidRDefault="00D070B3"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708</w:t>
            </w:r>
          </w:p>
        </w:tc>
        <w:tc>
          <w:tcPr>
            <w:tcW w:w="586" w:type="pct"/>
            <w:noWrap/>
            <w:vAlign w:val="center"/>
            <w:hideMark/>
          </w:tcPr>
          <w:p w14:paraId="1D62585B" w14:textId="1C93AA53" w:rsidR="00D070B3" w:rsidRPr="004B4540" w:rsidRDefault="00D070B3"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725</w:t>
            </w:r>
          </w:p>
        </w:tc>
      </w:tr>
      <w:tr w:rsidR="001C0173" w:rsidRPr="004B4540" w14:paraId="1A526A0B" w14:textId="77777777" w:rsidTr="000928C6">
        <w:trPr>
          <w:trHeight w:val="600"/>
        </w:trPr>
        <w:tc>
          <w:tcPr>
            <w:tcW w:w="1067" w:type="pct"/>
            <w:vAlign w:val="center"/>
            <w:hideMark/>
          </w:tcPr>
          <w:p w14:paraId="32972494" w14:textId="77777777" w:rsidR="001C0173" w:rsidRPr="003730B9" w:rsidRDefault="001C0173" w:rsidP="005F1122">
            <w:pPr>
              <w:keepNext/>
              <w:rPr>
                <w:rFonts w:ascii="Times New Roman" w:hAnsi="Times New Roman" w:cs="Times New Roman"/>
                <w:b/>
                <w:bCs/>
                <w:noProof/>
                <w:color w:val="000000"/>
                <w:lang w:eastAsia="en-GB"/>
              </w:rPr>
            </w:pPr>
            <w:r w:rsidRPr="003730B9">
              <w:rPr>
                <w:rFonts w:ascii="Times New Roman" w:hAnsi="Times New Roman" w:cs="Times New Roman"/>
                <w:b/>
                <w:bCs/>
                <w:noProof/>
                <w:color w:val="000000"/>
                <w:spacing w:val="-2"/>
                <w:lang w:eastAsia="en-GB"/>
              </w:rPr>
              <w:t>Change year-on- year</w:t>
            </w:r>
          </w:p>
        </w:tc>
        <w:tc>
          <w:tcPr>
            <w:tcW w:w="608" w:type="pct"/>
            <w:noWrap/>
            <w:vAlign w:val="center"/>
            <w:hideMark/>
          </w:tcPr>
          <w:p w14:paraId="6300279A" w14:textId="12A74C13" w:rsidR="001C0173" w:rsidRPr="004B4540" w:rsidRDefault="001C0173"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−14.7%</w:t>
            </w:r>
          </w:p>
        </w:tc>
        <w:tc>
          <w:tcPr>
            <w:tcW w:w="1381" w:type="pct"/>
            <w:noWrap/>
            <w:vAlign w:val="center"/>
            <w:hideMark/>
          </w:tcPr>
          <w:p w14:paraId="17FC1D82" w14:textId="371E23A9" w:rsidR="001C0173" w:rsidRPr="004B4540" w:rsidRDefault="001C0173"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−15.3%</w:t>
            </w:r>
          </w:p>
        </w:tc>
        <w:tc>
          <w:tcPr>
            <w:tcW w:w="1358" w:type="pct"/>
            <w:noWrap/>
            <w:vAlign w:val="center"/>
            <w:hideMark/>
          </w:tcPr>
          <w:p w14:paraId="3E04C08B" w14:textId="7B6F977F" w:rsidR="001C0173" w:rsidRPr="004B4540" w:rsidRDefault="001C0173"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1.6%</w:t>
            </w:r>
          </w:p>
          <w:p w14:paraId="575B76CD" w14:textId="09481357" w:rsidR="001C0173" w:rsidRPr="004B4540" w:rsidRDefault="001C0173"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(8.4% UK excluded)</w:t>
            </w:r>
          </w:p>
        </w:tc>
        <w:tc>
          <w:tcPr>
            <w:tcW w:w="586" w:type="pct"/>
            <w:noWrap/>
            <w:vAlign w:val="center"/>
            <w:hideMark/>
          </w:tcPr>
          <w:p w14:paraId="6AE97C4C" w14:textId="2B4A916E" w:rsidR="001C0173" w:rsidRPr="004B4540" w:rsidRDefault="001C0173"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2.4%</w:t>
            </w:r>
          </w:p>
        </w:tc>
      </w:tr>
      <w:tr w:rsidR="00D070B3" w:rsidRPr="004B4540" w14:paraId="5FFE56E8" w14:textId="77777777" w:rsidTr="000928C6">
        <w:trPr>
          <w:trHeight w:val="1455"/>
        </w:trPr>
        <w:tc>
          <w:tcPr>
            <w:tcW w:w="1067" w:type="pct"/>
            <w:vAlign w:val="center"/>
            <w:hideMark/>
          </w:tcPr>
          <w:p w14:paraId="66BAFA57" w14:textId="77777777" w:rsidR="00D070B3" w:rsidRPr="003730B9" w:rsidRDefault="00D070B3" w:rsidP="005F1122">
            <w:pPr>
              <w:keepNext/>
              <w:rPr>
                <w:rFonts w:ascii="Times New Roman" w:hAnsi="Times New Roman" w:cs="Times New Roman"/>
                <w:b/>
                <w:bCs/>
                <w:noProof/>
                <w:color w:val="000000"/>
                <w:lang w:eastAsia="en-GB"/>
              </w:rPr>
            </w:pPr>
            <w:r w:rsidRPr="003730B9">
              <w:rPr>
                <w:rFonts w:ascii="Times New Roman" w:hAnsi="Times New Roman" w:cs="Times New Roman"/>
                <w:b/>
                <w:bCs/>
                <w:noProof/>
                <w:color w:val="000000"/>
                <w:spacing w:val="-2"/>
                <w:lang w:eastAsia="en-GB"/>
              </w:rPr>
              <w:t>Verified emissions from industrial production</w:t>
            </w:r>
          </w:p>
        </w:tc>
        <w:tc>
          <w:tcPr>
            <w:tcW w:w="608" w:type="pct"/>
            <w:noWrap/>
            <w:vAlign w:val="center"/>
            <w:hideMark/>
          </w:tcPr>
          <w:p w14:paraId="5BB8D1A6" w14:textId="083D14C4" w:rsidR="00D070B3" w:rsidRPr="004B4540" w:rsidRDefault="00D070B3"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708</w:t>
            </w:r>
          </w:p>
        </w:tc>
        <w:tc>
          <w:tcPr>
            <w:tcW w:w="1381" w:type="pct"/>
            <w:noWrap/>
            <w:vAlign w:val="center"/>
            <w:hideMark/>
          </w:tcPr>
          <w:p w14:paraId="5C4FB83A" w14:textId="2A525136" w:rsidR="00D070B3" w:rsidRPr="004B4540" w:rsidRDefault="00D070B3"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660</w:t>
            </w:r>
          </w:p>
          <w:p w14:paraId="795B6AA0" w14:textId="33024C53" w:rsidR="00D070B3" w:rsidRPr="004B4540" w:rsidRDefault="00D070B3"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(601 UK excluded)</w:t>
            </w:r>
          </w:p>
        </w:tc>
        <w:tc>
          <w:tcPr>
            <w:tcW w:w="1358" w:type="pct"/>
            <w:noWrap/>
            <w:vAlign w:val="center"/>
            <w:hideMark/>
          </w:tcPr>
          <w:p w14:paraId="431668FF" w14:textId="2627FE33" w:rsidR="00D070B3" w:rsidRPr="004B4540" w:rsidRDefault="00D070B3"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629</w:t>
            </w:r>
          </w:p>
        </w:tc>
        <w:tc>
          <w:tcPr>
            <w:tcW w:w="586" w:type="pct"/>
            <w:noWrap/>
            <w:vAlign w:val="center"/>
            <w:hideMark/>
          </w:tcPr>
          <w:p w14:paraId="4DC6D5A1" w14:textId="765BC7CA" w:rsidR="00D070B3" w:rsidRPr="004B4540" w:rsidRDefault="00D070B3"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588</w:t>
            </w:r>
          </w:p>
        </w:tc>
      </w:tr>
      <w:tr w:rsidR="001E4B69" w:rsidRPr="004B4540" w14:paraId="53751098" w14:textId="77777777" w:rsidTr="000928C6">
        <w:trPr>
          <w:trHeight w:val="600"/>
        </w:trPr>
        <w:tc>
          <w:tcPr>
            <w:tcW w:w="1067" w:type="pct"/>
            <w:vAlign w:val="center"/>
            <w:hideMark/>
          </w:tcPr>
          <w:p w14:paraId="3B58DED1" w14:textId="77777777" w:rsidR="001E4B69" w:rsidRPr="003730B9" w:rsidRDefault="001E4B69" w:rsidP="005F1122">
            <w:pPr>
              <w:keepNext/>
              <w:rPr>
                <w:rFonts w:ascii="Times New Roman" w:hAnsi="Times New Roman" w:cs="Times New Roman"/>
                <w:b/>
                <w:bCs/>
                <w:noProof/>
                <w:color w:val="000000"/>
                <w:lang w:eastAsia="en-GB"/>
              </w:rPr>
            </w:pPr>
            <w:r w:rsidRPr="003730B9">
              <w:rPr>
                <w:rFonts w:ascii="Times New Roman" w:hAnsi="Times New Roman" w:cs="Times New Roman"/>
                <w:b/>
                <w:bCs/>
                <w:noProof/>
                <w:color w:val="000000"/>
                <w:spacing w:val="-2"/>
                <w:lang w:eastAsia="en-GB"/>
              </w:rPr>
              <w:t>Change year-on- year</w:t>
            </w:r>
          </w:p>
        </w:tc>
        <w:tc>
          <w:tcPr>
            <w:tcW w:w="608" w:type="pct"/>
            <w:noWrap/>
            <w:vAlign w:val="center"/>
            <w:hideMark/>
          </w:tcPr>
          <w:p w14:paraId="38DC1E2E" w14:textId="1A4ACB0F" w:rsidR="001E4B69" w:rsidRPr="004B4540" w:rsidRDefault="001E4B69"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−1.6%</w:t>
            </w:r>
          </w:p>
        </w:tc>
        <w:tc>
          <w:tcPr>
            <w:tcW w:w="1381" w:type="pct"/>
            <w:noWrap/>
            <w:vAlign w:val="center"/>
            <w:hideMark/>
          </w:tcPr>
          <w:p w14:paraId="6F7EACA4" w14:textId="425CCEEC" w:rsidR="001E4B69" w:rsidRPr="004B4540" w:rsidRDefault="001E4B69"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−6.9%</w:t>
            </w:r>
          </w:p>
        </w:tc>
        <w:tc>
          <w:tcPr>
            <w:tcW w:w="1358" w:type="pct"/>
            <w:noWrap/>
            <w:vAlign w:val="center"/>
            <w:hideMark/>
          </w:tcPr>
          <w:p w14:paraId="07C4996F" w14:textId="7D7B10B8" w:rsidR="001E4B69" w:rsidRPr="004B4540" w:rsidRDefault="001E4B69"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−4.7%</w:t>
            </w:r>
          </w:p>
          <w:p w14:paraId="6BA784EC" w14:textId="3F19F96C" w:rsidR="001E4B69" w:rsidRPr="004B4540" w:rsidRDefault="001E4B69"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(4.6% UK excluded)</w:t>
            </w:r>
          </w:p>
        </w:tc>
        <w:tc>
          <w:tcPr>
            <w:tcW w:w="586" w:type="pct"/>
            <w:noWrap/>
            <w:vAlign w:val="center"/>
            <w:hideMark/>
          </w:tcPr>
          <w:p w14:paraId="14A32FFF" w14:textId="753D4CA4" w:rsidR="001E4B69" w:rsidRPr="004B4540" w:rsidRDefault="001E4B69" w:rsidP="003730B9">
            <w:pPr>
              <w:keepNext/>
              <w:jc w:val="center"/>
              <w:rPr>
                <w:rFonts w:ascii="Times New Roman" w:hAnsi="Times New Roman" w:cs="Times New Roman"/>
                <w:noProof/>
                <w:color w:val="000000"/>
                <w:lang w:eastAsia="en-GB"/>
              </w:rPr>
            </w:pPr>
            <w:r w:rsidRPr="004B4540">
              <w:rPr>
                <w:rFonts w:ascii="Times New Roman" w:hAnsi="Times New Roman" w:cs="Times New Roman"/>
                <w:noProof/>
                <w:color w:val="000000"/>
                <w:lang w:eastAsia="en-GB"/>
              </w:rPr>
              <w:t>−6.5%</w:t>
            </w:r>
          </w:p>
        </w:tc>
      </w:tr>
    </w:tbl>
    <w:p w14:paraId="7CA15F57" w14:textId="697747F0" w:rsidR="00B16D11" w:rsidRDefault="00382A35" w:rsidP="00B16D11">
      <w:pPr>
        <w:pStyle w:val="CMR23-text"/>
        <w:rPr>
          <w:rFonts w:cs="Times New Roman"/>
          <w:noProof/>
          <w:szCs w:val="24"/>
        </w:rPr>
      </w:pPr>
      <w:r>
        <w:rPr>
          <w:rFonts w:cs="Times New Roman"/>
          <w:noProof/>
          <w:szCs w:val="24"/>
        </w:rPr>
        <w:fldChar w:fldCharType="begin"/>
      </w:r>
      <w:r>
        <w:rPr>
          <w:rFonts w:cs="Times New Roman"/>
          <w:noProof/>
          <w:szCs w:val="24"/>
        </w:rPr>
        <w:instrText xml:space="preserve"> REF _Ref148627386 \h </w:instrText>
      </w:r>
      <w:r>
        <w:rPr>
          <w:rFonts w:cs="Times New Roman"/>
          <w:noProof/>
          <w:szCs w:val="24"/>
        </w:rPr>
      </w:r>
      <w:r>
        <w:rPr>
          <w:rFonts w:cs="Times New Roman"/>
          <w:noProof/>
          <w:szCs w:val="24"/>
        </w:rPr>
        <w:fldChar w:fldCharType="separate"/>
      </w:r>
      <w:r w:rsidR="00B83BFA">
        <w:rPr>
          <w:noProof/>
        </w:rPr>
        <w:t>Figure 4</w:t>
      </w:r>
      <w:r>
        <w:rPr>
          <w:rFonts w:cs="Times New Roman"/>
          <w:noProof/>
          <w:szCs w:val="24"/>
        </w:rPr>
        <w:fldChar w:fldCharType="end"/>
      </w:r>
      <w:r>
        <w:rPr>
          <w:rFonts w:cs="Times New Roman"/>
          <w:noProof/>
          <w:szCs w:val="24"/>
        </w:rPr>
        <w:t xml:space="preserve"> and </w:t>
      </w:r>
      <w:r>
        <w:rPr>
          <w:rFonts w:cs="Times New Roman"/>
          <w:noProof/>
          <w:szCs w:val="24"/>
        </w:rPr>
        <w:fldChar w:fldCharType="begin"/>
      </w:r>
      <w:r>
        <w:rPr>
          <w:rFonts w:cs="Times New Roman"/>
          <w:noProof/>
          <w:szCs w:val="24"/>
        </w:rPr>
        <w:instrText xml:space="preserve"> REF _Ref148627397 \h </w:instrText>
      </w:r>
      <w:r>
        <w:rPr>
          <w:rFonts w:cs="Times New Roman"/>
          <w:noProof/>
          <w:szCs w:val="24"/>
        </w:rPr>
      </w:r>
      <w:r>
        <w:rPr>
          <w:rFonts w:cs="Times New Roman"/>
          <w:noProof/>
          <w:szCs w:val="24"/>
        </w:rPr>
        <w:fldChar w:fldCharType="separate"/>
      </w:r>
      <w:r w:rsidR="00B83BFA">
        <w:rPr>
          <w:noProof/>
        </w:rPr>
        <w:t>Figure 5</w:t>
      </w:r>
      <w:r>
        <w:rPr>
          <w:rFonts w:cs="Times New Roman"/>
          <w:noProof/>
          <w:szCs w:val="24"/>
        </w:rPr>
        <w:fldChar w:fldCharType="end"/>
      </w:r>
      <w:r w:rsidR="00730678">
        <w:rPr>
          <w:rFonts w:cs="Times New Roman"/>
          <w:noProof/>
          <w:szCs w:val="24"/>
        </w:rPr>
        <w:t xml:space="preserve"> </w:t>
      </w:r>
      <w:r w:rsidR="00B91AFE" w:rsidRPr="004B4540">
        <w:rPr>
          <w:rFonts w:cs="Times New Roman"/>
          <w:noProof/>
          <w:szCs w:val="24"/>
        </w:rPr>
        <w:t xml:space="preserve">illustrate the trend in emissions from </w:t>
      </w:r>
      <w:r w:rsidR="00856046">
        <w:rPr>
          <w:rFonts w:cs="Times New Roman"/>
          <w:noProof/>
          <w:szCs w:val="24"/>
        </w:rPr>
        <w:t xml:space="preserve">fossil fuel combustion by EU ETS </w:t>
      </w:r>
      <w:r w:rsidR="00B91AFE" w:rsidRPr="004B4540">
        <w:rPr>
          <w:rFonts w:cs="Times New Roman"/>
          <w:noProof/>
          <w:szCs w:val="24"/>
        </w:rPr>
        <w:t>installations</w:t>
      </w:r>
      <w:r w:rsidR="00856046">
        <w:rPr>
          <w:rFonts w:cs="Times New Roman"/>
          <w:noProof/>
          <w:szCs w:val="24"/>
        </w:rPr>
        <w:t xml:space="preserve"> – in total and </w:t>
      </w:r>
      <w:r w:rsidR="00B91AFE" w:rsidRPr="004B4540">
        <w:rPr>
          <w:rFonts w:cs="Times New Roman"/>
          <w:noProof/>
          <w:szCs w:val="24"/>
        </w:rPr>
        <w:t>by fuel type</w:t>
      </w:r>
      <w:r w:rsidR="00856046">
        <w:rPr>
          <w:rFonts w:cs="Times New Roman"/>
          <w:noProof/>
          <w:szCs w:val="24"/>
        </w:rPr>
        <w:t xml:space="preserve">, </w:t>
      </w:r>
      <w:r w:rsidR="00556B16">
        <w:rPr>
          <w:rFonts w:cs="Times New Roman"/>
          <w:noProof/>
          <w:szCs w:val="24"/>
        </w:rPr>
        <w:t>respectively</w:t>
      </w:r>
      <w:r w:rsidR="00AE214A" w:rsidRPr="004B4540">
        <w:rPr>
          <w:rFonts w:cs="Times New Roman"/>
          <w:noProof/>
          <w:szCs w:val="24"/>
        </w:rPr>
        <w:t>.</w:t>
      </w:r>
      <w:r w:rsidR="00856046">
        <w:rPr>
          <w:rFonts w:cs="Times New Roman"/>
          <w:noProof/>
          <w:szCs w:val="24"/>
        </w:rPr>
        <w:t xml:space="preserve"> Altogether, emissions are on a downward trend.</w:t>
      </w:r>
      <w:r w:rsidR="00AE214A" w:rsidRPr="004B4540">
        <w:rPr>
          <w:rFonts w:cs="Times New Roman"/>
          <w:noProof/>
          <w:szCs w:val="24"/>
        </w:rPr>
        <w:t xml:space="preserve"> </w:t>
      </w:r>
      <w:r w:rsidR="00904DEB">
        <w:rPr>
          <w:rFonts w:cs="Times New Roman"/>
          <w:noProof/>
          <w:szCs w:val="24"/>
        </w:rPr>
        <w:t>However, t</w:t>
      </w:r>
      <w:r w:rsidR="00AF0E3F" w:rsidRPr="004B4540">
        <w:rPr>
          <w:rFonts w:cs="Times New Roman"/>
          <w:noProof/>
          <w:szCs w:val="24"/>
        </w:rPr>
        <w:t>he long-term trend of hard coal replacement by natural gas reversed in 2022, linked to the high increase in the price of natural gas</w:t>
      </w:r>
      <w:r w:rsidR="00AE214A" w:rsidRPr="004B4540">
        <w:rPr>
          <w:rFonts w:cs="Times New Roman"/>
          <w:noProof/>
          <w:szCs w:val="24"/>
        </w:rPr>
        <w:t xml:space="preserve">. </w:t>
      </w:r>
      <w:r w:rsidR="00DE04C7" w:rsidRPr="00645617">
        <w:rPr>
          <w:rFonts w:cs="Times New Roman"/>
          <w:noProof/>
          <w:szCs w:val="24"/>
        </w:rPr>
        <w:t xml:space="preserve">Biomass emissions are not covered under </w:t>
      </w:r>
      <w:r w:rsidR="00DE04C7">
        <w:rPr>
          <w:rFonts w:cs="Times New Roman"/>
          <w:noProof/>
          <w:szCs w:val="24"/>
        </w:rPr>
        <w:t xml:space="preserve">the EU </w:t>
      </w:r>
      <w:r w:rsidR="00DE04C7" w:rsidRPr="00645617">
        <w:rPr>
          <w:rFonts w:cs="Times New Roman"/>
          <w:noProof/>
          <w:szCs w:val="24"/>
        </w:rPr>
        <w:t>ETS</w:t>
      </w:r>
      <w:r w:rsidR="00DE04C7">
        <w:rPr>
          <w:rFonts w:cs="Times New Roman"/>
          <w:noProof/>
          <w:szCs w:val="24"/>
        </w:rPr>
        <w:t>;</w:t>
      </w:r>
      <w:r w:rsidR="00DE04C7" w:rsidRPr="00645617">
        <w:rPr>
          <w:rFonts w:cs="Times New Roman"/>
          <w:noProof/>
          <w:szCs w:val="24"/>
        </w:rPr>
        <w:t xml:space="preserve"> thus</w:t>
      </w:r>
      <w:r w:rsidR="00DE04C7">
        <w:rPr>
          <w:rFonts w:cs="Times New Roman"/>
          <w:noProof/>
          <w:szCs w:val="24"/>
        </w:rPr>
        <w:t xml:space="preserve">, they are </w:t>
      </w:r>
      <w:r w:rsidR="00DE04C7" w:rsidRPr="00645617">
        <w:rPr>
          <w:rFonts w:cs="Times New Roman"/>
          <w:noProof/>
          <w:szCs w:val="24"/>
        </w:rPr>
        <w:t xml:space="preserve">not included in the emission values </w:t>
      </w:r>
      <w:r w:rsidR="00DE04C7">
        <w:rPr>
          <w:rFonts w:cs="Times New Roman"/>
          <w:noProof/>
          <w:szCs w:val="24"/>
        </w:rPr>
        <w:t>in the other sections of</w:t>
      </w:r>
      <w:r w:rsidR="00DE04C7" w:rsidRPr="00645617">
        <w:rPr>
          <w:rFonts w:cs="Times New Roman"/>
          <w:noProof/>
          <w:szCs w:val="24"/>
        </w:rPr>
        <w:t xml:space="preserve"> this report. </w:t>
      </w:r>
      <w:r w:rsidR="00A5525D" w:rsidRPr="004B4540">
        <w:rPr>
          <w:rFonts w:cs="Times New Roman"/>
          <w:noProof/>
          <w:szCs w:val="24"/>
        </w:rPr>
        <w:t xml:space="preserve">The </w:t>
      </w:r>
      <w:r w:rsidR="000744CF" w:rsidRPr="004B4540">
        <w:rPr>
          <w:rFonts w:cs="Times New Roman"/>
          <w:noProof/>
          <w:szCs w:val="24"/>
        </w:rPr>
        <w:t>f</w:t>
      </w:r>
      <w:r w:rsidR="00AE214A" w:rsidRPr="004B4540">
        <w:rPr>
          <w:rFonts w:cs="Times New Roman"/>
          <w:noProof/>
          <w:szCs w:val="24"/>
        </w:rPr>
        <w:t xml:space="preserve">igure </w:t>
      </w:r>
      <w:r w:rsidR="00A5525D" w:rsidRPr="004B4540">
        <w:rPr>
          <w:rFonts w:cs="Times New Roman"/>
          <w:noProof/>
          <w:szCs w:val="24"/>
        </w:rPr>
        <w:t>also</w:t>
      </w:r>
      <w:r w:rsidR="00AE214A" w:rsidRPr="004B4540">
        <w:rPr>
          <w:rFonts w:cs="Times New Roman"/>
          <w:noProof/>
          <w:szCs w:val="24"/>
        </w:rPr>
        <w:t xml:space="preserve"> shows a trend of an increasing use of biomass by ETS installations, with 16.7% on top of the ETS installation emissions in 2022.</w:t>
      </w:r>
      <w:r w:rsidR="00B16D11" w:rsidRPr="004B4540">
        <w:rPr>
          <w:rFonts w:cs="Times New Roman"/>
          <w:noProof/>
          <w:szCs w:val="24"/>
        </w:rPr>
        <w:t xml:space="preserve"> Until 2022, emissions from the combustion of biomass were generally zero-rated.</w:t>
      </w:r>
    </w:p>
    <w:p w14:paraId="4EB90362" w14:textId="77777777" w:rsidR="00A36203" w:rsidRDefault="0062782F" w:rsidP="00A36203">
      <w:pPr>
        <w:pStyle w:val="CMR23-text"/>
        <w:keepNext/>
        <w:rPr>
          <w:noProof/>
        </w:rPr>
      </w:pPr>
      <w:r>
        <w:rPr>
          <w:noProof/>
          <w:lang w:eastAsia="en-GB"/>
        </w:rPr>
        <w:drawing>
          <wp:inline distT="0" distB="0" distL="0" distR="0" wp14:anchorId="78096627" wp14:editId="39CAB9B4">
            <wp:extent cx="5743575" cy="2667000"/>
            <wp:effectExtent l="0" t="0" r="9525" b="0"/>
            <wp:docPr id="8" name="Chart 8">
              <a:extLst xmlns:a="http://schemas.openxmlformats.org/drawingml/2006/main">
                <a:ext uri="{FF2B5EF4-FFF2-40B4-BE49-F238E27FC236}">
                  <a16:creationId xmlns:a16="http://schemas.microsoft.com/office/drawing/2014/main" id="{34FDF3AA-C414-F610-7F75-E39CE29A5A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4B43D38" w14:textId="76E525F8" w:rsidR="00E9494A" w:rsidRPr="004B4540" w:rsidRDefault="00A36203" w:rsidP="00A36203">
      <w:pPr>
        <w:pStyle w:val="Caption"/>
        <w:rPr>
          <w:noProof/>
          <w:szCs w:val="24"/>
        </w:rPr>
      </w:pPr>
      <w:bookmarkStart w:id="65" w:name="_Ref148627386"/>
      <w:r>
        <w:rPr>
          <w:noProof/>
        </w:rPr>
        <w:t xml:space="preserve">Figure </w:t>
      </w:r>
      <w:r w:rsidR="002F3AE3">
        <w:rPr>
          <w:noProof/>
        </w:rPr>
        <w:fldChar w:fldCharType="begin"/>
      </w:r>
      <w:r w:rsidR="002F3AE3">
        <w:rPr>
          <w:noProof/>
        </w:rPr>
        <w:instrText xml:space="preserve"> SEQ Figure \* ARABIC </w:instrText>
      </w:r>
      <w:r w:rsidR="002F3AE3">
        <w:rPr>
          <w:noProof/>
        </w:rPr>
        <w:fldChar w:fldCharType="separate"/>
      </w:r>
      <w:r w:rsidR="00B83BFA">
        <w:rPr>
          <w:noProof/>
        </w:rPr>
        <w:t>4</w:t>
      </w:r>
      <w:r w:rsidR="002F3AE3">
        <w:rPr>
          <w:noProof/>
        </w:rPr>
        <w:fldChar w:fldCharType="end"/>
      </w:r>
      <w:bookmarkEnd w:id="65"/>
      <w:r>
        <w:rPr>
          <w:noProof/>
        </w:rPr>
        <w:t>: T</w:t>
      </w:r>
      <w:r w:rsidR="00730678">
        <w:rPr>
          <w:noProof/>
        </w:rPr>
        <w:t>rend in t</w:t>
      </w:r>
      <w:r>
        <w:rPr>
          <w:noProof/>
        </w:rPr>
        <w:t>otal emissions from fossil fuel combustion in the EU ETS</w:t>
      </w:r>
    </w:p>
    <w:p w14:paraId="600CBF62" w14:textId="77777777" w:rsidR="004A33F5" w:rsidRDefault="004A33F5" w:rsidP="004A33F5">
      <w:pPr>
        <w:pStyle w:val="CMR23-text"/>
        <w:keepNext/>
        <w:rPr>
          <w:noProof/>
        </w:rPr>
      </w:pPr>
      <w:r>
        <w:rPr>
          <w:noProof/>
          <w:lang w:eastAsia="en-GB"/>
        </w:rPr>
        <w:drawing>
          <wp:inline distT="0" distB="0" distL="0" distR="0" wp14:anchorId="065885C0" wp14:editId="32E6805D">
            <wp:extent cx="5731510" cy="3486785"/>
            <wp:effectExtent l="0" t="0" r="2540" b="18415"/>
            <wp:docPr id="7" name="Chart 7">
              <a:extLst xmlns:a="http://schemas.openxmlformats.org/drawingml/2006/main">
                <a:ext uri="{FF2B5EF4-FFF2-40B4-BE49-F238E27FC236}">
                  <a16:creationId xmlns:a16="http://schemas.microsoft.com/office/drawing/2014/main" id="{E31A8B9B-1EED-4BE2-9BBF-8A282EBCA1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C73D7C1" w14:textId="2DC9C59D" w:rsidR="004A33F5" w:rsidRDefault="004A33F5" w:rsidP="004A33F5">
      <w:pPr>
        <w:pStyle w:val="Caption"/>
        <w:rPr>
          <w:noProof/>
        </w:rPr>
      </w:pPr>
      <w:bookmarkStart w:id="66" w:name="_Ref148627397"/>
      <w:r>
        <w:rPr>
          <w:noProof/>
        </w:rPr>
        <w:t xml:space="preserve">Figure </w:t>
      </w:r>
      <w:r w:rsidR="002F3AE3">
        <w:rPr>
          <w:noProof/>
        </w:rPr>
        <w:fldChar w:fldCharType="begin"/>
      </w:r>
      <w:r w:rsidR="002F3AE3">
        <w:rPr>
          <w:noProof/>
        </w:rPr>
        <w:instrText xml:space="preserve"> SEQ Figure \* ARABIC </w:instrText>
      </w:r>
      <w:r w:rsidR="002F3AE3">
        <w:rPr>
          <w:noProof/>
        </w:rPr>
        <w:fldChar w:fldCharType="separate"/>
      </w:r>
      <w:r w:rsidR="00B83BFA">
        <w:rPr>
          <w:noProof/>
        </w:rPr>
        <w:t>5</w:t>
      </w:r>
      <w:r w:rsidR="002F3AE3">
        <w:rPr>
          <w:noProof/>
        </w:rPr>
        <w:fldChar w:fldCharType="end"/>
      </w:r>
      <w:bookmarkEnd w:id="66"/>
      <w:r>
        <w:rPr>
          <w:noProof/>
        </w:rPr>
        <w:t xml:space="preserve">: </w:t>
      </w:r>
      <w:r w:rsidRPr="0085226F">
        <w:rPr>
          <w:noProof/>
        </w:rPr>
        <w:t>Trend in the share of emissions of each fuel type</w:t>
      </w:r>
      <w:r>
        <w:rPr>
          <w:noProof/>
        </w:rPr>
        <w:t xml:space="preserve"> (% of total fuel emissions in ETS installations, labels not shown if fuel never reaches a share above 3% of the total) </w:t>
      </w:r>
    </w:p>
    <w:p w14:paraId="3D6FFDF3" w14:textId="6328E06D" w:rsidR="00AE214A" w:rsidRPr="004B4540" w:rsidRDefault="004A33F5" w:rsidP="004A33F5">
      <w:pPr>
        <w:pStyle w:val="Caption"/>
        <w:rPr>
          <w:noProof/>
          <w:szCs w:val="24"/>
        </w:rPr>
      </w:pPr>
      <w:r>
        <w:rPr>
          <w:noProof/>
        </w:rPr>
        <w:t>[*] not covered by the other specified fuels</w:t>
      </w:r>
    </w:p>
    <w:p w14:paraId="640073C2" w14:textId="77777777" w:rsidR="00112112" w:rsidRPr="004B4540" w:rsidRDefault="00112112" w:rsidP="00112112">
      <w:pPr>
        <w:jc w:val="both"/>
        <w:rPr>
          <w:rFonts w:ascii="Times New Roman" w:hAnsi="Times New Roman" w:cs="Times New Roman"/>
          <w:noProof/>
          <w:sz w:val="24"/>
          <w:szCs w:val="24"/>
        </w:rPr>
      </w:pPr>
      <w:r w:rsidRPr="004B4540">
        <w:rPr>
          <w:rFonts w:ascii="Times New Roman" w:hAnsi="Times New Roman" w:cs="Times New Roman"/>
          <w:noProof/>
          <w:sz w:val="24"/>
          <w:szCs w:val="24"/>
        </w:rPr>
        <w:t>From 1 January 2023</w:t>
      </w:r>
      <w:r w:rsidRPr="004B4540">
        <w:rPr>
          <w:rStyle w:val="FootnoteReference"/>
          <w:rFonts w:ascii="Times New Roman" w:hAnsi="Times New Roman" w:cs="Times New Roman"/>
          <w:noProof/>
          <w:sz w:val="24"/>
          <w:szCs w:val="24"/>
        </w:rPr>
        <w:footnoteReference w:id="71"/>
      </w:r>
      <w:r w:rsidRPr="004B4540">
        <w:rPr>
          <w:rFonts w:ascii="Times New Roman" w:hAnsi="Times New Roman" w:cs="Times New Roman"/>
          <w:noProof/>
          <w:sz w:val="24"/>
          <w:szCs w:val="24"/>
        </w:rPr>
        <w:t>, new sustainability and emissions savings criteria under the Renewable Energy Directive</w:t>
      </w:r>
      <w:r w:rsidRPr="004B4540">
        <w:rPr>
          <w:rStyle w:val="FootnoteReference"/>
          <w:rFonts w:ascii="Times New Roman" w:hAnsi="Times New Roman" w:cs="Times New Roman"/>
          <w:noProof/>
          <w:sz w:val="24"/>
          <w:szCs w:val="24"/>
        </w:rPr>
        <w:footnoteReference w:id="72"/>
      </w:r>
      <w:r w:rsidRPr="004B4540">
        <w:rPr>
          <w:rFonts w:ascii="Times New Roman" w:hAnsi="Times New Roman" w:cs="Times New Roman"/>
          <w:noProof/>
          <w:sz w:val="24"/>
          <w:szCs w:val="24"/>
        </w:rPr>
        <w:t xml:space="preserve"> apply to emissions from zero-rated biomass in the EU ETS. They include stricter criteria on biofuels and bioliquids and new criteria for solid and gaseous biomass.</w:t>
      </w:r>
    </w:p>
    <w:p w14:paraId="0065D08B" w14:textId="3902EE8F" w:rsidR="00112112" w:rsidRPr="004B4540" w:rsidRDefault="00112112" w:rsidP="00112112">
      <w:pPr>
        <w:jc w:val="both"/>
        <w:rPr>
          <w:rStyle w:val="BodyTextChar"/>
          <w:rFonts w:eastAsiaTheme="minorHAnsi"/>
          <w:noProof/>
        </w:rPr>
      </w:pPr>
      <w:r w:rsidRPr="004B4540">
        <w:rPr>
          <w:rFonts w:ascii="Times New Roman" w:hAnsi="Times New Roman" w:cs="Times New Roman"/>
          <w:noProof/>
          <w:sz w:val="24"/>
          <w:szCs w:val="24"/>
        </w:rPr>
        <w:t>Biomass fuels that meet the applicable sustainability criteria and greenhouse gas savings criteria or that are not covered by these criteria can be considered zero-rated. This means that their CO</w:t>
      </w:r>
      <w:r w:rsidRPr="004B4540">
        <w:rPr>
          <w:rFonts w:ascii="Times New Roman" w:hAnsi="Times New Roman" w:cs="Times New Roman"/>
          <w:noProof/>
          <w:sz w:val="24"/>
          <w:szCs w:val="24"/>
          <w:vertAlign w:val="subscript"/>
        </w:rPr>
        <w:t>2</w:t>
      </w:r>
      <w:r w:rsidRPr="004B4540">
        <w:rPr>
          <w:rFonts w:ascii="Times New Roman" w:hAnsi="Times New Roman" w:cs="Times New Roman"/>
          <w:noProof/>
          <w:sz w:val="24"/>
          <w:szCs w:val="24"/>
        </w:rPr>
        <w:t xml:space="preserve"> emissions do not count as fossil CO</w:t>
      </w:r>
      <w:r w:rsidRPr="004B4540">
        <w:rPr>
          <w:rFonts w:ascii="Times New Roman" w:hAnsi="Times New Roman" w:cs="Times New Roman"/>
          <w:noProof/>
          <w:sz w:val="24"/>
          <w:szCs w:val="24"/>
          <w:vertAlign w:val="subscript"/>
        </w:rPr>
        <w:t>2</w:t>
      </w:r>
      <w:r w:rsidRPr="004B4540">
        <w:rPr>
          <w:rFonts w:ascii="Times New Roman" w:hAnsi="Times New Roman" w:cs="Times New Roman"/>
          <w:noProof/>
          <w:sz w:val="24"/>
          <w:szCs w:val="24"/>
        </w:rPr>
        <w:t xml:space="preserve">. Operators do not need to surrender ETS allowances for these zero-rated </w:t>
      </w:r>
      <w:r w:rsidRPr="004B4540">
        <w:rPr>
          <w:rStyle w:val="BodyTextChar"/>
          <w:rFonts w:eastAsiaTheme="minorHAnsi"/>
          <w:noProof/>
        </w:rPr>
        <w:t xml:space="preserve">emissions. Therefore, in </w:t>
      </w:r>
      <w:r w:rsidR="00B83BFA" w:rsidRPr="00B83BFA">
        <w:rPr>
          <w:rStyle w:val="CMR23-textChar"/>
          <w:noProof/>
        </w:rPr>
        <w:t>Fig</w:t>
      </w:r>
      <w:r w:rsidR="00B83BFA">
        <w:rPr>
          <w:rStyle w:val="CMR23-textChar"/>
          <w:noProof/>
        </w:rPr>
        <w:t>ure 5</w:t>
      </w:r>
      <w:r w:rsidRPr="004B4540">
        <w:rPr>
          <w:rStyle w:val="BodyTextChar"/>
          <w:rFonts w:eastAsiaTheme="minorHAnsi"/>
          <w:noProof/>
        </w:rPr>
        <w:t>, the zero-rated biomass emissions are shown on top of the fossil fuel emissions.</w:t>
      </w:r>
    </w:p>
    <w:p w14:paraId="5CFE09A9" w14:textId="0FF11A22" w:rsidR="00112112" w:rsidRPr="004B4540" w:rsidRDefault="00817C42" w:rsidP="00112112">
      <w:pPr>
        <w:jc w:val="both"/>
        <w:rPr>
          <w:rFonts w:ascii="Times New Roman" w:hAnsi="Times New Roman" w:cs="Times New Roman"/>
          <w:noProof/>
          <w:sz w:val="24"/>
          <w:szCs w:val="24"/>
        </w:rPr>
      </w:pPr>
      <w:r w:rsidRPr="00817C42">
        <w:rPr>
          <w:rStyle w:val="CMR23-textChar"/>
          <w:noProof/>
        </w:rPr>
        <w:fldChar w:fldCharType="begin"/>
      </w:r>
      <w:r w:rsidRPr="00817C42">
        <w:rPr>
          <w:rStyle w:val="CMR23-textChar"/>
          <w:noProof/>
        </w:rPr>
        <w:instrText xml:space="preserve"> REF _Ref148628157 \h </w:instrText>
      </w:r>
      <w:r>
        <w:rPr>
          <w:rStyle w:val="CMR23-textChar"/>
          <w:noProof/>
        </w:rPr>
        <w:instrText xml:space="preserve"> \* MERGEFORMAT </w:instrText>
      </w:r>
      <w:r w:rsidRPr="00817C42">
        <w:rPr>
          <w:rStyle w:val="CMR23-textChar"/>
          <w:noProof/>
        </w:rPr>
      </w:r>
      <w:r w:rsidRPr="00817C42">
        <w:rPr>
          <w:rStyle w:val="CMR23-textChar"/>
          <w:noProof/>
        </w:rPr>
        <w:fldChar w:fldCharType="separate"/>
      </w:r>
      <w:r w:rsidR="00B83BFA" w:rsidRPr="00B83BFA">
        <w:rPr>
          <w:rStyle w:val="CMR23-textChar"/>
          <w:noProof/>
        </w:rPr>
        <w:t>Figure 6</w:t>
      </w:r>
      <w:r w:rsidRPr="00817C42">
        <w:rPr>
          <w:rStyle w:val="CMR23-textChar"/>
          <w:noProof/>
        </w:rPr>
        <w:fldChar w:fldCharType="end"/>
      </w:r>
      <w:r>
        <w:rPr>
          <w:rStyle w:val="BodyTextChar"/>
          <w:rFonts w:eastAsiaTheme="minorHAnsi"/>
          <w:noProof/>
        </w:rPr>
        <w:t xml:space="preserve"> </w:t>
      </w:r>
      <w:r w:rsidR="00112112" w:rsidRPr="004B4540">
        <w:rPr>
          <w:rStyle w:val="BodyTextChar"/>
          <w:rFonts w:eastAsiaTheme="minorHAnsi"/>
          <w:noProof/>
        </w:rPr>
        <w:t>demonstrates how zero-rated emissions from biomass are split between Category A, B, and C installations in</w:t>
      </w:r>
      <w:r w:rsidR="00112112" w:rsidRPr="004B4540">
        <w:rPr>
          <w:rFonts w:ascii="Times New Roman" w:hAnsi="Times New Roman" w:cs="Times New Roman"/>
          <w:noProof/>
          <w:sz w:val="24"/>
          <w:szCs w:val="24"/>
        </w:rPr>
        <w:t xml:space="preserve"> the EU ETS. The split excludes the absorption phase and the net value of emissions. The zero-rated emissions from biomass were 173 Mt CO</w:t>
      </w:r>
      <w:r w:rsidR="00112112" w:rsidRPr="004B4540">
        <w:rPr>
          <w:rFonts w:ascii="Times New Roman" w:hAnsi="Times New Roman" w:cs="Times New Roman"/>
          <w:noProof/>
          <w:sz w:val="24"/>
          <w:szCs w:val="24"/>
          <w:vertAlign w:val="subscript"/>
        </w:rPr>
        <w:t>2</w:t>
      </w:r>
      <w:r w:rsidR="00112112" w:rsidRPr="004B4540">
        <w:rPr>
          <w:rFonts w:ascii="Times New Roman" w:hAnsi="Times New Roman" w:cs="Times New Roman"/>
          <w:noProof/>
          <w:sz w:val="24"/>
          <w:szCs w:val="24"/>
        </w:rPr>
        <w:t>eq,  in 2022, and similar to the previous year.</w:t>
      </w:r>
    </w:p>
    <w:p w14:paraId="71FEDCFF" w14:textId="5F061C0A" w:rsidR="00112112" w:rsidRPr="004B4540" w:rsidRDefault="00112112" w:rsidP="00112112">
      <w:pPr>
        <w:jc w:val="both"/>
        <w:rPr>
          <w:rFonts w:ascii="Times New Roman" w:hAnsi="Times New Roman" w:cs="Times New Roman"/>
          <w:noProof/>
          <w:sz w:val="24"/>
          <w:szCs w:val="24"/>
        </w:rPr>
      </w:pPr>
      <w:r w:rsidRPr="004B4540">
        <w:rPr>
          <w:rFonts w:ascii="Times New Roman" w:hAnsi="Times New Roman" w:cs="Times New Roman"/>
          <w:noProof/>
          <w:sz w:val="24"/>
          <w:szCs w:val="24"/>
        </w:rPr>
        <w:t>Emissions from non-zero-rated biomass remained minimal at around 1.3</w:t>
      </w:r>
      <w:r w:rsidR="00481AE1" w:rsidRPr="004B4540">
        <w:rPr>
          <w:rFonts w:ascii="Times New Roman" w:hAnsi="Times New Roman" w:cs="Times New Roman"/>
          <w:noProof/>
          <w:sz w:val="24"/>
          <w:szCs w:val="24"/>
        </w:rPr>
        <w:t> </w:t>
      </w:r>
      <w:r w:rsidRPr="004B4540">
        <w:rPr>
          <w:rFonts w:ascii="Times New Roman" w:hAnsi="Times New Roman" w:cs="Times New Roman"/>
          <w:noProof/>
          <w:sz w:val="24"/>
          <w:szCs w:val="24"/>
        </w:rPr>
        <w:t>Mt</w:t>
      </w:r>
      <w:r w:rsidR="00481AE1" w:rsidRPr="004B4540">
        <w:rPr>
          <w:rFonts w:ascii="Times New Roman" w:hAnsi="Times New Roman" w:cs="Times New Roman"/>
          <w:noProof/>
          <w:sz w:val="24"/>
          <w:szCs w:val="24"/>
        </w:rPr>
        <w:t> </w:t>
      </w:r>
      <w:r w:rsidRPr="004B4540">
        <w:rPr>
          <w:rFonts w:ascii="Times New Roman" w:hAnsi="Times New Roman" w:cs="Times New Roman"/>
          <w:noProof/>
          <w:sz w:val="24"/>
          <w:szCs w:val="24"/>
        </w:rPr>
        <w:t>CO</w:t>
      </w:r>
      <w:r w:rsidRPr="004B4540">
        <w:rPr>
          <w:rFonts w:ascii="Times New Roman" w:hAnsi="Times New Roman" w:cs="Times New Roman"/>
          <w:noProof/>
          <w:sz w:val="24"/>
          <w:szCs w:val="24"/>
          <w:vertAlign w:val="subscript"/>
        </w:rPr>
        <w:t>2</w:t>
      </w:r>
      <w:r w:rsidRPr="004B4540">
        <w:rPr>
          <w:rFonts w:ascii="Times New Roman" w:hAnsi="Times New Roman" w:cs="Times New Roman"/>
          <w:noProof/>
          <w:sz w:val="24"/>
          <w:szCs w:val="24"/>
        </w:rPr>
        <w:t>eq, accounting for just under 0.1% of total ETS emissions from stationary installations. Whilst this is almost the same share as in 2021, it is expected to increase due to the requirements for zero-rated biomass becoming stricter, particularly after 2023. Until</w:t>
      </w:r>
      <w:r w:rsidR="00481AE1" w:rsidRPr="004B4540">
        <w:rPr>
          <w:rFonts w:ascii="Times New Roman" w:hAnsi="Times New Roman" w:cs="Times New Roman"/>
          <w:noProof/>
          <w:sz w:val="24"/>
          <w:szCs w:val="24"/>
        </w:rPr>
        <w:t> </w:t>
      </w:r>
      <w:r w:rsidRPr="004B4540">
        <w:rPr>
          <w:rFonts w:ascii="Times New Roman" w:hAnsi="Times New Roman" w:cs="Times New Roman"/>
          <w:noProof/>
          <w:sz w:val="24"/>
          <w:szCs w:val="24"/>
        </w:rPr>
        <w:t>1</w:t>
      </w:r>
      <w:r w:rsidR="00481AE1" w:rsidRPr="004B4540">
        <w:rPr>
          <w:rFonts w:ascii="Times New Roman" w:hAnsi="Times New Roman" w:cs="Times New Roman"/>
          <w:noProof/>
          <w:sz w:val="24"/>
          <w:szCs w:val="24"/>
        </w:rPr>
        <w:t> </w:t>
      </w:r>
      <w:r w:rsidRPr="004B4540">
        <w:rPr>
          <w:rFonts w:ascii="Times New Roman" w:hAnsi="Times New Roman" w:cs="Times New Roman"/>
          <w:noProof/>
          <w:sz w:val="24"/>
          <w:szCs w:val="24"/>
        </w:rPr>
        <w:t>January</w:t>
      </w:r>
      <w:r w:rsidR="00481AE1" w:rsidRPr="004B4540">
        <w:rPr>
          <w:rFonts w:ascii="Times New Roman" w:hAnsi="Times New Roman" w:cs="Times New Roman"/>
          <w:noProof/>
          <w:sz w:val="24"/>
          <w:szCs w:val="24"/>
        </w:rPr>
        <w:t> </w:t>
      </w:r>
      <w:r w:rsidRPr="004B4540">
        <w:rPr>
          <w:rFonts w:ascii="Times New Roman" w:hAnsi="Times New Roman" w:cs="Times New Roman"/>
          <w:noProof/>
          <w:sz w:val="24"/>
          <w:szCs w:val="24"/>
        </w:rPr>
        <w:t>2023, national authorities may allow installations to zero-rate emissions from biomass without demonstrating compliance with the Renewable Energy Directive II criteria for sustainability and emissions savings.</w:t>
      </w:r>
    </w:p>
    <w:p w14:paraId="68AC3230" w14:textId="77777777" w:rsidR="00C61DC5" w:rsidRDefault="00C61DC5" w:rsidP="00C61DC5">
      <w:pPr>
        <w:keepNext/>
        <w:jc w:val="both"/>
        <w:rPr>
          <w:noProof/>
        </w:rPr>
      </w:pPr>
      <w:r>
        <w:rPr>
          <w:noProof/>
          <w:lang w:eastAsia="en-GB"/>
        </w:rPr>
        <w:drawing>
          <wp:inline distT="0" distB="0" distL="0" distR="0" wp14:anchorId="32FF0ACA" wp14:editId="50EE650C">
            <wp:extent cx="5731510" cy="3018155"/>
            <wp:effectExtent l="0" t="0" r="2540" b="10795"/>
            <wp:docPr id="9" name="Chart 9">
              <a:extLst xmlns:a="http://schemas.openxmlformats.org/drawingml/2006/main">
                <a:ext uri="{FF2B5EF4-FFF2-40B4-BE49-F238E27FC236}">
                  <a16:creationId xmlns:a16="http://schemas.microsoft.com/office/drawing/2014/main" id="{5332379D-5693-4A36-8138-E32EA6DA68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36EB12F" w14:textId="5C92204A" w:rsidR="006F480C" w:rsidRDefault="00C61DC5" w:rsidP="00C61DC5">
      <w:pPr>
        <w:pStyle w:val="Caption"/>
        <w:rPr>
          <w:noProof/>
        </w:rPr>
      </w:pPr>
      <w:bookmarkStart w:id="67" w:name="_Ref148628157"/>
      <w:r>
        <w:rPr>
          <w:noProof/>
        </w:rPr>
        <w:t xml:space="preserve">Figure </w:t>
      </w:r>
      <w:r w:rsidR="002F3AE3">
        <w:rPr>
          <w:noProof/>
        </w:rPr>
        <w:fldChar w:fldCharType="begin"/>
      </w:r>
      <w:r w:rsidR="002F3AE3">
        <w:rPr>
          <w:noProof/>
        </w:rPr>
        <w:instrText xml:space="preserve"> SEQ Figure \* ARABIC </w:instrText>
      </w:r>
      <w:r w:rsidR="002F3AE3">
        <w:rPr>
          <w:noProof/>
        </w:rPr>
        <w:fldChar w:fldCharType="separate"/>
      </w:r>
      <w:r w:rsidR="00B83BFA">
        <w:rPr>
          <w:noProof/>
        </w:rPr>
        <w:t>6</w:t>
      </w:r>
      <w:r w:rsidR="002F3AE3">
        <w:rPr>
          <w:noProof/>
        </w:rPr>
        <w:fldChar w:fldCharType="end"/>
      </w:r>
      <w:bookmarkEnd w:id="67"/>
      <w:r>
        <w:rPr>
          <w:noProof/>
        </w:rPr>
        <w:t xml:space="preserve">: </w:t>
      </w:r>
      <w:r w:rsidRPr="002428BC">
        <w:rPr>
          <w:noProof/>
        </w:rPr>
        <w:t>Annual emissions of ETS installations, originating from zero-rated bioma</w:t>
      </w:r>
      <w:r w:rsidR="00817C42">
        <w:rPr>
          <w:noProof/>
        </w:rPr>
        <w:t>s</w:t>
      </w:r>
      <w:r w:rsidRPr="002428BC">
        <w:rPr>
          <w:noProof/>
        </w:rPr>
        <w:t>s, from 2013 to 2020 (million tonnes CO</w:t>
      </w:r>
      <w:r w:rsidRPr="00C61DC5">
        <w:rPr>
          <w:noProof/>
          <w:vertAlign w:val="subscript"/>
        </w:rPr>
        <w:t>2</w:t>
      </w:r>
      <w:r w:rsidRPr="002428BC">
        <w:rPr>
          <w:noProof/>
        </w:rPr>
        <w:t>eq)</w:t>
      </w:r>
    </w:p>
    <w:p w14:paraId="6ACCE09A" w14:textId="76D8D8CC" w:rsidR="00D8204C" w:rsidRPr="006F480C" w:rsidRDefault="006F480C" w:rsidP="006F480C">
      <w:pPr>
        <w:rPr>
          <w:rFonts w:ascii="Times New Roman" w:eastAsia="Calibri" w:hAnsi="Times New Roman" w:cs="Times New Roman"/>
          <w:bCs/>
          <w:i/>
          <w:noProof/>
          <w:szCs w:val="20"/>
        </w:rPr>
      </w:pPr>
      <w:r>
        <w:rPr>
          <w:noProof/>
        </w:rPr>
        <w:br w:type="page"/>
      </w:r>
    </w:p>
    <w:p w14:paraId="182BBB74" w14:textId="5B545A60" w:rsidR="00207543" w:rsidRPr="004B4540" w:rsidRDefault="00C84DBA" w:rsidP="00F84ECB">
      <w:pPr>
        <w:pStyle w:val="CMR23-heading"/>
        <w:rPr>
          <w:rFonts w:cs="Times New Roman"/>
          <w:noProof/>
          <w:sz w:val="24"/>
          <w:szCs w:val="24"/>
          <w:lang w:val="en-GB"/>
        </w:rPr>
      </w:pPr>
      <w:bookmarkStart w:id="68" w:name="_Toc145453242"/>
      <w:bookmarkStart w:id="69" w:name="_Toc148555892"/>
      <w:r w:rsidRPr="004B4540">
        <w:rPr>
          <w:rFonts w:cs="Times New Roman"/>
          <w:noProof/>
          <w:sz w:val="24"/>
          <w:szCs w:val="24"/>
          <w:lang w:val="en-GB"/>
        </w:rPr>
        <w:t>Balancing supply and demand in the EU carbon market</w:t>
      </w:r>
      <w:bookmarkEnd w:id="68"/>
      <w:bookmarkEnd w:id="69"/>
    </w:p>
    <w:p w14:paraId="102D7062" w14:textId="081B0913" w:rsidR="00C02A79" w:rsidRPr="004B4540" w:rsidRDefault="00FC76D0" w:rsidP="008B6910">
      <w:pPr>
        <w:pStyle w:val="CMR23-text"/>
        <w:rPr>
          <w:rFonts w:cs="Times New Roman"/>
          <w:noProof/>
          <w:szCs w:val="24"/>
        </w:rPr>
      </w:pPr>
      <w:r w:rsidRPr="004B4540">
        <w:rPr>
          <w:rFonts w:cs="Times New Roman"/>
          <w:noProof/>
          <w:szCs w:val="24"/>
        </w:rPr>
        <w:t>The Market Stability Reserve (MSR) was created</w:t>
      </w:r>
      <w:r w:rsidR="00272054" w:rsidRPr="004B4540">
        <w:rPr>
          <w:rFonts w:cs="Times New Roman"/>
          <w:noProof/>
          <w:szCs w:val="24"/>
        </w:rPr>
        <w:t xml:space="preserve"> as a</w:t>
      </w:r>
      <w:r w:rsidR="00D00F74" w:rsidRPr="004B4540">
        <w:rPr>
          <w:rFonts w:cs="Times New Roman"/>
          <w:noProof/>
          <w:szCs w:val="24"/>
        </w:rPr>
        <w:t xml:space="preserve"> rule</w:t>
      </w:r>
      <w:r w:rsidR="0011317D" w:rsidRPr="004B4540">
        <w:rPr>
          <w:rFonts w:cs="Times New Roman"/>
          <w:noProof/>
          <w:szCs w:val="24"/>
        </w:rPr>
        <w:t>-based,</w:t>
      </w:r>
      <w:r w:rsidR="00272054" w:rsidRPr="004B4540">
        <w:rPr>
          <w:rFonts w:cs="Times New Roman"/>
          <w:noProof/>
          <w:szCs w:val="24"/>
        </w:rPr>
        <w:t xml:space="preserve"> long-term solution </w:t>
      </w:r>
      <w:r w:rsidRPr="004B4540">
        <w:rPr>
          <w:rFonts w:cs="Times New Roman"/>
          <w:noProof/>
          <w:szCs w:val="24"/>
        </w:rPr>
        <w:t>to</w:t>
      </w:r>
      <w:r w:rsidR="00272054" w:rsidRPr="004B4540">
        <w:rPr>
          <w:rFonts w:cs="Times New Roman"/>
          <w:noProof/>
          <w:szCs w:val="24"/>
        </w:rPr>
        <w:t xml:space="preserve"> a structural imbalance between the supply of and demand</w:t>
      </w:r>
      <w:r w:rsidR="007121AA" w:rsidRPr="004B4540">
        <w:rPr>
          <w:rFonts w:cs="Times New Roman"/>
          <w:noProof/>
          <w:szCs w:val="24"/>
        </w:rPr>
        <w:t xml:space="preserve"> for</w:t>
      </w:r>
      <w:r w:rsidR="00272054" w:rsidRPr="004B4540">
        <w:rPr>
          <w:rFonts w:cs="Times New Roman"/>
          <w:noProof/>
          <w:szCs w:val="24"/>
        </w:rPr>
        <w:t xml:space="preserve"> </w:t>
      </w:r>
      <w:r w:rsidR="007121AA" w:rsidRPr="004B4540">
        <w:rPr>
          <w:rFonts w:cs="Times New Roman"/>
          <w:noProof/>
          <w:szCs w:val="24"/>
        </w:rPr>
        <w:t xml:space="preserve">allowances </w:t>
      </w:r>
      <w:r w:rsidR="00D73E60" w:rsidRPr="004B4540">
        <w:rPr>
          <w:rFonts w:cs="Times New Roman"/>
          <w:noProof/>
          <w:szCs w:val="24"/>
        </w:rPr>
        <w:t>in the EU ETS a</w:t>
      </w:r>
      <w:r w:rsidR="0071629A" w:rsidRPr="004B4540">
        <w:rPr>
          <w:rFonts w:cs="Times New Roman"/>
          <w:noProof/>
          <w:szCs w:val="24"/>
        </w:rPr>
        <w:t>t the start of phase 3</w:t>
      </w:r>
      <w:r w:rsidR="00607BFD" w:rsidRPr="004B4540">
        <w:rPr>
          <w:rFonts w:cs="Times New Roman"/>
          <w:noProof/>
          <w:szCs w:val="24"/>
        </w:rPr>
        <w:t>. I</w:t>
      </w:r>
      <w:r w:rsidR="0071629A" w:rsidRPr="004B4540">
        <w:rPr>
          <w:rFonts w:cs="Times New Roman"/>
          <w:noProof/>
          <w:szCs w:val="24"/>
        </w:rPr>
        <w:t>n 2013</w:t>
      </w:r>
      <w:r w:rsidR="00CF6236" w:rsidRPr="004B4540">
        <w:rPr>
          <w:rFonts w:cs="Times New Roman"/>
          <w:noProof/>
          <w:szCs w:val="24"/>
        </w:rPr>
        <w:t>, t</w:t>
      </w:r>
      <w:r w:rsidR="0071629A" w:rsidRPr="004B4540">
        <w:rPr>
          <w:rFonts w:cs="Times New Roman"/>
          <w:noProof/>
          <w:szCs w:val="24"/>
        </w:rPr>
        <w:t xml:space="preserve">he </w:t>
      </w:r>
      <w:r w:rsidR="005F123B" w:rsidRPr="004B4540">
        <w:rPr>
          <w:rFonts w:cs="Times New Roman"/>
          <w:noProof/>
          <w:szCs w:val="24"/>
        </w:rPr>
        <w:t xml:space="preserve">EU </w:t>
      </w:r>
      <w:r w:rsidR="0071629A" w:rsidRPr="004B4540">
        <w:rPr>
          <w:rFonts w:cs="Times New Roman"/>
          <w:noProof/>
          <w:szCs w:val="24"/>
        </w:rPr>
        <w:t>carbon market had a surplus of 2.1 billion allowances</w:t>
      </w:r>
      <w:r w:rsidR="00D262AB" w:rsidRPr="004B4540">
        <w:rPr>
          <w:rFonts w:cs="Times New Roman"/>
          <w:noProof/>
          <w:szCs w:val="24"/>
        </w:rPr>
        <w:t xml:space="preserve"> (after providing for </w:t>
      </w:r>
      <w:r w:rsidR="00434E7B" w:rsidRPr="004B4540">
        <w:rPr>
          <w:rFonts w:cs="Times New Roman"/>
          <w:noProof/>
          <w:szCs w:val="24"/>
        </w:rPr>
        <w:t>the use of 1.6 billion international credits</w:t>
      </w:r>
      <w:r w:rsidR="00C02A79" w:rsidRPr="004B4540">
        <w:rPr>
          <w:rFonts w:cs="Times New Roman"/>
          <w:noProof/>
          <w:szCs w:val="24"/>
        </w:rPr>
        <w:t xml:space="preserve"> for compliance in the EU ETS</w:t>
      </w:r>
      <w:r w:rsidR="00434E7B" w:rsidRPr="004B4540">
        <w:rPr>
          <w:rFonts w:cs="Times New Roman"/>
          <w:noProof/>
          <w:szCs w:val="24"/>
        </w:rPr>
        <w:t>)</w:t>
      </w:r>
      <w:r w:rsidR="0071629A" w:rsidRPr="004B4540">
        <w:rPr>
          <w:rFonts w:cs="Times New Roman"/>
          <w:noProof/>
          <w:szCs w:val="24"/>
        </w:rPr>
        <w:t xml:space="preserve">. </w:t>
      </w:r>
    </w:p>
    <w:p w14:paraId="4BDA4859" w14:textId="33FDDEAC" w:rsidR="001D3FA7" w:rsidRPr="004B4540" w:rsidRDefault="008B6910" w:rsidP="008B6910">
      <w:pPr>
        <w:pStyle w:val="CMR23-text"/>
        <w:rPr>
          <w:rFonts w:cs="Times New Roman"/>
          <w:noProof/>
          <w:szCs w:val="24"/>
        </w:rPr>
      </w:pPr>
      <w:r w:rsidRPr="004B4540">
        <w:rPr>
          <w:rFonts w:cs="Times New Roman"/>
          <w:noProof/>
          <w:szCs w:val="24"/>
        </w:rPr>
        <w:t xml:space="preserve">The MSR </w:t>
      </w:r>
      <w:r w:rsidR="0040562F" w:rsidRPr="004B4540">
        <w:rPr>
          <w:rFonts w:cs="Times New Roman"/>
          <w:noProof/>
          <w:szCs w:val="24"/>
        </w:rPr>
        <w:t>adjust</w:t>
      </w:r>
      <w:r w:rsidR="00E92EBE" w:rsidRPr="004B4540">
        <w:rPr>
          <w:rFonts w:cs="Times New Roman"/>
          <w:noProof/>
          <w:szCs w:val="24"/>
        </w:rPr>
        <w:t>s</w:t>
      </w:r>
      <w:r w:rsidR="0040562F" w:rsidRPr="004B4540">
        <w:rPr>
          <w:rFonts w:cs="Times New Roman"/>
          <w:noProof/>
          <w:szCs w:val="24"/>
        </w:rPr>
        <w:t xml:space="preserve"> the supply of allowances</w:t>
      </w:r>
      <w:r w:rsidR="00535117" w:rsidRPr="004B4540">
        <w:rPr>
          <w:rFonts w:cs="Times New Roman"/>
          <w:noProof/>
          <w:szCs w:val="24"/>
        </w:rPr>
        <w:t xml:space="preserve"> in the EU ETS</w:t>
      </w:r>
      <w:r w:rsidR="001D2856" w:rsidRPr="004B4540">
        <w:rPr>
          <w:rFonts w:cs="Times New Roman"/>
          <w:noProof/>
          <w:szCs w:val="24"/>
        </w:rPr>
        <w:t xml:space="preserve"> according to </w:t>
      </w:r>
      <w:r w:rsidR="00DB42B0" w:rsidRPr="004B4540">
        <w:rPr>
          <w:rFonts w:cs="Times New Roman"/>
          <w:noProof/>
          <w:szCs w:val="24"/>
        </w:rPr>
        <w:t>pre-set</w:t>
      </w:r>
      <w:r w:rsidR="00513ACC" w:rsidRPr="004B4540">
        <w:rPr>
          <w:rFonts w:cs="Times New Roman"/>
          <w:noProof/>
          <w:szCs w:val="24"/>
        </w:rPr>
        <w:t xml:space="preserve"> thresholds</w:t>
      </w:r>
      <w:r w:rsidR="00035A5D" w:rsidRPr="004B4540">
        <w:rPr>
          <w:rFonts w:cs="Times New Roman"/>
          <w:noProof/>
          <w:szCs w:val="24"/>
        </w:rPr>
        <w:t xml:space="preserve"> </w:t>
      </w:r>
      <w:r w:rsidRPr="004B4540">
        <w:rPr>
          <w:rFonts w:cs="Times New Roman"/>
          <w:noProof/>
          <w:szCs w:val="24"/>
        </w:rPr>
        <w:t xml:space="preserve">of the total number of allowances in circulation (TNAC). </w:t>
      </w:r>
      <w:r w:rsidR="007C461C" w:rsidRPr="004B4540">
        <w:rPr>
          <w:rFonts w:cs="Times New Roman"/>
          <w:noProof/>
          <w:szCs w:val="24"/>
        </w:rPr>
        <w:t>Based</w:t>
      </w:r>
      <w:r w:rsidR="008075ED" w:rsidRPr="004B4540">
        <w:rPr>
          <w:rFonts w:cs="Times New Roman"/>
          <w:noProof/>
          <w:szCs w:val="24"/>
        </w:rPr>
        <w:t xml:space="preserve"> on the </w:t>
      </w:r>
      <w:r w:rsidR="007C461C" w:rsidRPr="004B4540">
        <w:rPr>
          <w:rFonts w:cs="Times New Roman"/>
          <w:noProof/>
          <w:szCs w:val="24"/>
        </w:rPr>
        <w:t>level of</w:t>
      </w:r>
      <w:r w:rsidR="008075ED" w:rsidRPr="004B4540">
        <w:rPr>
          <w:rFonts w:cs="Times New Roman"/>
          <w:noProof/>
          <w:szCs w:val="24"/>
        </w:rPr>
        <w:t xml:space="preserve"> the TNAC, allowances are either withdrawn</w:t>
      </w:r>
      <w:r w:rsidR="007C461C" w:rsidRPr="004B4540">
        <w:rPr>
          <w:rStyle w:val="FootnoteReference"/>
          <w:rFonts w:cs="Times New Roman"/>
          <w:noProof/>
          <w:szCs w:val="24"/>
        </w:rPr>
        <w:footnoteReference w:id="73"/>
      </w:r>
      <w:r w:rsidR="008075ED" w:rsidRPr="004B4540">
        <w:rPr>
          <w:rFonts w:cs="Times New Roman"/>
          <w:noProof/>
          <w:szCs w:val="24"/>
        </w:rPr>
        <w:t xml:space="preserve"> from auctions and placed in the Reserve or released</w:t>
      </w:r>
      <w:r w:rsidR="00025439" w:rsidRPr="004B4540">
        <w:rPr>
          <w:rFonts w:cs="Times New Roman"/>
          <w:noProof/>
          <w:szCs w:val="24"/>
        </w:rPr>
        <w:t xml:space="preserve"> from the Reserve and auctioned</w:t>
      </w:r>
      <w:r w:rsidR="008075ED" w:rsidRPr="004B4540">
        <w:rPr>
          <w:rFonts w:cs="Times New Roman"/>
          <w:noProof/>
          <w:szCs w:val="24"/>
        </w:rPr>
        <w:t xml:space="preserve">. </w:t>
      </w:r>
      <w:r w:rsidR="00DA6918" w:rsidRPr="004B4540">
        <w:rPr>
          <w:rFonts w:cs="Times New Roman"/>
          <w:noProof/>
          <w:szCs w:val="24"/>
        </w:rPr>
        <w:t>This way, the MSR fosters balance and resilience to future supply-demand shocks</w:t>
      </w:r>
      <w:r w:rsidR="00AC1AFF" w:rsidRPr="004B4540">
        <w:rPr>
          <w:rFonts w:cs="Times New Roman"/>
          <w:noProof/>
          <w:szCs w:val="24"/>
        </w:rPr>
        <w:t xml:space="preserve">, allowing </w:t>
      </w:r>
      <w:r w:rsidR="00D975DE" w:rsidRPr="004B4540">
        <w:rPr>
          <w:rFonts w:cs="Times New Roman"/>
          <w:noProof/>
          <w:szCs w:val="24"/>
        </w:rPr>
        <w:t xml:space="preserve">the EU carbon market </w:t>
      </w:r>
      <w:r w:rsidR="00AC1AFF" w:rsidRPr="004B4540">
        <w:rPr>
          <w:rFonts w:cs="Times New Roman"/>
          <w:noProof/>
          <w:szCs w:val="24"/>
        </w:rPr>
        <w:t>to function smoothly</w:t>
      </w:r>
      <w:r w:rsidR="00DA6918" w:rsidRPr="004B4540">
        <w:rPr>
          <w:rFonts w:cs="Times New Roman"/>
          <w:noProof/>
          <w:szCs w:val="24"/>
        </w:rPr>
        <w:t xml:space="preserve">. </w:t>
      </w:r>
      <w:r w:rsidR="00A17D36" w:rsidRPr="004B4540">
        <w:rPr>
          <w:rFonts w:cs="Times New Roman"/>
          <w:noProof/>
          <w:szCs w:val="24"/>
        </w:rPr>
        <w:t>The Reserve began operating in 2019 and has since withdraw</w:t>
      </w:r>
      <w:r w:rsidR="00035C79" w:rsidRPr="004B4540">
        <w:rPr>
          <w:rFonts w:cs="Times New Roman"/>
          <w:noProof/>
          <w:szCs w:val="24"/>
        </w:rPr>
        <w:t>n</w:t>
      </w:r>
      <w:r w:rsidR="00A17D36" w:rsidRPr="004B4540">
        <w:rPr>
          <w:rFonts w:cs="Times New Roman"/>
          <w:noProof/>
          <w:szCs w:val="24"/>
        </w:rPr>
        <w:t xml:space="preserve"> allowances from circulation.</w:t>
      </w:r>
    </w:p>
    <w:p w14:paraId="686C5936" w14:textId="58DF083E" w:rsidR="00BA0334" w:rsidRPr="004B4540" w:rsidRDefault="005D1595" w:rsidP="00BA0334">
      <w:pPr>
        <w:pStyle w:val="CMR23-text"/>
        <w:rPr>
          <w:rFonts w:cs="Times New Roman"/>
          <w:noProof/>
          <w:szCs w:val="24"/>
        </w:rPr>
      </w:pPr>
      <w:r w:rsidRPr="004B4540">
        <w:rPr>
          <w:rFonts w:cs="Times New Roman"/>
          <w:noProof/>
          <w:szCs w:val="24"/>
        </w:rPr>
        <w:t xml:space="preserve">The Commission publishes the TNAC annually. It is calculated for the preceding year, while the supply adjustments follow the publication over a 12-month period and according to a specific key. </w:t>
      </w:r>
      <w:r w:rsidR="00900AEC" w:rsidRPr="004B4540">
        <w:rPr>
          <w:rFonts w:cs="Times New Roman"/>
          <w:noProof/>
          <w:szCs w:val="24"/>
        </w:rPr>
        <w:t>On 15 May 2023</w:t>
      </w:r>
      <w:r w:rsidR="00667AC9" w:rsidRPr="004B4540">
        <w:rPr>
          <w:rFonts w:cs="Times New Roman"/>
          <w:noProof/>
          <w:szCs w:val="24"/>
        </w:rPr>
        <w:t>, the Commission published the</w:t>
      </w:r>
      <w:r w:rsidR="004F5CB4" w:rsidRPr="004B4540">
        <w:rPr>
          <w:rFonts w:cs="Times New Roman"/>
          <w:noProof/>
          <w:szCs w:val="24"/>
        </w:rPr>
        <w:t xml:space="preserve"> Communication on the</w:t>
      </w:r>
      <w:r w:rsidR="00667AC9" w:rsidRPr="004B4540">
        <w:rPr>
          <w:rFonts w:cs="Times New Roman"/>
          <w:noProof/>
          <w:szCs w:val="24"/>
        </w:rPr>
        <w:t xml:space="preserve"> TNAC</w:t>
      </w:r>
      <w:r w:rsidR="006840E0" w:rsidRPr="004B4540">
        <w:rPr>
          <w:rFonts w:cs="Times New Roman"/>
          <w:noProof/>
          <w:szCs w:val="24"/>
        </w:rPr>
        <w:t xml:space="preserve"> </w:t>
      </w:r>
      <w:r w:rsidR="004F5CB4" w:rsidRPr="004B4540">
        <w:rPr>
          <w:rFonts w:cs="Times New Roman"/>
          <w:noProof/>
          <w:szCs w:val="24"/>
        </w:rPr>
        <w:t>in 2022</w:t>
      </w:r>
      <w:r w:rsidR="00F14BD4" w:rsidRPr="004B4540">
        <w:rPr>
          <w:rStyle w:val="FootnoteReference"/>
          <w:rFonts w:cs="Times New Roman"/>
          <w:noProof/>
          <w:szCs w:val="24"/>
        </w:rPr>
        <w:footnoteReference w:id="74"/>
      </w:r>
      <w:r w:rsidR="00D671A9" w:rsidRPr="004B4540">
        <w:rPr>
          <w:rFonts w:cs="Times New Roman"/>
          <w:noProof/>
          <w:szCs w:val="24"/>
        </w:rPr>
        <w:t xml:space="preserve">. </w:t>
      </w:r>
      <w:r w:rsidR="004F5CB4" w:rsidRPr="004B4540">
        <w:rPr>
          <w:rFonts w:cs="Times New Roman"/>
          <w:noProof/>
          <w:szCs w:val="24"/>
        </w:rPr>
        <w:t>It</w:t>
      </w:r>
      <w:r w:rsidR="00BA0334" w:rsidRPr="004B4540">
        <w:rPr>
          <w:rFonts w:cs="Times New Roman"/>
          <w:noProof/>
          <w:szCs w:val="24"/>
        </w:rPr>
        <w:t xml:space="preserve"> totalled 1.13 billion allowances – a decrease compared to 2021 yet still above the threshold activating the Reserve. As a result, 272 million allowances (24% of the TNAC) are being withdrawn from auctions from September 2023 to August 2024. </w:t>
      </w:r>
      <w:r w:rsidR="00904DEB" w:rsidRPr="00A32BAD">
        <w:rPr>
          <w:noProof/>
        </w:rPr>
        <w:fldChar w:fldCharType="begin"/>
      </w:r>
      <w:r w:rsidR="00904DEB" w:rsidRPr="00A32BAD">
        <w:rPr>
          <w:noProof/>
        </w:rPr>
        <w:instrText xml:space="preserve"> REF _Ref148628237 \h </w:instrText>
      </w:r>
      <w:r w:rsidR="00A32BAD">
        <w:rPr>
          <w:noProof/>
        </w:rPr>
        <w:instrText xml:space="preserve"> \* MERGEFORMAT </w:instrText>
      </w:r>
      <w:r w:rsidR="00904DEB" w:rsidRPr="00A32BAD">
        <w:rPr>
          <w:noProof/>
        </w:rPr>
      </w:r>
      <w:r w:rsidR="00904DEB" w:rsidRPr="00A32BAD">
        <w:rPr>
          <w:noProof/>
        </w:rPr>
        <w:fldChar w:fldCharType="separate"/>
      </w:r>
      <w:r w:rsidR="00B83BFA">
        <w:rPr>
          <w:noProof/>
        </w:rPr>
        <w:t>Figure 7</w:t>
      </w:r>
      <w:r w:rsidR="00904DEB" w:rsidRPr="00A32BAD">
        <w:rPr>
          <w:noProof/>
        </w:rPr>
        <w:fldChar w:fldCharType="end"/>
      </w:r>
      <w:r w:rsidR="00A32BAD">
        <w:rPr>
          <w:rFonts w:cs="Times New Roman"/>
          <w:noProof/>
          <w:szCs w:val="24"/>
        </w:rPr>
        <w:t xml:space="preserve"> </w:t>
      </w:r>
      <w:r w:rsidR="00BA0334" w:rsidRPr="004B4540">
        <w:rPr>
          <w:rFonts w:cs="Times New Roman"/>
          <w:noProof/>
          <w:szCs w:val="24"/>
        </w:rPr>
        <w:t xml:space="preserve">illustrates the trend in the surplus of allowances in the EU ETS since 2013. ETS countries’ contributions to the MSR since 2019 are presented in the </w:t>
      </w:r>
      <w:r w:rsidR="00634781">
        <w:rPr>
          <w:rFonts w:cs="Times New Roman"/>
          <w:noProof/>
          <w:szCs w:val="24"/>
        </w:rPr>
        <w:t xml:space="preserve">Table 6 </w:t>
      </w:r>
      <w:r w:rsidR="007A0818">
        <w:rPr>
          <w:rFonts w:cs="Times New Roman"/>
          <w:noProof/>
          <w:szCs w:val="24"/>
        </w:rPr>
        <w:t>in</w:t>
      </w:r>
      <w:r w:rsidR="00634781">
        <w:rPr>
          <w:rFonts w:cs="Times New Roman"/>
          <w:noProof/>
          <w:szCs w:val="24"/>
        </w:rPr>
        <w:t xml:space="preserve"> the </w:t>
      </w:r>
      <w:r w:rsidR="004A3C8F">
        <w:rPr>
          <w:rFonts w:cs="Times New Roman"/>
          <w:noProof/>
          <w:szCs w:val="24"/>
        </w:rPr>
        <w:t>Staff working document</w:t>
      </w:r>
      <w:r w:rsidR="009F78C2">
        <w:rPr>
          <w:rStyle w:val="FootnoteReference"/>
          <w:rFonts w:cs="Times New Roman"/>
          <w:noProof/>
          <w:szCs w:val="24"/>
        </w:rPr>
        <w:footnoteReference w:id="75"/>
      </w:r>
      <w:r w:rsidR="00BA0334" w:rsidRPr="004B4540">
        <w:rPr>
          <w:rFonts w:cs="Times New Roman"/>
          <w:noProof/>
          <w:szCs w:val="24"/>
        </w:rPr>
        <w:t>.</w:t>
      </w:r>
    </w:p>
    <w:p w14:paraId="589CF38C" w14:textId="77777777" w:rsidR="00BE5297" w:rsidRDefault="002C48DF" w:rsidP="00BE5297">
      <w:pPr>
        <w:pStyle w:val="CMR23-text"/>
        <w:keepNext/>
        <w:rPr>
          <w:noProof/>
        </w:rPr>
      </w:pPr>
      <w:r>
        <w:rPr>
          <w:noProof/>
          <w:lang w:eastAsia="en-GB"/>
        </w:rPr>
        <w:drawing>
          <wp:inline distT="0" distB="0" distL="0" distR="0" wp14:anchorId="33718EF5" wp14:editId="1796C503">
            <wp:extent cx="5731510" cy="2567305"/>
            <wp:effectExtent l="0" t="0" r="2540" b="4445"/>
            <wp:docPr id="5" name="Chart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064AAB3" w14:textId="1DF37BC8" w:rsidR="000F1CEE" w:rsidRPr="004B4540" w:rsidRDefault="00BE5297" w:rsidP="00BE5297">
      <w:pPr>
        <w:pStyle w:val="Caption"/>
        <w:rPr>
          <w:noProof/>
          <w:szCs w:val="24"/>
        </w:rPr>
      </w:pPr>
      <w:bookmarkStart w:id="70" w:name="_Ref148628237"/>
      <w:r>
        <w:rPr>
          <w:noProof/>
        </w:rPr>
        <w:t xml:space="preserve">Figure </w:t>
      </w:r>
      <w:r w:rsidR="002F3AE3">
        <w:rPr>
          <w:noProof/>
        </w:rPr>
        <w:fldChar w:fldCharType="begin"/>
      </w:r>
      <w:r w:rsidR="002F3AE3">
        <w:rPr>
          <w:noProof/>
        </w:rPr>
        <w:instrText xml:space="preserve"> SEQ Figure \* ARABIC </w:instrText>
      </w:r>
      <w:r w:rsidR="002F3AE3">
        <w:rPr>
          <w:noProof/>
        </w:rPr>
        <w:fldChar w:fldCharType="separate"/>
      </w:r>
      <w:r w:rsidR="00B83BFA">
        <w:rPr>
          <w:noProof/>
        </w:rPr>
        <w:t>7</w:t>
      </w:r>
      <w:r w:rsidR="002F3AE3">
        <w:rPr>
          <w:noProof/>
        </w:rPr>
        <w:fldChar w:fldCharType="end"/>
      </w:r>
      <w:bookmarkEnd w:id="70"/>
      <w:r>
        <w:rPr>
          <w:noProof/>
        </w:rPr>
        <w:t xml:space="preserve">: </w:t>
      </w:r>
      <w:r w:rsidRPr="001B2AC6">
        <w:rPr>
          <w:noProof/>
        </w:rPr>
        <w:t>Surplus of allowances in the EU ETS (2013-2022)</w:t>
      </w:r>
    </w:p>
    <w:p w14:paraId="7B8FB44C" w14:textId="3624A8F8" w:rsidR="00A71A40" w:rsidRPr="004B4540" w:rsidRDefault="00C1642A" w:rsidP="00A71A40">
      <w:pPr>
        <w:pStyle w:val="CMR23-text"/>
        <w:rPr>
          <w:rFonts w:cs="Times New Roman"/>
          <w:noProof/>
          <w:szCs w:val="24"/>
        </w:rPr>
      </w:pPr>
      <w:r w:rsidRPr="004B4540">
        <w:rPr>
          <w:rFonts w:cs="Times New Roman"/>
          <w:noProof/>
          <w:szCs w:val="24"/>
        </w:rPr>
        <w:t xml:space="preserve">As of 2023, </w:t>
      </w:r>
      <w:r w:rsidR="00A53671" w:rsidRPr="004B4540">
        <w:rPr>
          <w:rFonts w:cs="Times New Roman"/>
          <w:noProof/>
          <w:szCs w:val="24"/>
        </w:rPr>
        <w:t xml:space="preserve">the MSR </w:t>
      </w:r>
      <w:r w:rsidR="00A71A40" w:rsidRPr="004B4540">
        <w:rPr>
          <w:rFonts w:cs="Times New Roman"/>
          <w:noProof/>
          <w:szCs w:val="24"/>
        </w:rPr>
        <w:t>invalidates allowances in its holdings above a certain threshold</w:t>
      </w:r>
      <w:r w:rsidR="00BC0039" w:rsidRPr="004B4540">
        <w:rPr>
          <w:rStyle w:val="FootnoteReference"/>
          <w:rFonts w:cs="Times New Roman"/>
          <w:noProof/>
          <w:szCs w:val="24"/>
        </w:rPr>
        <w:footnoteReference w:id="76"/>
      </w:r>
      <w:r w:rsidR="00A71A40" w:rsidRPr="004B4540">
        <w:rPr>
          <w:rFonts w:cs="Times New Roman"/>
          <w:noProof/>
          <w:szCs w:val="24"/>
        </w:rPr>
        <w:t>. The</w:t>
      </w:r>
      <w:r w:rsidR="004D45C4" w:rsidRPr="004B4540">
        <w:rPr>
          <w:rFonts w:cs="Times New Roman"/>
          <w:noProof/>
          <w:szCs w:val="24"/>
        </w:rPr>
        <w:t xml:space="preserve"> </w:t>
      </w:r>
      <w:r w:rsidR="00A71A40" w:rsidRPr="004B4540">
        <w:rPr>
          <w:rFonts w:cs="Times New Roman"/>
          <w:noProof/>
          <w:szCs w:val="24"/>
        </w:rPr>
        <w:t>Commission reported on this in the Communication</w:t>
      </w:r>
      <w:r w:rsidR="00B2359D" w:rsidRPr="004B4540">
        <w:rPr>
          <w:rFonts w:cs="Times New Roman"/>
          <w:noProof/>
          <w:szCs w:val="24"/>
        </w:rPr>
        <w:t xml:space="preserve"> on the TNAC</w:t>
      </w:r>
      <w:r w:rsidR="00A76F40" w:rsidRPr="004B4540">
        <w:rPr>
          <w:rFonts w:cs="Times New Roman"/>
          <w:noProof/>
          <w:szCs w:val="24"/>
        </w:rPr>
        <w:t xml:space="preserve"> in 2022</w:t>
      </w:r>
      <w:r w:rsidR="00A71A40" w:rsidRPr="004B4540">
        <w:rPr>
          <w:rFonts w:cs="Times New Roman"/>
          <w:noProof/>
          <w:szCs w:val="24"/>
        </w:rPr>
        <w:t xml:space="preserve">. </w:t>
      </w:r>
      <w:r w:rsidR="002B6BD0" w:rsidRPr="004B4540">
        <w:rPr>
          <w:rFonts w:cs="Times New Roman"/>
          <w:noProof/>
          <w:szCs w:val="24"/>
        </w:rPr>
        <w:t>T</w:t>
      </w:r>
      <w:r w:rsidR="00A71A40" w:rsidRPr="004B4540">
        <w:rPr>
          <w:rFonts w:cs="Times New Roman"/>
          <w:noProof/>
          <w:szCs w:val="24"/>
        </w:rPr>
        <w:t xml:space="preserve">he applicable threshold was the 2022 auction volume (486 million allowances). </w:t>
      </w:r>
      <w:r w:rsidR="00933B6D" w:rsidRPr="004B4540">
        <w:rPr>
          <w:rFonts w:cs="Times New Roman"/>
          <w:noProof/>
          <w:szCs w:val="24"/>
        </w:rPr>
        <w:t xml:space="preserve">On 31 December 2022, the MSR contained over 3 billion allowances. As a result, </w:t>
      </w:r>
      <w:r w:rsidR="00A71A40" w:rsidRPr="004B4540">
        <w:rPr>
          <w:rFonts w:cs="Times New Roman"/>
          <w:noProof/>
          <w:szCs w:val="24"/>
        </w:rPr>
        <w:t xml:space="preserve">2.5 billion allowances became invalid on 1 January 2023. </w:t>
      </w:r>
      <w:r w:rsidR="006C7D71" w:rsidRPr="004B4540">
        <w:rPr>
          <w:rFonts w:cs="Times New Roman"/>
          <w:noProof/>
          <w:szCs w:val="24"/>
        </w:rPr>
        <w:t>The remaining a</w:t>
      </w:r>
      <w:r w:rsidR="00A71A40" w:rsidRPr="004B4540">
        <w:rPr>
          <w:rFonts w:cs="Times New Roman"/>
          <w:noProof/>
          <w:szCs w:val="24"/>
        </w:rPr>
        <w:t xml:space="preserve">llowances </w:t>
      </w:r>
      <w:r w:rsidR="00BA287A" w:rsidRPr="004B4540">
        <w:rPr>
          <w:rFonts w:cs="Times New Roman"/>
          <w:noProof/>
          <w:szCs w:val="24"/>
        </w:rPr>
        <w:t>correspond to</w:t>
      </w:r>
      <w:r w:rsidR="00A71A40" w:rsidRPr="004B4540">
        <w:rPr>
          <w:rFonts w:cs="Times New Roman"/>
          <w:noProof/>
          <w:szCs w:val="24"/>
        </w:rPr>
        <w:t xml:space="preserve"> those placed </w:t>
      </w:r>
      <w:r w:rsidR="006C7D71" w:rsidRPr="004B4540">
        <w:rPr>
          <w:rFonts w:cs="Times New Roman"/>
          <w:noProof/>
          <w:szCs w:val="24"/>
        </w:rPr>
        <w:t>in the Reserve</w:t>
      </w:r>
      <w:r w:rsidR="00A71A40" w:rsidRPr="004B4540">
        <w:rPr>
          <w:rFonts w:cs="Times New Roman"/>
          <w:noProof/>
          <w:szCs w:val="24"/>
        </w:rPr>
        <w:t xml:space="preserve"> </w:t>
      </w:r>
      <w:r w:rsidR="00BA287A" w:rsidRPr="004B4540">
        <w:rPr>
          <w:rFonts w:cs="Times New Roman"/>
          <w:noProof/>
          <w:szCs w:val="24"/>
        </w:rPr>
        <w:t>via its</w:t>
      </w:r>
      <w:r w:rsidR="00A71A40" w:rsidRPr="004B4540">
        <w:rPr>
          <w:rFonts w:cs="Times New Roman"/>
          <w:noProof/>
          <w:szCs w:val="24"/>
        </w:rPr>
        <w:t xml:space="preserve"> intakes since 2019. From this </w:t>
      </w:r>
      <w:r w:rsidR="003109CE" w:rsidRPr="004B4540">
        <w:rPr>
          <w:rFonts w:cs="Times New Roman"/>
          <w:noProof/>
          <w:szCs w:val="24"/>
        </w:rPr>
        <w:t xml:space="preserve">remaining </w:t>
      </w:r>
      <w:r w:rsidR="00A71A40" w:rsidRPr="004B4540">
        <w:rPr>
          <w:rFonts w:cs="Times New Roman"/>
          <w:noProof/>
          <w:szCs w:val="24"/>
        </w:rPr>
        <w:t>volume, 2</w:t>
      </w:r>
      <w:r w:rsidR="006E2280" w:rsidRPr="004B4540">
        <w:rPr>
          <w:rFonts w:cs="Times New Roman"/>
          <w:noProof/>
          <w:szCs w:val="24"/>
        </w:rPr>
        <w:t>7</w:t>
      </w:r>
      <w:r w:rsidR="00A71A40" w:rsidRPr="004B4540">
        <w:rPr>
          <w:rFonts w:cs="Times New Roman"/>
          <w:noProof/>
          <w:szCs w:val="24"/>
        </w:rPr>
        <w:t xml:space="preserve"> million allowances </w:t>
      </w:r>
      <w:r w:rsidR="003109CE" w:rsidRPr="004B4540">
        <w:rPr>
          <w:rFonts w:cs="Times New Roman"/>
          <w:noProof/>
          <w:szCs w:val="24"/>
        </w:rPr>
        <w:t xml:space="preserve">were </w:t>
      </w:r>
      <w:r w:rsidR="00A71A40" w:rsidRPr="004B4540">
        <w:rPr>
          <w:rFonts w:cs="Times New Roman"/>
          <w:noProof/>
          <w:szCs w:val="24"/>
        </w:rPr>
        <w:t xml:space="preserve">taken under the REPowerEU </w:t>
      </w:r>
      <w:r w:rsidR="00A71A40" w:rsidRPr="00A32BAD">
        <w:rPr>
          <w:rFonts w:cs="Times New Roman"/>
          <w:noProof/>
          <w:szCs w:val="24"/>
        </w:rPr>
        <w:t xml:space="preserve">Regulation </w:t>
      </w:r>
      <w:r w:rsidR="003109CE" w:rsidRPr="00A32BAD">
        <w:rPr>
          <w:rFonts w:cs="Times New Roman"/>
          <w:noProof/>
          <w:szCs w:val="24"/>
        </w:rPr>
        <w:t xml:space="preserve">to be </w:t>
      </w:r>
      <w:r w:rsidR="00A71A40" w:rsidRPr="00A32BAD">
        <w:rPr>
          <w:rFonts w:cs="Times New Roman"/>
          <w:noProof/>
          <w:szCs w:val="24"/>
        </w:rPr>
        <w:t xml:space="preserve">auctioned to supply the </w:t>
      </w:r>
      <w:r w:rsidR="00B1785B" w:rsidRPr="00A32BAD">
        <w:rPr>
          <w:rFonts w:cs="Times New Roman"/>
          <w:noProof/>
          <w:szCs w:val="24"/>
        </w:rPr>
        <w:t>I</w:t>
      </w:r>
      <w:r w:rsidR="00A71A40" w:rsidRPr="00A32BAD">
        <w:rPr>
          <w:rFonts w:cs="Times New Roman"/>
          <w:noProof/>
          <w:szCs w:val="24"/>
        </w:rPr>
        <w:t xml:space="preserve">nnovation Fund. </w:t>
      </w:r>
      <w:r w:rsidR="003109CE" w:rsidRPr="00A32BAD">
        <w:rPr>
          <w:rFonts w:cs="Times New Roman"/>
          <w:noProof/>
          <w:szCs w:val="24"/>
        </w:rPr>
        <w:t xml:space="preserve">The </w:t>
      </w:r>
      <w:r w:rsidR="003D6E95" w:rsidRPr="00A32BAD">
        <w:rPr>
          <w:rFonts w:cs="Times New Roman"/>
          <w:noProof/>
          <w:szCs w:val="24"/>
        </w:rPr>
        <w:t xml:space="preserve">calculation of the TNAC </w:t>
      </w:r>
      <w:r w:rsidR="00546403" w:rsidRPr="00A32BAD">
        <w:rPr>
          <w:rFonts w:cs="Times New Roman"/>
          <w:noProof/>
          <w:szCs w:val="24"/>
        </w:rPr>
        <w:t xml:space="preserve">in </w:t>
      </w:r>
      <w:r w:rsidR="003D6E95" w:rsidRPr="00A32BAD">
        <w:rPr>
          <w:rFonts w:cs="Times New Roman"/>
          <w:noProof/>
          <w:szCs w:val="24"/>
        </w:rPr>
        <w:t>2023</w:t>
      </w:r>
      <w:r w:rsidR="003109CE" w:rsidRPr="00A32BAD">
        <w:rPr>
          <w:rFonts w:cs="Times New Roman"/>
          <w:noProof/>
          <w:szCs w:val="24"/>
        </w:rPr>
        <w:t xml:space="preserve"> will reflect </w:t>
      </w:r>
      <w:r w:rsidR="00B2359D" w:rsidRPr="00A32BAD">
        <w:rPr>
          <w:rFonts w:cs="Times New Roman"/>
          <w:noProof/>
          <w:szCs w:val="24"/>
        </w:rPr>
        <w:t>this</w:t>
      </w:r>
      <w:r w:rsidR="003109CE" w:rsidRPr="004B4540">
        <w:rPr>
          <w:rFonts w:cs="Times New Roman"/>
          <w:noProof/>
          <w:szCs w:val="24"/>
        </w:rPr>
        <w:t>.</w:t>
      </w:r>
    </w:p>
    <w:p w14:paraId="689228FF" w14:textId="6EF3E16A" w:rsidR="00461082" w:rsidRPr="004B4540" w:rsidDel="0070507C" w:rsidRDefault="00F70A7C" w:rsidP="000A42BF">
      <w:pPr>
        <w:pStyle w:val="CMR23-text"/>
        <w:rPr>
          <w:rFonts w:cs="Times New Roman"/>
          <w:noProof/>
          <w:szCs w:val="24"/>
        </w:rPr>
      </w:pPr>
      <w:r w:rsidRPr="004B4540">
        <w:rPr>
          <w:rFonts w:cs="Times New Roman"/>
          <w:noProof/>
          <w:szCs w:val="24"/>
        </w:rPr>
        <w:t>Important changes have been made to strengthen the Reserve as part of Fit for 55</w:t>
      </w:r>
      <w:r w:rsidR="004E3DDF">
        <w:rPr>
          <w:rFonts w:cs="Times New Roman"/>
          <w:noProof/>
          <w:szCs w:val="24"/>
        </w:rPr>
        <w:t xml:space="preserve"> </w:t>
      </w:r>
      <w:r w:rsidR="00D64FFA" w:rsidRPr="004B4540">
        <w:rPr>
          <w:rFonts w:cs="Times New Roman"/>
          <w:noProof/>
          <w:szCs w:val="24"/>
        </w:rPr>
        <w:t>–</w:t>
      </w:r>
      <w:r w:rsidR="00B10EA5" w:rsidRPr="004B4540">
        <w:rPr>
          <w:rFonts w:cs="Times New Roman"/>
          <w:noProof/>
          <w:szCs w:val="24"/>
        </w:rPr>
        <w:t xml:space="preserve"> </w:t>
      </w:r>
      <w:r w:rsidR="0093467E" w:rsidRPr="004B4540">
        <w:rPr>
          <w:rFonts w:cs="Times New Roman"/>
          <w:noProof/>
          <w:szCs w:val="24"/>
        </w:rPr>
        <w:t>in</w:t>
      </w:r>
      <w:r w:rsidR="00D64FFA" w:rsidRPr="004B4540">
        <w:rPr>
          <w:rFonts w:cs="Times New Roman"/>
          <w:noProof/>
          <w:szCs w:val="24"/>
        </w:rPr>
        <w:t xml:space="preserve"> the revision of the ETS Directive and </w:t>
      </w:r>
      <w:r w:rsidR="0071475C" w:rsidRPr="004B4540">
        <w:rPr>
          <w:rFonts w:cs="Times New Roman"/>
          <w:noProof/>
          <w:szCs w:val="24"/>
        </w:rPr>
        <w:t xml:space="preserve">the MSR Decision. </w:t>
      </w:r>
      <w:r w:rsidR="00AC4AC9" w:rsidRPr="004B4540">
        <w:rPr>
          <w:rFonts w:cs="Times New Roman"/>
          <w:noProof/>
          <w:szCs w:val="24"/>
        </w:rPr>
        <w:t>They will take effect i</w:t>
      </w:r>
      <w:r w:rsidR="002F2047" w:rsidRPr="004B4540">
        <w:rPr>
          <w:rFonts w:cs="Times New Roman"/>
          <w:noProof/>
          <w:szCs w:val="24"/>
        </w:rPr>
        <w:t>n 2024</w:t>
      </w:r>
      <w:r w:rsidR="00FE194F" w:rsidRPr="004B4540">
        <w:rPr>
          <w:rFonts w:cs="Times New Roman"/>
          <w:noProof/>
          <w:szCs w:val="24"/>
        </w:rPr>
        <w:t>. Chie</w:t>
      </w:r>
      <w:r w:rsidR="004D2FC7" w:rsidRPr="004B4540">
        <w:rPr>
          <w:rFonts w:cs="Times New Roman"/>
          <w:noProof/>
          <w:szCs w:val="24"/>
        </w:rPr>
        <w:t>fly, t</w:t>
      </w:r>
      <w:r w:rsidR="00FE194F" w:rsidRPr="004B4540">
        <w:rPr>
          <w:rFonts w:cs="Times New Roman"/>
          <w:noProof/>
          <w:szCs w:val="24"/>
        </w:rPr>
        <w:t>he</w:t>
      </w:r>
      <w:r w:rsidR="00AA2022" w:rsidRPr="004B4540">
        <w:rPr>
          <w:rFonts w:cs="Times New Roman"/>
          <w:noProof/>
          <w:szCs w:val="24"/>
        </w:rPr>
        <w:t xml:space="preserve"> MSR</w:t>
      </w:r>
      <w:r w:rsidR="00FE194F" w:rsidRPr="004B4540">
        <w:rPr>
          <w:rFonts w:cs="Times New Roman"/>
          <w:noProof/>
          <w:szCs w:val="24"/>
        </w:rPr>
        <w:t xml:space="preserve"> intake rate of 24% is maintained and the invalidation threshold is fi</w:t>
      </w:r>
      <w:r w:rsidR="00E13895">
        <w:rPr>
          <w:rFonts w:cs="Times New Roman"/>
          <w:noProof/>
          <w:szCs w:val="24"/>
        </w:rPr>
        <w:t>x</w:t>
      </w:r>
      <w:r w:rsidR="00FE194F" w:rsidRPr="004B4540">
        <w:rPr>
          <w:rFonts w:cs="Times New Roman"/>
          <w:noProof/>
          <w:szCs w:val="24"/>
        </w:rPr>
        <w:t xml:space="preserve">ed at </w:t>
      </w:r>
      <w:r w:rsidR="00CB6DE9" w:rsidRPr="004B4540">
        <w:rPr>
          <w:rFonts w:cs="Times New Roman"/>
          <w:noProof/>
          <w:szCs w:val="24"/>
        </w:rPr>
        <w:t xml:space="preserve">400 million allowances. </w:t>
      </w:r>
      <w:r w:rsidR="003109CE" w:rsidRPr="004B4540">
        <w:rPr>
          <w:rFonts w:cs="Times New Roman"/>
          <w:noProof/>
          <w:szCs w:val="24"/>
        </w:rPr>
        <w:t>T</w:t>
      </w:r>
      <w:r w:rsidR="00461082" w:rsidRPr="004B4540">
        <w:rPr>
          <w:rFonts w:cs="Times New Roman"/>
          <w:noProof/>
          <w:szCs w:val="24"/>
        </w:rPr>
        <w:t>he intake rate mechanism is</w:t>
      </w:r>
      <w:r w:rsidR="003109CE" w:rsidRPr="004B4540">
        <w:rPr>
          <w:rFonts w:cs="Times New Roman"/>
          <w:noProof/>
          <w:szCs w:val="24"/>
        </w:rPr>
        <w:t xml:space="preserve"> also</w:t>
      </w:r>
      <w:r w:rsidR="00461082" w:rsidRPr="004B4540">
        <w:rPr>
          <w:rFonts w:cs="Times New Roman"/>
          <w:noProof/>
          <w:szCs w:val="24"/>
        </w:rPr>
        <w:t xml:space="preserve"> adapted to mitigate threshold effects</w:t>
      </w:r>
      <w:r w:rsidR="00B071B6" w:rsidRPr="004B4540">
        <w:rPr>
          <w:rFonts w:cs="Times New Roman"/>
          <w:noProof/>
          <w:szCs w:val="24"/>
        </w:rPr>
        <w:t xml:space="preserve">. </w:t>
      </w:r>
      <w:r w:rsidR="007B417A" w:rsidRPr="004B4540">
        <w:rPr>
          <w:rFonts w:cs="Times New Roman"/>
          <w:noProof/>
          <w:szCs w:val="24"/>
        </w:rPr>
        <w:t>When the TNAC is between 833 and 1 096 million allowances, the intake rate mechanism will not be activated; instead, a smaller share of allowances will be deducted from auction volumes and placed in the Reserve</w:t>
      </w:r>
      <w:r w:rsidR="0022576A" w:rsidRPr="004B4540">
        <w:rPr>
          <w:rFonts w:cs="Times New Roman"/>
          <w:noProof/>
          <w:szCs w:val="24"/>
        </w:rPr>
        <w:t>.</w:t>
      </w:r>
      <w:r w:rsidR="00B52058" w:rsidRPr="004B4540">
        <w:rPr>
          <w:rFonts w:cs="Times New Roman"/>
          <w:noProof/>
          <w:szCs w:val="24"/>
        </w:rPr>
        <w:t xml:space="preserve"> </w:t>
      </w:r>
      <w:r w:rsidR="000241DD" w:rsidRPr="004B4540">
        <w:rPr>
          <w:rFonts w:cs="Times New Roman"/>
          <w:noProof/>
          <w:szCs w:val="24"/>
        </w:rPr>
        <w:t xml:space="preserve">Furthermore, from 2024, the net demand from aviation will be included in the TNAC calculation. </w:t>
      </w:r>
      <w:r w:rsidR="001322FE" w:rsidRPr="004B4540">
        <w:rPr>
          <w:rFonts w:cs="Times New Roman"/>
          <w:noProof/>
          <w:szCs w:val="24"/>
        </w:rPr>
        <w:t>The Comm</w:t>
      </w:r>
      <w:r w:rsidR="002B128F" w:rsidRPr="004B4540">
        <w:rPr>
          <w:rFonts w:cs="Times New Roman"/>
          <w:noProof/>
          <w:szCs w:val="24"/>
        </w:rPr>
        <w:t>unication on the</w:t>
      </w:r>
      <w:r w:rsidR="000241DD" w:rsidRPr="004B4540">
        <w:rPr>
          <w:rFonts w:cs="Times New Roman"/>
          <w:noProof/>
          <w:szCs w:val="24"/>
        </w:rPr>
        <w:t xml:space="preserve"> TNAC </w:t>
      </w:r>
      <w:r w:rsidR="002B128F" w:rsidRPr="004B4540">
        <w:rPr>
          <w:rFonts w:cs="Times New Roman"/>
          <w:noProof/>
          <w:szCs w:val="24"/>
        </w:rPr>
        <w:t xml:space="preserve">in 2023 </w:t>
      </w:r>
      <w:r w:rsidR="000241DD" w:rsidRPr="004B4540">
        <w:rPr>
          <w:rFonts w:cs="Times New Roman"/>
          <w:noProof/>
          <w:szCs w:val="24"/>
        </w:rPr>
        <w:t xml:space="preserve">will account for these changes. It </w:t>
      </w:r>
      <w:r w:rsidR="005464B1" w:rsidRPr="004B4540">
        <w:rPr>
          <w:rFonts w:cs="Times New Roman"/>
          <w:noProof/>
          <w:szCs w:val="24"/>
        </w:rPr>
        <w:t>is d</w:t>
      </w:r>
      <w:r w:rsidR="000F5C10" w:rsidRPr="004B4540">
        <w:rPr>
          <w:rFonts w:cs="Times New Roman"/>
          <w:noProof/>
          <w:szCs w:val="24"/>
        </w:rPr>
        <w:t>ue to</w:t>
      </w:r>
      <w:r w:rsidR="005464B1" w:rsidRPr="004B4540">
        <w:rPr>
          <w:rFonts w:cs="Times New Roman"/>
          <w:noProof/>
          <w:szCs w:val="24"/>
        </w:rPr>
        <w:t xml:space="preserve"> </w:t>
      </w:r>
      <w:r w:rsidR="000241DD" w:rsidRPr="004B4540">
        <w:rPr>
          <w:rFonts w:cs="Times New Roman"/>
          <w:noProof/>
          <w:szCs w:val="24"/>
        </w:rPr>
        <w:t>be published by 1 June 2024.</w:t>
      </w:r>
      <w:r w:rsidR="00142695" w:rsidRPr="004B4540">
        <w:rPr>
          <w:rFonts w:cs="Times New Roman"/>
          <w:noProof/>
          <w:szCs w:val="24"/>
        </w:rPr>
        <w:t xml:space="preserve"> </w:t>
      </w:r>
    </w:p>
    <w:p w14:paraId="5E7C48DA" w14:textId="36F0D9D3" w:rsidR="00C84DBA" w:rsidRPr="004B4540" w:rsidRDefault="00B36B2C" w:rsidP="000A42BF">
      <w:pPr>
        <w:pStyle w:val="CMR23-heading"/>
        <w:rPr>
          <w:rFonts w:cs="Times New Roman"/>
          <w:noProof/>
          <w:sz w:val="24"/>
          <w:szCs w:val="24"/>
          <w:lang w:val="en-GB"/>
        </w:rPr>
      </w:pPr>
      <w:r w:rsidRPr="004B4540">
        <w:rPr>
          <w:rFonts w:cs="Times New Roman"/>
          <w:noProof/>
          <w:sz w:val="24"/>
          <w:szCs w:val="24"/>
          <w:lang w:val="en-GB"/>
        </w:rPr>
        <w:t xml:space="preserve"> </w:t>
      </w:r>
      <w:bookmarkStart w:id="71" w:name="_Toc145453243"/>
      <w:bookmarkStart w:id="72" w:name="_Toc148555893"/>
      <w:r w:rsidR="00C84DBA" w:rsidRPr="004B4540">
        <w:rPr>
          <w:rFonts w:cs="Times New Roman"/>
          <w:noProof/>
          <w:sz w:val="24"/>
          <w:szCs w:val="24"/>
          <w:lang w:val="en-GB"/>
        </w:rPr>
        <w:t>Aviation</w:t>
      </w:r>
      <w:bookmarkEnd w:id="71"/>
      <w:bookmarkEnd w:id="72"/>
      <w:r w:rsidR="00C84DBA" w:rsidRPr="004B4540">
        <w:rPr>
          <w:rFonts w:cs="Times New Roman"/>
          <w:noProof/>
          <w:sz w:val="24"/>
          <w:szCs w:val="24"/>
          <w:lang w:val="en-GB"/>
        </w:rPr>
        <w:t xml:space="preserve"> </w:t>
      </w:r>
    </w:p>
    <w:p w14:paraId="1AAE69BE" w14:textId="53CFAFFD" w:rsidR="005524BD" w:rsidRPr="004B4540" w:rsidRDefault="005524BD" w:rsidP="005524BD">
      <w:pPr>
        <w:pStyle w:val="CMR23-text"/>
        <w:rPr>
          <w:rStyle w:val="Bodytext1"/>
          <w:rFonts w:cs="Times New Roman"/>
          <w:noProof/>
          <w:szCs w:val="24"/>
          <w:lang w:eastAsia="bg-BG" w:bidi="bg-BG"/>
        </w:rPr>
      </w:pPr>
      <w:r w:rsidRPr="004B4540">
        <w:rPr>
          <w:rStyle w:val="Bodytext1"/>
          <w:rFonts w:cs="Times New Roman"/>
          <w:noProof/>
          <w:szCs w:val="24"/>
        </w:rPr>
        <w:t xml:space="preserve">The EU ETS </w:t>
      </w:r>
      <w:r w:rsidR="00B67FFC" w:rsidRPr="004B4540">
        <w:rPr>
          <w:rStyle w:val="Bodytext1"/>
          <w:rFonts w:cs="Times New Roman"/>
          <w:noProof/>
          <w:szCs w:val="24"/>
        </w:rPr>
        <w:t xml:space="preserve">has regulated emissions from the aviation sector since </w:t>
      </w:r>
      <w:r w:rsidR="00B67FFC" w:rsidRPr="004B4540">
        <w:rPr>
          <w:rStyle w:val="Bodytext1"/>
          <w:rFonts w:cs="Times New Roman"/>
          <w:noProof/>
          <w:szCs w:val="24"/>
          <w:lang w:eastAsia="bg-BG" w:bidi="bg-BG"/>
        </w:rPr>
        <w:t>2012</w:t>
      </w:r>
      <w:r w:rsidRPr="004B4540">
        <w:rPr>
          <w:rStyle w:val="Bodytext1"/>
          <w:rFonts w:cs="Times New Roman"/>
          <w:noProof/>
          <w:szCs w:val="24"/>
          <w:lang w:eastAsia="bg-BG" w:bidi="bg-BG"/>
        </w:rPr>
        <w:t xml:space="preserve">. </w:t>
      </w:r>
      <w:r w:rsidRPr="004B4540">
        <w:rPr>
          <w:rStyle w:val="Bodytext1"/>
          <w:rFonts w:cs="Times New Roman"/>
          <w:noProof/>
          <w:szCs w:val="24"/>
        </w:rPr>
        <w:t xml:space="preserve">Legally, the system covers all outgoing flights and all incoming flights </w:t>
      </w:r>
      <w:r w:rsidR="003A7AF0" w:rsidRPr="004B4540">
        <w:rPr>
          <w:rStyle w:val="Bodytext1"/>
          <w:rFonts w:cs="Times New Roman"/>
          <w:noProof/>
          <w:szCs w:val="24"/>
        </w:rPr>
        <w:t>to the EEA</w:t>
      </w:r>
      <w:r w:rsidRPr="004B4540">
        <w:rPr>
          <w:rStyle w:val="Bodytext1"/>
          <w:rFonts w:cs="Times New Roman"/>
          <w:noProof/>
          <w:szCs w:val="24"/>
        </w:rPr>
        <w:t xml:space="preserve">. In </w:t>
      </w:r>
      <w:r w:rsidRPr="004B4540">
        <w:rPr>
          <w:rStyle w:val="Bodytext1"/>
          <w:rFonts w:cs="Times New Roman"/>
          <w:noProof/>
          <w:szCs w:val="24"/>
          <w:lang w:eastAsia="bg-BG" w:bidi="bg-BG"/>
        </w:rPr>
        <w:t xml:space="preserve">2013, </w:t>
      </w:r>
      <w:r w:rsidRPr="004B4540">
        <w:rPr>
          <w:rStyle w:val="Bodytext1"/>
          <w:rFonts w:cs="Times New Roman"/>
          <w:noProof/>
          <w:szCs w:val="24"/>
        </w:rPr>
        <w:t xml:space="preserve">however, the EU temporarily limited ETS obligations to flights within the EEA to support the development of a global market-based measure to reduce aviation emissions by the </w:t>
      </w:r>
      <w:r w:rsidR="003F443A" w:rsidRPr="004B4540">
        <w:rPr>
          <w:rStyle w:val="Bodytext1"/>
          <w:rFonts w:cs="Times New Roman"/>
          <w:noProof/>
          <w:szCs w:val="24"/>
        </w:rPr>
        <w:t xml:space="preserve">International Civil Aviation Organization </w:t>
      </w:r>
      <w:r w:rsidRPr="004B4540">
        <w:rPr>
          <w:rStyle w:val="Bodytext1"/>
          <w:rFonts w:cs="Times New Roman"/>
          <w:noProof/>
          <w:szCs w:val="24"/>
        </w:rPr>
        <w:t>(ICAO)</w:t>
      </w:r>
      <w:r w:rsidRPr="004B4540">
        <w:rPr>
          <w:rStyle w:val="Bodytext1"/>
          <w:rFonts w:cs="Times New Roman"/>
          <w:noProof/>
          <w:szCs w:val="24"/>
          <w:vertAlign w:val="superscript"/>
        </w:rPr>
        <w:footnoteReference w:id="77"/>
      </w:r>
      <w:r w:rsidRPr="004B4540">
        <w:rPr>
          <w:rStyle w:val="Bodytext1"/>
          <w:rFonts w:cs="Times New Roman"/>
          <w:noProof/>
          <w:szCs w:val="24"/>
        </w:rPr>
        <w:t>. Th</w:t>
      </w:r>
      <w:r w:rsidR="00B26CFD" w:rsidRPr="004B4540">
        <w:rPr>
          <w:rStyle w:val="Bodytext1"/>
          <w:rFonts w:cs="Times New Roman"/>
          <w:noProof/>
          <w:szCs w:val="24"/>
        </w:rPr>
        <w:t xml:space="preserve">e ETS Directive </w:t>
      </w:r>
      <w:r w:rsidR="00772F40" w:rsidRPr="004B4540">
        <w:rPr>
          <w:rStyle w:val="Bodytext1"/>
          <w:rFonts w:cs="Times New Roman"/>
          <w:noProof/>
          <w:szCs w:val="24"/>
        </w:rPr>
        <w:t xml:space="preserve">coverage </w:t>
      </w:r>
      <w:r w:rsidR="00D070B3" w:rsidRPr="004B4540">
        <w:rPr>
          <w:rStyle w:val="Bodytext1"/>
          <w:rFonts w:cs="Times New Roman"/>
          <w:noProof/>
          <w:szCs w:val="24"/>
        </w:rPr>
        <w:t>has</w:t>
      </w:r>
      <w:r w:rsidR="00772F40" w:rsidRPr="004B4540">
        <w:rPr>
          <w:rStyle w:val="Bodytext1"/>
          <w:rFonts w:cs="Times New Roman"/>
          <w:noProof/>
          <w:szCs w:val="24"/>
        </w:rPr>
        <w:t xml:space="preserve"> been extended </w:t>
      </w:r>
      <w:r w:rsidR="009C6820" w:rsidRPr="004B4540">
        <w:rPr>
          <w:rStyle w:val="Bodytext1"/>
          <w:rFonts w:cs="Times New Roman"/>
          <w:noProof/>
          <w:szCs w:val="24"/>
        </w:rPr>
        <w:t>three times since, as explained below</w:t>
      </w:r>
      <w:r w:rsidRPr="004B4540">
        <w:rPr>
          <w:rStyle w:val="Bodytext1"/>
          <w:rFonts w:cs="Times New Roman"/>
          <w:noProof/>
          <w:szCs w:val="24"/>
          <w:lang w:eastAsia="bg-BG" w:bidi="bg-BG"/>
        </w:rPr>
        <w:t>.</w:t>
      </w:r>
    </w:p>
    <w:p w14:paraId="000BBC1C" w14:textId="077A66EB" w:rsidR="00606711" w:rsidRPr="004B4540" w:rsidRDefault="00996381" w:rsidP="00606711">
      <w:pPr>
        <w:pStyle w:val="CMR23-text"/>
        <w:rPr>
          <w:rStyle w:val="Bodytext1"/>
          <w:rFonts w:cs="Times New Roman"/>
          <w:noProof/>
          <w:szCs w:val="24"/>
        </w:rPr>
      </w:pPr>
      <w:r w:rsidRPr="004B4540">
        <w:rPr>
          <w:rStyle w:val="Bodytext1"/>
          <w:rFonts w:cs="Times New Roman"/>
          <w:noProof/>
          <w:szCs w:val="24"/>
        </w:rPr>
        <w:t xml:space="preserve">First, as of </w:t>
      </w:r>
      <w:r w:rsidRPr="004B4540">
        <w:rPr>
          <w:rStyle w:val="Bodytext1"/>
          <w:rFonts w:cs="Times New Roman"/>
          <w:noProof/>
          <w:szCs w:val="24"/>
          <w:lang w:eastAsia="bg-BG" w:bidi="bg-BG"/>
        </w:rPr>
        <w:t>1 </w:t>
      </w:r>
      <w:r w:rsidRPr="004B4540">
        <w:rPr>
          <w:rStyle w:val="Bodytext1"/>
          <w:rFonts w:cs="Times New Roman"/>
          <w:noProof/>
          <w:szCs w:val="24"/>
        </w:rPr>
        <w:t xml:space="preserve">January </w:t>
      </w:r>
      <w:r w:rsidRPr="004B4540">
        <w:rPr>
          <w:rStyle w:val="Bodytext1"/>
          <w:rFonts w:cs="Times New Roman"/>
          <w:noProof/>
          <w:szCs w:val="24"/>
          <w:lang w:eastAsia="bg-BG" w:bidi="bg-BG"/>
        </w:rPr>
        <w:t xml:space="preserve">2020, </w:t>
      </w:r>
      <w:r w:rsidRPr="004B4540">
        <w:rPr>
          <w:rStyle w:val="Bodytext1"/>
          <w:rFonts w:cs="Times New Roman"/>
          <w:noProof/>
          <w:szCs w:val="24"/>
        </w:rPr>
        <w:t>the EU ETS covers emissions from outgoing flights to Switzerland</w:t>
      </w:r>
      <w:r w:rsidR="00D51018" w:rsidRPr="004B4540">
        <w:rPr>
          <w:rStyle w:val="Bodytext1"/>
          <w:rFonts w:cs="Times New Roman"/>
          <w:noProof/>
          <w:szCs w:val="24"/>
          <w:vertAlign w:val="superscript"/>
        </w:rPr>
        <w:footnoteReference w:id="78"/>
      </w:r>
      <w:r w:rsidR="00D51018" w:rsidRPr="004B4540">
        <w:rPr>
          <w:rStyle w:val="Bodytext1"/>
          <w:rFonts w:cs="Times New Roman"/>
          <w:noProof/>
          <w:szCs w:val="24"/>
        </w:rPr>
        <w:t xml:space="preserve">. </w:t>
      </w:r>
      <w:r w:rsidR="00606711" w:rsidRPr="004B4540">
        <w:rPr>
          <w:rStyle w:val="Bodytext1"/>
          <w:rFonts w:cs="Times New Roman"/>
          <w:noProof/>
          <w:szCs w:val="24"/>
        </w:rPr>
        <w:t xml:space="preserve">The Swiss ETS applies to flights departing to EEA airports. This ensures a level playing field in both route directions. Second, as of </w:t>
      </w:r>
      <w:r w:rsidR="00606711" w:rsidRPr="004B4540">
        <w:rPr>
          <w:rStyle w:val="Bodytext1"/>
          <w:rFonts w:cs="Times New Roman"/>
          <w:noProof/>
          <w:szCs w:val="24"/>
          <w:lang w:eastAsia="bg-BG" w:bidi="bg-BG"/>
        </w:rPr>
        <w:t>1 </w:t>
      </w:r>
      <w:r w:rsidR="00606711" w:rsidRPr="004B4540">
        <w:rPr>
          <w:rStyle w:val="Bodytext1"/>
          <w:rFonts w:cs="Times New Roman"/>
          <w:noProof/>
          <w:szCs w:val="24"/>
        </w:rPr>
        <w:t xml:space="preserve">January </w:t>
      </w:r>
      <w:r w:rsidR="00606711" w:rsidRPr="004B4540">
        <w:rPr>
          <w:rStyle w:val="Bodytext1"/>
          <w:rFonts w:cs="Times New Roman"/>
          <w:noProof/>
          <w:szCs w:val="24"/>
          <w:lang w:eastAsia="bg-BG" w:bidi="bg-BG"/>
        </w:rPr>
        <w:t xml:space="preserve">2021, </w:t>
      </w:r>
      <w:r w:rsidR="00606711" w:rsidRPr="004B4540">
        <w:rPr>
          <w:rStyle w:val="Bodytext1"/>
          <w:rFonts w:cs="Times New Roman"/>
          <w:noProof/>
          <w:szCs w:val="24"/>
        </w:rPr>
        <w:t>the EU ETS applies to outgoing flights to the UK. The UK ETS applies to flights departing to EEA airports, which maintains the carbon pricing coverage of aviation emissions despite the UK’s departure from the EU.</w:t>
      </w:r>
    </w:p>
    <w:p w14:paraId="6DA192D9" w14:textId="4ADC35AB" w:rsidR="00A33B00" w:rsidRPr="004B4540" w:rsidRDefault="00A33B00" w:rsidP="00A33B00">
      <w:pPr>
        <w:pStyle w:val="CMR23-text"/>
        <w:rPr>
          <w:rStyle w:val="Bodytext1"/>
          <w:rFonts w:cs="Times New Roman"/>
          <w:noProof/>
          <w:szCs w:val="24"/>
        </w:rPr>
      </w:pPr>
      <w:r w:rsidRPr="004B4540">
        <w:rPr>
          <w:rStyle w:val="Bodytext1"/>
          <w:rFonts w:cs="Times New Roman"/>
          <w:noProof/>
          <w:szCs w:val="24"/>
        </w:rPr>
        <w:t>The third scope extension will take place on 1 January 2024 when emissions from most flights</w:t>
      </w:r>
      <w:r w:rsidR="009E1B78">
        <w:rPr>
          <w:rStyle w:val="FootnoteReference"/>
          <w:rFonts w:cs="Times New Roman"/>
          <w:noProof/>
          <w:szCs w:val="24"/>
        </w:rPr>
        <w:footnoteReference w:id="79"/>
      </w:r>
      <w:r w:rsidRPr="004B4540">
        <w:rPr>
          <w:rStyle w:val="Bodytext1"/>
          <w:rFonts w:cs="Times New Roman"/>
          <w:noProof/>
          <w:szCs w:val="24"/>
        </w:rPr>
        <w:t xml:space="preserve"> to and from the EU’s nine outermost regions will be covered by the EU ETS as well as departing flights from the outermost regions to Switzerland and the UK. Altogether, this will lead to an extension of ETS carbon pricing coverage of around </w:t>
      </w:r>
      <w:r w:rsidR="004C3F0A" w:rsidRPr="004B4540">
        <w:rPr>
          <w:rStyle w:val="Bodytext1"/>
          <w:rFonts w:cs="Times New Roman"/>
          <w:noProof/>
          <w:szCs w:val="24"/>
        </w:rPr>
        <w:t>7</w:t>
      </w:r>
      <w:r w:rsidRPr="004B4540">
        <w:rPr>
          <w:rStyle w:val="Bodytext1"/>
          <w:rFonts w:cs="Times New Roman"/>
          <w:noProof/>
          <w:szCs w:val="24"/>
        </w:rPr>
        <w:t>%. Switzerland is also planning to cover emissions from flights departing to the outermost regions in its ETS from the same date.</w:t>
      </w:r>
    </w:p>
    <w:p w14:paraId="5CCA5653" w14:textId="511302A0" w:rsidR="00AD302C" w:rsidRPr="004B4540" w:rsidRDefault="00AD302C" w:rsidP="00AD302C">
      <w:pPr>
        <w:pStyle w:val="CMR23-text"/>
        <w:rPr>
          <w:rFonts w:cs="Times New Roman"/>
          <w:noProof/>
          <w:szCs w:val="24"/>
        </w:rPr>
      </w:pPr>
      <w:r w:rsidRPr="004B4540">
        <w:rPr>
          <w:rStyle w:val="Bodytext1"/>
          <w:rFonts w:cs="Times New Roman"/>
          <w:noProof/>
          <w:szCs w:val="24"/>
        </w:rPr>
        <w:t xml:space="preserve">In </w:t>
      </w:r>
      <w:r w:rsidRPr="004B4540">
        <w:rPr>
          <w:rStyle w:val="Bodytext1"/>
          <w:rFonts w:cs="Times New Roman"/>
          <w:noProof/>
          <w:szCs w:val="24"/>
          <w:lang w:eastAsia="bg-BG" w:bidi="bg-BG"/>
        </w:rPr>
        <w:t>2022, a</w:t>
      </w:r>
      <w:r w:rsidR="000D0492" w:rsidRPr="004B4540">
        <w:rPr>
          <w:rStyle w:val="Bodytext1"/>
          <w:rFonts w:cs="Times New Roman"/>
          <w:noProof/>
          <w:szCs w:val="24"/>
          <w:lang w:eastAsia="bg-BG" w:bidi="bg-BG"/>
        </w:rPr>
        <w:t>round</w:t>
      </w:r>
      <w:r w:rsidRPr="004B4540">
        <w:rPr>
          <w:rStyle w:val="Bodytext1"/>
          <w:rFonts w:cs="Times New Roman"/>
          <w:noProof/>
          <w:szCs w:val="24"/>
          <w:lang w:eastAsia="bg-BG" w:bidi="bg-BG"/>
        </w:rPr>
        <w:t xml:space="preserve"> 27 </w:t>
      </w:r>
      <w:r w:rsidRPr="004B4540">
        <w:rPr>
          <w:rStyle w:val="Bodytext1"/>
          <w:rFonts w:cs="Times New Roman"/>
          <w:noProof/>
          <w:szCs w:val="24"/>
        </w:rPr>
        <w:t>million aviation allowances were issued in line with the updated scope of the EU ETS. Free allocation amounted to 23.1</w:t>
      </w:r>
      <w:r w:rsidRPr="004B4540">
        <w:rPr>
          <w:rStyle w:val="Bodytext1"/>
          <w:rFonts w:cs="Times New Roman"/>
          <w:noProof/>
          <w:szCs w:val="24"/>
          <w:lang w:eastAsia="bg-BG" w:bidi="bg-BG"/>
        </w:rPr>
        <w:t xml:space="preserve"> </w:t>
      </w:r>
      <w:r w:rsidRPr="004B4540">
        <w:rPr>
          <w:rStyle w:val="Bodytext1"/>
          <w:rFonts w:cs="Times New Roman"/>
          <w:noProof/>
          <w:szCs w:val="24"/>
        </w:rPr>
        <w:t xml:space="preserve">million allowances. </w:t>
      </w:r>
      <w:r w:rsidR="000D0492" w:rsidRPr="004B4540">
        <w:rPr>
          <w:rStyle w:val="Bodytext1"/>
          <w:rFonts w:cs="Times New Roman"/>
          <w:noProof/>
          <w:szCs w:val="24"/>
        </w:rPr>
        <w:t>A</w:t>
      </w:r>
      <w:r w:rsidRPr="004B4540">
        <w:rPr>
          <w:rStyle w:val="Bodytext1"/>
          <w:rFonts w:cs="Times New Roman"/>
          <w:noProof/>
          <w:szCs w:val="24"/>
        </w:rPr>
        <w:t xml:space="preserve">ircraft operators administered by national administrators in the EEA received a little less than 0.4 million Swiss aviation allowances for free under the Swiss ETS. </w:t>
      </w:r>
      <w:r w:rsidR="000D0492" w:rsidRPr="004B4540">
        <w:rPr>
          <w:rStyle w:val="Bodytext1"/>
          <w:rFonts w:cs="Times New Roman"/>
          <w:noProof/>
          <w:szCs w:val="24"/>
        </w:rPr>
        <w:t>A</w:t>
      </w:r>
      <w:r w:rsidRPr="004B4540">
        <w:rPr>
          <w:rStyle w:val="Bodytext1"/>
          <w:rFonts w:cs="Times New Roman"/>
          <w:noProof/>
          <w:szCs w:val="24"/>
        </w:rPr>
        <w:t xml:space="preserve">pproximately </w:t>
      </w:r>
      <w:r w:rsidRPr="004B4540">
        <w:rPr>
          <w:rStyle w:val="Bodytext1"/>
          <w:rFonts w:cs="Times New Roman"/>
          <w:noProof/>
          <w:szCs w:val="24"/>
          <w:lang w:eastAsia="bg-BG" w:bidi="bg-BG"/>
        </w:rPr>
        <w:t xml:space="preserve">3.7 </w:t>
      </w:r>
      <w:r w:rsidRPr="004B4540">
        <w:rPr>
          <w:rStyle w:val="Bodytext1"/>
          <w:rFonts w:cs="Times New Roman"/>
          <w:noProof/>
          <w:szCs w:val="24"/>
        </w:rPr>
        <w:t xml:space="preserve">million aviation allowances were auctioned in </w:t>
      </w:r>
      <w:r w:rsidRPr="004B4540">
        <w:rPr>
          <w:rStyle w:val="Bodytext1"/>
          <w:rFonts w:cs="Times New Roman"/>
          <w:noProof/>
          <w:szCs w:val="24"/>
          <w:lang w:eastAsia="bg-BG" w:bidi="bg-BG"/>
        </w:rPr>
        <w:t xml:space="preserve">2022. </w:t>
      </w:r>
    </w:p>
    <w:p w14:paraId="5802C6E9" w14:textId="680AF6AF" w:rsidR="00722AC8" w:rsidRPr="004B4540" w:rsidRDefault="00722AC8" w:rsidP="00912934">
      <w:pPr>
        <w:pStyle w:val="CMR23-text"/>
        <w:rPr>
          <w:rFonts w:cs="Times New Roman"/>
          <w:noProof/>
          <w:szCs w:val="24"/>
        </w:rPr>
      </w:pPr>
      <w:r w:rsidRPr="004B4540">
        <w:rPr>
          <w:rFonts w:cs="Times New Roman"/>
          <w:noProof/>
          <w:szCs w:val="24"/>
        </w:rPr>
        <w:t xml:space="preserve">Emissions from aircraft operators increased significantly in 2022 compared to 2021. In 2022, emissions amounted to 49.1 million tonnes (including 0.5 million tonnes under the Swiss ETS), </w:t>
      </w:r>
      <w:r w:rsidR="00646E9F" w:rsidRPr="004B4540">
        <w:rPr>
          <w:rFonts w:cs="Times New Roman"/>
          <w:noProof/>
          <w:szCs w:val="24"/>
        </w:rPr>
        <w:t>up from</w:t>
      </w:r>
      <w:r w:rsidRPr="004B4540">
        <w:rPr>
          <w:rFonts w:cs="Times New Roman"/>
          <w:noProof/>
          <w:szCs w:val="24"/>
        </w:rPr>
        <w:t xml:space="preserve"> 27.9 million tonnes in 2021. </w:t>
      </w:r>
      <w:r w:rsidR="00273793" w:rsidRPr="004B4540">
        <w:rPr>
          <w:rFonts w:cs="Times New Roman"/>
          <w:noProof/>
          <w:szCs w:val="24"/>
        </w:rPr>
        <w:t xml:space="preserve">This was still </w:t>
      </w:r>
      <w:r w:rsidRPr="004B4540">
        <w:rPr>
          <w:rFonts w:cs="Times New Roman"/>
          <w:noProof/>
          <w:szCs w:val="24"/>
        </w:rPr>
        <w:t xml:space="preserve">almost 30% lower than the 68.2 million tonnes emitted in 2019. Since 2021, however, the EU ETS no longer covers incoming flights from the UK. Without these, the EU ETS aviation emissions are closer to 2019 </w:t>
      </w:r>
      <w:r w:rsidR="00D070B3" w:rsidRPr="004B4540">
        <w:rPr>
          <w:rFonts w:cs="Times New Roman"/>
          <w:noProof/>
          <w:szCs w:val="24"/>
        </w:rPr>
        <w:t>levels</w:t>
      </w:r>
      <w:r w:rsidRPr="004B4540">
        <w:rPr>
          <w:rFonts w:cs="Times New Roman"/>
          <w:noProof/>
          <w:szCs w:val="24"/>
        </w:rPr>
        <w:t>, confirming the return to pre-COVID 19 emission levels</w:t>
      </w:r>
      <w:r w:rsidR="00AF3C99" w:rsidRPr="004B4540">
        <w:rPr>
          <w:rStyle w:val="FootnoteReference"/>
          <w:rFonts w:cs="Times New Roman"/>
          <w:noProof/>
          <w:szCs w:val="24"/>
        </w:rPr>
        <w:footnoteReference w:id="80"/>
      </w:r>
      <w:r w:rsidRPr="004B4540">
        <w:rPr>
          <w:rFonts w:cs="Times New Roman"/>
          <w:noProof/>
          <w:szCs w:val="24"/>
        </w:rPr>
        <w:t>.</w:t>
      </w:r>
    </w:p>
    <w:bookmarkStart w:id="73" w:name="bookmark56"/>
    <w:p w14:paraId="21AE6C5C" w14:textId="2125585C" w:rsidR="00F73E58" w:rsidRPr="004B4540" w:rsidRDefault="00A5525D" w:rsidP="00722AC8">
      <w:pPr>
        <w:pStyle w:val="CMR23-text"/>
        <w:rPr>
          <w:rStyle w:val="Bodytext1"/>
          <w:rFonts w:cs="Times New Roman"/>
          <w:noProof/>
          <w:szCs w:val="24"/>
        </w:rPr>
      </w:pPr>
      <w:r w:rsidRPr="004B4540">
        <w:rPr>
          <w:rFonts w:cs="Times New Roman"/>
          <w:noProof/>
          <w:lang w:val="hr-HR" w:eastAsia="hr-HR" w:bidi="hr-HR"/>
        </w:rPr>
        <w:fldChar w:fldCharType="begin"/>
      </w:r>
      <w:r w:rsidRPr="004B4540">
        <w:rPr>
          <w:rFonts w:cs="Times New Roman"/>
          <w:noProof/>
          <w:lang w:val="hr-HR" w:eastAsia="hr-HR" w:bidi="hr-HR"/>
        </w:rPr>
        <w:instrText xml:space="preserve"> REF _Ref145492114 \h </w:instrText>
      </w:r>
      <w:r w:rsidR="004B4540">
        <w:rPr>
          <w:rFonts w:cs="Times New Roman"/>
          <w:noProof/>
          <w:lang w:val="hr-HR" w:eastAsia="hr-HR" w:bidi="hr-HR"/>
        </w:rPr>
        <w:instrText xml:space="preserve"> \* MERGEFORMAT </w:instrText>
      </w:r>
      <w:r w:rsidRPr="004B4540">
        <w:rPr>
          <w:rFonts w:cs="Times New Roman"/>
          <w:noProof/>
          <w:lang w:val="hr-HR" w:eastAsia="hr-HR" w:bidi="hr-HR"/>
        </w:rPr>
      </w:r>
      <w:r w:rsidRPr="004B4540">
        <w:rPr>
          <w:rFonts w:cs="Times New Roman"/>
          <w:noProof/>
          <w:lang w:val="hr-HR" w:eastAsia="hr-HR" w:bidi="hr-HR"/>
        </w:rPr>
        <w:fldChar w:fldCharType="separate"/>
      </w:r>
      <w:r w:rsidR="00B83BFA" w:rsidRPr="00B83BFA">
        <w:rPr>
          <w:rFonts w:cs="Times New Roman"/>
          <w:noProof/>
        </w:rPr>
        <w:t>Table 7</w:t>
      </w:r>
      <w:r w:rsidRPr="004B4540">
        <w:rPr>
          <w:rFonts w:cs="Times New Roman"/>
          <w:noProof/>
          <w:lang w:val="hr-HR" w:eastAsia="hr-HR" w:bidi="hr-HR"/>
        </w:rPr>
        <w:fldChar w:fldCharType="end"/>
      </w:r>
      <w:r w:rsidRPr="00645617" w:rsidDel="00A5525D">
        <w:rPr>
          <w:noProof/>
          <w:lang w:val="hr-HR" w:eastAsia="hr-HR" w:bidi="hr-HR"/>
        </w:rPr>
        <w:t xml:space="preserve"> </w:t>
      </w:r>
      <w:r w:rsidR="00722AC8" w:rsidRPr="004B4540">
        <w:rPr>
          <w:rStyle w:val="Bodytext1"/>
          <w:rFonts w:cs="Times New Roman"/>
          <w:noProof/>
          <w:szCs w:val="24"/>
        </w:rPr>
        <w:t>sets out verified emissions from aircraft operators, along with the volumes of allowances allocated for free and auctioned in the aviation sector</w:t>
      </w:r>
      <w:r w:rsidRPr="004B4540">
        <w:rPr>
          <w:rStyle w:val="Bodytext1"/>
          <w:rFonts w:cs="Times New Roman"/>
          <w:noProof/>
          <w:szCs w:val="24"/>
        </w:rPr>
        <w:t xml:space="preserve"> since 2019</w:t>
      </w:r>
      <w:r w:rsidR="00722AC8" w:rsidRPr="004B4540">
        <w:rPr>
          <w:rStyle w:val="Bodytext1"/>
          <w:rFonts w:cs="Times New Roman"/>
          <w:noProof/>
          <w:szCs w:val="24"/>
        </w:rPr>
        <w:t>.</w:t>
      </w:r>
      <w:bookmarkEnd w:id="73"/>
    </w:p>
    <w:p w14:paraId="137D32D7" w14:textId="5E936AD6" w:rsidR="00A5525D" w:rsidRPr="004B4540" w:rsidRDefault="00A5525D" w:rsidP="00405B6F">
      <w:pPr>
        <w:pStyle w:val="Caption"/>
        <w:keepNext/>
        <w:rPr>
          <w:noProof/>
        </w:rPr>
      </w:pPr>
      <w:bookmarkStart w:id="74" w:name="_Ref145492114"/>
      <w:r w:rsidRPr="004B4540">
        <w:rPr>
          <w:noProof/>
        </w:rPr>
        <w:t xml:space="preserve">Table </w:t>
      </w:r>
      <w:r w:rsidRPr="004B4540">
        <w:rPr>
          <w:noProof/>
        </w:rPr>
        <w:fldChar w:fldCharType="begin"/>
      </w:r>
      <w:r w:rsidRPr="004B4540">
        <w:rPr>
          <w:noProof/>
        </w:rPr>
        <w:instrText>SEQ Table \* ARABIC</w:instrText>
      </w:r>
      <w:r w:rsidRPr="004B4540">
        <w:rPr>
          <w:noProof/>
        </w:rPr>
        <w:fldChar w:fldCharType="separate"/>
      </w:r>
      <w:r w:rsidR="00B83BFA">
        <w:rPr>
          <w:noProof/>
        </w:rPr>
        <w:t>7</w:t>
      </w:r>
      <w:r w:rsidRPr="004B4540">
        <w:rPr>
          <w:noProof/>
        </w:rPr>
        <w:fldChar w:fldCharType="end"/>
      </w:r>
      <w:bookmarkEnd w:id="74"/>
      <w:r w:rsidR="00110745" w:rsidRPr="004B4540">
        <w:rPr>
          <w:noProof/>
        </w:rPr>
        <w:t>:</w:t>
      </w:r>
      <w:r w:rsidRPr="004B4540">
        <w:rPr>
          <w:noProof/>
        </w:rPr>
        <w:t xml:space="preserve"> Aviation in the EU </w:t>
      </w:r>
      <w:r w:rsidR="00AC1165" w:rsidRPr="004B4540">
        <w:rPr>
          <w:noProof/>
        </w:rPr>
        <w:t>ETS – verified emissions</w:t>
      </w:r>
      <w:r w:rsidRPr="004B4540">
        <w:rPr>
          <w:noProof/>
        </w:rPr>
        <w:t>, volumes of allowances allocated for free and auctioned</w:t>
      </w:r>
    </w:p>
    <w:tbl>
      <w:tblPr>
        <w:tblStyle w:val="TableGridLight"/>
        <w:tblW w:w="5000" w:type="pct"/>
        <w:tblLook w:val="04A0" w:firstRow="1" w:lastRow="0" w:firstColumn="1" w:lastColumn="0" w:noHBand="0" w:noVBand="1"/>
      </w:tblPr>
      <w:tblGrid>
        <w:gridCol w:w="2568"/>
        <w:gridCol w:w="1612"/>
        <w:gridCol w:w="1612"/>
        <w:gridCol w:w="1612"/>
        <w:gridCol w:w="1612"/>
      </w:tblGrid>
      <w:tr w:rsidR="00D070B3" w:rsidRPr="00505E13" w14:paraId="44EBAACF" w14:textId="77777777" w:rsidTr="00437054">
        <w:tc>
          <w:tcPr>
            <w:tcW w:w="1424" w:type="pct"/>
            <w:vAlign w:val="center"/>
          </w:tcPr>
          <w:p w14:paraId="303FC190" w14:textId="199A57C5" w:rsidR="00D070B3" w:rsidRPr="00437054" w:rsidRDefault="00D070B3" w:rsidP="00437054">
            <w:pPr>
              <w:pStyle w:val="CMR2023-tabletext"/>
              <w:keepNext/>
              <w:jc w:val="left"/>
              <w:rPr>
                <w:rFonts w:cs="Times New Roman"/>
                <w:b/>
                <w:bCs w:val="0"/>
                <w:noProof/>
                <w:sz w:val="22"/>
              </w:rPr>
            </w:pPr>
            <w:r w:rsidRPr="00437054">
              <w:rPr>
                <w:rStyle w:val="Other1"/>
                <w:rFonts w:cs="Times New Roman"/>
                <w:b/>
                <w:bCs w:val="0"/>
                <w:noProof/>
                <w:sz w:val="22"/>
              </w:rPr>
              <w:t>Year</w:t>
            </w:r>
          </w:p>
        </w:tc>
        <w:tc>
          <w:tcPr>
            <w:tcW w:w="894" w:type="pct"/>
            <w:vAlign w:val="center"/>
          </w:tcPr>
          <w:p w14:paraId="535416F5" w14:textId="5993584F"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2019</w:t>
            </w:r>
          </w:p>
        </w:tc>
        <w:tc>
          <w:tcPr>
            <w:tcW w:w="894" w:type="pct"/>
            <w:vAlign w:val="center"/>
          </w:tcPr>
          <w:p w14:paraId="5C01A804" w14:textId="04AFA971"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2020</w:t>
            </w:r>
          </w:p>
        </w:tc>
        <w:tc>
          <w:tcPr>
            <w:tcW w:w="894" w:type="pct"/>
            <w:vAlign w:val="center"/>
          </w:tcPr>
          <w:p w14:paraId="46979AB0" w14:textId="62040640"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2021</w:t>
            </w:r>
          </w:p>
        </w:tc>
        <w:tc>
          <w:tcPr>
            <w:tcW w:w="894" w:type="pct"/>
            <w:vAlign w:val="center"/>
          </w:tcPr>
          <w:p w14:paraId="411627BB" w14:textId="4F70B9EA"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2022</w:t>
            </w:r>
          </w:p>
        </w:tc>
      </w:tr>
      <w:tr w:rsidR="00D070B3" w:rsidRPr="00505E13" w14:paraId="1644E8D0" w14:textId="77777777" w:rsidTr="00437054">
        <w:tc>
          <w:tcPr>
            <w:tcW w:w="1424" w:type="pct"/>
            <w:vAlign w:val="center"/>
          </w:tcPr>
          <w:p w14:paraId="76A0E32D" w14:textId="5125D52A" w:rsidR="00D070B3" w:rsidRPr="00437054" w:rsidRDefault="00D070B3" w:rsidP="00437054">
            <w:pPr>
              <w:pStyle w:val="CMR2023-tabletext"/>
              <w:keepNext/>
              <w:jc w:val="left"/>
              <w:rPr>
                <w:rFonts w:cs="Times New Roman"/>
                <w:b/>
                <w:bCs w:val="0"/>
                <w:noProof/>
                <w:sz w:val="22"/>
              </w:rPr>
            </w:pPr>
            <w:r w:rsidRPr="00437054">
              <w:rPr>
                <w:rStyle w:val="Other1"/>
                <w:rFonts w:cs="Times New Roman"/>
                <w:b/>
                <w:bCs w:val="0"/>
                <w:noProof/>
                <w:sz w:val="22"/>
              </w:rPr>
              <w:t>Verified emissions (million tonnes CO</w:t>
            </w:r>
            <w:r w:rsidRPr="00437054">
              <w:rPr>
                <w:rStyle w:val="Other1"/>
                <w:rFonts w:cs="Times New Roman"/>
                <w:b/>
                <w:bCs w:val="0"/>
                <w:noProof/>
                <w:sz w:val="22"/>
                <w:vertAlign w:val="subscript"/>
              </w:rPr>
              <w:t>2</w:t>
            </w:r>
            <w:r w:rsidRPr="00437054">
              <w:rPr>
                <w:rStyle w:val="Other1"/>
                <w:rFonts w:cs="Times New Roman"/>
                <w:b/>
                <w:bCs w:val="0"/>
                <w:noProof/>
                <w:sz w:val="22"/>
              </w:rPr>
              <w:t>eq)</w:t>
            </w:r>
          </w:p>
        </w:tc>
        <w:tc>
          <w:tcPr>
            <w:tcW w:w="894" w:type="pct"/>
            <w:vAlign w:val="center"/>
          </w:tcPr>
          <w:p w14:paraId="69B88349" w14:textId="365685CA"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68.2</w:t>
            </w:r>
          </w:p>
        </w:tc>
        <w:tc>
          <w:tcPr>
            <w:tcW w:w="894" w:type="pct"/>
            <w:vAlign w:val="center"/>
          </w:tcPr>
          <w:p w14:paraId="66917656" w14:textId="305777A4"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25.2</w:t>
            </w:r>
          </w:p>
        </w:tc>
        <w:tc>
          <w:tcPr>
            <w:tcW w:w="894" w:type="pct"/>
            <w:vAlign w:val="center"/>
          </w:tcPr>
          <w:p w14:paraId="7575B3E1" w14:textId="26959F94"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27.9</w:t>
            </w:r>
          </w:p>
        </w:tc>
        <w:tc>
          <w:tcPr>
            <w:tcW w:w="894" w:type="pct"/>
            <w:vAlign w:val="center"/>
          </w:tcPr>
          <w:p w14:paraId="3F82BB7F" w14:textId="090CF8CA"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49.1</w:t>
            </w:r>
          </w:p>
        </w:tc>
      </w:tr>
      <w:tr w:rsidR="00D070B3" w:rsidRPr="00505E13" w14:paraId="283EAF7C" w14:textId="77777777" w:rsidTr="00437054">
        <w:tc>
          <w:tcPr>
            <w:tcW w:w="1424" w:type="pct"/>
            <w:vAlign w:val="center"/>
          </w:tcPr>
          <w:p w14:paraId="4A93D119" w14:textId="6BE2E238" w:rsidR="00D070B3" w:rsidRPr="00437054" w:rsidRDefault="00D070B3" w:rsidP="00437054">
            <w:pPr>
              <w:pStyle w:val="CMR2023-tabletext"/>
              <w:keepNext/>
              <w:jc w:val="left"/>
              <w:rPr>
                <w:rFonts w:cs="Times New Roman"/>
                <w:b/>
                <w:bCs w:val="0"/>
                <w:noProof/>
                <w:sz w:val="22"/>
              </w:rPr>
            </w:pPr>
            <w:r w:rsidRPr="00437054">
              <w:rPr>
                <w:rStyle w:val="Other1"/>
                <w:rFonts w:cs="Times New Roman"/>
                <w:b/>
                <w:bCs w:val="0"/>
                <w:noProof/>
                <w:sz w:val="22"/>
              </w:rPr>
              <w:t>Change year-on- year</w:t>
            </w:r>
            <w:r w:rsidR="00405B6F" w:rsidRPr="00437054">
              <w:rPr>
                <w:rStyle w:val="Other1"/>
                <w:rFonts w:cs="Times New Roman"/>
                <w:b/>
                <w:bCs w:val="0"/>
                <w:noProof/>
                <w:sz w:val="22"/>
                <w:vertAlign w:val="superscript"/>
                <w:lang w:eastAsia="bg-BG" w:bidi="bg-BG"/>
              </w:rPr>
              <w:footnoteReference w:id="81"/>
            </w:r>
            <w:r w:rsidR="00505E13" w:rsidRPr="00437054">
              <w:rPr>
                <w:rStyle w:val="Other1"/>
                <w:rFonts w:cs="Times New Roman"/>
                <w:b/>
                <w:bCs w:val="0"/>
                <w:noProof/>
                <w:sz w:val="22"/>
                <w:vertAlign w:val="superscript"/>
              </w:rPr>
              <w:t>,</w:t>
            </w:r>
            <w:r w:rsidR="00405B6F" w:rsidRPr="00437054">
              <w:rPr>
                <w:rStyle w:val="Other1"/>
                <w:rFonts w:cs="Times New Roman"/>
                <w:b/>
                <w:bCs w:val="0"/>
                <w:noProof/>
                <w:sz w:val="22"/>
                <w:vertAlign w:val="superscript"/>
                <w:lang w:eastAsia="bg-BG" w:bidi="bg-BG"/>
              </w:rPr>
              <w:footnoteReference w:id="82"/>
            </w:r>
          </w:p>
        </w:tc>
        <w:tc>
          <w:tcPr>
            <w:tcW w:w="894" w:type="pct"/>
            <w:vAlign w:val="center"/>
          </w:tcPr>
          <w:p w14:paraId="2AAE87CB" w14:textId="14029584"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1%</w:t>
            </w:r>
          </w:p>
        </w:tc>
        <w:tc>
          <w:tcPr>
            <w:tcW w:w="894" w:type="pct"/>
            <w:vAlign w:val="center"/>
          </w:tcPr>
          <w:p w14:paraId="049C3996" w14:textId="1B4AB3CA" w:rsidR="00D070B3" w:rsidRPr="00505E13" w:rsidRDefault="00995B05" w:rsidP="00437054">
            <w:pPr>
              <w:pStyle w:val="CMR23-text"/>
              <w:keepNext/>
              <w:jc w:val="center"/>
              <w:rPr>
                <w:rFonts w:cs="Times New Roman"/>
                <w:noProof/>
                <w:sz w:val="22"/>
              </w:rPr>
            </w:pPr>
            <w:r w:rsidRPr="00505E13">
              <w:rPr>
                <w:rStyle w:val="Other1"/>
                <w:rFonts w:cs="Times New Roman"/>
                <w:noProof/>
                <w:sz w:val="22"/>
                <w:lang w:eastAsia="bg-BG" w:bidi="bg-BG"/>
              </w:rPr>
              <w:t>−63%</w:t>
            </w:r>
          </w:p>
        </w:tc>
        <w:tc>
          <w:tcPr>
            <w:tcW w:w="894" w:type="pct"/>
            <w:vAlign w:val="center"/>
          </w:tcPr>
          <w:p w14:paraId="7859E3DD" w14:textId="4E286587"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30%</w:t>
            </w:r>
          </w:p>
        </w:tc>
        <w:tc>
          <w:tcPr>
            <w:tcW w:w="894" w:type="pct"/>
            <w:vAlign w:val="center"/>
          </w:tcPr>
          <w:p w14:paraId="2B879437" w14:textId="2CFEABAC"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75%</w:t>
            </w:r>
          </w:p>
        </w:tc>
      </w:tr>
      <w:tr w:rsidR="00D070B3" w:rsidRPr="00505E13" w14:paraId="23AE3D1A" w14:textId="77777777" w:rsidTr="00437054">
        <w:tc>
          <w:tcPr>
            <w:tcW w:w="1424" w:type="pct"/>
            <w:vAlign w:val="center"/>
          </w:tcPr>
          <w:p w14:paraId="3888165A" w14:textId="28BB0CB4" w:rsidR="00D070B3" w:rsidRPr="00437054" w:rsidRDefault="00D070B3" w:rsidP="00437054">
            <w:pPr>
              <w:pStyle w:val="CMR2023-tabletext"/>
              <w:keepNext/>
              <w:jc w:val="left"/>
              <w:rPr>
                <w:rFonts w:cs="Times New Roman"/>
                <w:b/>
                <w:bCs w:val="0"/>
                <w:noProof/>
                <w:sz w:val="22"/>
              </w:rPr>
            </w:pPr>
            <w:r w:rsidRPr="00437054">
              <w:rPr>
                <w:rStyle w:val="Other1"/>
                <w:rFonts w:cs="Times New Roman"/>
                <w:b/>
                <w:bCs w:val="0"/>
                <w:noProof/>
                <w:sz w:val="22"/>
              </w:rPr>
              <w:t>Free allocation (EU27 + Iceland, Liechtenstein, and Norway + UK + Switzerland)</w:t>
            </w:r>
            <w:r w:rsidR="00405B6F" w:rsidRPr="00437054">
              <w:rPr>
                <w:rStyle w:val="Other1"/>
                <w:rFonts w:cs="Times New Roman"/>
                <w:b/>
                <w:bCs w:val="0"/>
                <w:noProof/>
                <w:sz w:val="22"/>
                <w:vertAlign w:val="superscript"/>
                <w:lang w:eastAsia="bg-BG" w:bidi="bg-BG"/>
              </w:rPr>
              <w:t xml:space="preserve"> </w:t>
            </w:r>
            <w:r w:rsidR="00405B6F" w:rsidRPr="00437054">
              <w:rPr>
                <w:rStyle w:val="Other1"/>
                <w:rFonts w:cs="Times New Roman"/>
                <w:b/>
                <w:bCs w:val="0"/>
                <w:noProof/>
                <w:sz w:val="22"/>
                <w:vertAlign w:val="superscript"/>
                <w:lang w:eastAsia="bg-BG" w:bidi="bg-BG"/>
              </w:rPr>
              <w:footnoteReference w:id="83"/>
            </w:r>
            <w:r w:rsidR="00405B6F" w:rsidRPr="00437054">
              <w:rPr>
                <w:rStyle w:val="Other1"/>
                <w:rFonts w:cs="Times New Roman"/>
                <w:b/>
                <w:bCs w:val="0"/>
                <w:noProof/>
                <w:sz w:val="22"/>
                <w:vertAlign w:val="superscript"/>
                <w:lang w:eastAsia="bg-BG" w:bidi="bg-BG"/>
              </w:rPr>
              <w:t>,</w:t>
            </w:r>
            <w:r w:rsidRPr="00437054">
              <w:rPr>
                <w:rStyle w:val="Other1"/>
                <w:rFonts w:cs="Times New Roman"/>
                <w:b/>
                <w:bCs w:val="0"/>
                <w:noProof/>
                <w:sz w:val="22"/>
                <w:vertAlign w:val="superscript"/>
              </w:rPr>
              <w:t>71,72</w:t>
            </w:r>
          </w:p>
        </w:tc>
        <w:tc>
          <w:tcPr>
            <w:tcW w:w="894" w:type="pct"/>
            <w:vAlign w:val="center"/>
          </w:tcPr>
          <w:p w14:paraId="5216630E" w14:textId="777AE126"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31.3</w:t>
            </w:r>
            <w:r w:rsidRPr="00505E13">
              <w:rPr>
                <w:rStyle w:val="Other1"/>
                <w:rFonts w:cs="Times New Roman"/>
                <w:noProof/>
                <w:sz w:val="22"/>
                <w:vertAlign w:val="superscript"/>
                <w:lang w:eastAsia="bg-BG" w:bidi="bg-BG"/>
              </w:rPr>
              <w:footnoteReference w:id="84"/>
            </w:r>
          </w:p>
        </w:tc>
        <w:tc>
          <w:tcPr>
            <w:tcW w:w="894" w:type="pct"/>
            <w:vAlign w:val="center"/>
          </w:tcPr>
          <w:p w14:paraId="3FE2F4B7" w14:textId="5CC74580"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32.5</w:t>
            </w:r>
          </w:p>
        </w:tc>
        <w:tc>
          <w:tcPr>
            <w:tcW w:w="894" w:type="pct"/>
            <w:vAlign w:val="center"/>
          </w:tcPr>
          <w:p w14:paraId="00D2E827" w14:textId="142A00E3"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24.0</w:t>
            </w:r>
          </w:p>
        </w:tc>
        <w:tc>
          <w:tcPr>
            <w:tcW w:w="894" w:type="pct"/>
            <w:vAlign w:val="center"/>
          </w:tcPr>
          <w:p w14:paraId="3620C136" w14:textId="59184B14"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23.1</w:t>
            </w:r>
          </w:p>
        </w:tc>
      </w:tr>
      <w:tr w:rsidR="00D070B3" w:rsidRPr="00505E13" w14:paraId="6F76C5BE" w14:textId="77777777" w:rsidTr="00437054">
        <w:tc>
          <w:tcPr>
            <w:tcW w:w="1424" w:type="pct"/>
            <w:vAlign w:val="center"/>
          </w:tcPr>
          <w:p w14:paraId="771A2BEA" w14:textId="741CAADB" w:rsidR="00D070B3" w:rsidRPr="00437054" w:rsidRDefault="00D070B3" w:rsidP="00437054">
            <w:pPr>
              <w:pStyle w:val="CMR2023-tabletext"/>
              <w:keepNext/>
              <w:jc w:val="left"/>
              <w:rPr>
                <w:rFonts w:cs="Times New Roman"/>
                <w:b/>
                <w:bCs w:val="0"/>
                <w:noProof/>
                <w:sz w:val="22"/>
              </w:rPr>
            </w:pPr>
            <w:r w:rsidRPr="00437054">
              <w:rPr>
                <w:rStyle w:val="Other1"/>
                <w:rFonts w:cs="Times New Roman"/>
                <w:b/>
                <w:bCs w:val="0"/>
                <w:noProof/>
                <w:sz w:val="22"/>
              </w:rPr>
              <w:t>Free allocation from the special reserve for new entrants and fast-growing operators</w:t>
            </w:r>
          </w:p>
        </w:tc>
        <w:tc>
          <w:tcPr>
            <w:tcW w:w="894" w:type="pct"/>
            <w:vAlign w:val="center"/>
          </w:tcPr>
          <w:p w14:paraId="3AAAB4CC" w14:textId="47957D0F"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1.0</w:t>
            </w:r>
          </w:p>
        </w:tc>
        <w:tc>
          <w:tcPr>
            <w:tcW w:w="894" w:type="pct"/>
            <w:vAlign w:val="center"/>
          </w:tcPr>
          <w:p w14:paraId="41E6D4D2" w14:textId="4CEB7E2B"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0.8</w:t>
            </w:r>
          </w:p>
        </w:tc>
        <w:tc>
          <w:tcPr>
            <w:tcW w:w="894" w:type="pct"/>
            <w:vAlign w:val="center"/>
          </w:tcPr>
          <w:p w14:paraId="4F7F468B" w14:textId="015409AC"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0.3</w:t>
            </w:r>
          </w:p>
        </w:tc>
        <w:tc>
          <w:tcPr>
            <w:tcW w:w="894" w:type="pct"/>
            <w:vAlign w:val="center"/>
          </w:tcPr>
          <w:p w14:paraId="60C21C8F" w14:textId="531EC7D8"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0.25</w:t>
            </w:r>
          </w:p>
        </w:tc>
      </w:tr>
      <w:tr w:rsidR="00D070B3" w:rsidRPr="00505E13" w14:paraId="6850A428" w14:textId="77777777" w:rsidTr="00437054">
        <w:tc>
          <w:tcPr>
            <w:tcW w:w="1424" w:type="pct"/>
            <w:vAlign w:val="center"/>
          </w:tcPr>
          <w:p w14:paraId="4E53FBBC" w14:textId="7ABA46B6" w:rsidR="00D070B3" w:rsidRPr="00437054" w:rsidRDefault="00D070B3" w:rsidP="00437054">
            <w:pPr>
              <w:pStyle w:val="CMR2023-tabletext"/>
              <w:keepNext/>
              <w:jc w:val="left"/>
              <w:rPr>
                <w:rFonts w:cs="Times New Roman"/>
                <w:b/>
                <w:bCs w:val="0"/>
                <w:noProof/>
                <w:sz w:val="22"/>
              </w:rPr>
            </w:pPr>
            <w:r w:rsidRPr="00437054">
              <w:rPr>
                <w:rStyle w:val="Other1"/>
                <w:rFonts w:cs="Times New Roman"/>
                <w:b/>
                <w:bCs w:val="0"/>
                <w:noProof/>
                <w:sz w:val="22"/>
              </w:rPr>
              <w:t>Volumes of allowances auctioned</w:t>
            </w:r>
          </w:p>
        </w:tc>
        <w:tc>
          <w:tcPr>
            <w:tcW w:w="894" w:type="pct"/>
            <w:vAlign w:val="center"/>
          </w:tcPr>
          <w:p w14:paraId="6F862157" w14:textId="267DD8C7"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5.5</w:t>
            </w:r>
          </w:p>
        </w:tc>
        <w:tc>
          <w:tcPr>
            <w:tcW w:w="894" w:type="pct"/>
            <w:vAlign w:val="center"/>
          </w:tcPr>
          <w:p w14:paraId="07B9ED1C" w14:textId="44F21153"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9.2</w:t>
            </w:r>
          </w:p>
        </w:tc>
        <w:tc>
          <w:tcPr>
            <w:tcW w:w="894" w:type="pct"/>
            <w:vAlign w:val="center"/>
          </w:tcPr>
          <w:p w14:paraId="02CA113C" w14:textId="158F7E7D"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3.8</w:t>
            </w:r>
          </w:p>
        </w:tc>
        <w:tc>
          <w:tcPr>
            <w:tcW w:w="894" w:type="pct"/>
            <w:vAlign w:val="center"/>
          </w:tcPr>
          <w:p w14:paraId="1D03D7E8" w14:textId="7F55DD5E" w:rsidR="00D070B3" w:rsidRPr="00505E13" w:rsidRDefault="00D070B3" w:rsidP="00437054">
            <w:pPr>
              <w:pStyle w:val="CMR23-text"/>
              <w:keepNext/>
              <w:jc w:val="center"/>
              <w:rPr>
                <w:rFonts w:cs="Times New Roman"/>
                <w:noProof/>
                <w:sz w:val="22"/>
              </w:rPr>
            </w:pPr>
            <w:r w:rsidRPr="00505E13">
              <w:rPr>
                <w:rStyle w:val="Other1"/>
                <w:rFonts w:cs="Times New Roman"/>
                <w:noProof/>
                <w:sz w:val="22"/>
                <w:lang w:eastAsia="bg-BG" w:bidi="bg-BG"/>
              </w:rPr>
              <w:t>3.7</w:t>
            </w:r>
          </w:p>
        </w:tc>
      </w:tr>
    </w:tbl>
    <w:p w14:paraId="79F39357" w14:textId="21169015" w:rsidR="009D3ABC" w:rsidRPr="004B4540" w:rsidRDefault="00456FB2" w:rsidP="008737A5">
      <w:pPr>
        <w:pStyle w:val="CMR23-text"/>
        <w:rPr>
          <w:rFonts w:cs="Times New Roman"/>
          <w:noProof/>
          <w:szCs w:val="24"/>
        </w:rPr>
      </w:pPr>
      <w:r w:rsidRPr="004B4540">
        <w:rPr>
          <w:rStyle w:val="Bodytext1"/>
          <w:rFonts w:cs="Times New Roman"/>
          <w:noProof/>
          <w:szCs w:val="24"/>
        </w:rPr>
        <w:t xml:space="preserve">The ICAO Assembly adopted a resolution on the Carbon Offsetting and Reduction Scheme for International Aviation (CORSIA) in October </w:t>
      </w:r>
      <w:r w:rsidRPr="004B4540">
        <w:rPr>
          <w:rStyle w:val="Bodytext1"/>
          <w:rFonts w:cs="Times New Roman"/>
          <w:noProof/>
          <w:szCs w:val="24"/>
          <w:lang w:eastAsia="bg-BG" w:bidi="bg-BG"/>
        </w:rPr>
        <w:t xml:space="preserve">2016. </w:t>
      </w:r>
      <w:r w:rsidR="00791B0E" w:rsidRPr="004B4540">
        <w:rPr>
          <w:rStyle w:val="Bodytext1"/>
          <w:rFonts w:cs="Times New Roman"/>
          <w:noProof/>
          <w:szCs w:val="24"/>
          <w:lang w:eastAsia="bg-BG" w:bidi="bg-BG"/>
        </w:rPr>
        <w:t xml:space="preserve">This resolution was reconfirmed in </w:t>
      </w:r>
      <w:r w:rsidR="00D4410E" w:rsidRPr="004B4540">
        <w:rPr>
          <w:rStyle w:val="Bodytext1"/>
          <w:rFonts w:cs="Times New Roman"/>
          <w:noProof/>
          <w:szCs w:val="24"/>
          <w:lang w:eastAsia="bg-BG" w:bidi="bg-BG"/>
        </w:rPr>
        <w:t xml:space="preserve">the </w:t>
      </w:r>
      <w:r w:rsidR="00791B0E" w:rsidRPr="004B4540">
        <w:rPr>
          <w:rStyle w:val="Bodytext1"/>
          <w:rFonts w:cs="Times New Roman"/>
          <w:noProof/>
          <w:szCs w:val="24"/>
          <w:lang w:eastAsia="bg-BG" w:bidi="bg-BG"/>
        </w:rPr>
        <w:t>2019 and 2022</w:t>
      </w:r>
      <w:r w:rsidR="00D4410E" w:rsidRPr="004B4540">
        <w:rPr>
          <w:rStyle w:val="Bodytext1"/>
          <w:rFonts w:cs="Times New Roman"/>
          <w:noProof/>
          <w:szCs w:val="24"/>
          <w:lang w:eastAsia="bg-BG" w:bidi="bg-BG"/>
        </w:rPr>
        <w:t xml:space="preserve"> revisions</w:t>
      </w:r>
      <w:r w:rsidR="00791B0E" w:rsidRPr="004B4540">
        <w:rPr>
          <w:rStyle w:val="Bodytext1"/>
          <w:rFonts w:cs="Times New Roman"/>
          <w:noProof/>
          <w:szCs w:val="24"/>
          <w:lang w:eastAsia="bg-BG" w:bidi="bg-BG"/>
        </w:rPr>
        <w:t xml:space="preserve">. </w:t>
      </w:r>
      <w:r w:rsidR="009D3ABC" w:rsidRPr="004B4540">
        <w:rPr>
          <w:rStyle w:val="Bodytext1"/>
          <w:rFonts w:cs="Times New Roman"/>
          <w:noProof/>
          <w:szCs w:val="24"/>
        </w:rPr>
        <w:t>Its main objective is to offset CO</w:t>
      </w:r>
      <w:r w:rsidR="009D3ABC" w:rsidRPr="004B4540">
        <w:rPr>
          <w:rStyle w:val="Bodytext1"/>
          <w:rFonts w:cs="Times New Roman"/>
          <w:noProof/>
          <w:szCs w:val="24"/>
          <w:vertAlign w:val="subscript"/>
        </w:rPr>
        <w:t>2</w:t>
      </w:r>
      <w:r w:rsidR="009D3ABC" w:rsidRPr="004B4540">
        <w:rPr>
          <w:rStyle w:val="Bodytext1"/>
          <w:rFonts w:cs="Times New Roman"/>
          <w:noProof/>
          <w:szCs w:val="24"/>
        </w:rPr>
        <w:t xml:space="preserve"> emissions from international aviation above a certain baseline. </w:t>
      </w:r>
      <w:r w:rsidR="001B5E79" w:rsidRPr="004B4540">
        <w:rPr>
          <w:rStyle w:val="Bodytext1"/>
          <w:rFonts w:cs="Times New Roman"/>
          <w:noProof/>
          <w:szCs w:val="24"/>
        </w:rPr>
        <w:t xml:space="preserve">The scheme launched in </w:t>
      </w:r>
      <w:r w:rsidR="001B5E79" w:rsidRPr="004B4540">
        <w:rPr>
          <w:rStyle w:val="Bodytext1"/>
          <w:rFonts w:cs="Times New Roman"/>
          <w:noProof/>
          <w:szCs w:val="24"/>
          <w:lang w:eastAsia="bg-BG" w:bidi="bg-BG"/>
        </w:rPr>
        <w:t xml:space="preserve">2021 </w:t>
      </w:r>
      <w:r w:rsidR="001B5E79" w:rsidRPr="004B4540">
        <w:rPr>
          <w:rStyle w:val="Bodytext1"/>
          <w:rFonts w:cs="Times New Roman"/>
          <w:noProof/>
          <w:szCs w:val="24"/>
        </w:rPr>
        <w:t xml:space="preserve">and is voluntary for all states until </w:t>
      </w:r>
      <w:r w:rsidR="001B5E79" w:rsidRPr="004B4540">
        <w:rPr>
          <w:rStyle w:val="Bodytext1"/>
          <w:rFonts w:cs="Times New Roman"/>
          <w:noProof/>
          <w:szCs w:val="24"/>
          <w:lang w:eastAsia="bg-BG" w:bidi="bg-BG"/>
        </w:rPr>
        <w:t>2026</w:t>
      </w:r>
      <w:r w:rsidR="00286C35" w:rsidRPr="004B4540">
        <w:rPr>
          <w:rStyle w:val="Bodytext1"/>
          <w:rFonts w:cs="Times New Roman"/>
          <w:noProof/>
          <w:szCs w:val="24"/>
          <w:lang w:eastAsia="bg-BG" w:bidi="bg-BG"/>
        </w:rPr>
        <w:t xml:space="preserve">. </w:t>
      </w:r>
      <w:r w:rsidR="00BB39F7" w:rsidRPr="004B4540">
        <w:rPr>
          <w:rStyle w:val="Bodytext1"/>
          <w:rFonts w:cs="Times New Roman"/>
          <w:noProof/>
          <w:szCs w:val="24"/>
          <w:lang w:eastAsia="bg-BG" w:bidi="bg-BG"/>
        </w:rPr>
        <w:t xml:space="preserve">As of 2027, it </w:t>
      </w:r>
      <w:r w:rsidR="004A2556" w:rsidRPr="004B4540">
        <w:rPr>
          <w:rStyle w:val="Bodytext1"/>
          <w:rFonts w:cs="Times New Roman"/>
          <w:noProof/>
          <w:szCs w:val="24"/>
          <w:lang w:eastAsia="bg-BG" w:bidi="bg-BG"/>
        </w:rPr>
        <w:t>should</w:t>
      </w:r>
      <w:r w:rsidR="00864911" w:rsidRPr="004B4540">
        <w:rPr>
          <w:rStyle w:val="Bodytext1"/>
          <w:rFonts w:cs="Times New Roman"/>
          <w:noProof/>
          <w:szCs w:val="24"/>
          <w:lang w:eastAsia="bg-BG" w:bidi="bg-BG"/>
        </w:rPr>
        <w:t xml:space="preserve"> </w:t>
      </w:r>
      <w:r w:rsidR="004A2556" w:rsidRPr="004B4540">
        <w:rPr>
          <w:rStyle w:val="Bodytext1"/>
          <w:rFonts w:cs="Times New Roman"/>
          <w:noProof/>
          <w:szCs w:val="24"/>
          <w:lang w:eastAsia="bg-BG" w:bidi="bg-BG"/>
        </w:rPr>
        <w:t xml:space="preserve">be </w:t>
      </w:r>
      <w:r w:rsidR="00B370DB" w:rsidRPr="004B4540">
        <w:rPr>
          <w:rStyle w:val="Bodytext1"/>
          <w:rFonts w:cs="Times New Roman"/>
          <w:noProof/>
          <w:szCs w:val="24"/>
          <w:lang w:eastAsia="bg-BG" w:bidi="bg-BG"/>
        </w:rPr>
        <w:t>no</w:t>
      </w:r>
      <w:r w:rsidR="003603FD" w:rsidRPr="004B4540">
        <w:rPr>
          <w:rStyle w:val="Bodytext1"/>
          <w:rFonts w:cs="Times New Roman"/>
          <w:noProof/>
          <w:szCs w:val="24"/>
          <w:lang w:eastAsia="bg-BG" w:bidi="bg-BG"/>
        </w:rPr>
        <w:t xml:space="preserve"> longer</w:t>
      </w:r>
      <w:r w:rsidR="00BB7637" w:rsidRPr="004B4540">
        <w:rPr>
          <w:rStyle w:val="Bodytext1"/>
          <w:rFonts w:cs="Times New Roman"/>
          <w:noProof/>
          <w:szCs w:val="24"/>
          <w:lang w:eastAsia="bg-BG" w:bidi="bg-BG"/>
        </w:rPr>
        <w:t xml:space="preserve"> voluntary</w:t>
      </w:r>
      <w:r w:rsidR="00B370DB" w:rsidRPr="004B4540">
        <w:rPr>
          <w:rStyle w:val="Bodytext1"/>
          <w:rFonts w:cs="Times New Roman"/>
          <w:noProof/>
          <w:szCs w:val="24"/>
          <w:lang w:eastAsia="bg-BG" w:bidi="bg-BG"/>
        </w:rPr>
        <w:t xml:space="preserve"> </w:t>
      </w:r>
      <w:r w:rsidR="00BB39F7" w:rsidRPr="004B4540">
        <w:rPr>
          <w:rStyle w:val="Bodytext1"/>
          <w:rFonts w:cs="Times New Roman"/>
          <w:noProof/>
          <w:szCs w:val="24"/>
          <w:lang w:eastAsia="bg-BG" w:bidi="bg-BG"/>
        </w:rPr>
        <w:t xml:space="preserve">for major aviation countries. </w:t>
      </w:r>
      <w:r w:rsidR="00286C35" w:rsidRPr="004B4540">
        <w:rPr>
          <w:rStyle w:val="Bodytext1"/>
          <w:rFonts w:cs="Times New Roman"/>
          <w:noProof/>
          <w:szCs w:val="24"/>
        </w:rPr>
        <w:t xml:space="preserve">It is not yet clear if all obliged countries will apply it after that </w:t>
      </w:r>
      <w:r w:rsidR="00286C35" w:rsidRPr="004B4540">
        <w:rPr>
          <w:rStyle w:val="Bodytext1"/>
          <w:rFonts w:cs="Times New Roman"/>
          <w:noProof/>
          <w:szCs w:val="24"/>
          <w:lang w:eastAsia="bg-BG" w:bidi="bg-BG"/>
        </w:rPr>
        <w:t xml:space="preserve">– </w:t>
      </w:r>
      <w:r w:rsidR="00286C35" w:rsidRPr="004B4540">
        <w:rPr>
          <w:rStyle w:val="Bodytext1"/>
          <w:rFonts w:cs="Times New Roman"/>
          <w:noProof/>
          <w:szCs w:val="24"/>
        </w:rPr>
        <w:t>some have expressed reservations about the scheme (e.g.</w:t>
      </w:r>
      <w:r w:rsidR="0039582F">
        <w:rPr>
          <w:rStyle w:val="Bodytext1"/>
          <w:rFonts w:cs="Times New Roman"/>
          <w:noProof/>
          <w:szCs w:val="24"/>
        </w:rPr>
        <w:t>,</w:t>
      </w:r>
      <w:r w:rsidR="00286C35" w:rsidRPr="004B4540">
        <w:rPr>
          <w:rStyle w:val="Bodytext1"/>
          <w:rFonts w:cs="Times New Roman"/>
          <w:noProof/>
          <w:szCs w:val="24"/>
        </w:rPr>
        <w:t xml:space="preserve"> China)</w:t>
      </w:r>
      <w:r w:rsidR="00833EF0" w:rsidRPr="004B4540">
        <w:rPr>
          <w:rStyle w:val="FootnoteReference"/>
          <w:rFonts w:cs="Times New Roman"/>
          <w:noProof/>
          <w:szCs w:val="24"/>
        </w:rPr>
        <w:footnoteReference w:id="85"/>
      </w:r>
      <w:r w:rsidR="00286C35" w:rsidRPr="004B4540">
        <w:rPr>
          <w:rStyle w:val="Bodytext1"/>
          <w:rFonts w:cs="Times New Roman"/>
          <w:noProof/>
          <w:szCs w:val="24"/>
        </w:rPr>
        <w:t>.</w:t>
      </w:r>
      <w:r w:rsidR="009D3ABC" w:rsidRPr="004B4540">
        <w:rPr>
          <w:rStyle w:val="Bodytext1"/>
          <w:rFonts w:cs="Times New Roman"/>
          <w:noProof/>
          <w:szCs w:val="24"/>
        </w:rPr>
        <w:t xml:space="preserve"> Participating states should oblige airlines based in those countries to offset their emissions above a baseline </w:t>
      </w:r>
      <w:r w:rsidR="00A20437" w:rsidRPr="004B4540">
        <w:rPr>
          <w:rStyle w:val="Bodytext1"/>
          <w:rFonts w:cs="Times New Roman"/>
          <w:noProof/>
          <w:szCs w:val="24"/>
        </w:rPr>
        <w:t xml:space="preserve">set at 85% of </w:t>
      </w:r>
      <w:r w:rsidR="00A20437" w:rsidRPr="004B4540">
        <w:rPr>
          <w:rStyle w:val="Bodytext1"/>
          <w:rFonts w:cs="Times New Roman"/>
          <w:noProof/>
          <w:szCs w:val="24"/>
          <w:lang w:eastAsia="bg-BG" w:bidi="bg-BG"/>
        </w:rPr>
        <w:t xml:space="preserve">2019 </w:t>
      </w:r>
      <w:r w:rsidR="00A20437" w:rsidRPr="004B4540">
        <w:rPr>
          <w:rStyle w:val="Bodytext1"/>
          <w:rFonts w:cs="Times New Roman"/>
          <w:noProof/>
          <w:szCs w:val="24"/>
        </w:rPr>
        <w:t xml:space="preserve">levels by purchasing and cancelling international credits. </w:t>
      </w:r>
      <w:bookmarkStart w:id="75" w:name="_Hlk148689619"/>
      <w:r w:rsidR="009E1B78">
        <w:rPr>
          <w:rStyle w:val="Bodytext1"/>
          <w:rFonts w:cs="Times New Roman"/>
          <w:noProof/>
          <w:szCs w:val="24"/>
        </w:rPr>
        <w:t>T</w:t>
      </w:r>
      <w:r w:rsidR="009E1B78">
        <w:rPr>
          <w:rStyle w:val="Bodytext1"/>
          <w:noProof/>
          <w:lang w:eastAsia="bg-BG"/>
        </w:rPr>
        <w:t>o facilitate progress at ICAO the limitation of the intra-European scope of the EU ETS for aviation was extended until the end of 2026 as third countries should be applying CORSIA from 2027</w:t>
      </w:r>
      <w:bookmarkEnd w:id="75"/>
      <w:r w:rsidR="009E1B78">
        <w:rPr>
          <w:rStyle w:val="Bodytext1"/>
          <w:noProof/>
          <w:lang w:eastAsia="bg-BG"/>
        </w:rPr>
        <w:t xml:space="preserve">. </w:t>
      </w:r>
      <w:r w:rsidR="00810423" w:rsidRPr="004B4540">
        <w:rPr>
          <w:rStyle w:val="Bodytext1"/>
          <w:rFonts w:cs="Times New Roman"/>
          <w:noProof/>
          <w:szCs w:val="24"/>
          <w:lang w:eastAsia="bg-BG" w:bidi="bg-BG"/>
        </w:rPr>
        <w:t xml:space="preserve">Furthermore, </w:t>
      </w:r>
      <w:r w:rsidR="004C0F6A" w:rsidRPr="004B4540">
        <w:rPr>
          <w:rStyle w:val="Bodytext1"/>
          <w:rFonts w:cs="Times New Roman"/>
          <w:noProof/>
          <w:szCs w:val="24"/>
          <w:lang w:eastAsia="bg-BG" w:bidi="bg-BG"/>
        </w:rPr>
        <w:t xml:space="preserve">the EU ETS revision sets out that the system will apply to flights involving countries that do not apply CORSIA </w:t>
      </w:r>
      <w:r w:rsidR="00A64C81" w:rsidRPr="004B4540">
        <w:rPr>
          <w:rStyle w:val="Bodytext1"/>
          <w:rFonts w:cs="Times New Roman"/>
          <w:noProof/>
          <w:szCs w:val="24"/>
          <w:lang w:eastAsia="bg-BG" w:bidi="bg-BG"/>
        </w:rPr>
        <w:t>as of 2027</w:t>
      </w:r>
      <w:r w:rsidR="004C0F6A" w:rsidRPr="004B4540">
        <w:rPr>
          <w:rStyle w:val="Bodytext1"/>
          <w:rFonts w:cs="Times New Roman"/>
          <w:noProof/>
          <w:szCs w:val="24"/>
          <w:lang w:eastAsia="bg-BG" w:bidi="bg-BG"/>
        </w:rPr>
        <w:t>.</w:t>
      </w:r>
    </w:p>
    <w:p w14:paraId="11692AC6" w14:textId="070796B7" w:rsidR="009D3ABC" w:rsidRPr="004B4540" w:rsidRDefault="009D3ABC" w:rsidP="008737A5">
      <w:pPr>
        <w:pStyle w:val="CMR23-text"/>
        <w:rPr>
          <w:rStyle w:val="Bodytext1"/>
          <w:rFonts w:cs="Times New Roman"/>
          <w:noProof/>
          <w:szCs w:val="24"/>
        </w:rPr>
      </w:pPr>
      <w:r w:rsidRPr="004B4540">
        <w:rPr>
          <w:rStyle w:val="Bodytext1"/>
          <w:rFonts w:cs="Times New Roman"/>
          <w:noProof/>
          <w:szCs w:val="24"/>
        </w:rPr>
        <w:t xml:space="preserve">The revised ETS Directive advances the implementation of the polluter pays principle in the aviation sector. </w:t>
      </w:r>
      <w:r w:rsidR="00CE3B90" w:rsidRPr="004B4540">
        <w:rPr>
          <w:rStyle w:val="Bodytext1"/>
          <w:rFonts w:cs="Times New Roman"/>
          <w:noProof/>
          <w:szCs w:val="24"/>
        </w:rPr>
        <w:t>F</w:t>
      </w:r>
      <w:r w:rsidRPr="004B4540">
        <w:rPr>
          <w:rStyle w:val="Bodytext1"/>
          <w:rFonts w:cs="Times New Roman"/>
          <w:noProof/>
          <w:szCs w:val="24"/>
        </w:rPr>
        <w:t xml:space="preserve">ree allowances for aircraft operators </w:t>
      </w:r>
      <w:r w:rsidR="00C576E8" w:rsidRPr="004B4540">
        <w:rPr>
          <w:rStyle w:val="Bodytext1"/>
          <w:rFonts w:cs="Times New Roman"/>
          <w:noProof/>
          <w:szCs w:val="24"/>
        </w:rPr>
        <w:t>will be gradually phased out by the end of 2025</w:t>
      </w:r>
      <w:r w:rsidRPr="004B4540">
        <w:rPr>
          <w:rStyle w:val="Bodytext1"/>
          <w:rFonts w:cs="Times New Roman"/>
          <w:noProof/>
          <w:szCs w:val="24"/>
        </w:rPr>
        <w:t xml:space="preserve">. At the same time, 20 million allowances </w:t>
      </w:r>
      <w:r w:rsidR="0003538D" w:rsidRPr="004B4540">
        <w:rPr>
          <w:rStyle w:val="Bodytext1"/>
          <w:rFonts w:cs="Times New Roman"/>
          <w:noProof/>
          <w:szCs w:val="24"/>
        </w:rPr>
        <w:t>(with an estimated current market value of around EUR 1.6 billion)</w:t>
      </w:r>
      <w:r w:rsidRPr="004B4540">
        <w:rPr>
          <w:rStyle w:val="Bodytext1"/>
          <w:rFonts w:cs="Times New Roman"/>
          <w:noProof/>
          <w:szCs w:val="24"/>
        </w:rPr>
        <w:t xml:space="preserve"> are earmarked to further support the uptake of eligible alternative fuels. </w:t>
      </w:r>
      <w:r w:rsidR="00B17294" w:rsidRPr="004B4540">
        <w:rPr>
          <w:rStyle w:val="Bodytext1"/>
          <w:rFonts w:cs="Times New Roman"/>
          <w:noProof/>
          <w:szCs w:val="24"/>
        </w:rPr>
        <w:t>This would increase the existing incentive the EU ETS gives to alternative fuels over fossil fuels, where zero rating gives a financial incentive of around EUR 300 per tonne of fuel. The ongoing revision of the Energy Taxation Directive is expected to increase this incentive further.</w:t>
      </w:r>
    </w:p>
    <w:p w14:paraId="0A9AB351" w14:textId="44BEE29D" w:rsidR="009D3ABC" w:rsidRPr="004B4540" w:rsidRDefault="009D3ABC" w:rsidP="008737A5">
      <w:pPr>
        <w:pStyle w:val="CMR23-text"/>
        <w:rPr>
          <w:rStyle w:val="Bodytext1"/>
          <w:rFonts w:cs="Times New Roman"/>
          <w:noProof/>
          <w:szCs w:val="24"/>
        </w:rPr>
      </w:pPr>
      <w:r w:rsidRPr="004B4540">
        <w:rPr>
          <w:rStyle w:val="Bodytext1"/>
          <w:rFonts w:cs="Times New Roman"/>
          <w:noProof/>
          <w:szCs w:val="24"/>
        </w:rPr>
        <w:t>Recognising that non-CO</w:t>
      </w:r>
      <w:r w:rsidRPr="004B4540">
        <w:rPr>
          <w:rStyle w:val="Bodytext1"/>
          <w:rFonts w:cs="Times New Roman"/>
          <w:noProof/>
          <w:szCs w:val="24"/>
          <w:vertAlign w:val="subscript"/>
        </w:rPr>
        <w:t>2</w:t>
      </w:r>
      <w:r w:rsidRPr="004B4540">
        <w:rPr>
          <w:rStyle w:val="Bodytext1"/>
          <w:rFonts w:cs="Times New Roman"/>
          <w:noProof/>
          <w:szCs w:val="24"/>
        </w:rPr>
        <w:t xml:space="preserve"> aviation effects can no longer be ignored</w:t>
      </w:r>
      <w:r w:rsidRPr="004B4540">
        <w:rPr>
          <w:rStyle w:val="FootnoteReference"/>
          <w:rFonts w:cs="Times New Roman"/>
          <w:noProof/>
          <w:szCs w:val="24"/>
        </w:rPr>
        <w:footnoteReference w:id="86"/>
      </w:r>
      <w:r w:rsidRPr="004B4540">
        <w:rPr>
          <w:rStyle w:val="Bodytext1"/>
          <w:rFonts w:cs="Times New Roman"/>
          <w:noProof/>
          <w:szCs w:val="24"/>
        </w:rPr>
        <w:t xml:space="preserve">, a dedicated monitoring, reporting and verification (MRV) </w:t>
      </w:r>
      <w:r w:rsidR="00372ED9" w:rsidRPr="004B4540">
        <w:rPr>
          <w:rStyle w:val="Bodytext1"/>
          <w:rFonts w:cs="Times New Roman"/>
          <w:noProof/>
          <w:szCs w:val="24"/>
        </w:rPr>
        <w:t>framework has been introduced and will start on 1 January 2025</w:t>
      </w:r>
      <w:r w:rsidRPr="004B4540">
        <w:rPr>
          <w:rStyle w:val="Bodytext1"/>
          <w:rFonts w:cs="Times New Roman"/>
          <w:noProof/>
          <w:szCs w:val="24"/>
        </w:rPr>
        <w:t xml:space="preserve">. </w:t>
      </w:r>
      <w:r w:rsidR="00862546" w:rsidRPr="004B4540">
        <w:rPr>
          <w:rStyle w:val="Bodytext1"/>
          <w:rFonts w:cs="Times New Roman"/>
          <w:noProof/>
          <w:szCs w:val="24"/>
        </w:rPr>
        <w:t>The Innovation Fund has been expanded to support reducing the overall climate impact of aviation.</w:t>
      </w:r>
      <w:r w:rsidR="00E3567B" w:rsidRPr="004B4540">
        <w:rPr>
          <w:rStyle w:val="Bodytext1"/>
          <w:rFonts w:cs="Times New Roman"/>
          <w:noProof/>
          <w:szCs w:val="24"/>
        </w:rPr>
        <w:t xml:space="preserve"> </w:t>
      </w:r>
      <w:r w:rsidRPr="004B4540">
        <w:rPr>
          <w:rStyle w:val="Bodytext1"/>
          <w:rFonts w:cs="Times New Roman"/>
          <w:noProof/>
          <w:szCs w:val="24"/>
        </w:rPr>
        <w:t>Based on the results of the MRV of non-CO</w:t>
      </w:r>
      <w:r w:rsidRPr="004B4540">
        <w:rPr>
          <w:rStyle w:val="Bodytext1"/>
          <w:rFonts w:cs="Times New Roman"/>
          <w:noProof/>
          <w:szCs w:val="24"/>
          <w:vertAlign w:val="subscript"/>
        </w:rPr>
        <w:t>2</w:t>
      </w:r>
      <w:r w:rsidRPr="004B4540">
        <w:rPr>
          <w:rStyle w:val="Bodytext1"/>
          <w:rFonts w:cs="Times New Roman"/>
          <w:noProof/>
          <w:szCs w:val="24"/>
        </w:rPr>
        <w:t xml:space="preserve"> aviation effects, </w:t>
      </w:r>
      <w:r w:rsidR="00F650E9" w:rsidRPr="004B4540">
        <w:rPr>
          <w:rStyle w:val="Bodytext1"/>
          <w:rFonts w:cs="Times New Roman"/>
          <w:noProof/>
          <w:szCs w:val="24"/>
        </w:rPr>
        <w:t>the Commission will submit a report by the end of 2027. It will then, where appropriate, draft a legislative proposal, with an accompanying impact assessment, setting out how to mitigate those effects by expanding the scope of the EU ETS for aviation</w:t>
      </w:r>
      <w:r w:rsidR="002F47C4" w:rsidRPr="004B4540">
        <w:rPr>
          <w:rFonts w:cs="Times New Roman"/>
          <w:noProof/>
          <w:szCs w:val="24"/>
        </w:rPr>
        <w:t xml:space="preserve"> </w:t>
      </w:r>
      <w:r w:rsidR="002F47C4" w:rsidRPr="004B4540">
        <w:rPr>
          <w:rStyle w:val="Bodytext1"/>
          <w:rFonts w:cs="Times New Roman"/>
          <w:noProof/>
          <w:szCs w:val="24"/>
        </w:rPr>
        <w:t>to non-CO</w:t>
      </w:r>
      <w:r w:rsidR="002F47C4" w:rsidRPr="004B4540">
        <w:rPr>
          <w:rStyle w:val="Bodytext1"/>
          <w:rFonts w:cs="Times New Roman"/>
          <w:noProof/>
          <w:szCs w:val="24"/>
          <w:vertAlign w:val="subscript"/>
        </w:rPr>
        <w:t>2</w:t>
      </w:r>
      <w:r w:rsidR="002F47C4" w:rsidRPr="004B4540">
        <w:rPr>
          <w:rStyle w:val="Bodytext1"/>
          <w:rFonts w:cs="Times New Roman"/>
          <w:noProof/>
          <w:szCs w:val="24"/>
        </w:rPr>
        <w:t xml:space="preserve"> </w:t>
      </w:r>
      <w:r w:rsidR="00C9419B" w:rsidRPr="004B4540">
        <w:rPr>
          <w:rStyle w:val="Bodytext1"/>
          <w:rFonts w:cs="Times New Roman"/>
          <w:noProof/>
          <w:szCs w:val="24"/>
        </w:rPr>
        <w:t>effects</w:t>
      </w:r>
      <w:r w:rsidR="00F650E9" w:rsidRPr="004B4540">
        <w:rPr>
          <w:rStyle w:val="Bodytext1"/>
          <w:rFonts w:cs="Times New Roman"/>
          <w:noProof/>
          <w:szCs w:val="24"/>
        </w:rPr>
        <w:t>.</w:t>
      </w:r>
    </w:p>
    <w:p w14:paraId="27FE3835" w14:textId="05F94155" w:rsidR="00286BA6" w:rsidRPr="004B4540" w:rsidRDefault="003B6889" w:rsidP="00286BA6">
      <w:pPr>
        <w:pStyle w:val="CMR23-text"/>
        <w:rPr>
          <w:rFonts w:cs="Times New Roman"/>
          <w:noProof/>
          <w:szCs w:val="24"/>
        </w:rPr>
      </w:pPr>
      <w:r w:rsidRPr="004B4540">
        <w:rPr>
          <w:rStyle w:val="Bodytext1"/>
          <w:rFonts w:cs="Times New Roman"/>
          <w:noProof/>
          <w:szCs w:val="24"/>
        </w:rPr>
        <w:t>In 2026, the Commission will assess if CORSIA has been strengthened and if it is being implemented by major countries outside Europe</w:t>
      </w:r>
      <w:r w:rsidR="007F3F51" w:rsidRPr="004B4540">
        <w:rPr>
          <w:rStyle w:val="Bodytext1"/>
          <w:rFonts w:cs="Times New Roman"/>
          <w:noProof/>
          <w:szCs w:val="24"/>
        </w:rPr>
        <w:t>.</w:t>
      </w:r>
      <w:r w:rsidR="006A0335" w:rsidRPr="004B4540" w:rsidDel="001F3161">
        <w:rPr>
          <w:rFonts w:cs="Times New Roman"/>
          <w:noProof/>
          <w:szCs w:val="24"/>
        </w:rPr>
        <w:t xml:space="preserve"> </w:t>
      </w:r>
      <w:r w:rsidR="006A0335" w:rsidRPr="004B4540">
        <w:rPr>
          <w:rStyle w:val="Bodytext1"/>
          <w:rFonts w:cs="Times New Roman"/>
          <w:noProof/>
          <w:szCs w:val="24"/>
        </w:rPr>
        <w:t xml:space="preserve">Based on the outcome of this assessment, the Commission </w:t>
      </w:r>
      <w:r w:rsidR="0020763B" w:rsidRPr="004B4540">
        <w:rPr>
          <w:rStyle w:val="Bodytext1"/>
          <w:rFonts w:cs="Times New Roman"/>
          <w:noProof/>
          <w:szCs w:val="24"/>
        </w:rPr>
        <w:t xml:space="preserve">should </w:t>
      </w:r>
      <w:r w:rsidR="006A0335" w:rsidRPr="004B4540">
        <w:rPr>
          <w:rStyle w:val="Bodytext1"/>
          <w:rFonts w:cs="Times New Roman"/>
          <w:noProof/>
          <w:szCs w:val="24"/>
        </w:rPr>
        <w:t>either make a legislative proposal to: (i) limit the scope of EU ETS to flights departing EEA airports, with the deduction of any costs incurred from CORSIA offsetting on these routes, and exempt incoming flights; or (ii) only apply ETS carbon pricing to intra-European flights and routes involving countries that do not apply CORSIA from 2027.</w:t>
      </w:r>
      <w:r w:rsidR="009D3ABC" w:rsidRPr="004B4540">
        <w:rPr>
          <w:rStyle w:val="Bodytext1"/>
          <w:rFonts w:cs="Times New Roman"/>
          <w:noProof/>
          <w:szCs w:val="24"/>
        </w:rPr>
        <w:t xml:space="preserve"> </w:t>
      </w:r>
    </w:p>
    <w:p w14:paraId="77879BE7" w14:textId="055B06DB" w:rsidR="00C84DBA" w:rsidRPr="004B4540" w:rsidRDefault="00B36B2C" w:rsidP="00F84ECB">
      <w:pPr>
        <w:pStyle w:val="CMR23-heading"/>
        <w:rPr>
          <w:rFonts w:cs="Times New Roman"/>
          <w:noProof/>
          <w:sz w:val="24"/>
          <w:szCs w:val="24"/>
          <w:lang w:val="en-GB"/>
        </w:rPr>
      </w:pPr>
      <w:r w:rsidRPr="004B4540">
        <w:rPr>
          <w:rFonts w:cs="Times New Roman"/>
          <w:noProof/>
          <w:sz w:val="24"/>
          <w:szCs w:val="24"/>
          <w:lang w:val="en-GB"/>
        </w:rPr>
        <w:t xml:space="preserve"> </w:t>
      </w:r>
      <w:bookmarkStart w:id="76" w:name="_Toc145453244"/>
      <w:bookmarkStart w:id="77" w:name="_Toc148555894"/>
      <w:r w:rsidR="00C84DBA" w:rsidRPr="004B4540">
        <w:rPr>
          <w:rFonts w:cs="Times New Roman"/>
          <w:noProof/>
          <w:sz w:val="24"/>
          <w:szCs w:val="24"/>
          <w:lang w:val="en-GB"/>
        </w:rPr>
        <w:t>Market oversight</w:t>
      </w:r>
      <w:bookmarkEnd w:id="76"/>
      <w:bookmarkEnd w:id="77"/>
    </w:p>
    <w:p w14:paraId="7382704E" w14:textId="7F2AECB5" w:rsidR="003A4969" w:rsidRPr="004B4540" w:rsidRDefault="00555E46" w:rsidP="003A4969">
      <w:pPr>
        <w:pStyle w:val="CMR23-text"/>
        <w:rPr>
          <w:rFonts w:cs="Times New Roman"/>
          <w:noProof/>
          <w:szCs w:val="24"/>
        </w:rPr>
      </w:pPr>
      <w:r w:rsidRPr="004B4540">
        <w:rPr>
          <w:rFonts w:cs="Times New Roman"/>
          <w:noProof/>
          <w:szCs w:val="24"/>
        </w:rPr>
        <w:t xml:space="preserve">The EU carbon market is subject to robust market oversight rules enshrined in EU financial markets. </w:t>
      </w:r>
      <w:r w:rsidR="4DA72343" w:rsidRPr="004B4540">
        <w:rPr>
          <w:rFonts w:cs="Times New Roman"/>
          <w:noProof/>
          <w:szCs w:val="24"/>
        </w:rPr>
        <w:t xml:space="preserve">Both spot and derivatives in emissions allowances are classified as financial instruments under Directive </w:t>
      </w:r>
      <w:r w:rsidR="00464FF8" w:rsidRPr="004B4540">
        <w:rPr>
          <w:rFonts w:eastAsia="Times New Roman" w:cs="Times New Roman"/>
          <w:noProof/>
          <w:szCs w:val="24"/>
        </w:rPr>
        <w:t>2014/65/EU</w:t>
      </w:r>
      <w:r w:rsidR="00D8242F" w:rsidRPr="004B4540">
        <w:rPr>
          <w:rStyle w:val="FootnoteReference"/>
          <w:rFonts w:cs="Times New Roman"/>
          <w:noProof/>
          <w:szCs w:val="24"/>
        </w:rPr>
        <w:footnoteReference w:id="87"/>
      </w:r>
      <w:r w:rsidR="00244D6A" w:rsidRPr="004B4540">
        <w:rPr>
          <w:rFonts w:cs="Times New Roman"/>
          <w:noProof/>
          <w:szCs w:val="24"/>
        </w:rPr>
        <w:t>.</w:t>
      </w:r>
      <w:r w:rsidR="4DA72343" w:rsidRPr="004B4540">
        <w:rPr>
          <w:rFonts w:cs="Times New Roman"/>
          <w:noProof/>
          <w:szCs w:val="24"/>
        </w:rPr>
        <w:t xml:space="preserve"> This classification is also reflected in secondary legislation, including the Auctioning Regulation, which oversees the primary market (auctions of allowances). </w:t>
      </w:r>
    </w:p>
    <w:p w14:paraId="1EA8D012" w14:textId="108D01C2" w:rsidR="00286BA6" w:rsidRPr="004B4540" w:rsidRDefault="00760AD3" w:rsidP="003A4969">
      <w:pPr>
        <w:pStyle w:val="CMR23-text"/>
        <w:rPr>
          <w:rFonts w:cs="Times New Roman"/>
          <w:noProof/>
          <w:szCs w:val="24"/>
        </w:rPr>
      </w:pPr>
      <w:r w:rsidRPr="004B4540">
        <w:rPr>
          <w:rFonts w:cs="Times New Roman"/>
          <w:noProof/>
          <w:szCs w:val="24"/>
        </w:rPr>
        <w:t xml:space="preserve">Supervision of the EU carbon market is shared between the financial authorities of all </w:t>
      </w:r>
      <w:r w:rsidR="4DA72343" w:rsidRPr="004B4540">
        <w:rPr>
          <w:rFonts w:cs="Times New Roman"/>
          <w:noProof/>
          <w:szCs w:val="24"/>
        </w:rPr>
        <w:t>Member States</w:t>
      </w:r>
      <w:r w:rsidR="00187C46" w:rsidRPr="004B4540">
        <w:rPr>
          <w:rStyle w:val="FootnoteReference"/>
          <w:rFonts w:cs="Times New Roman"/>
          <w:noProof/>
          <w:szCs w:val="24"/>
        </w:rPr>
        <w:footnoteReference w:id="88"/>
      </w:r>
      <w:r w:rsidR="4DA72343" w:rsidRPr="004B4540">
        <w:rPr>
          <w:rFonts w:cs="Times New Roman"/>
          <w:noProof/>
          <w:szCs w:val="24"/>
        </w:rPr>
        <w:t>, under the coordination of the European regulator, the European Securities and Markets Authority (ESMA). They monitor market participants’ behaviour through extensive reporting and transparency requirements. In addition, Regulation</w:t>
      </w:r>
      <w:r w:rsidR="00187C46" w:rsidRPr="004B4540">
        <w:rPr>
          <w:rFonts w:cs="Times New Roman"/>
          <w:noProof/>
          <w:szCs w:val="24"/>
        </w:rPr>
        <w:t xml:space="preserve"> 596/2014</w:t>
      </w:r>
      <w:r w:rsidR="0023049F" w:rsidRPr="004B4540">
        <w:rPr>
          <w:rStyle w:val="FootnoteReference"/>
          <w:rFonts w:cs="Times New Roman"/>
          <w:noProof/>
          <w:szCs w:val="24"/>
        </w:rPr>
        <w:footnoteReference w:id="89"/>
      </w:r>
      <w:r w:rsidR="00187C46" w:rsidRPr="004B4540">
        <w:rPr>
          <w:rFonts w:cs="Times New Roman"/>
          <w:noProof/>
          <w:szCs w:val="24"/>
        </w:rPr>
        <w:t xml:space="preserve"> </w:t>
      </w:r>
      <w:r w:rsidR="0023049F" w:rsidRPr="004B4540">
        <w:rPr>
          <w:rFonts w:cs="Times New Roman"/>
          <w:noProof/>
          <w:szCs w:val="24"/>
        </w:rPr>
        <w:t>on market abuse</w:t>
      </w:r>
      <w:r w:rsidR="4DA72343" w:rsidRPr="004B4540">
        <w:rPr>
          <w:rFonts w:cs="Times New Roman"/>
          <w:noProof/>
          <w:szCs w:val="24"/>
        </w:rPr>
        <w:t xml:space="preserve"> obliges market participants </w:t>
      </w:r>
      <w:r w:rsidR="004A3FB1" w:rsidRPr="004B4540">
        <w:rPr>
          <w:rFonts w:cs="Times New Roman"/>
          <w:noProof/>
          <w:szCs w:val="24"/>
        </w:rPr>
        <w:t>to report suspicious orders and transactions immediately.</w:t>
      </w:r>
      <w:r w:rsidR="4DA72343" w:rsidRPr="004B4540">
        <w:rPr>
          <w:rFonts w:cs="Times New Roman"/>
          <w:noProof/>
          <w:szCs w:val="24"/>
        </w:rPr>
        <w:t xml:space="preserve"> </w:t>
      </w:r>
      <w:r w:rsidR="00C6134C" w:rsidRPr="004B4540">
        <w:rPr>
          <w:rFonts w:cs="Times New Roman"/>
          <w:noProof/>
          <w:szCs w:val="24"/>
        </w:rPr>
        <w:t>National authorities in turn have the power to respond with remedial action or penalties if they identify market abuse.</w:t>
      </w:r>
    </w:p>
    <w:p w14:paraId="5913C267" w14:textId="7F0A458C" w:rsidR="003C175C" w:rsidRPr="004B4540" w:rsidRDefault="00525E21" w:rsidP="003C175C">
      <w:pPr>
        <w:pStyle w:val="CMR23-text"/>
        <w:rPr>
          <w:rFonts w:cs="Times New Roman"/>
          <w:noProof/>
          <w:szCs w:val="24"/>
        </w:rPr>
      </w:pPr>
      <w:r>
        <w:rPr>
          <w:rFonts w:cs="Times New Roman"/>
          <w:noProof/>
          <w:szCs w:val="24"/>
        </w:rPr>
        <w:t>I</w:t>
      </w:r>
      <w:r w:rsidR="006F5F3F" w:rsidRPr="004B4540">
        <w:rPr>
          <w:rFonts w:cs="Times New Roman"/>
          <w:noProof/>
          <w:szCs w:val="24"/>
        </w:rPr>
        <w:t>n the light of the energy crisis</w:t>
      </w:r>
      <w:r>
        <w:rPr>
          <w:rFonts w:cs="Times New Roman"/>
          <w:noProof/>
          <w:szCs w:val="24"/>
        </w:rPr>
        <w:t xml:space="preserve"> and ETS price rise</w:t>
      </w:r>
      <w:r w:rsidR="006F5F3F" w:rsidRPr="004B4540">
        <w:rPr>
          <w:rFonts w:cs="Times New Roman"/>
          <w:noProof/>
          <w:szCs w:val="24"/>
        </w:rPr>
        <w:t>, ESMA published an in-depth inquiry into the functioning of the EU carbon market on 22 March 2022</w:t>
      </w:r>
      <w:r w:rsidR="00337D99" w:rsidRPr="004B4540">
        <w:rPr>
          <w:rStyle w:val="FootnoteReference"/>
          <w:rFonts w:cs="Times New Roman"/>
          <w:noProof/>
          <w:szCs w:val="24"/>
        </w:rPr>
        <w:footnoteReference w:id="90"/>
      </w:r>
      <w:r w:rsidR="4DA72343" w:rsidRPr="004B4540">
        <w:rPr>
          <w:rFonts w:cs="Times New Roman"/>
          <w:noProof/>
          <w:szCs w:val="24"/>
        </w:rPr>
        <w:t>. The report provided a detailed analysis of the market</w:t>
      </w:r>
      <w:r w:rsidR="00A00B7A" w:rsidRPr="004B4540">
        <w:rPr>
          <w:rFonts w:cs="Times New Roman"/>
          <w:noProof/>
          <w:szCs w:val="24"/>
        </w:rPr>
        <w:t>,</w:t>
      </w:r>
      <w:r w:rsidR="4DA72343" w:rsidRPr="004B4540">
        <w:rPr>
          <w:rFonts w:cs="Times New Roman"/>
          <w:noProof/>
          <w:szCs w:val="24"/>
        </w:rPr>
        <w:t xml:space="preserve"> </w:t>
      </w:r>
      <w:r w:rsidR="00A00B7A" w:rsidRPr="004B4540">
        <w:rPr>
          <w:rFonts w:cs="Times New Roman"/>
          <w:noProof/>
          <w:szCs w:val="24"/>
        </w:rPr>
        <w:t xml:space="preserve">concluding </w:t>
      </w:r>
      <w:r w:rsidR="4DA72343" w:rsidRPr="004B4540">
        <w:rPr>
          <w:rFonts w:cs="Times New Roman"/>
          <w:noProof/>
          <w:szCs w:val="24"/>
        </w:rPr>
        <w:t xml:space="preserve">that </w:t>
      </w:r>
      <w:r w:rsidR="000E4CC5" w:rsidRPr="004B4540">
        <w:rPr>
          <w:rFonts w:cs="Times New Roman"/>
          <w:noProof/>
          <w:szCs w:val="24"/>
        </w:rPr>
        <w:t>it</w:t>
      </w:r>
      <w:r w:rsidR="4DA72343" w:rsidRPr="004B4540">
        <w:rPr>
          <w:rFonts w:cs="Times New Roman"/>
          <w:noProof/>
          <w:szCs w:val="24"/>
        </w:rPr>
        <w:t xml:space="preserve"> function</w:t>
      </w:r>
      <w:r w:rsidR="000E4CC5" w:rsidRPr="004B4540">
        <w:rPr>
          <w:rFonts w:cs="Times New Roman"/>
          <w:noProof/>
          <w:szCs w:val="24"/>
        </w:rPr>
        <w:t>ed</w:t>
      </w:r>
      <w:r w:rsidR="4DA72343" w:rsidRPr="004B4540">
        <w:rPr>
          <w:rFonts w:cs="Times New Roman"/>
          <w:noProof/>
          <w:szCs w:val="24"/>
        </w:rPr>
        <w:t xml:space="preserve"> properly and</w:t>
      </w:r>
      <w:r w:rsidR="000E4CC5" w:rsidRPr="004B4540">
        <w:rPr>
          <w:rFonts w:cs="Times New Roman"/>
          <w:noProof/>
          <w:szCs w:val="24"/>
        </w:rPr>
        <w:t xml:space="preserve"> that</w:t>
      </w:r>
      <w:r w:rsidR="4DA72343" w:rsidRPr="004B4540">
        <w:rPr>
          <w:rFonts w:cs="Times New Roman"/>
          <w:noProof/>
          <w:szCs w:val="24"/>
        </w:rPr>
        <w:t xml:space="preserve"> price movements </w:t>
      </w:r>
      <w:r w:rsidR="00A32261" w:rsidRPr="004B4540">
        <w:rPr>
          <w:rFonts w:cs="Times New Roman"/>
          <w:noProof/>
          <w:szCs w:val="24"/>
        </w:rPr>
        <w:t xml:space="preserve">were </w:t>
      </w:r>
      <w:r w:rsidR="4DA72343" w:rsidRPr="004B4540">
        <w:rPr>
          <w:rFonts w:cs="Times New Roman"/>
          <w:noProof/>
          <w:szCs w:val="24"/>
        </w:rPr>
        <w:t>in line with market fundament</w:t>
      </w:r>
      <w:r w:rsidR="000B5C89" w:rsidRPr="004B4540">
        <w:rPr>
          <w:rFonts w:cs="Times New Roman"/>
          <w:noProof/>
          <w:szCs w:val="24"/>
        </w:rPr>
        <w:t>al</w:t>
      </w:r>
      <w:r w:rsidR="4DA72343" w:rsidRPr="004B4540">
        <w:rPr>
          <w:rFonts w:cs="Times New Roman"/>
          <w:noProof/>
          <w:szCs w:val="24"/>
        </w:rPr>
        <w:t xml:space="preserve">s. In addition, ESMA proposed </w:t>
      </w:r>
      <w:r w:rsidR="007F05FF" w:rsidRPr="004B4540">
        <w:rPr>
          <w:rFonts w:cs="Times New Roman"/>
          <w:noProof/>
          <w:szCs w:val="24"/>
        </w:rPr>
        <w:t>several</w:t>
      </w:r>
      <w:r w:rsidR="4DA72343" w:rsidRPr="004B4540">
        <w:rPr>
          <w:rFonts w:cs="Times New Roman"/>
          <w:noProof/>
          <w:szCs w:val="24"/>
        </w:rPr>
        <w:t xml:space="preserve"> recommendations </w:t>
      </w:r>
      <w:r w:rsidR="003C175C" w:rsidRPr="004B4540">
        <w:rPr>
          <w:rFonts w:cs="Times New Roman"/>
          <w:noProof/>
          <w:szCs w:val="24"/>
        </w:rPr>
        <w:t>to further improve the transparency and integrity of</w:t>
      </w:r>
      <w:r>
        <w:rPr>
          <w:rFonts w:cs="Times New Roman"/>
          <w:noProof/>
          <w:szCs w:val="24"/>
        </w:rPr>
        <w:t xml:space="preserve"> the EU</w:t>
      </w:r>
      <w:r w:rsidR="003C175C" w:rsidRPr="004B4540">
        <w:rPr>
          <w:rFonts w:cs="Times New Roman"/>
          <w:noProof/>
          <w:szCs w:val="24"/>
        </w:rPr>
        <w:t xml:space="preserve"> carbon market.</w:t>
      </w:r>
    </w:p>
    <w:p w14:paraId="42F9BBE2" w14:textId="2AA2FBC3" w:rsidR="001226F0" w:rsidRPr="004B4540" w:rsidRDefault="1F0B13FC" w:rsidP="001226F0">
      <w:pPr>
        <w:pStyle w:val="CMR23-text"/>
        <w:rPr>
          <w:rFonts w:cs="Times New Roman"/>
          <w:noProof/>
          <w:szCs w:val="24"/>
        </w:rPr>
      </w:pPr>
      <w:r w:rsidRPr="004B4540">
        <w:rPr>
          <w:rFonts w:cs="Times New Roman"/>
          <w:noProof/>
          <w:szCs w:val="24"/>
        </w:rPr>
        <w:t xml:space="preserve">Furthermore, </w:t>
      </w:r>
      <w:r w:rsidR="00434C4D" w:rsidRPr="004B4540">
        <w:rPr>
          <w:rFonts w:cs="Times New Roman"/>
          <w:noProof/>
          <w:szCs w:val="24"/>
        </w:rPr>
        <w:t xml:space="preserve">the Commission conducted a market survey on the participation of operators in auctions and secondary markets in the second half of 2022. </w:t>
      </w:r>
      <w:r w:rsidR="0085599D" w:rsidRPr="004B4540">
        <w:rPr>
          <w:rFonts w:cs="Times New Roman"/>
          <w:noProof/>
          <w:szCs w:val="24"/>
        </w:rPr>
        <w:t>The survey,</w:t>
      </w:r>
      <w:r w:rsidR="0085599D" w:rsidRPr="004B4540" w:rsidDel="1F0B13FC">
        <w:rPr>
          <w:rFonts w:cs="Times New Roman"/>
          <w:noProof/>
          <w:szCs w:val="24"/>
        </w:rPr>
        <w:t xml:space="preserve"> </w:t>
      </w:r>
      <w:r w:rsidR="0085599D" w:rsidRPr="004B4540">
        <w:rPr>
          <w:rFonts w:cs="Times New Roman"/>
          <w:noProof/>
          <w:szCs w:val="24"/>
        </w:rPr>
        <w:t xml:space="preserve">to which more than 900 operators responded, confirmed the important role of financial entities in the orderly functioning of the EU carbon market. </w:t>
      </w:r>
      <w:r w:rsidRPr="004B4540">
        <w:rPr>
          <w:rFonts w:cs="Times New Roman"/>
          <w:noProof/>
          <w:szCs w:val="24"/>
        </w:rPr>
        <w:t xml:space="preserve"> Overall, operators </w:t>
      </w:r>
      <w:r w:rsidR="30B5B314" w:rsidRPr="004B4540">
        <w:rPr>
          <w:rFonts w:cs="Times New Roman"/>
          <w:noProof/>
          <w:szCs w:val="24"/>
        </w:rPr>
        <w:t>were positive about</w:t>
      </w:r>
      <w:r w:rsidRPr="004B4540">
        <w:rPr>
          <w:rFonts w:cs="Times New Roman"/>
          <w:noProof/>
          <w:szCs w:val="24"/>
        </w:rPr>
        <w:t xml:space="preserve"> the current set-up for acquiring emission allowances </w:t>
      </w:r>
      <w:r w:rsidR="00F0412F" w:rsidRPr="004B4540">
        <w:rPr>
          <w:rFonts w:cs="Times New Roman"/>
          <w:noProof/>
          <w:szCs w:val="24"/>
        </w:rPr>
        <w:t>through auctions and secondary market trading</w:t>
      </w:r>
      <w:r w:rsidRPr="004B4540">
        <w:rPr>
          <w:rFonts w:cs="Times New Roman"/>
          <w:noProof/>
          <w:szCs w:val="24"/>
        </w:rPr>
        <w:t xml:space="preserve">. </w:t>
      </w:r>
      <w:r w:rsidR="004A336C" w:rsidRPr="004B4540">
        <w:rPr>
          <w:rFonts w:cs="Times New Roman"/>
          <w:noProof/>
          <w:szCs w:val="24"/>
        </w:rPr>
        <w:t xml:space="preserve">Most operators use financial intermediaries to acquire emission allowances and comply with their obligations. </w:t>
      </w:r>
      <w:r w:rsidR="001226F0" w:rsidRPr="004B4540">
        <w:rPr>
          <w:rFonts w:cs="Times New Roman"/>
          <w:noProof/>
          <w:szCs w:val="24"/>
        </w:rPr>
        <w:t>The main reasons operators give for using intermediaries are the limited need for allowances, cost efficiency and a limited knowledge of financial markets.</w:t>
      </w:r>
    </w:p>
    <w:p w14:paraId="3CCD8DD2" w14:textId="1FA7A594" w:rsidR="00B36B2C" w:rsidRPr="004B4540" w:rsidRDefault="4DA72343" w:rsidP="00551CFD">
      <w:pPr>
        <w:pStyle w:val="CMR23-text"/>
        <w:rPr>
          <w:rFonts w:cs="Times New Roman"/>
          <w:noProof/>
          <w:szCs w:val="24"/>
        </w:rPr>
      </w:pPr>
      <w:r w:rsidRPr="004B4540">
        <w:rPr>
          <w:rFonts w:cs="Times New Roman"/>
          <w:noProof/>
          <w:szCs w:val="24"/>
        </w:rPr>
        <w:t>Against this background</w:t>
      </w:r>
      <w:r w:rsidR="003E374C" w:rsidRPr="004B4540">
        <w:rPr>
          <w:rFonts w:cs="Times New Roman"/>
          <w:noProof/>
          <w:szCs w:val="24"/>
        </w:rPr>
        <w:t>,</w:t>
      </w:r>
      <w:r w:rsidRPr="004B4540">
        <w:rPr>
          <w:rFonts w:cs="Times New Roman"/>
          <w:noProof/>
          <w:szCs w:val="24"/>
        </w:rPr>
        <w:t xml:space="preserve"> the </w:t>
      </w:r>
      <w:r w:rsidR="003E374C" w:rsidRPr="004B4540">
        <w:rPr>
          <w:rFonts w:cs="Times New Roman"/>
          <w:noProof/>
          <w:szCs w:val="24"/>
        </w:rPr>
        <w:t>revised</w:t>
      </w:r>
      <w:r w:rsidRPr="004B4540">
        <w:rPr>
          <w:rFonts w:cs="Times New Roman"/>
          <w:noProof/>
          <w:szCs w:val="24"/>
        </w:rPr>
        <w:t xml:space="preserve"> ETS Directive </w:t>
      </w:r>
      <w:r w:rsidR="003E374C" w:rsidRPr="004B4540">
        <w:rPr>
          <w:rFonts w:cs="Times New Roman"/>
          <w:noProof/>
          <w:szCs w:val="24"/>
        </w:rPr>
        <w:t xml:space="preserve">includes </w:t>
      </w:r>
      <w:r w:rsidR="00BC0039" w:rsidRPr="004B4540">
        <w:rPr>
          <w:rFonts w:cs="Times New Roman"/>
          <w:noProof/>
          <w:szCs w:val="24"/>
        </w:rPr>
        <w:t>several</w:t>
      </w:r>
      <w:r w:rsidRPr="004B4540">
        <w:rPr>
          <w:rFonts w:cs="Times New Roman"/>
          <w:noProof/>
          <w:szCs w:val="24"/>
        </w:rPr>
        <w:t xml:space="preserve"> amendments </w:t>
      </w:r>
      <w:r w:rsidR="00BF4259" w:rsidRPr="004B4540">
        <w:rPr>
          <w:rFonts w:cs="Times New Roman"/>
          <w:noProof/>
          <w:szCs w:val="24"/>
        </w:rPr>
        <w:t xml:space="preserve">to further improve the EU carbon market’s transparency. </w:t>
      </w:r>
      <w:r w:rsidR="00C542D6" w:rsidRPr="004B4540">
        <w:rPr>
          <w:rFonts w:cs="Times New Roman"/>
          <w:noProof/>
          <w:szCs w:val="24"/>
        </w:rPr>
        <w:t xml:space="preserve">ESMA has been requested to conduct a periodic assessment of the functioning of EU carbon markets and include it in their regular report on trends, risks and vulnerabilities in financial markets. </w:t>
      </w:r>
      <w:r w:rsidR="008515B4" w:rsidRPr="004B4540">
        <w:rPr>
          <w:rFonts w:cs="Times New Roman"/>
          <w:noProof/>
          <w:szCs w:val="24"/>
        </w:rPr>
        <w:t>On 31 August 2023, ESMA reported in its second Report on trends, risks and vulnerabilities of 2023 that the EU carbon market remained stable in 2023 and continued to operate in line with market fundamentals.</w:t>
      </w:r>
      <w:r w:rsidR="3285839E" w:rsidRPr="004B4540">
        <w:rPr>
          <w:rFonts w:cs="Times New Roman"/>
          <w:noProof/>
          <w:szCs w:val="24"/>
        </w:rPr>
        <w:t xml:space="preserve"> </w:t>
      </w:r>
    </w:p>
    <w:p w14:paraId="4FB355DC" w14:textId="17A6A5EE" w:rsidR="00286BA6" w:rsidRPr="004B4540" w:rsidRDefault="00B36B2C" w:rsidP="00551CFD">
      <w:pPr>
        <w:pStyle w:val="CMR23-text"/>
        <w:rPr>
          <w:rFonts w:cs="Times New Roman"/>
          <w:noProof/>
          <w:szCs w:val="24"/>
        </w:rPr>
      </w:pPr>
      <w:r w:rsidRPr="004B4540">
        <w:rPr>
          <w:rFonts w:cs="Times New Roman"/>
          <w:noProof/>
          <w:szCs w:val="24"/>
        </w:rPr>
        <w:t>A</w:t>
      </w:r>
      <w:r w:rsidR="003E374C" w:rsidRPr="004B4540">
        <w:rPr>
          <w:rFonts w:cs="Times New Roman"/>
          <w:noProof/>
          <w:szCs w:val="24"/>
        </w:rPr>
        <w:t>s part of the EU ETS</w:t>
      </w:r>
      <w:r w:rsidR="00645617" w:rsidRPr="004B4540">
        <w:rPr>
          <w:rFonts w:cs="Times New Roman"/>
          <w:noProof/>
          <w:szCs w:val="24"/>
        </w:rPr>
        <w:t xml:space="preserve"> reform</w:t>
      </w:r>
      <w:r w:rsidR="4DA72343" w:rsidRPr="004B4540">
        <w:rPr>
          <w:rFonts w:cs="Times New Roman"/>
          <w:noProof/>
          <w:szCs w:val="24"/>
        </w:rPr>
        <w:t xml:space="preserve">, the Commission </w:t>
      </w:r>
      <w:r w:rsidR="4AE22EB2" w:rsidRPr="004B4540">
        <w:rPr>
          <w:rFonts w:cs="Times New Roman"/>
          <w:noProof/>
          <w:szCs w:val="24"/>
        </w:rPr>
        <w:t>also</w:t>
      </w:r>
      <w:r w:rsidR="4DA72343" w:rsidRPr="004B4540">
        <w:rPr>
          <w:rFonts w:cs="Times New Roman"/>
          <w:noProof/>
          <w:szCs w:val="24"/>
        </w:rPr>
        <w:t xml:space="preserve"> committed to introduc</w:t>
      </w:r>
      <w:r w:rsidR="003E374C" w:rsidRPr="004B4540">
        <w:rPr>
          <w:rFonts w:cs="Times New Roman"/>
          <w:noProof/>
          <w:szCs w:val="24"/>
        </w:rPr>
        <w:t>ing</w:t>
      </w:r>
      <w:r w:rsidR="4DA72343" w:rsidRPr="004B4540">
        <w:rPr>
          <w:rFonts w:cs="Times New Roman"/>
          <w:noProof/>
          <w:szCs w:val="24"/>
        </w:rPr>
        <w:t xml:space="preserve"> several changes in </w:t>
      </w:r>
      <w:r w:rsidR="00CF2B67" w:rsidRPr="004B4540">
        <w:rPr>
          <w:rFonts w:cs="Times New Roman"/>
          <w:noProof/>
          <w:szCs w:val="24"/>
        </w:rPr>
        <w:t xml:space="preserve">the EU ETS implementing legislation to further improve the carbon market’s transparency. </w:t>
      </w:r>
      <w:r w:rsidR="4DA72343" w:rsidRPr="004B4540">
        <w:rPr>
          <w:rFonts w:cs="Times New Roman"/>
          <w:noProof/>
          <w:szCs w:val="24"/>
        </w:rPr>
        <w:t>These changes, amending the Auctioning Regulation and Registry Regulation</w:t>
      </w:r>
      <w:r w:rsidR="00244D6A" w:rsidRPr="004B4540">
        <w:rPr>
          <w:rFonts w:cs="Times New Roman"/>
          <w:noProof/>
          <w:szCs w:val="24"/>
        </w:rPr>
        <w:t>,</w:t>
      </w:r>
      <w:r w:rsidR="4DA72343" w:rsidRPr="004B4540">
        <w:rPr>
          <w:rFonts w:cs="Times New Roman"/>
          <w:noProof/>
          <w:szCs w:val="24"/>
        </w:rPr>
        <w:t xml:space="preserve"> are in line with recommendations of the ESMA report. To facilitate market monitoring, national competent authorities and ESMA will receive detailed data</w:t>
      </w:r>
      <w:r w:rsidR="4DA72343" w:rsidRPr="004B4540">
        <w:rPr>
          <w:rFonts w:eastAsia="Calibri" w:cs="Times New Roman"/>
          <w:noProof/>
          <w:szCs w:val="24"/>
        </w:rPr>
        <w:t xml:space="preserve"> </w:t>
      </w:r>
      <w:r w:rsidR="4DA72343" w:rsidRPr="004B4540">
        <w:rPr>
          <w:rFonts w:cs="Times New Roman"/>
          <w:noProof/>
          <w:szCs w:val="24"/>
        </w:rPr>
        <w:t xml:space="preserve">for each auction and will be allowed to have </w:t>
      </w:r>
      <w:r w:rsidR="5B49F4DF" w:rsidRPr="004B4540">
        <w:rPr>
          <w:rFonts w:cs="Times New Roman"/>
          <w:noProof/>
          <w:szCs w:val="24"/>
        </w:rPr>
        <w:t xml:space="preserve">regular </w:t>
      </w:r>
      <w:r w:rsidR="4DA72343" w:rsidRPr="004B4540">
        <w:rPr>
          <w:rFonts w:cs="Times New Roman"/>
          <w:noProof/>
          <w:szCs w:val="24"/>
        </w:rPr>
        <w:t xml:space="preserve">access to Union Registry data. Furthermore, changes will be made to facilitate the identification of purely bilateral transactions in the Union Registry. The </w:t>
      </w:r>
      <w:r w:rsidR="003E374C" w:rsidRPr="004B4540">
        <w:rPr>
          <w:rFonts w:cs="Times New Roman"/>
          <w:noProof/>
          <w:szCs w:val="24"/>
        </w:rPr>
        <w:t>work on</w:t>
      </w:r>
      <w:r w:rsidR="4DA72343" w:rsidRPr="004B4540">
        <w:rPr>
          <w:rFonts w:cs="Times New Roman"/>
          <w:noProof/>
          <w:szCs w:val="24"/>
        </w:rPr>
        <w:t xml:space="preserve"> </w:t>
      </w:r>
      <w:r w:rsidR="003E374C" w:rsidRPr="004B4540">
        <w:rPr>
          <w:rFonts w:cs="Times New Roman"/>
          <w:noProof/>
          <w:szCs w:val="24"/>
        </w:rPr>
        <w:t>amending</w:t>
      </w:r>
      <w:r w:rsidR="4DA72343" w:rsidRPr="004B4540">
        <w:rPr>
          <w:rFonts w:cs="Times New Roman"/>
          <w:noProof/>
          <w:szCs w:val="24"/>
        </w:rPr>
        <w:t xml:space="preserve"> the Auction</w:t>
      </w:r>
      <w:r w:rsidR="3B204942" w:rsidRPr="004B4540">
        <w:rPr>
          <w:rFonts w:cs="Times New Roman"/>
          <w:noProof/>
          <w:szCs w:val="24"/>
        </w:rPr>
        <w:t>ing</w:t>
      </w:r>
      <w:r w:rsidR="4DA72343" w:rsidRPr="004B4540">
        <w:rPr>
          <w:rFonts w:cs="Times New Roman"/>
          <w:noProof/>
          <w:szCs w:val="24"/>
        </w:rPr>
        <w:t xml:space="preserve"> and Registry Regulation</w:t>
      </w:r>
      <w:r w:rsidR="00DE5221" w:rsidRPr="004B4540">
        <w:rPr>
          <w:rFonts w:cs="Times New Roman"/>
          <w:noProof/>
          <w:szCs w:val="24"/>
        </w:rPr>
        <w:t>s</w:t>
      </w:r>
      <w:r w:rsidR="4DA72343" w:rsidRPr="004B4540">
        <w:rPr>
          <w:rFonts w:cs="Times New Roman"/>
          <w:noProof/>
          <w:szCs w:val="24"/>
        </w:rPr>
        <w:t xml:space="preserve"> to implement these commitments</w:t>
      </w:r>
      <w:r w:rsidR="003E374C" w:rsidRPr="004B4540">
        <w:rPr>
          <w:rFonts w:cs="Times New Roman"/>
          <w:noProof/>
          <w:szCs w:val="24"/>
        </w:rPr>
        <w:t xml:space="preserve"> is on</w:t>
      </w:r>
      <w:r w:rsidR="12324F60" w:rsidRPr="004B4540">
        <w:rPr>
          <w:rFonts w:cs="Times New Roman"/>
          <w:noProof/>
          <w:szCs w:val="24"/>
        </w:rPr>
        <w:t>g</w:t>
      </w:r>
      <w:r w:rsidR="003E374C" w:rsidRPr="004B4540">
        <w:rPr>
          <w:rFonts w:cs="Times New Roman"/>
          <w:noProof/>
          <w:szCs w:val="24"/>
        </w:rPr>
        <w:t>oing</w:t>
      </w:r>
      <w:r w:rsidR="4DA72343" w:rsidRPr="004B4540">
        <w:rPr>
          <w:rFonts w:cs="Times New Roman"/>
          <w:noProof/>
          <w:szCs w:val="24"/>
        </w:rPr>
        <w:t xml:space="preserve">. </w:t>
      </w:r>
    </w:p>
    <w:p w14:paraId="0427E830" w14:textId="3B0A349E" w:rsidR="005067DE" w:rsidRPr="004B4540" w:rsidRDefault="009F0D77" w:rsidP="00551CFD">
      <w:pPr>
        <w:pStyle w:val="CMR23-text"/>
        <w:rPr>
          <w:rFonts w:cs="Times New Roman"/>
          <w:noProof/>
          <w:szCs w:val="24"/>
        </w:rPr>
      </w:pPr>
      <w:r w:rsidRPr="004B4540">
        <w:rPr>
          <w:rFonts w:cs="Times New Roman"/>
          <w:noProof/>
          <w:szCs w:val="24"/>
        </w:rPr>
        <w:t xml:space="preserve">On 5 July 2023, the International Organization of Securities Commission (IOSCO) </w:t>
      </w:r>
      <w:r w:rsidR="00F363C2" w:rsidRPr="004B4540">
        <w:rPr>
          <w:rFonts w:cs="Times New Roman"/>
          <w:noProof/>
          <w:szCs w:val="24"/>
        </w:rPr>
        <w:t xml:space="preserve"> published its report on compliance carbon markets</w:t>
      </w:r>
      <w:r w:rsidR="00337D99" w:rsidRPr="004B4540">
        <w:rPr>
          <w:rStyle w:val="FootnoteReference"/>
          <w:rFonts w:cs="Times New Roman"/>
          <w:noProof/>
          <w:szCs w:val="24"/>
        </w:rPr>
        <w:footnoteReference w:id="91"/>
      </w:r>
      <w:r w:rsidR="00F363C2" w:rsidRPr="004B4540">
        <w:rPr>
          <w:rFonts w:cs="Times New Roman"/>
          <w:noProof/>
          <w:szCs w:val="24"/>
        </w:rPr>
        <w:t>.</w:t>
      </w:r>
      <w:r w:rsidR="4DA72343" w:rsidRPr="004B4540">
        <w:rPr>
          <w:rFonts w:cs="Times New Roman"/>
          <w:noProof/>
          <w:szCs w:val="24"/>
        </w:rPr>
        <w:t xml:space="preserve"> </w:t>
      </w:r>
      <w:r w:rsidR="00D41506" w:rsidRPr="004B4540">
        <w:rPr>
          <w:rFonts w:cs="Times New Roman"/>
          <w:noProof/>
          <w:szCs w:val="24"/>
        </w:rPr>
        <w:t>It is an international body that brings together the world’s securities regulators and is recognised as the global standard setter for the securities sector.</w:t>
      </w:r>
      <w:r w:rsidR="4DA72343" w:rsidRPr="004B4540">
        <w:rPr>
          <w:rFonts w:cs="Times New Roman"/>
          <w:noProof/>
          <w:szCs w:val="24"/>
        </w:rPr>
        <w:t xml:space="preserve"> The report, based upon the lessons learned from </w:t>
      </w:r>
      <w:r w:rsidR="001D4AB5" w:rsidRPr="004B4540">
        <w:rPr>
          <w:rFonts w:cs="Times New Roman"/>
          <w:noProof/>
          <w:szCs w:val="24"/>
        </w:rPr>
        <w:t xml:space="preserve">the </w:t>
      </w:r>
      <w:r w:rsidR="4DA72343" w:rsidRPr="004B4540">
        <w:rPr>
          <w:rFonts w:cs="Times New Roman"/>
          <w:noProof/>
          <w:szCs w:val="24"/>
        </w:rPr>
        <w:t xml:space="preserve">existing compliance carbon markets and good practices in commodity derivatives markets, assessed both primary and secondary markets spot </w:t>
      </w:r>
      <w:r w:rsidR="001D4AB5" w:rsidRPr="004B4540">
        <w:rPr>
          <w:rFonts w:cs="Times New Roman"/>
          <w:noProof/>
          <w:szCs w:val="24"/>
        </w:rPr>
        <w:t xml:space="preserve">as well as </w:t>
      </w:r>
      <w:r w:rsidR="4DA72343" w:rsidRPr="004B4540">
        <w:rPr>
          <w:rFonts w:cs="Times New Roman"/>
          <w:noProof/>
          <w:szCs w:val="24"/>
        </w:rPr>
        <w:t xml:space="preserve">derivatives trading across jurisdictions. </w:t>
      </w:r>
    </w:p>
    <w:p w14:paraId="686A32CB" w14:textId="0F5F1C48" w:rsidR="00286BA6" w:rsidRPr="004B4540" w:rsidRDefault="00AF7B8E" w:rsidP="00551CFD">
      <w:pPr>
        <w:pStyle w:val="CMR23-text"/>
        <w:rPr>
          <w:rFonts w:cs="Times New Roman"/>
          <w:noProof/>
          <w:szCs w:val="24"/>
        </w:rPr>
      </w:pPr>
      <w:r w:rsidRPr="004B4540">
        <w:rPr>
          <w:rFonts w:cs="Times New Roman"/>
          <w:noProof/>
          <w:szCs w:val="24"/>
        </w:rPr>
        <w:t xml:space="preserve">The IOSCO report points to best practices applicable in the EU carbon market. These include the </w:t>
      </w:r>
      <w:r w:rsidR="00F26B26" w:rsidRPr="004B4540">
        <w:rPr>
          <w:rFonts w:cs="Times New Roman"/>
          <w:noProof/>
          <w:szCs w:val="24"/>
        </w:rPr>
        <w:t>M</w:t>
      </w:r>
      <w:r w:rsidR="4DA72343" w:rsidRPr="004B4540">
        <w:rPr>
          <w:rFonts w:cs="Times New Roman"/>
          <w:noProof/>
          <w:szCs w:val="24"/>
        </w:rPr>
        <w:t xml:space="preserve">arket </w:t>
      </w:r>
      <w:r w:rsidR="00F26B26" w:rsidRPr="004B4540">
        <w:rPr>
          <w:rFonts w:cs="Times New Roman"/>
          <w:noProof/>
          <w:szCs w:val="24"/>
        </w:rPr>
        <w:t>S</w:t>
      </w:r>
      <w:r w:rsidR="4DA72343" w:rsidRPr="004B4540">
        <w:rPr>
          <w:rFonts w:cs="Times New Roman"/>
          <w:noProof/>
          <w:szCs w:val="24"/>
        </w:rPr>
        <w:t xml:space="preserve">tability </w:t>
      </w:r>
      <w:r w:rsidR="00F26B26" w:rsidRPr="004B4540">
        <w:rPr>
          <w:rFonts w:cs="Times New Roman"/>
          <w:noProof/>
          <w:szCs w:val="24"/>
        </w:rPr>
        <w:t>R</w:t>
      </w:r>
      <w:r w:rsidR="4DA72343" w:rsidRPr="004B4540">
        <w:rPr>
          <w:rFonts w:cs="Times New Roman"/>
          <w:noProof/>
          <w:szCs w:val="24"/>
        </w:rPr>
        <w:t xml:space="preserve">eserve to limit </w:t>
      </w:r>
      <w:r w:rsidR="00F26B26" w:rsidRPr="004B4540">
        <w:rPr>
          <w:rFonts w:cs="Times New Roman"/>
          <w:noProof/>
          <w:szCs w:val="24"/>
        </w:rPr>
        <w:t xml:space="preserve">the </w:t>
      </w:r>
      <w:r w:rsidR="4DA72343" w:rsidRPr="004B4540">
        <w:rPr>
          <w:rFonts w:cs="Times New Roman"/>
          <w:noProof/>
          <w:szCs w:val="24"/>
        </w:rPr>
        <w:t>risk of oversupply</w:t>
      </w:r>
      <w:r w:rsidR="00F26B26" w:rsidRPr="004B4540">
        <w:rPr>
          <w:rFonts w:cs="Times New Roman"/>
          <w:noProof/>
          <w:szCs w:val="24"/>
        </w:rPr>
        <w:t xml:space="preserve"> of allowances</w:t>
      </w:r>
      <w:r w:rsidR="4DA72343" w:rsidRPr="004B4540">
        <w:rPr>
          <w:rFonts w:cs="Times New Roman"/>
          <w:noProof/>
          <w:szCs w:val="24"/>
        </w:rPr>
        <w:t xml:space="preserve">, the classification of emission allowances and derivatives as financial instruments, the application of </w:t>
      </w:r>
      <w:r w:rsidR="008D3561" w:rsidRPr="004B4540">
        <w:rPr>
          <w:rFonts w:cs="Times New Roman"/>
          <w:noProof/>
          <w:szCs w:val="24"/>
        </w:rPr>
        <w:t xml:space="preserve">a </w:t>
      </w:r>
      <w:r w:rsidR="4DA72343" w:rsidRPr="004B4540">
        <w:rPr>
          <w:rFonts w:cs="Times New Roman"/>
          <w:noProof/>
          <w:szCs w:val="24"/>
        </w:rPr>
        <w:t xml:space="preserve">comprehensive market oversight </w:t>
      </w:r>
      <w:r w:rsidR="008D3561" w:rsidRPr="004B4540">
        <w:rPr>
          <w:rFonts w:cs="Times New Roman"/>
          <w:noProof/>
          <w:szCs w:val="24"/>
        </w:rPr>
        <w:t xml:space="preserve">framework </w:t>
      </w:r>
      <w:r w:rsidR="4DA72343" w:rsidRPr="004B4540">
        <w:rPr>
          <w:rFonts w:cs="Times New Roman"/>
          <w:noProof/>
          <w:szCs w:val="24"/>
        </w:rPr>
        <w:t>to commodities markets including rules on transparency and transaction reporting, market abuse, anti-money laundering and effective supervision by competent authorities. The report</w:t>
      </w:r>
      <w:r w:rsidR="4DA72343" w:rsidRPr="004B4540" w:rsidDel="007F5A76">
        <w:rPr>
          <w:rFonts w:cs="Times New Roman"/>
          <w:noProof/>
          <w:szCs w:val="24"/>
        </w:rPr>
        <w:t xml:space="preserve"> </w:t>
      </w:r>
      <w:r w:rsidR="007F5A76" w:rsidRPr="004B4540">
        <w:rPr>
          <w:rFonts w:cs="Times New Roman"/>
          <w:noProof/>
          <w:szCs w:val="24"/>
        </w:rPr>
        <w:t xml:space="preserve">makes </w:t>
      </w:r>
      <w:r w:rsidR="4DA72343" w:rsidRPr="004B4540">
        <w:rPr>
          <w:rFonts w:cs="Times New Roman"/>
          <w:noProof/>
          <w:szCs w:val="24"/>
        </w:rPr>
        <w:t>12 recommendations</w:t>
      </w:r>
      <w:r w:rsidR="4DA72343" w:rsidRPr="004B4540" w:rsidDel="007F5A76">
        <w:rPr>
          <w:rFonts w:cs="Times New Roman"/>
          <w:noProof/>
          <w:szCs w:val="24"/>
        </w:rPr>
        <w:t xml:space="preserve"> </w:t>
      </w:r>
      <w:r w:rsidR="4DA72343" w:rsidRPr="004B4540">
        <w:rPr>
          <w:rFonts w:cs="Times New Roman"/>
          <w:noProof/>
          <w:szCs w:val="24"/>
        </w:rPr>
        <w:t>to assist jurisdictions in setting up compliance carbon markets, broadly</w:t>
      </w:r>
      <w:r w:rsidR="4DA72343" w:rsidRPr="004B4540" w:rsidDel="007F5A76">
        <w:rPr>
          <w:rFonts w:cs="Times New Roman"/>
          <w:noProof/>
          <w:szCs w:val="24"/>
        </w:rPr>
        <w:t xml:space="preserve"> </w:t>
      </w:r>
      <w:r w:rsidR="2536A0D1" w:rsidRPr="004B4540">
        <w:rPr>
          <w:rFonts w:cs="Times New Roman"/>
          <w:noProof/>
          <w:szCs w:val="24"/>
        </w:rPr>
        <w:t xml:space="preserve">in line with </w:t>
      </w:r>
      <w:r w:rsidR="4DA72343" w:rsidRPr="004B4540">
        <w:rPr>
          <w:rFonts w:cs="Times New Roman"/>
          <w:noProof/>
          <w:szCs w:val="24"/>
        </w:rPr>
        <w:t xml:space="preserve">the current regulatory framework governing </w:t>
      </w:r>
      <w:r w:rsidR="071D3965" w:rsidRPr="004B4540">
        <w:rPr>
          <w:rFonts w:cs="Times New Roman"/>
          <w:noProof/>
          <w:szCs w:val="24"/>
        </w:rPr>
        <w:t xml:space="preserve">the </w:t>
      </w:r>
      <w:r w:rsidR="4DA72343" w:rsidRPr="004B4540">
        <w:rPr>
          <w:rFonts w:cs="Times New Roman"/>
          <w:noProof/>
          <w:szCs w:val="24"/>
        </w:rPr>
        <w:t xml:space="preserve">EU carbon market. </w:t>
      </w:r>
    </w:p>
    <w:p w14:paraId="3230F8A1" w14:textId="67FA5CBD" w:rsidR="007727C8" w:rsidRPr="00405B6F" w:rsidRDefault="00B36B2C" w:rsidP="00A5525D">
      <w:pPr>
        <w:pStyle w:val="CMR23-heading"/>
        <w:rPr>
          <w:noProof/>
        </w:rPr>
      </w:pPr>
      <w:r w:rsidRPr="00405B6F">
        <w:rPr>
          <w:noProof/>
        </w:rPr>
        <w:t xml:space="preserve"> </w:t>
      </w:r>
      <w:bookmarkStart w:id="78" w:name="_Toc145453245"/>
      <w:bookmarkStart w:id="79" w:name="_Toc148555895"/>
      <w:r w:rsidR="00E3029B" w:rsidRPr="00405B6F">
        <w:rPr>
          <w:noProof/>
        </w:rPr>
        <w:t xml:space="preserve">Framework for </w:t>
      </w:r>
      <w:r w:rsidR="00BA270C" w:rsidRPr="00405B6F">
        <w:rPr>
          <w:noProof/>
        </w:rPr>
        <w:t xml:space="preserve">the </w:t>
      </w:r>
      <w:r w:rsidR="00E3029B" w:rsidRPr="00405B6F">
        <w:rPr>
          <w:noProof/>
        </w:rPr>
        <w:t>m</w:t>
      </w:r>
      <w:r w:rsidR="00C84DBA" w:rsidRPr="00405B6F">
        <w:rPr>
          <w:noProof/>
        </w:rPr>
        <w:t>onitoring and repor</w:t>
      </w:r>
      <w:r w:rsidR="00E3029B" w:rsidRPr="00405B6F">
        <w:rPr>
          <w:noProof/>
        </w:rPr>
        <w:t>ting of emissions</w:t>
      </w:r>
      <w:bookmarkEnd w:id="78"/>
      <w:bookmarkEnd w:id="79"/>
    </w:p>
    <w:p w14:paraId="1464DF37" w14:textId="39202218" w:rsidR="0009356B" w:rsidRPr="004B4540" w:rsidRDefault="00717028" w:rsidP="0009356B">
      <w:pPr>
        <w:pStyle w:val="CMR23-text"/>
        <w:rPr>
          <w:rFonts w:cs="Times New Roman"/>
          <w:noProof/>
          <w:szCs w:val="24"/>
          <w:lang w:val="en-US"/>
        </w:rPr>
      </w:pPr>
      <w:r w:rsidRPr="004B4540">
        <w:rPr>
          <w:rFonts w:cs="Times New Roman"/>
          <w:noProof/>
          <w:szCs w:val="24"/>
        </w:rPr>
        <w:t>A smoothly functioning and environmentally credible EU ETS is ensured through a robust framework of monitoring, reporting, verification and accreditation requirements.</w:t>
      </w:r>
      <w:r w:rsidR="00BA270C" w:rsidRPr="004B4540">
        <w:rPr>
          <w:rFonts w:cs="Times New Roman"/>
          <w:noProof/>
          <w:szCs w:val="24"/>
        </w:rPr>
        <w:t xml:space="preserve"> These requirements are harmonised in Regulation </w:t>
      </w:r>
      <w:r w:rsidR="00D90165" w:rsidRPr="004B4540">
        <w:rPr>
          <w:rFonts w:cs="Times New Roman"/>
          <w:noProof/>
          <w:szCs w:val="24"/>
        </w:rPr>
        <w:t>2018/2066</w:t>
      </w:r>
      <w:r w:rsidR="00BA270C" w:rsidRPr="004B4540">
        <w:rPr>
          <w:rFonts w:cs="Times New Roman"/>
          <w:noProof/>
          <w:szCs w:val="24"/>
        </w:rPr>
        <w:t xml:space="preserve"> (Monitoring and Reporting Regulation)</w:t>
      </w:r>
      <w:r w:rsidR="00BA270C" w:rsidRPr="004B4540">
        <w:rPr>
          <w:rFonts w:cs="Times New Roman"/>
          <w:noProof/>
          <w:szCs w:val="24"/>
          <w:vertAlign w:val="superscript"/>
        </w:rPr>
        <w:footnoteReference w:id="92"/>
      </w:r>
      <w:r w:rsidR="00BA270C" w:rsidRPr="004B4540">
        <w:rPr>
          <w:rFonts w:cs="Times New Roman"/>
          <w:noProof/>
          <w:szCs w:val="24"/>
        </w:rPr>
        <w:t xml:space="preserve"> and Regulation </w:t>
      </w:r>
      <w:r w:rsidR="00D90165" w:rsidRPr="004B4540">
        <w:rPr>
          <w:rFonts w:cs="Times New Roman"/>
          <w:noProof/>
          <w:szCs w:val="24"/>
        </w:rPr>
        <w:t>2018/2067</w:t>
      </w:r>
      <w:r w:rsidR="00BA270C" w:rsidRPr="004B4540">
        <w:rPr>
          <w:rFonts w:cs="Times New Roman"/>
          <w:noProof/>
          <w:szCs w:val="24"/>
        </w:rPr>
        <w:t xml:space="preserve"> (Accreditation and Verification Regulation)</w:t>
      </w:r>
      <w:r w:rsidR="00BA270C" w:rsidRPr="004B4540">
        <w:rPr>
          <w:rFonts w:cs="Times New Roman"/>
          <w:noProof/>
          <w:szCs w:val="24"/>
          <w:vertAlign w:val="superscript"/>
        </w:rPr>
        <w:footnoteReference w:id="93"/>
      </w:r>
      <w:r w:rsidR="00BA270C" w:rsidRPr="004B4540">
        <w:rPr>
          <w:rFonts w:cs="Times New Roman"/>
          <w:noProof/>
          <w:szCs w:val="24"/>
        </w:rPr>
        <w:t xml:space="preserve">. Every year, countries report on implementation of these Regulations and the ETS Directive. </w:t>
      </w:r>
    </w:p>
    <w:p w14:paraId="47D548A9" w14:textId="155A1718" w:rsidR="00C20261" w:rsidRPr="004B4540" w:rsidRDefault="00C20261" w:rsidP="00B36B2C">
      <w:pPr>
        <w:pStyle w:val="CMR2023-SUBheading"/>
        <w:rPr>
          <w:rFonts w:cs="Times New Roman"/>
          <w:noProof/>
          <w:szCs w:val="24"/>
        </w:rPr>
      </w:pPr>
      <w:bookmarkStart w:id="80" w:name="_Toc145453246"/>
      <w:bookmarkStart w:id="81" w:name="_Toc148555896"/>
      <w:r w:rsidRPr="004B4540">
        <w:rPr>
          <w:rFonts w:cs="Times New Roman"/>
          <w:noProof/>
          <w:szCs w:val="24"/>
        </w:rPr>
        <w:t>Monitoring and reporting</w:t>
      </w:r>
      <w:bookmarkEnd w:id="80"/>
      <w:bookmarkEnd w:id="81"/>
    </w:p>
    <w:p w14:paraId="21109251" w14:textId="7830E866" w:rsidR="00D009A4" w:rsidRPr="00BD74A8" w:rsidRDefault="00BA270C" w:rsidP="00C80833">
      <w:pPr>
        <w:pStyle w:val="CMR23-text"/>
        <w:rPr>
          <w:noProof/>
        </w:rPr>
      </w:pPr>
      <w:r w:rsidRPr="004B4540">
        <w:rPr>
          <w:rFonts w:cs="Times New Roman"/>
          <w:noProof/>
          <w:szCs w:val="24"/>
        </w:rPr>
        <w:t>The system to monitor emissions in the EU ETS relies on a building</w:t>
      </w:r>
      <w:r w:rsidR="003E433F" w:rsidRPr="004B4540">
        <w:rPr>
          <w:rFonts w:cs="Times New Roman"/>
          <w:noProof/>
          <w:szCs w:val="24"/>
        </w:rPr>
        <w:t>-</w:t>
      </w:r>
      <w:r w:rsidRPr="004B4540">
        <w:rPr>
          <w:rFonts w:cs="Times New Roman"/>
          <w:noProof/>
          <w:szCs w:val="24"/>
        </w:rPr>
        <w:t xml:space="preserve">block approach. It gives operators a high degree of flexibility thus ensuring both </w:t>
      </w:r>
      <w:r w:rsidR="006E1544" w:rsidRPr="004B4540">
        <w:rPr>
          <w:rFonts w:cs="Times New Roman"/>
          <w:noProof/>
          <w:szCs w:val="24"/>
        </w:rPr>
        <w:t xml:space="preserve">the </w:t>
      </w:r>
      <w:r w:rsidRPr="004B4540">
        <w:rPr>
          <w:rFonts w:cs="Times New Roman"/>
          <w:noProof/>
          <w:szCs w:val="24"/>
        </w:rPr>
        <w:t xml:space="preserve">cost-efficiency </w:t>
      </w:r>
      <w:r w:rsidR="00897CFD" w:rsidRPr="004B4540">
        <w:rPr>
          <w:rFonts w:cs="Times New Roman"/>
          <w:noProof/>
          <w:szCs w:val="24"/>
        </w:rPr>
        <w:t>and</w:t>
      </w:r>
      <w:r w:rsidRPr="004B4540">
        <w:rPr>
          <w:rFonts w:cs="Times New Roman"/>
          <w:noProof/>
          <w:szCs w:val="24"/>
        </w:rPr>
        <w:t xml:space="preserve"> reliability of emissions data. Operators may use several monitoring methods (‘calculation-based’ or ‘measurement-based’ and by exception the ‘fall-back approach’), including a combination of methods for individual parts of an installation. For aircraft operators, only calculation-based approaches are allowed, with fuel consumption being the central flight parameter. The Monitoring and Reporting Regulation requires </w:t>
      </w:r>
      <w:r w:rsidR="00A41D96" w:rsidRPr="004B4540">
        <w:rPr>
          <w:rFonts w:cs="Times New Roman"/>
          <w:noProof/>
          <w:szCs w:val="24"/>
        </w:rPr>
        <w:t xml:space="preserve">both installations and aircraft operators </w:t>
      </w:r>
      <w:r w:rsidRPr="004B4540">
        <w:rPr>
          <w:rFonts w:cs="Times New Roman"/>
          <w:noProof/>
          <w:szCs w:val="24"/>
        </w:rPr>
        <w:t>to have a monitoring plan approved by the national competent authority. This prevents them from making an arbitrary selection of monitoring methods and temporal variations.</w:t>
      </w:r>
      <w:r w:rsidR="00D009A4" w:rsidRPr="004B4540">
        <w:rPr>
          <w:rFonts w:cs="Times New Roman"/>
          <w:noProof/>
          <w:szCs w:val="24"/>
        </w:rPr>
        <w:t xml:space="preserve"> In 2022,</w:t>
      </w:r>
      <w:r w:rsidR="00D009A4" w:rsidRPr="00F559E6">
        <w:rPr>
          <w:noProof/>
        </w:rPr>
        <w:t xml:space="preserve"> </w:t>
      </w:r>
      <w:r w:rsidR="00053FC6" w:rsidRPr="00BD74A8">
        <w:rPr>
          <w:noProof/>
        </w:rPr>
        <w:t>five</w:t>
      </w:r>
      <w:r w:rsidR="00F72228" w:rsidRPr="00BD74A8">
        <w:rPr>
          <w:noProof/>
        </w:rPr>
        <w:t xml:space="preserve"> </w:t>
      </w:r>
      <w:r w:rsidR="00D009A4" w:rsidRPr="004B4540">
        <w:rPr>
          <w:rFonts w:cs="Times New Roman"/>
          <w:noProof/>
          <w:szCs w:val="24"/>
        </w:rPr>
        <w:t>ETS countries</w:t>
      </w:r>
      <w:r w:rsidR="00D009A4" w:rsidRPr="004B4540">
        <w:rPr>
          <w:rStyle w:val="FootnoteReference"/>
          <w:rFonts w:cs="Times New Roman"/>
          <w:noProof/>
          <w:szCs w:val="24"/>
        </w:rPr>
        <w:footnoteReference w:id="94"/>
      </w:r>
      <w:r w:rsidR="00D009A4" w:rsidRPr="004B4540">
        <w:rPr>
          <w:rFonts w:cs="Times New Roman"/>
          <w:noProof/>
          <w:szCs w:val="24"/>
        </w:rPr>
        <w:t xml:space="preserve"> continued to allow installations to use simplified monitoring plans in low-risk cases</w:t>
      </w:r>
      <w:r w:rsidR="00D009A4" w:rsidRPr="004B4540">
        <w:rPr>
          <w:rStyle w:val="FootnoteReference"/>
          <w:rFonts w:cs="Times New Roman"/>
          <w:noProof/>
          <w:szCs w:val="24"/>
        </w:rPr>
        <w:footnoteReference w:id="95"/>
      </w:r>
      <w:r w:rsidR="00D009A4" w:rsidRPr="004B4540">
        <w:rPr>
          <w:rFonts w:cs="Times New Roman"/>
          <w:noProof/>
          <w:szCs w:val="24"/>
        </w:rPr>
        <w:t xml:space="preserve">. </w:t>
      </w:r>
      <w:r w:rsidR="00D009A4" w:rsidRPr="00BD74A8">
        <w:rPr>
          <w:noProof/>
        </w:rPr>
        <w:t xml:space="preserve">For aviation, only </w:t>
      </w:r>
      <w:r w:rsidR="00D009A4" w:rsidRPr="00F559E6">
        <w:rPr>
          <w:noProof/>
        </w:rPr>
        <w:t>Belgium</w:t>
      </w:r>
      <w:r w:rsidR="00D009A4" w:rsidRPr="00BD74A8">
        <w:rPr>
          <w:noProof/>
        </w:rPr>
        <w:t xml:space="preserve"> reported using this provision for operators with low emissions. </w:t>
      </w:r>
    </w:p>
    <w:p w14:paraId="77FAE7C8" w14:textId="2DAEB3BF" w:rsidR="00AE214A" w:rsidRPr="004B4540" w:rsidRDefault="00D009A4" w:rsidP="00AE214A">
      <w:pPr>
        <w:pStyle w:val="CMR23-text"/>
        <w:rPr>
          <w:rFonts w:cs="Times New Roman"/>
          <w:noProof/>
          <w:szCs w:val="24"/>
        </w:rPr>
      </w:pPr>
      <w:r w:rsidRPr="004B4540">
        <w:rPr>
          <w:rFonts w:cs="Times New Roman"/>
          <w:noProof/>
          <w:szCs w:val="24"/>
        </w:rPr>
        <w:t xml:space="preserve">The legal requirements for emission monitoring are </w:t>
      </w:r>
      <w:r w:rsidR="00056873" w:rsidRPr="004B4540">
        <w:rPr>
          <w:rFonts w:cs="Times New Roman"/>
          <w:noProof/>
          <w:szCs w:val="24"/>
        </w:rPr>
        <w:t xml:space="preserve">effectively </w:t>
      </w:r>
      <w:r w:rsidRPr="004B4540">
        <w:rPr>
          <w:rFonts w:cs="Times New Roman"/>
          <w:noProof/>
          <w:szCs w:val="24"/>
        </w:rPr>
        <w:t xml:space="preserve">met by </w:t>
      </w:r>
      <w:r w:rsidR="00BC0039" w:rsidRPr="004B4540">
        <w:rPr>
          <w:rFonts w:cs="Times New Roman"/>
          <w:noProof/>
          <w:szCs w:val="24"/>
        </w:rPr>
        <w:t>most</w:t>
      </w:r>
      <w:r w:rsidRPr="004B4540">
        <w:rPr>
          <w:rFonts w:cs="Times New Roman"/>
          <w:noProof/>
          <w:szCs w:val="24"/>
        </w:rPr>
        <w:t xml:space="preserve"> installations.</w:t>
      </w:r>
      <w:r w:rsidR="00897CFD" w:rsidRPr="004B4540">
        <w:rPr>
          <w:rFonts w:cs="Times New Roman"/>
          <w:noProof/>
          <w:szCs w:val="24"/>
        </w:rPr>
        <w:t xml:space="preserve"> </w:t>
      </w:r>
      <w:r w:rsidR="00AE214A" w:rsidRPr="004B4540">
        <w:rPr>
          <w:rFonts w:cs="Times New Roman"/>
          <w:noProof/>
          <w:szCs w:val="24"/>
        </w:rPr>
        <w:t>M</w:t>
      </w:r>
      <w:r w:rsidR="00C20261" w:rsidRPr="004B4540">
        <w:rPr>
          <w:rFonts w:cs="Times New Roman"/>
          <w:noProof/>
          <w:szCs w:val="24"/>
        </w:rPr>
        <w:t>ost installations used the calculation-based methodology</w:t>
      </w:r>
      <w:r w:rsidR="00C20261" w:rsidRPr="004B4540">
        <w:rPr>
          <w:rStyle w:val="FootnoteReference"/>
          <w:rFonts w:cs="Times New Roman"/>
          <w:noProof/>
          <w:szCs w:val="24"/>
        </w:rPr>
        <w:footnoteReference w:id="96"/>
      </w:r>
      <w:r w:rsidR="00C20261" w:rsidRPr="004B4540">
        <w:rPr>
          <w:rFonts w:cs="Times New Roman"/>
          <w:noProof/>
          <w:szCs w:val="24"/>
        </w:rPr>
        <w:t xml:space="preserve"> to calculate their emissions. </w:t>
      </w:r>
      <w:r w:rsidR="00C80833" w:rsidRPr="00BD74A8">
        <w:rPr>
          <w:noProof/>
        </w:rPr>
        <w:t xml:space="preserve">Only </w:t>
      </w:r>
      <w:r w:rsidR="002B5395" w:rsidRPr="00BD74A8">
        <w:rPr>
          <w:noProof/>
        </w:rPr>
        <w:t xml:space="preserve">145 </w:t>
      </w:r>
      <w:r w:rsidR="00C80833" w:rsidRPr="00BD74A8">
        <w:rPr>
          <w:noProof/>
        </w:rPr>
        <w:t>installations (</w:t>
      </w:r>
      <w:r w:rsidR="00C80833" w:rsidRPr="00F559E6">
        <w:rPr>
          <w:noProof/>
        </w:rPr>
        <w:t>1.</w:t>
      </w:r>
      <w:r w:rsidR="002F51C2" w:rsidRPr="00F559E6">
        <w:rPr>
          <w:noProof/>
        </w:rPr>
        <w:t>7</w:t>
      </w:r>
      <w:r w:rsidR="00C80833" w:rsidRPr="00BD74A8">
        <w:rPr>
          <w:noProof/>
        </w:rPr>
        <w:t xml:space="preserve">%) in </w:t>
      </w:r>
      <w:r w:rsidR="00C80833" w:rsidRPr="00F559E6">
        <w:rPr>
          <w:noProof/>
        </w:rPr>
        <w:t>22</w:t>
      </w:r>
      <w:r w:rsidR="00C80833" w:rsidRPr="00BD74A8">
        <w:rPr>
          <w:noProof/>
        </w:rPr>
        <w:t xml:space="preserve"> countries reported using continuous emissions measurement systems (CEMS), </w:t>
      </w:r>
      <w:r w:rsidR="00DD19E1" w:rsidRPr="004E1995">
        <w:rPr>
          <w:noProof/>
        </w:rPr>
        <w:t xml:space="preserve">nine </w:t>
      </w:r>
      <w:r w:rsidR="00C80833" w:rsidRPr="00BD74A8">
        <w:rPr>
          <w:noProof/>
        </w:rPr>
        <w:t xml:space="preserve">installations </w:t>
      </w:r>
      <w:r w:rsidR="00DD19E1" w:rsidRPr="00F559E6">
        <w:rPr>
          <w:noProof/>
        </w:rPr>
        <w:t>fewer</w:t>
      </w:r>
      <w:r w:rsidR="00DD19E1" w:rsidRPr="00BD74A8">
        <w:rPr>
          <w:noProof/>
        </w:rPr>
        <w:t xml:space="preserve"> than </w:t>
      </w:r>
      <w:r w:rsidR="00C80833" w:rsidRPr="00BD74A8">
        <w:rPr>
          <w:noProof/>
        </w:rPr>
        <w:t xml:space="preserve">in 2021. </w:t>
      </w:r>
      <w:r w:rsidR="00897CFD" w:rsidRPr="004B4540">
        <w:rPr>
          <w:rFonts w:cs="Times New Roman"/>
          <w:noProof/>
          <w:szCs w:val="24"/>
        </w:rPr>
        <w:t>Of these, 91 installations use</w:t>
      </w:r>
      <w:r w:rsidR="00C80833" w:rsidRPr="004B4540">
        <w:rPr>
          <w:rFonts w:cs="Times New Roman"/>
          <w:noProof/>
          <w:szCs w:val="24"/>
        </w:rPr>
        <w:t>d</w:t>
      </w:r>
      <w:r w:rsidR="00897CFD" w:rsidRPr="004B4540">
        <w:rPr>
          <w:rFonts w:cs="Times New Roman"/>
          <w:noProof/>
          <w:szCs w:val="24"/>
        </w:rPr>
        <w:t xml:space="preserve"> CEMS to measure CO</w:t>
      </w:r>
      <w:r w:rsidR="00897CFD" w:rsidRPr="004B4540">
        <w:rPr>
          <w:rFonts w:cs="Times New Roman"/>
          <w:noProof/>
          <w:szCs w:val="24"/>
          <w:vertAlign w:val="subscript"/>
        </w:rPr>
        <w:t>2</w:t>
      </w:r>
      <w:r w:rsidR="00897CFD" w:rsidRPr="004B4540">
        <w:rPr>
          <w:rFonts w:cs="Times New Roman"/>
          <w:noProof/>
          <w:szCs w:val="24"/>
        </w:rPr>
        <w:t xml:space="preserve"> emissions, </w:t>
      </w:r>
      <w:r w:rsidR="00AF468C" w:rsidRPr="004B4540">
        <w:rPr>
          <w:rFonts w:cs="Times New Roman"/>
          <w:noProof/>
          <w:szCs w:val="24"/>
        </w:rPr>
        <w:t xml:space="preserve">45 </w:t>
      </w:r>
      <w:r w:rsidR="00897CFD" w:rsidRPr="004B4540">
        <w:rPr>
          <w:rFonts w:cs="Times New Roman"/>
          <w:noProof/>
          <w:szCs w:val="24"/>
        </w:rPr>
        <w:t>for N</w:t>
      </w:r>
      <w:r w:rsidR="00897CFD" w:rsidRPr="004B4540">
        <w:rPr>
          <w:rFonts w:cs="Times New Roman"/>
          <w:noProof/>
          <w:szCs w:val="24"/>
          <w:vertAlign w:val="subscript"/>
        </w:rPr>
        <w:t>2</w:t>
      </w:r>
      <w:r w:rsidR="00897CFD" w:rsidRPr="004B4540">
        <w:rPr>
          <w:rFonts w:cs="Times New Roman"/>
          <w:noProof/>
          <w:szCs w:val="24"/>
        </w:rPr>
        <w:t xml:space="preserve">O and 9 for both gases. </w:t>
      </w:r>
      <w:r w:rsidR="00C20261" w:rsidRPr="004B4540">
        <w:rPr>
          <w:rFonts w:cs="Times New Roman"/>
          <w:noProof/>
          <w:szCs w:val="24"/>
        </w:rPr>
        <w:t xml:space="preserve">CEMS is used most frequently in </w:t>
      </w:r>
      <w:r w:rsidR="00C80833" w:rsidRPr="00BD74A8">
        <w:rPr>
          <w:noProof/>
        </w:rPr>
        <w:t xml:space="preserve">Germany </w:t>
      </w:r>
      <w:r w:rsidR="00C20261" w:rsidRPr="004B4540">
        <w:rPr>
          <w:rFonts w:cs="Times New Roman"/>
          <w:noProof/>
          <w:szCs w:val="24"/>
        </w:rPr>
        <w:t xml:space="preserve">and </w:t>
      </w:r>
      <w:r w:rsidR="00C80833" w:rsidRPr="00BD74A8">
        <w:rPr>
          <w:noProof/>
        </w:rPr>
        <w:t>Czechia</w:t>
      </w:r>
      <w:r w:rsidR="00C20261" w:rsidRPr="004B4540">
        <w:rPr>
          <w:rFonts w:cs="Times New Roman"/>
          <w:noProof/>
          <w:szCs w:val="24"/>
        </w:rPr>
        <w:t xml:space="preserve">. In </w:t>
      </w:r>
      <w:r w:rsidR="00C80833" w:rsidRPr="00F559E6">
        <w:rPr>
          <w:noProof/>
        </w:rPr>
        <w:t>34</w:t>
      </w:r>
      <w:r w:rsidR="00C80833" w:rsidRPr="00BD74A8">
        <w:rPr>
          <w:noProof/>
        </w:rPr>
        <w:t xml:space="preserve"> </w:t>
      </w:r>
      <w:r w:rsidR="00C20261" w:rsidRPr="004B4540">
        <w:rPr>
          <w:rFonts w:cs="Times New Roman"/>
          <w:noProof/>
          <w:szCs w:val="24"/>
        </w:rPr>
        <w:t>installations, the measured emissions also contained biogenic CO</w:t>
      </w:r>
      <w:r w:rsidR="00C20261" w:rsidRPr="004B4540">
        <w:rPr>
          <w:rFonts w:cs="Times New Roman"/>
          <w:noProof/>
          <w:szCs w:val="24"/>
          <w:vertAlign w:val="subscript"/>
        </w:rPr>
        <w:t>2</w:t>
      </w:r>
      <w:r w:rsidR="00C20261" w:rsidRPr="004B4540">
        <w:rPr>
          <w:rFonts w:cs="Times New Roman"/>
          <w:noProof/>
          <w:szCs w:val="24"/>
        </w:rPr>
        <w:t xml:space="preserve">. </w:t>
      </w:r>
      <w:r w:rsidR="00AE214A" w:rsidRPr="004B4540">
        <w:rPr>
          <w:rFonts w:cs="Times New Roman"/>
          <w:noProof/>
          <w:szCs w:val="24"/>
        </w:rPr>
        <w:t>Of the installations</w:t>
      </w:r>
      <w:r w:rsidR="00AF468C" w:rsidRPr="004B4540">
        <w:rPr>
          <w:rFonts w:cs="Times New Roman"/>
          <w:noProof/>
          <w:szCs w:val="24"/>
        </w:rPr>
        <w:t xml:space="preserve"> using CEMS</w:t>
      </w:r>
      <w:r w:rsidR="00AE214A" w:rsidRPr="004B4540">
        <w:rPr>
          <w:rFonts w:cs="Times New Roman"/>
          <w:noProof/>
          <w:szCs w:val="24"/>
        </w:rPr>
        <w:t xml:space="preserve">, </w:t>
      </w:r>
      <w:r w:rsidR="00AF468C" w:rsidRPr="00BD74A8">
        <w:rPr>
          <w:noProof/>
        </w:rPr>
        <w:t xml:space="preserve">69 </w:t>
      </w:r>
      <w:r w:rsidR="00AE214A" w:rsidRPr="004B4540">
        <w:rPr>
          <w:rFonts w:cs="Times New Roman"/>
          <w:noProof/>
          <w:szCs w:val="24"/>
        </w:rPr>
        <w:t>use</w:t>
      </w:r>
      <w:r w:rsidR="00C80833" w:rsidRPr="004B4540">
        <w:rPr>
          <w:rFonts w:cs="Times New Roman"/>
          <w:noProof/>
          <w:szCs w:val="24"/>
        </w:rPr>
        <w:t>d</w:t>
      </w:r>
      <w:r w:rsidR="00AE214A" w:rsidRPr="004B4540">
        <w:rPr>
          <w:rFonts w:cs="Times New Roman"/>
          <w:noProof/>
          <w:szCs w:val="24"/>
        </w:rPr>
        <w:t xml:space="preserve"> the methodology for more than 95% of their emissions, the other </w:t>
      </w:r>
      <w:r w:rsidR="00AF468C" w:rsidRPr="00BD74A8">
        <w:rPr>
          <w:noProof/>
        </w:rPr>
        <w:t xml:space="preserve">76 </w:t>
      </w:r>
      <w:r w:rsidR="00AE214A" w:rsidRPr="004B4540">
        <w:rPr>
          <w:rFonts w:cs="Times New Roman"/>
          <w:noProof/>
          <w:szCs w:val="24"/>
        </w:rPr>
        <w:t>use</w:t>
      </w:r>
      <w:r w:rsidR="00C80833" w:rsidRPr="004B4540">
        <w:rPr>
          <w:rFonts w:cs="Times New Roman"/>
          <w:noProof/>
          <w:szCs w:val="24"/>
        </w:rPr>
        <w:t>d</w:t>
      </w:r>
      <w:r w:rsidR="00AE214A" w:rsidRPr="004B4540">
        <w:rPr>
          <w:rFonts w:cs="Times New Roman"/>
          <w:noProof/>
          <w:szCs w:val="24"/>
        </w:rPr>
        <w:t xml:space="preserve"> a combination of CEMS and a calculation-based methodology.</w:t>
      </w:r>
    </w:p>
    <w:p w14:paraId="5DF578C9" w14:textId="71D152B6" w:rsidR="00C20261" w:rsidRPr="004B4540" w:rsidRDefault="00C20261" w:rsidP="00BA270C">
      <w:pPr>
        <w:pStyle w:val="CMR23-text"/>
        <w:rPr>
          <w:rFonts w:cs="Times New Roman"/>
          <w:noProof/>
          <w:szCs w:val="24"/>
        </w:rPr>
      </w:pPr>
      <w:r w:rsidRPr="004B4540">
        <w:rPr>
          <w:rFonts w:cs="Times New Roman"/>
          <w:noProof/>
          <w:szCs w:val="24"/>
        </w:rPr>
        <w:t xml:space="preserve">Only </w:t>
      </w:r>
      <w:r w:rsidR="00D009A4" w:rsidRPr="00F559E6">
        <w:rPr>
          <w:noProof/>
        </w:rPr>
        <w:t>11</w:t>
      </w:r>
      <w:r w:rsidR="00D009A4" w:rsidRPr="00BD74A8">
        <w:rPr>
          <w:noProof/>
        </w:rPr>
        <w:t xml:space="preserve"> </w:t>
      </w:r>
      <w:r w:rsidRPr="004B4540">
        <w:rPr>
          <w:rFonts w:cs="Times New Roman"/>
          <w:noProof/>
          <w:szCs w:val="24"/>
        </w:rPr>
        <w:t xml:space="preserve">countries reported using the fall-back approach; this was used for </w:t>
      </w:r>
      <w:r w:rsidR="00AF468C" w:rsidRPr="00BD74A8">
        <w:rPr>
          <w:noProof/>
        </w:rPr>
        <w:t xml:space="preserve">27 </w:t>
      </w:r>
      <w:r w:rsidRPr="004B4540">
        <w:rPr>
          <w:rFonts w:cs="Times New Roman"/>
          <w:noProof/>
          <w:szCs w:val="24"/>
        </w:rPr>
        <w:t xml:space="preserve">installations covering approximately </w:t>
      </w:r>
      <w:r w:rsidR="00AF468C" w:rsidRPr="00BD74A8">
        <w:rPr>
          <w:noProof/>
        </w:rPr>
        <w:t>2.6</w:t>
      </w:r>
      <w:r w:rsidR="00D009A4" w:rsidRPr="00BD74A8">
        <w:rPr>
          <w:noProof/>
        </w:rPr>
        <w:t xml:space="preserve"> million tonnes </w:t>
      </w:r>
      <w:r w:rsidRPr="004B4540">
        <w:rPr>
          <w:rFonts w:cs="Times New Roman"/>
          <w:noProof/>
          <w:szCs w:val="24"/>
        </w:rPr>
        <w:t>CO</w:t>
      </w:r>
      <w:r w:rsidRPr="004B4540">
        <w:rPr>
          <w:rFonts w:cs="Times New Roman"/>
          <w:noProof/>
          <w:szCs w:val="24"/>
          <w:vertAlign w:val="subscript"/>
        </w:rPr>
        <w:t>2</w:t>
      </w:r>
      <w:r w:rsidRPr="004B4540">
        <w:rPr>
          <w:rFonts w:cs="Times New Roman"/>
          <w:noProof/>
          <w:szCs w:val="24"/>
        </w:rPr>
        <w:t xml:space="preserve">eq </w:t>
      </w:r>
      <w:r w:rsidR="00AE214A" w:rsidRPr="004B4540">
        <w:rPr>
          <w:rFonts w:cs="Times New Roman"/>
          <w:noProof/>
          <w:szCs w:val="24"/>
        </w:rPr>
        <w:t xml:space="preserve">(4 </w:t>
      </w:r>
      <w:r w:rsidR="00AF468C" w:rsidRPr="004B4540">
        <w:rPr>
          <w:rFonts w:cs="Times New Roman"/>
          <w:noProof/>
          <w:szCs w:val="24"/>
        </w:rPr>
        <w:t xml:space="preserve">fewer </w:t>
      </w:r>
      <w:r w:rsidR="00AE214A" w:rsidRPr="004B4540">
        <w:rPr>
          <w:rFonts w:cs="Times New Roman"/>
          <w:noProof/>
          <w:szCs w:val="24"/>
        </w:rPr>
        <w:t xml:space="preserve">installations than in 2021 </w:t>
      </w:r>
      <w:r w:rsidR="00922867" w:rsidRPr="004B4540">
        <w:rPr>
          <w:rFonts w:cs="Times New Roman"/>
          <w:noProof/>
          <w:szCs w:val="24"/>
        </w:rPr>
        <w:t>but 0.16</w:t>
      </w:r>
      <w:r w:rsidR="00AE214A" w:rsidRPr="004B4540">
        <w:rPr>
          <w:rFonts w:cs="Times New Roman"/>
          <w:noProof/>
          <w:szCs w:val="24"/>
        </w:rPr>
        <w:t xml:space="preserve"> million tonnes CO</w:t>
      </w:r>
      <w:r w:rsidR="00AE214A" w:rsidRPr="004B4540">
        <w:rPr>
          <w:rFonts w:cs="Times New Roman"/>
          <w:noProof/>
          <w:szCs w:val="24"/>
          <w:vertAlign w:val="subscript"/>
        </w:rPr>
        <w:t>2</w:t>
      </w:r>
      <w:r w:rsidR="00AE214A" w:rsidRPr="004B4540">
        <w:rPr>
          <w:rFonts w:cs="Times New Roman"/>
          <w:noProof/>
          <w:szCs w:val="24"/>
        </w:rPr>
        <w:t xml:space="preserve">eq </w:t>
      </w:r>
      <w:r w:rsidR="00922867" w:rsidRPr="004B4540">
        <w:rPr>
          <w:rFonts w:cs="Times New Roman"/>
          <w:noProof/>
          <w:szCs w:val="24"/>
        </w:rPr>
        <w:t>more in emissions’ terms</w:t>
      </w:r>
      <w:r w:rsidR="00AE214A" w:rsidRPr="004B4540">
        <w:rPr>
          <w:rFonts w:cs="Times New Roman"/>
          <w:noProof/>
          <w:szCs w:val="24"/>
        </w:rPr>
        <w:t>)</w:t>
      </w:r>
      <w:r w:rsidRPr="004B4540">
        <w:rPr>
          <w:rFonts w:cs="Times New Roman"/>
          <w:noProof/>
          <w:szCs w:val="24"/>
        </w:rPr>
        <w:t>.</w:t>
      </w:r>
      <w:r w:rsidR="00D009A4" w:rsidRPr="004B4540">
        <w:rPr>
          <w:rFonts w:cs="Times New Roman"/>
          <w:noProof/>
          <w:szCs w:val="24"/>
        </w:rPr>
        <w:t xml:space="preserve"> </w:t>
      </w:r>
      <w:r w:rsidR="00D009A4" w:rsidRPr="00BD74A8">
        <w:rPr>
          <w:noProof/>
        </w:rPr>
        <w:t xml:space="preserve">One installation in the Netherlands is responsible for </w:t>
      </w:r>
      <w:r w:rsidR="00922867" w:rsidRPr="00BD74A8">
        <w:rPr>
          <w:noProof/>
        </w:rPr>
        <w:t>60</w:t>
      </w:r>
      <w:r w:rsidR="00D009A4" w:rsidRPr="00BD74A8">
        <w:rPr>
          <w:noProof/>
        </w:rPr>
        <w:t xml:space="preserve">% of the overall emissions reported using the fall-back methodology due to its complex set-up. </w:t>
      </w:r>
    </w:p>
    <w:p w14:paraId="287A3839" w14:textId="31EE405A" w:rsidR="002C0C0E" w:rsidRPr="004B4540" w:rsidRDefault="00BA270C" w:rsidP="002C0C0E">
      <w:pPr>
        <w:pStyle w:val="CMR23-text"/>
        <w:rPr>
          <w:rFonts w:cs="Times New Roman"/>
          <w:noProof/>
          <w:szCs w:val="24"/>
        </w:rPr>
      </w:pPr>
      <w:r w:rsidRPr="004B4540">
        <w:rPr>
          <w:rFonts w:cs="Times New Roman"/>
          <w:noProof/>
          <w:szCs w:val="24"/>
        </w:rPr>
        <w:t xml:space="preserve">Most installations met the minimum </w:t>
      </w:r>
      <w:r w:rsidR="00BF512A" w:rsidRPr="004B4540">
        <w:rPr>
          <w:rFonts w:cs="Times New Roman"/>
          <w:noProof/>
          <w:szCs w:val="24"/>
        </w:rPr>
        <w:t xml:space="preserve">required </w:t>
      </w:r>
      <w:r w:rsidRPr="004B4540">
        <w:rPr>
          <w:rFonts w:cs="Times New Roman"/>
          <w:noProof/>
          <w:szCs w:val="24"/>
        </w:rPr>
        <w:t>tier defaults</w:t>
      </w:r>
      <w:r w:rsidRPr="004B4540">
        <w:rPr>
          <w:rStyle w:val="FootnoteReference"/>
          <w:rFonts w:cs="Times New Roman"/>
          <w:noProof/>
          <w:szCs w:val="24"/>
        </w:rPr>
        <w:footnoteReference w:id="97"/>
      </w:r>
      <w:r w:rsidRPr="004B4540">
        <w:rPr>
          <w:rFonts w:cs="Times New Roman"/>
          <w:noProof/>
          <w:szCs w:val="24"/>
          <w:vertAlign w:val="superscript"/>
        </w:rPr>
        <w:t xml:space="preserve"> </w:t>
      </w:r>
      <w:r w:rsidRPr="004B4540">
        <w:rPr>
          <w:rFonts w:cs="Times New Roman"/>
          <w:noProof/>
          <w:szCs w:val="24"/>
        </w:rPr>
        <w:t xml:space="preserve">of the Monitoring and Reporting Regulation in 2022. </w:t>
      </w:r>
      <w:r w:rsidR="00D009A4" w:rsidRPr="00BD74A8">
        <w:rPr>
          <w:noProof/>
        </w:rPr>
        <w:t xml:space="preserve">Only </w:t>
      </w:r>
      <w:r w:rsidR="00BF512A" w:rsidRPr="00BD74A8">
        <w:rPr>
          <w:noProof/>
        </w:rPr>
        <w:t xml:space="preserve">96 </w:t>
      </w:r>
      <w:r w:rsidR="00D009A4" w:rsidRPr="00BD74A8">
        <w:rPr>
          <w:noProof/>
        </w:rPr>
        <w:t xml:space="preserve">category C installations (up from </w:t>
      </w:r>
      <w:r w:rsidR="00D009A4" w:rsidRPr="00F559E6">
        <w:rPr>
          <w:noProof/>
        </w:rPr>
        <w:t>89</w:t>
      </w:r>
      <w:r w:rsidR="00D009A4" w:rsidRPr="00BD74A8">
        <w:rPr>
          <w:noProof/>
        </w:rPr>
        <w:t xml:space="preserve"> in 2021) </w:t>
      </w:r>
      <w:r w:rsidRPr="004B4540">
        <w:rPr>
          <w:rFonts w:cs="Times New Roman"/>
          <w:noProof/>
          <w:szCs w:val="24"/>
        </w:rPr>
        <w:t>were reported to have deviated</w:t>
      </w:r>
      <w:r w:rsidR="000209F9" w:rsidRPr="004B4540">
        <w:rPr>
          <w:rFonts w:cs="Times New Roman"/>
          <w:noProof/>
          <w:szCs w:val="24"/>
        </w:rPr>
        <w:t xml:space="preserve"> </w:t>
      </w:r>
      <w:r w:rsidR="00003464" w:rsidRPr="004B4540">
        <w:rPr>
          <w:rFonts w:cs="Times New Roman"/>
          <w:noProof/>
          <w:szCs w:val="24"/>
        </w:rPr>
        <w:t xml:space="preserve">in </w:t>
      </w:r>
      <w:r w:rsidRPr="004B4540">
        <w:rPr>
          <w:rFonts w:cs="Times New Roman"/>
          <w:noProof/>
          <w:szCs w:val="24"/>
        </w:rPr>
        <w:t xml:space="preserve">at least one parameter from the requirement to apply the highest tiers for major source streams. </w:t>
      </w:r>
      <w:r w:rsidR="002006D2" w:rsidRPr="004B4540">
        <w:rPr>
          <w:rFonts w:cs="Times New Roman"/>
          <w:noProof/>
          <w:szCs w:val="24"/>
        </w:rPr>
        <w:t xml:space="preserve">They were located </w:t>
      </w:r>
      <w:r w:rsidRPr="004B4540">
        <w:rPr>
          <w:rFonts w:cs="Times New Roman"/>
          <w:noProof/>
          <w:szCs w:val="24"/>
        </w:rPr>
        <w:t xml:space="preserve">in </w:t>
      </w:r>
      <w:r w:rsidR="00D009A4" w:rsidRPr="00F559E6">
        <w:rPr>
          <w:noProof/>
        </w:rPr>
        <w:t>17</w:t>
      </w:r>
      <w:r w:rsidR="00D009A4" w:rsidRPr="00BD74A8">
        <w:rPr>
          <w:noProof/>
        </w:rPr>
        <w:t xml:space="preserve"> different countries (down from </w:t>
      </w:r>
      <w:r w:rsidR="00D009A4" w:rsidRPr="00F559E6">
        <w:rPr>
          <w:noProof/>
        </w:rPr>
        <w:t>18</w:t>
      </w:r>
      <w:r w:rsidR="00D009A4" w:rsidRPr="00BD74A8">
        <w:rPr>
          <w:noProof/>
        </w:rPr>
        <w:t xml:space="preserve"> in 2021)</w:t>
      </w:r>
      <w:r w:rsidR="000B06A0" w:rsidRPr="00BD74A8" w:rsidDel="00CD3B89">
        <w:rPr>
          <w:noProof/>
        </w:rPr>
        <w:t xml:space="preserve"> </w:t>
      </w:r>
      <w:r w:rsidR="000B06A0" w:rsidRPr="00BD74A8">
        <w:rPr>
          <w:noProof/>
        </w:rPr>
        <w:t xml:space="preserve"> and represented </w:t>
      </w:r>
      <w:r w:rsidR="003454CE" w:rsidRPr="00BD74A8">
        <w:rPr>
          <w:noProof/>
        </w:rPr>
        <w:t>15.1</w:t>
      </w:r>
      <w:r w:rsidR="00D009A4" w:rsidRPr="00BD74A8">
        <w:rPr>
          <w:noProof/>
        </w:rPr>
        <w:t>% of category C installations</w:t>
      </w:r>
      <w:r w:rsidRPr="004B4540">
        <w:rPr>
          <w:rFonts w:cs="Times New Roman"/>
          <w:noProof/>
          <w:szCs w:val="24"/>
        </w:rPr>
        <w:t xml:space="preserve">. </w:t>
      </w:r>
      <w:r w:rsidR="002C0C0E" w:rsidRPr="004B4540">
        <w:rPr>
          <w:rFonts w:cs="Times New Roman"/>
          <w:noProof/>
          <w:szCs w:val="24"/>
        </w:rPr>
        <w:t>These deviations are only authorised when the operator demonstrates that meeting the highest tier is not technically feasible or incurs unreasonable costs. Once these conditions no longer apply, the operator must improve the monitoring system accordingly.</w:t>
      </w:r>
    </w:p>
    <w:p w14:paraId="5F242C59" w14:textId="1DBC3544" w:rsidR="53D0FCCC" w:rsidRPr="004B4540" w:rsidRDefault="00015150" w:rsidP="53D0FCCC">
      <w:pPr>
        <w:pStyle w:val="CMR23-text"/>
        <w:rPr>
          <w:rFonts w:eastAsia="Times New Roman" w:cs="Times New Roman"/>
          <w:noProof/>
          <w:szCs w:val="24"/>
          <w:lang w:val="en-US"/>
        </w:rPr>
      </w:pPr>
      <w:r w:rsidRPr="004B4540">
        <w:rPr>
          <w:rFonts w:cs="Times New Roman"/>
          <w:noProof/>
          <w:szCs w:val="24"/>
        </w:rPr>
        <w:t xml:space="preserve">The Monitoring and Reporting Regulation </w:t>
      </w:r>
      <w:r w:rsidR="00094687">
        <w:rPr>
          <w:rFonts w:cs="Times New Roman"/>
          <w:noProof/>
          <w:szCs w:val="24"/>
        </w:rPr>
        <w:t>has been</w:t>
      </w:r>
      <w:r w:rsidRPr="004B4540">
        <w:rPr>
          <w:rFonts w:cs="Times New Roman"/>
          <w:noProof/>
          <w:szCs w:val="24"/>
        </w:rPr>
        <w:t xml:space="preserve"> amended to the take the revised ETS Directive into account</w:t>
      </w:r>
      <w:r w:rsidR="000259C2">
        <w:rPr>
          <w:rStyle w:val="FootnoteReference"/>
          <w:rFonts w:cs="Times New Roman"/>
          <w:noProof/>
          <w:szCs w:val="24"/>
        </w:rPr>
        <w:footnoteReference w:id="98"/>
      </w:r>
      <w:r w:rsidR="000259C2">
        <w:rPr>
          <w:rFonts w:cs="Times New Roman"/>
          <w:noProof/>
          <w:szCs w:val="24"/>
        </w:rPr>
        <w:t>.</w:t>
      </w:r>
      <w:r w:rsidR="00464468">
        <w:rPr>
          <w:rFonts w:cs="Times New Roman"/>
          <w:noProof/>
          <w:szCs w:val="24"/>
        </w:rPr>
        <w:t xml:space="preserve"> The updated rules will apply as of</w:t>
      </w:r>
      <w:r w:rsidRPr="004B4540">
        <w:rPr>
          <w:rFonts w:eastAsia="Times New Roman" w:cs="Times New Roman"/>
          <w:noProof/>
          <w:szCs w:val="24"/>
        </w:rPr>
        <w:t xml:space="preserve"> 1</w:t>
      </w:r>
      <w:r w:rsidR="00464468">
        <w:rPr>
          <w:rFonts w:eastAsia="Times New Roman" w:cs="Times New Roman"/>
          <w:noProof/>
          <w:szCs w:val="24"/>
        </w:rPr>
        <w:t> </w:t>
      </w:r>
      <w:r w:rsidRPr="004B4540">
        <w:rPr>
          <w:rFonts w:eastAsia="Times New Roman" w:cs="Times New Roman"/>
          <w:noProof/>
          <w:szCs w:val="24"/>
        </w:rPr>
        <w:t>January</w:t>
      </w:r>
      <w:r w:rsidR="00464468">
        <w:rPr>
          <w:rFonts w:eastAsia="Times New Roman" w:cs="Times New Roman"/>
          <w:noProof/>
          <w:szCs w:val="24"/>
        </w:rPr>
        <w:t> </w:t>
      </w:r>
      <w:r w:rsidRPr="004B4540">
        <w:rPr>
          <w:rFonts w:eastAsia="Times New Roman" w:cs="Times New Roman"/>
          <w:noProof/>
          <w:szCs w:val="24"/>
        </w:rPr>
        <w:t xml:space="preserve">2024 when the next monitoring cycle begins. </w:t>
      </w:r>
      <w:r w:rsidR="00B52E9A">
        <w:rPr>
          <w:rFonts w:eastAsia="Times New Roman" w:cs="Times New Roman"/>
          <w:noProof/>
          <w:szCs w:val="24"/>
        </w:rPr>
        <w:t xml:space="preserve">Among other, they </w:t>
      </w:r>
      <w:r w:rsidR="000D638F">
        <w:rPr>
          <w:rFonts w:eastAsia="Times New Roman" w:cs="Times New Roman"/>
          <w:noProof/>
          <w:szCs w:val="24"/>
        </w:rPr>
        <w:t xml:space="preserve">reflect one </w:t>
      </w:r>
      <w:r w:rsidR="0076305A">
        <w:rPr>
          <w:rFonts w:cs="Times New Roman"/>
          <w:noProof/>
          <w:szCs w:val="24"/>
        </w:rPr>
        <w:t>new development</w:t>
      </w:r>
      <w:r w:rsidR="000D638F">
        <w:rPr>
          <w:rFonts w:cs="Times New Roman"/>
          <w:noProof/>
          <w:szCs w:val="24"/>
        </w:rPr>
        <w:t xml:space="preserve"> under the</w:t>
      </w:r>
      <w:r w:rsidR="00B955AF">
        <w:rPr>
          <w:rFonts w:cs="Times New Roman"/>
          <w:noProof/>
          <w:szCs w:val="24"/>
        </w:rPr>
        <w:t xml:space="preserve"> revised ETS Directive – that</w:t>
      </w:r>
      <w:r w:rsidR="001A6756" w:rsidRPr="004B4540">
        <w:rPr>
          <w:rFonts w:cs="Times New Roman"/>
          <w:noProof/>
          <w:szCs w:val="24"/>
        </w:rPr>
        <w:t xml:space="preserve"> installations for the incineration of municipal waste will begin to monitor </w:t>
      </w:r>
      <w:r w:rsidR="00801468" w:rsidRPr="004B4540">
        <w:rPr>
          <w:rFonts w:cs="Times New Roman"/>
          <w:noProof/>
          <w:szCs w:val="24"/>
        </w:rPr>
        <w:t>and report their emissions</w:t>
      </w:r>
      <w:r w:rsidR="0037733C" w:rsidRPr="004B4540">
        <w:rPr>
          <w:rFonts w:cs="Times New Roman"/>
          <w:noProof/>
          <w:szCs w:val="24"/>
        </w:rPr>
        <w:t xml:space="preserve"> </w:t>
      </w:r>
      <w:r w:rsidR="00A72B6B" w:rsidRPr="004B4540">
        <w:rPr>
          <w:rFonts w:cs="Times New Roman"/>
          <w:noProof/>
          <w:szCs w:val="24"/>
        </w:rPr>
        <w:t>under the EU ETS</w:t>
      </w:r>
      <w:r w:rsidR="00B955AF">
        <w:rPr>
          <w:rFonts w:cs="Times New Roman"/>
          <w:noProof/>
          <w:szCs w:val="24"/>
        </w:rPr>
        <w:t xml:space="preserve"> from 2024</w:t>
      </w:r>
      <w:r w:rsidR="00801468" w:rsidRPr="004B4540">
        <w:rPr>
          <w:rFonts w:cs="Times New Roman"/>
          <w:noProof/>
          <w:szCs w:val="24"/>
        </w:rPr>
        <w:t xml:space="preserve">. </w:t>
      </w:r>
      <w:r w:rsidRPr="004B4540">
        <w:rPr>
          <w:rFonts w:eastAsia="Times New Roman" w:cs="Times New Roman"/>
          <w:noProof/>
          <w:szCs w:val="24"/>
        </w:rPr>
        <w:t>The second revision of the Regulation with additional amendments will start towards the end of 2023.</w:t>
      </w:r>
      <w:r w:rsidR="00FD2C71" w:rsidRPr="004B4540">
        <w:rPr>
          <w:rFonts w:eastAsia="Times New Roman" w:cs="Times New Roman"/>
          <w:noProof/>
          <w:szCs w:val="24"/>
          <w:lang w:val="en-US"/>
        </w:rPr>
        <w:t xml:space="preserve">  </w:t>
      </w:r>
    </w:p>
    <w:p w14:paraId="2E98AD57" w14:textId="69D6CA78" w:rsidR="00BA270C" w:rsidRPr="004B4540" w:rsidRDefault="00BA270C" w:rsidP="00B36B2C">
      <w:pPr>
        <w:pStyle w:val="CMR2023-SUBheading"/>
        <w:rPr>
          <w:rFonts w:cs="Times New Roman"/>
          <w:noProof/>
          <w:szCs w:val="24"/>
        </w:rPr>
      </w:pPr>
      <w:bookmarkStart w:id="82" w:name="_Toc145453247"/>
      <w:bookmarkStart w:id="83" w:name="_Toc148555897"/>
      <w:r w:rsidRPr="004B4540">
        <w:rPr>
          <w:rFonts w:cs="Times New Roman"/>
          <w:noProof/>
          <w:szCs w:val="24"/>
        </w:rPr>
        <w:t>Accreditation and verification</w:t>
      </w:r>
      <w:bookmarkEnd w:id="82"/>
      <w:bookmarkEnd w:id="83"/>
    </w:p>
    <w:p w14:paraId="323EA79E" w14:textId="7F86534B" w:rsidR="00BA270C" w:rsidRPr="004B4540" w:rsidRDefault="00BA270C" w:rsidP="00BA270C">
      <w:pPr>
        <w:pStyle w:val="CMR23-text"/>
        <w:rPr>
          <w:rFonts w:cs="Times New Roman"/>
          <w:noProof/>
          <w:szCs w:val="24"/>
        </w:rPr>
      </w:pPr>
      <w:r w:rsidRPr="004B4540">
        <w:rPr>
          <w:rFonts w:cs="Times New Roman"/>
          <w:noProof/>
          <w:szCs w:val="24"/>
        </w:rPr>
        <w:t xml:space="preserve">Verifiers of emissions monitoring in the EU ETS must be accredited </w:t>
      </w:r>
      <w:r w:rsidR="00077F7C" w:rsidRPr="004B4540">
        <w:rPr>
          <w:rFonts w:cs="Times New Roman"/>
          <w:noProof/>
          <w:szCs w:val="24"/>
        </w:rPr>
        <w:t>by a national accreditation body to carry out assessments in compliance with the Accreditation and Verification Regulation</w:t>
      </w:r>
      <w:r w:rsidRPr="004B4540">
        <w:rPr>
          <w:rFonts w:cs="Times New Roman"/>
          <w:noProof/>
          <w:szCs w:val="24"/>
        </w:rPr>
        <w:t xml:space="preserve">. </w:t>
      </w:r>
      <w:r w:rsidR="00FA0EE6" w:rsidRPr="004B4540">
        <w:rPr>
          <w:rFonts w:cs="Times New Roman"/>
          <w:noProof/>
          <w:szCs w:val="24"/>
        </w:rPr>
        <w:t xml:space="preserve">Accredited </w:t>
      </w:r>
      <w:r w:rsidRPr="004B4540">
        <w:rPr>
          <w:rFonts w:cs="Times New Roman"/>
          <w:noProof/>
          <w:szCs w:val="24"/>
        </w:rPr>
        <w:t xml:space="preserve">verifiers can operate with mutual recognition across all EU ETS countries, taking full advantage of </w:t>
      </w:r>
      <w:r w:rsidR="00E566F7" w:rsidRPr="004B4540">
        <w:rPr>
          <w:rFonts w:cs="Times New Roman"/>
          <w:noProof/>
          <w:szCs w:val="24"/>
        </w:rPr>
        <w:t xml:space="preserve">the single market and ensuring sufficient service availability. A detailed overview of accreditation and verification </w:t>
      </w:r>
      <w:r w:rsidR="000B2189">
        <w:rPr>
          <w:rFonts w:cs="Times New Roman"/>
          <w:noProof/>
          <w:szCs w:val="24"/>
        </w:rPr>
        <w:t xml:space="preserve">aspects in 2022 </w:t>
      </w:r>
      <w:r w:rsidR="00E566F7" w:rsidRPr="004B4540">
        <w:rPr>
          <w:rFonts w:cs="Times New Roman"/>
          <w:noProof/>
          <w:szCs w:val="24"/>
        </w:rPr>
        <w:t>is included in</w:t>
      </w:r>
      <w:r w:rsidR="000B2189">
        <w:rPr>
          <w:rFonts w:cs="Times New Roman"/>
          <w:noProof/>
          <w:szCs w:val="24"/>
        </w:rPr>
        <w:t xml:space="preserve"> Table </w:t>
      </w:r>
      <w:r w:rsidR="00E412CD">
        <w:rPr>
          <w:rFonts w:cs="Times New Roman"/>
          <w:noProof/>
          <w:szCs w:val="24"/>
        </w:rPr>
        <w:t>8 in</w:t>
      </w:r>
      <w:r w:rsidR="00E566F7" w:rsidRPr="004B4540">
        <w:rPr>
          <w:rFonts w:cs="Times New Roman"/>
          <w:noProof/>
          <w:szCs w:val="24"/>
        </w:rPr>
        <w:t xml:space="preserve"> the </w:t>
      </w:r>
      <w:r w:rsidR="004A3C8F">
        <w:rPr>
          <w:rFonts w:cs="Times New Roman"/>
          <w:noProof/>
          <w:szCs w:val="24"/>
        </w:rPr>
        <w:t>Staff working document</w:t>
      </w:r>
      <w:r w:rsidR="009F78C2">
        <w:rPr>
          <w:rStyle w:val="FootnoteReference"/>
          <w:rFonts w:cs="Times New Roman"/>
          <w:noProof/>
          <w:szCs w:val="24"/>
        </w:rPr>
        <w:footnoteReference w:id="99"/>
      </w:r>
      <w:r w:rsidR="00713F30" w:rsidRPr="004B4540">
        <w:rPr>
          <w:rFonts w:cs="Times New Roman"/>
          <w:noProof/>
          <w:szCs w:val="24"/>
        </w:rPr>
        <w:t>.</w:t>
      </w:r>
    </w:p>
    <w:p w14:paraId="28B1170A" w14:textId="2A5E2DAA" w:rsidR="00BA270C" w:rsidRPr="004B4540" w:rsidRDefault="00BA270C" w:rsidP="00BA270C">
      <w:pPr>
        <w:pStyle w:val="CMR23-text"/>
        <w:rPr>
          <w:rFonts w:cs="Times New Roman"/>
          <w:noProof/>
          <w:szCs w:val="24"/>
        </w:rPr>
      </w:pPr>
      <w:r w:rsidRPr="004B4540">
        <w:rPr>
          <w:rFonts w:cs="Times New Roman"/>
          <w:noProof/>
          <w:szCs w:val="24"/>
        </w:rPr>
        <w:t xml:space="preserve">In 2022, there were </w:t>
      </w:r>
      <w:r w:rsidR="00F52956" w:rsidRPr="00F559E6">
        <w:rPr>
          <w:noProof/>
        </w:rPr>
        <w:t>110</w:t>
      </w:r>
      <w:r w:rsidR="00F52956" w:rsidRPr="00BD74A8">
        <w:rPr>
          <w:noProof/>
        </w:rPr>
        <w:t xml:space="preserve"> </w:t>
      </w:r>
      <w:r w:rsidRPr="004B4540">
        <w:rPr>
          <w:rFonts w:cs="Times New Roman"/>
          <w:noProof/>
          <w:szCs w:val="24"/>
        </w:rPr>
        <w:t xml:space="preserve">accredited verifiers for installations and </w:t>
      </w:r>
      <w:r w:rsidR="00F52956" w:rsidRPr="00F559E6">
        <w:rPr>
          <w:noProof/>
        </w:rPr>
        <w:t>23</w:t>
      </w:r>
      <w:r w:rsidR="00F52956" w:rsidRPr="00BD74A8">
        <w:rPr>
          <w:noProof/>
        </w:rPr>
        <w:t xml:space="preserve"> </w:t>
      </w:r>
      <w:r w:rsidRPr="004B4540">
        <w:rPr>
          <w:rFonts w:cs="Times New Roman"/>
          <w:noProof/>
          <w:szCs w:val="24"/>
        </w:rPr>
        <w:t xml:space="preserve">for aircraft operators. In addition, </w:t>
      </w:r>
      <w:r w:rsidR="00684E84" w:rsidRPr="00BD74A8">
        <w:rPr>
          <w:noProof/>
        </w:rPr>
        <w:t xml:space="preserve">28 </w:t>
      </w:r>
      <w:r w:rsidR="00F52956" w:rsidRPr="00BD74A8">
        <w:rPr>
          <w:noProof/>
        </w:rPr>
        <w:t>countries reported that at least one foreign verifier was active in their territory in 2022</w:t>
      </w:r>
      <w:r w:rsidRPr="004B4540">
        <w:rPr>
          <w:rFonts w:cs="Times New Roman"/>
          <w:noProof/>
          <w:szCs w:val="24"/>
        </w:rPr>
        <w:t xml:space="preserve">, and </w:t>
      </w:r>
      <w:r w:rsidR="00202F76" w:rsidRPr="00BD74A8">
        <w:rPr>
          <w:noProof/>
        </w:rPr>
        <w:t xml:space="preserve">6 </w:t>
      </w:r>
      <w:r w:rsidR="00F52956" w:rsidRPr="00BD74A8">
        <w:rPr>
          <w:noProof/>
        </w:rPr>
        <w:t xml:space="preserve">countries </w:t>
      </w:r>
      <w:r w:rsidRPr="004B4540">
        <w:rPr>
          <w:rFonts w:cs="Times New Roman"/>
          <w:noProof/>
          <w:szCs w:val="24"/>
        </w:rPr>
        <w:t>reported having only foreign verifiers. This shows that the mutual recognition of verifiers among countries continues to work successfully.</w:t>
      </w:r>
    </w:p>
    <w:p w14:paraId="5C437A8D" w14:textId="63C5A710" w:rsidR="00BA270C" w:rsidRPr="004B4540" w:rsidRDefault="00BA270C" w:rsidP="00713F30">
      <w:pPr>
        <w:pStyle w:val="CMR23-text"/>
        <w:rPr>
          <w:rFonts w:cs="Times New Roman"/>
          <w:noProof/>
          <w:szCs w:val="24"/>
        </w:rPr>
      </w:pPr>
      <w:r w:rsidRPr="004B4540">
        <w:rPr>
          <w:rFonts w:cs="Times New Roman"/>
          <w:noProof/>
          <w:szCs w:val="24"/>
        </w:rPr>
        <w:t xml:space="preserve">Verifiers’ compliance with the Accreditation and Reporting Regulation is found to be high. </w:t>
      </w:r>
      <w:r w:rsidR="00F52956" w:rsidRPr="004B4540">
        <w:rPr>
          <w:rFonts w:cs="Times New Roman"/>
          <w:noProof/>
          <w:szCs w:val="24"/>
        </w:rPr>
        <w:t>For 2022, o</w:t>
      </w:r>
      <w:r w:rsidR="00F52956" w:rsidRPr="00F559E6">
        <w:rPr>
          <w:noProof/>
        </w:rPr>
        <w:t>nly Norway and France</w:t>
      </w:r>
      <w:r w:rsidR="00F52956" w:rsidRPr="00BD74A8">
        <w:rPr>
          <w:noProof/>
        </w:rPr>
        <w:t xml:space="preserve"> reported verifier suspensions (</w:t>
      </w:r>
      <w:r w:rsidR="005E33BF" w:rsidRPr="00BD74A8">
        <w:rPr>
          <w:noProof/>
        </w:rPr>
        <w:t xml:space="preserve">two in Norway </w:t>
      </w:r>
      <w:r w:rsidR="00F52956" w:rsidRPr="00BD74A8">
        <w:rPr>
          <w:noProof/>
        </w:rPr>
        <w:t xml:space="preserve">and </w:t>
      </w:r>
      <w:r w:rsidR="0018334E" w:rsidRPr="00BD74A8">
        <w:rPr>
          <w:noProof/>
        </w:rPr>
        <w:t>one in France</w:t>
      </w:r>
      <w:r w:rsidR="00F52956" w:rsidRPr="00BD74A8">
        <w:rPr>
          <w:noProof/>
        </w:rPr>
        <w:t xml:space="preserve">) and </w:t>
      </w:r>
      <w:r w:rsidR="00F52956" w:rsidRPr="00F559E6">
        <w:rPr>
          <w:noProof/>
        </w:rPr>
        <w:t xml:space="preserve">only Romania reported </w:t>
      </w:r>
      <w:r w:rsidR="00A268F7" w:rsidRPr="00BD74A8">
        <w:rPr>
          <w:noProof/>
        </w:rPr>
        <w:t>withdrawing a verifier’s accreditation (in one case). By comparison, in 2021, there were two suspensions and one withdrawal.</w:t>
      </w:r>
      <w:r w:rsidR="00F52956" w:rsidRPr="00BD74A8">
        <w:rPr>
          <w:noProof/>
        </w:rPr>
        <w:t xml:space="preserve"> </w:t>
      </w:r>
    </w:p>
    <w:p w14:paraId="37A5A0B3" w14:textId="2F5F9057" w:rsidR="41B1CBF4" w:rsidRPr="004B4540" w:rsidRDefault="41B1CBF4" w:rsidP="00622A1A">
      <w:pPr>
        <w:pStyle w:val="CMR23-text"/>
        <w:rPr>
          <w:rFonts w:cs="Times New Roman"/>
          <w:noProof/>
          <w:szCs w:val="24"/>
        </w:rPr>
      </w:pPr>
      <w:r w:rsidRPr="004B4540">
        <w:rPr>
          <w:rFonts w:cs="Times New Roman"/>
          <w:noProof/>
          <w:szCs w:val="24"/>
        </w:rPr>
        <w:t xml:space="preserve">In a parallel to the revision of </w:t>
      </w:r>
      <w:r w:rsidR="00622A1A" w:rsidRPr="004B4540">
        <w:rPr>
          <w:rFonts w:cs="Times New Roman"/>
          <w:noProof/>
          <w:szCs w:val="24"/>
        </w:rPr>
        <w:t>the Monitoring and Reporting Regulation</w:t>
      </w:r>
      <w:r w:rsidRPr="004B4540">
        <w:rPr>
          <w:rFonts w:cs="Times New Roman"/>
          <w:noProof/>
          <w:szCs w:val="24"/>
        </w:rPr>
        <w:t xml:space="preserve">, the Accreditation and Verification Regulation is under revision with adoption </w:t>
      </w:r>
      <w:r w:rsidR="00622A1A" w:rsidRPr="004B4540">
        <w:rPr>
          <w:rFonts w:cs="Times New Roman"/>
          <w:noProof/>
          <w:szCs w:val="24"/>
        </w:rPr>
        <w:t xml:space="preserve">planned </w:t>
      </w:r>
      <w:r w:rsidRPr="004B4540">
        <w:rPr>
          <w:rFonts w:cs="Times New Roman"/>
          <w:noProof/>
          <w:szCs w:val="24"/>
        </w:rPr>
        <w:t>in Q1</w:t>
      </w:r>
      <w:r w:rsidR="005703EA" w:rsidRPr="004B4540">
        <w:rPr>
          <w:rFonts w:cs="Times New Roman"/>
          <w:noProof/>
          <w:szCs w:val="24"/>
        </w:rPr>
        <w:t> </w:t>
      </w:r>
      <w:r w:rsidRPr="004B4540">
        <w:rPr>
          <w:rFonts w:cs="Times New Roman"/>
          <w:noProof/>
          <w:szCs w:val="24"/>
        </w:rPr>
        <w:t xml:space="preserve">2024 - </w:t>
      </w:r>
      <w:r w:rsidR="00622A1A" w:rsidRPr="004B4540">
        <w:rPr>
          <w:rFonts w:cs="Times New Roman"/>
          <w:noProof/>
          <w:szCs w:val="24"/>
        </w:rPr>
        <w:t>ahead of</w:t>
      </w:r>
      <w:r w:rsidRPr="004B4540">
        <w:rPr>
          <w:rFonts w:cs="Times New Roman"/>
          <w:noProof/>
          <w:szCs w:val="24"/>
        </w:rPr>
        <w:t xml:space="preserve"> the submission </w:t>
      </w:r>
      <w:r w:rsidR="00964186" w:rsidRPr="004B4540">
        <w:rPr>
          <w:rFonts w:cs="Times New Roman"/>
          <w:noProof/>
          <w:szCs w:val="24"/>
        </w:rPr>
        <w:t>deadline for verified baseline data reports on 30 May 2024</w:t>
      </w:r>
      <w:r w:rsidRPr="004B4540">
        <w:rPr>
          <w:rFonts w:cs="Times New Roman"/>
          <w:noProof/>
          <w:szCs w:val="24"/>
        </w:rPr>
        <w:t xml:space="preserve">. </w:t>
      </w:r>
    </w:p>
    <w:p w14:paraId="23C16471" w14:textId="538A8552" w:rsidR="00BA270C" w:rsidRPr="004B4540" w:rsidRDefault="00BA270C" w:rsidP="00B36B2C">
      <w:pPr>
        <w:pStyle w:val="CMR2023-SUBheading"/>
        <w:rPr>
          <w:rFonts w:cs="Times New Roman"/>
          <w:noProof/>
          <w:szCs w:val="24"/>
        </w:rPr>
      </w:pPr>
      <w:bookmarkStart w:id="84" w:name="_Toc145453248"/>
      <w:bookmarkStart w:id="85" w:name="_Toc148555898"/>
      <w:r w:rsidRPr="004B4540">
        <w:rPr>
          <w:rFonts w:cs="Times New Roman"/>
          <w:noProof/>
          <w:szCs w:val="24"/>
        </w:rPr>
        <w:t>Competent authorities</w:t>
      </w:r>
      <w:bookmarkEnd w:id="84"/>
      <w:bookmarkEnd w:id="85"/>
    </w:p>
    <w:p w14:paraId="0595EB43" w14:textId="34EEF5EA" w:rsidR="00713F30" w:rsidRPr="004B4540" w:rsidRDefault="007F2E9D" w:rsidP="00713F30">
      <w:pPr>
        <w:pStyle w:val="CMR23-text"/>
        <w:rPr>
          <w:rFonts w:cs="Times New Roman"/>
          <w:noProof/>
          <w:szCs w:val="24"/>
        </w:rPr>
      </w:pPr>
      <w:r w:rsidRPr="004B4540">
        <w:rPr>
          <w:rFonts w:cs="Times New Roman"/>
          <w:noProof/>
          <w:szCs w:val="24"/>
        </w:rPr>
        <w:t xml:space="preserve">The organisation of national competent authorities for implementing the EU ETS differs between countries. </w:t>
      </w:r>
      <w:r w:rsidR="00BA270C" w:rsidRPr="004B4540">
        <w:rPr>
          <w:rFonts w:cs="Times New Roman"/>
          <w:noProof/>
          <w:szCs w:val="24"/>
        </w:rPr>
        <w:t xml:space="preserve">In some countries, it involves several local authorities; in others, implementation is more centralised. </w:t>
      </w:r>
      <w:r w:rsidR="00AE5977" w:rsidRPr="004B4540">
        <w:rPr>
          <w:rFonts w:cs="Times New Roman"/>
          <w:noProof/>
          <w:szCs w:val="24"/>
        </w:rPr>
        <w:t xml:space="preserve">Countries </w:t>
      </w:r>
      <w:r w:rsidR="00BA270C" w:rsidRPr="004B4540">
        <w:rPr>
          <w:rFonts w:cs="Times New Roman"/>
          <w:noProof/>
          <w:szCs w:val="24"/>
        </w:rPr>
        <w:t>choose these approaches based on cost- and time-effectiveness.</w:t>
      </w:r>
      <w:r w:rsidR="00713F30" w:rsidRPr="004B4540">
        <w:rPr>
          <w:rFonts w:cs="Times New Roman"/>
          <w:noProof/>
          <w:szCs w:val="24"/>
        </w:rPr>
        <w:t xml:space="preserve"> An overview of the </w:t>
      </w:r>
      <w:r w:rsidR="008D1B14" w:rsidRPr="004B4540">
        <w:rPr>
          <w:rFonts w:cs="Times New Roman"/>
          <w:noProof/>
          <w:szCs w:val="24"/>
        </w:rPr>
        <w:t xml:space="preserve">EU ETS </w:t>
      </w:r>
      <w:r w:rsidR="00713F30" w:rsidRPr="004B4540">
        <w:rPr>
          <w:rFonts w:cs="Times New Roman"/>
          <w:noProof/>
          <w:szCs w:val="24"/>
        </w:rPr>
        <w:t xml:space="preserve">coordination is presented in </w:t>
      </w:r>
      <w:r w:rsidR="008D1B14">
        <w:rPr>
          <w:rFonts w:cs="Times New Roman"/>
          <w:noProof/>
          <w:szCs w:val="24"/>
        </w:rPr>
        <w:t>Tables 9</w:t>
      </w:r>
      <w:r w:rsidR="00CF796A">
        <w:rPr>
          <w:rFonts w:cs="Times New Roman"/>
          <w:noProof/>
          <w:szCs w:val="24"/>
        </w:rPr>
        <w:t xml:space="preserve"> and 10</w:t>
      </w:r>
      <w:r w:rsidR="008D1B14">
        <w:rPr>
          <w:rFonts w:cs="Times New Roman"/>
          <w:noProof/>
          <w:szCs w:val="24"/>
        </w:rPr>
        <w:t xml:space="preserve"> in </w:t>
      </w:r>
      <w:r w:rsidR="00713F30" w:rsidRPr="004B4540">
        <w:rPr>
          <w:rFonts w:cs="Times New Roman"/>
          <w:noProof/>
          <w:szCs w:val="24"/>
        </w:rPr>
        <w:t xml:space="preserve">the </w:t>
      </w:r>
      <w:r w:rsidR="004A3C8F">
        <w:rPr>
          <w:rFonts w:cs="Times New Roman"/>
          <w:noProof/>
          <w:szCs w:val="24"/>
        </w:rPr>
        <w:t>Staff working document</w:t>
      </w:r>
      <w:r w:rsidR="009F78C2">
        <w:rPr>
          <w:rStyle w:val="FootnoteReference"/>
          <w:rFonts w:cs="Times New Roman"/>
          <w:noProof/>
          <w:szCs w:val="24"/>
        </w:rPr>
        <w:footnoteReference w:id="100"/>
      </w:r>
      <w:r w:rsidR="00713F30" w:rsidRPr="004B4540">
        <w:rPr>
          <w:rFonts w:cs="Times New Roman"/>
          <w:noProof/>
          <w:szCs w:val="24"/>
        </w:rPr>
        <w:t>.</w:t>
      </w:r>
    </w:p>
    <w:p w14:paraId="533FEC53" w14:textId="5C268F35" w:rsidR="00BA270C" w:rsidRPr="004B4540" w:rsidRDefault="00BA270C" w:rsidP="00BA270C">
      <w:pPr>
        <w:pStyle w:val="CMR23-text"/>
        <w:rPr>
          <w:rFonts w:cs="Times New Roman"/>
          <w:noProof/>
          <w:szCs w:val="24"/>
        </w:rPr>
      </w:pPr>
      <w:r w:rsidRPr="004B4540">
        <w:rPr>
          <w:rFonts w:cs="Times New Roman"/>
          <w:noProof/>
          <w:szCs w:val="24"/>
        </w:rPr>
        <w:t>A</w:t>
      </w:r>
      <w:r w:rsidR="00076DD4" w:rsidRPr="004B4540">
        <w:rPr>
          <w:rFonts w:cs="Times New Roman"/>
          <w:noProof/>
          <w:szCs w:val="24"/>
        </w:rPr>
        <w:t>ll ETS</w:t>
      </w:r>
      <w:r w:rsidR="003906B3" w:rsidRPr="004B4540">
        <w:rPr>
          <w:rFonts w:cs="Times New Roman"/>
          <w:noProof/>
          <w:szCs w:val="24"/>
        </w:rPr>
        <w:t xml:space="preserve"> countries reported having at least one central competent authority</w:t>
      </w:r>
      <w:r w:rsidR="00A62FDC" w:rsidRPr="004B4540">
        <w:rPr>
          <w:rFonts w:cs="Times New Roman"/>
          <w:noProof/>
          <w:szCs w:val="24"/>
        </w:rPr>
        <w:t xml:space="preserve"> involved in implementing the EU ETS in 2022</w:t>
      </w:r>
      <w:r w:rsidR="004E6100" w:rsidRPr="004B4540">
        <w:rPr>
          <w:rFonts w:cs="Times New Roman"/>
          <w:noProof/>
          <w:szCs w:val="24"/>
        </w:rPr>
        <w:t>.</w:t>
      </w:r>
      <w:r w:rsidR="003906B3" w:rsidRPr="004B4540">
        <w:rPr>
          <w:rFonts w:cs="Times New Roman"/>
          <w:noProof/>
          <w:szCs w:val="24"/>
        </w:rPr>
        <w:t xml:space="preserve"> </w:t>
      </w:r>
      <w:r w:rsidR="001563CE" w:rsidRPr="004B4540">
        <w:rPr>
          <w:rFonts w:cs="Times New Roman"/>
          <w:noProof/>
          <w:szCs w:val="24"/>
        </w:rPr>
        <w:t xml:space="preserve">In </w:t>
      </w:r>
      <w:r w:rsidR="003906B3" w:rsidRPr="004B4540">
        <w:rPr>
          <w:rFonts w:cs="Times New Roman"/>
          <w:noProof/>
          <w:szCs w:val="24"/>
        </w:rPr>
        <w:t xml:space="preserve">15 </w:t>
      </w:r>
      <w:r w:rsidR="004E6100" w:rsidRPr="004B4540">
        <w:rPr>
          <w:rFonts w:cs="Times New Roman"/>
          <w:noProof/>
          <w:szCs w:val="24"/>
        </w:rPr>
        <w:t>countries</w:t>
      </w:r>
      <w:r w:rsidR="001563CE" w:rsidRPr="004B4540">
        <w:rPr>
          <w:rFonts w:cs="Times New Roman"/>
          <w:noProof/>
          <w:szCs w:val="24"/>
        </w:rPr>
        <w:t>,</w:t>
      </w:r>
      <w:r w:rsidR="004E6100" w:rsidRPr="004B4540">
        <w:rPr>
          <w:rFonts w:cs="Times New Roman"/>
          <w:noProof/>
          <w:szCs w:val="24"/>
        </w:rPr>
        <w:t xml:space="preserve"> </w:t>
      </w:r>
      <w:r w:rsidR="003906B3" w:rsidRPr="004B4540">
        <w:rPr>
          <w:rFonts w:cs="Times New Roman"/>
          <w:noProof/>
          <w:szCs w:val="24"/>
        </w:rPr>
        <w:t xml:space="preserve">only central </w:t>
      </w:r>
      <w:r w:rsidR="00514522" w:rsidRPr="004B4540">
        <w:rPr>
          <w:rFonts w:cs="Times New Roman"/>
          <w:noProof/>
          <w:szCs w:val="24"/>
        </w:rPr>
        <w:t xml:space="preserve">competent authorities </w:t>
      </w:r>
      <w:r w:rsidR="001563CE" w:rsidRPr="004B4540">
        <w:rPr>
          <w:rFonts w:cs="Times New Roman"/>
          <w:noProof/>
          <w:szCs w:val="24"/>
        </w:rPr>
        <w:t>are involved</w:t>
      </w:r>
      <w:r w:rsidR="007D5866" w:rsidRPr="004B4540">
        <w:rPr>
          <w:rFonts w:cs="Times New Roman"/>
          <w:noProof/>
          <w:szCs w:val="24"/>
        </w:rPr>
        <w:t xml:space="preserve">. </w:t>
      </w:r>
      <w:r w:rsidRPr="004B4540">
        <w:rPr>
          <w:rFonts w:cs="Times New Roman"/>
          <w:noProof/>
          <w:szCs w:val="24"/>
        </w:rPr>
        <w:t xml:space="preserve">Countries reported using different tools to coordinate </w:t>
      </w:r>
      <w:r w:rsidR="00A248A8" w:rsidRPr="004B4540">
        <w:rPr>
          <w:rFonts w:cs="Times New Roman"/>
          <w:noProof/>
          <w:szCs w:val="24"/>
        </w:rPr>
        <w:t xml:space="preserve">work </w:t>
      </w:r>
      <w:r w:rsidRPr="004B4540">
        <w:rPr>
          <w:rFonts w:cs="Times New Roman"/>
          <w:noProof/>
          <w:szCs w:val="24"/>
        </w:rPr>
        <w:t>between authorities, such as a central competent authority responsible for the monitoring, reporting, accreditation and verification work (</w:t>
      </w:r>
      <w:r w:rsidR="00713F30" w:rsidRPr="00F559E6">
        <w:rPr>
          <w:noProof/>
        </w:rPr>
        <w:t>12</w:t>
      </w:r>
      <w:r w:rsidR="00713F30" w:rsidRPr="00BD74A8">
        <w:rPr>
          <w:noProof/>
        </w:rPr>
        <w:t xml:space="preserve"> countries</w:t>
      </w:r>
      <w:r w:rsidRPr="004B4540">
        <w:rPr>
          <w:rFonts w:cs="Times New Roman"/>
          <w:noProof/>
          <w:szCs w:val="24"/>
        </w:rPr>
        <w:t>) or playing a coordinating role</w:t>
      </w:r>
      <w:r w:rsidRPr="004B4540">
        <w:rPr>
          <w:rStyle w:val="FootnoteReference"/>
          <w:rFonts w:cs="Times New Roman"/>
          <w:noProof/>
          <w:szCs w:val="24"/>
        </w:rPr>
        <w:footnoteReference w:id="101"/>
      </w:r>
      <w:r w:rsidRPr="004B4540">
        <w:rPr>
          <w:rFonts w:cs="Times New Roman"/>
          <w:noProof/>
          <w:szCs w:val="24"/>
        </w:rPr>
        <w:t xml:space="preserve"> (</w:t>
      </w:r>
      <w:r w:rsidR="00E80924">
        <w:rPr>
          <w:noProof/>
        </w:rPr>
        <w:t>nine</w:t>
      </w:r>
      <w:r w:rsidR="00713F30" w:rsidRPr="00BD74A8">
        <w:rPr>
          <w:noProof/>
        </w:rPr>
        <w:t xml:space="preserve"> countries</w:t>
      </w:r>
      <w:r w:rsidRPr="004B4540">
        <w:rPr>
          <w:rFonts w:cs="Times New Roman"/>
          <w:noProof/>
          <w:szCs w:val="24"/>
        </w:rPr>
        <w:t>), binding instructions and guidance by a central competent authority to local authorities (</w:t>
      </w:r>
      <w:r w:rsidR="00E80924">
        <w:rPr>
          <w:noProof/>
        </w:rPr>
        <w:t>five</w:t>
      </w:r>
      <w:r w:rsidR="00E80924" w:rsidRPr="00BD74A8">
        <w:rPr>
          <w:noProof/>
        </w:rPr>
        <w:t xml:space="preserve"> </w:t>
      </w:r>
      <w:r w:rsidR="00713F30" w:rsidRPr="00BD74A8">
        <w:rPr>
          <w:noProof/>
        </w:rPr>
        <w:t>countries</w:t>
      </w:r>
      <w:r w:rsidRPr="004B4540">
        <w:rPr>
          <w:rFonts w:cs="Times New Roman"/>
          <w:noProof/>
          <w:szCs w:val="24"/>
        </w:rPr>
        <w:t>), joint training for competent authorities (</w:t>
      </w:r>
      <w:r w:rsidR="00E80924">
        <w:rPr>
          <w:noProof/>
        </w:rPr>
        <w:t>seven</w:t>
      </w:r>
      <w:r w:rsidR="00E80924" w:rsidRPr="00BD74A8">
        <w:rPr>
          <w:noProof/>
        </w:rPr>
        <w:t xml:space="preserve"> </w:t>
      </w:r>
      <w:r w:rsidR="00713F30" w:rsidRPr="00BD74A8">
        <w:rPr>
          <w:noProof/>
        </w:rPr>
        <w:t>countries</w:t>
      </w:r>
      <w:r w:rsidRPr="004B4540">
        <w:rPr>
          <w:rFonts w:cs="Times New Roman"/>
          <w:noProof/>
          <w:szCs w:val="24"/>
        </w:rPr>
        <w:t>) and regular working groups or meetings between authorities (</w:t>
      </w:r>
      <w:r w:rsidR="00713F30" w:rsidRPr="00F559E6">
        <w:rPr>
          <w:noProof/>
        </w:rPr>
        <w:t>12</w:t>
      </w:r>
      <w:r w:rsidR="00713F30" w:rsidRPr="00BD74A8">
        <w:rPr>
          <w:noProof/>
        </w:rPr>
        <w:t xml:space="preserve"> countries</w:t>
      </w:r>
      <w:r w:rsidRPr="004B4540">
        <w:rPr>
          <w:rFonts w:cs="Times New Roman"/>
          <w:noProof/>
          <w:szCs w:val="24"/>
        </w:rPr>
        <w:t xml:space="preserve">). In 2022, </w:t>
      </w:r>
      <w:r w:rsidR="00713F30" w:rsidRPr="00F559E6">
        <w:rPr>
          <w:noProof/>
        </w:rPr>
        <w:t>14</w:t>
      </w:r>
      <w:r w:rsidR="00713F30" w:rsidRPr="00BD74A8">
        <w:rPr>
          <w:noProof/>
        </w:rPr>
        <w:t xml:space="preserve"> countries </w:t>
      </w:r>
      <w:r w:rsidRPr="004B4540">
        <w:rPr>
          <w:rFonts w:cs="Times New Roman"/>
          <w:noProof/>
          <w:szCs w:val="24"/>
        </w:rPr>
        <w:t xml:space="preserve">did not </w:t>
      </w:r>
      <w:r w:rsidR="00D4475F" w:rsidRPr="004B4540">
        <w:rPr>
          <w:rFonts w:cs="Times New Roman"/>
          <w:noProof/>
          <w:szCs w:val="24"/>
        </w:rPr>
        <w:t xml:space="preserve">use </w:t>
      </w:r>
      <w:r w:rsidRPr="004B4540">
        <w:rPr>
          <w:rFonts w:cs="Times New Roman"/>
          <w:noProof/>
          <w:szCs w:val="24"/>
        </w:rPr>
        <w:t xml:space="preserve">any </w:t>
      </w:r>
      <w:r w:rsidR="00781DA0" w:rsidRPr="004B4540">
        <w:rPr>
          <w:rFonts w:cs="Times New Roman"/>
          <w:noProof/>
          <w:szCs w:val="24"/>
        </w:rPr>
        <w:t xml:space="preserve">of these </w:t>
      </w:r>
      <w:r w:rsidRPr="004B4540">
        <w:rPr>
          <w:rFonts w:cs="Times New Roman"/>
          <w:noProof/>
          <w:szCs w:val="24"/>
        </w:rPr>
        <w:t>tools</w:t>
      </w:r>
      <w:r w:rsidR="00A85A20" w:rsidRPr="004B4540">
        <w:rPr>
          <w:rFonts w:cs="Times New Roman"/>
          <w:noProof/>
          <w:szCs w:val="24"/>
        </w:rPr>
        <w:t>; these countries have a more centralised organisation so need fewer coordination tools</w:t>
      </w:r>
      <w:r w:rsidRPr="004B4540">
        <w:rPr>
          <w:rFonts w:cs="Times New Roman"/>
          <w:noProof/>
          <w:szCs w:val="24"/>
        </w:rPr>
        <w:t>.</w:t>
      </w:r>
    </w:p>
    <w:p w14:paraId="552C23E3" w14:textId="7D5FA6DE" w:rsidR="00BA270C" w:rsidRDefault="00BA270C" w:rsidP="00BA270C">
      <w:pPr>
        <w:pStyle w:val="CMR23-text"/>
        <w:rPr>
          <w:rFonts w:cs="Times New Roman"/>
          <w:noProof/>
          <w:szCs w:val="24"/>
        </w:rPr>
      </w:pPr>
      <w:r w:rsidRPr="004B4540">
        <w:rPr>
          <w:rFonts w:cs="Times New Roman"/>
          <w:noProof/>
          <w:szCs w:val="24"/>
        </w:rPr>
        <w:t xml:space="preserve">In 2022, </w:t>
      </w:r>
      <w:r w:rsidR="00713F30" w:rsidRPr="00F559E6">
        <w:rPr>
          <w:noProof/>
        </w:rPr>
        <w:t>16</w:t>
      </w:r>
      <w:r w:rsidR="00713F30" w:rsidRPr="00BD74A8">
        <w:rPr>
          <w:noProof/>
        </w:rPr>
        <w:t xml:space="preserve"> countries did not charge administrative fees to installation operators for the permitting and approval of monitoring plans (</w:t>
      </w:r>
      <w:r w:rsidR="00713F30" w:rsidRPr="00F559E6">
        <w:rPr>
          <w:noProof/>
        </w:rPr>
        <w:t>up</w:t>
      </w:r>
      <w:r w:rsidR="00713F30" w:rsidRPr="00BD74A8">
        <w:rPr>
          <w:noProof/>
        </w:rPr>
        <w:t xml:space="preserve"> from 15 countries in 2021)</w:t>
      </w:r>
      <w:r w:rsidRPr="004B4540">
        <w:rPr>
          <w:rFonts w:cs="Times New Roman"/>
          <w:noProof/>
          <w:szCs w:val="24"/>
        </w:rPr>
        <w:t xml:space="preserve">. </w:t>
      </w:r>
      <w:r w:rsidR="00713F30" w:rsidRPr="00BD74A8">
        <w:rPr>
          <w:noProof/>
        </w:rPr>
        <w:t xml:space="preserve">Aircraft operators in </w:t>
      </w:r>
      <w:r w:rsidR="00713F30" w:rsidRPr="00F559E6">
        <w:rPr>
          <w:noProof/>
        </w:rPr>
        <w:t>17</w:t>
      </w:r>
      <w:r w:rsidR="00713F30" w:rsidRPr="00BD74A8">
        <w:rPr>
          <w:noProof/>
        </w:rPr>
        <w:t xml:space="preserve"> countries also did not pay any fees (18 countries in 2021)</w:t>
      </w:r>
      <w:r w:rsidRPr="004B4540">
        <w:rPr>
          <w:rFonts w:cs="Times New Roman"/>
          <w:noProof/>
          <w:szCs w:val="24"/>
        </w:rPr>
        <w:t xml:space="preserve">. Charges varied significantly </w:t>
      </w:r>
      <w:r w:rsidR="002A1CA1" w:rsidRPr="004B4540">
        <w:rPr>
          <w:rFonts w:cs="Times New Roman"/>
          <w:noProof/>
          <w:szCs w:val="24"/>
        </w:rPr>
        <w:t xml:space="preserve">by country and type of service – </w:t>
      </w:r>
      <w:r w:rsidR="002A1CA1" w:rsidRPr="00BD74A8">
        <w:rPr>
          <w:noProof/>
        </w:rPr>
        <w:t>from about</w:t>
      </w:r>
      <w:r w:rsidR="00713F30" w:rsidRPr="00BD74A8">
        <w:rPr>
          <w:noProof/>
        </w:rPr>
        <w:t xml:space="preserve"> EUR</w:t>
      </w:r>
      <w:r w:rsidR="00FE437A" w:rsidRPr="00BD74A8">
        <w:rPr>
          <w:noProof/>
        </w:rPr>
        <w:t> </w:t>
      </w:r>
      <w:r w:rsidR="00713F30" w:rsidRPr="00F559E6">
        <w:rPr>
          <w:noProof/>
        </w:rPr>
        <w:t>18</w:t>
      </w:r>
      <w:r w:rsidR="00713F30" w:rsidRPr="00BD74A8">
        <w:rPr>
          <w:noProof/>
        </w:rPr>
        <w:t xml:space="preserve"> to EUR</w:t>
      </w:r>
      <w:r w:rsidR="00FE437A" w:rsidRPr="00BD74A8">
        <w:rPr>
          <w:noProof/>
        </w:rPr>
        <w:t> </w:t>
      </w:r>
      <w:r w:rsidR="00713F30" w:rsidRPr="00F559E6">
        <w:rPr>
          <w:noProof/>
        </w:rPr>
        <w:t>8</w:t>
      </w:r>
      <w:r w:rsidR="00FE437A" w:rsidRPr="00F559E6">
        <w:rPr>
          <w:noProof/>
        </w:rPr>
        <w:t> </w:t>
      </w:r>
      <w:r w:rsidR="00713F30" w:rsidRPr="00F559E6">
        <w:rPr>
          <w:noProof/>
        </w:rPr>
        <w:t>442</w:t>
      </w:r>
      <w:r w:rsidR="00713F30" w:rsidRPr="00BD74A8">
        <w:rPr>
          <w:noProof/>
        </w:rPr>
        <w:t xml:space="preserve"> for a permit and approval of a monitoring plan for installations, and from about EUR</w:t>
      </w:r>
      <w:r w:rsidR="000F0431" w:rsidRPr="00BD74A8">
        <w:rPr>
          <w:noProof/>
        </w:rPr>
        <w:t> </w:t>
      </w:r>
      <w:r w:rsidR="00713F30" w:rsidRPr="00F559E6">
        <w:rPr>
          <w:noProof/>
        </w:rPr>
        <w:t>2</w:t>
      </w:r>
      <w:r w:rsidR="00713F30" w:rsidRPr="00BD74A8">
        <w:rPr>
          <w:noProof/>
        </w:rPr>
        <w:t xml:space="preserve"> to EUR</w:t>
      </w:r>
      <w:r w:rsidR="00FE437A" w:rsidRPr="00BD74A8">
        <w:rPr>
          <w:noProof/>
        </w:rPr>
        <w:t> </w:t>
      </w:r>
      <w:r w:rsidR="00713F30" w:rsidRPr="00F559E6">
        <w:rPr>
          <w:noProof/>
        </w:rPr>
        <w:t>4</w:t>
      </w:r>
      <w:r w:rsidR="00FE437A" w:rsidRPr="00F559E6">
        <w:rPr>
          <w:noProof/>
        </w:rPr>
        <w:t> </w:t>
      </w:r>
      <w:r w:rsidR="00713F30" w:rsidRPr="00F559E6">
        <w:rPr>
          <w:noProof/>
        </w:rPr>
        <w:t>100</w:t>
      </w:r>
      <w:r w:rsidR="00713F30" w:rsidRPr="00BD74A8">
        <w:rPr>
          <w:noProof/>
        </w:rPr>
        <w:t xml:space="preserve"> for aircraft operators</w:t>
      </w:r>
      <w:r w:rsidRPr="004B4540">
        <w:rPr>
          <w:rFonts w:cs="Times New Roman"/>
          <w:noProof/>
          <w:szCs w:val="24"/>
        </w:rPr>
        <w:t xml:space="preserve">. </w:t>
      </w:r>
      <w:r w:rsidR="00713F30" w:rsidRPr="00F559E6">
        <w:rPr>
          <w:noProof/>
        </w:rPr>
        <w:t>15</w:t>
      </w:r>
      <w:r w:rsidR="00713F30" w:rsidRPr="00BD74A8">
        <w:rPr>
          <w:noProof/>
        </w:rPr>
        <w:t xml:space="preserve"> countries </w:t>
      </w:r>
      <w:r w:rsidRPr="004B4540">
        <w:rPr>
          <w:rFonts w:cs="Times New Roman"/>
          <w:noProof/>
          <w:szCs w:val="24"/>
        </w:rPr>
        <w:t xml:space="preserve">reported charging administrative fees </w:t>
      </w:r>
      <w:r w:rsidR="00A92387" w:rsidRPr="004B4540">
        <w:rPr>
          <w:rFonts w:cs="Times New Roman"/>
          <w:noProof/>
          <w:szCs w:val="24"/>
        </w:rPr>
        <w:t>of different amounts for the approval of monitoring methodology plans or significant changes.</w:t>
      </w:r>
    </w:p>
    <w:p w14:paraId="59918882" w14:textId="77777777" w:rsidR="00376485" w:rsidRPr="004B4540" w:rsidRDefault="00376485" w:rsidP="00BA270C">
      <w:pPr>
        <w:pStyle w:val="CMR23-text"/>
        <w:rPr>
          <w:rFonts w:cs="Times New Roman"/>
          <w:noProof/>
          <w:szCs w:val="24"/>
        </w:rPr>
      </w:pPr>
    </w:p>
    <w:p w14:paraId="6FBAB6CD" w14:textId="56453955" w:rsidR="00E3029B" w:rsidRPr="004B4540" w:rsidRDefault="00E3029B" w:rsidP="00B36B2C">
      <w:pPr>
        <w:pStyle w:val="CMR2023-SUBheading"/>
        <w:rPr>
          <w:rFonts w:cs="Times New Roman"/>
          <w:noProof/>
          <w:szCs w:val="24"/>
        </w:rPr>
      </w:pPr>
      <w:bookmarkStart w:id="86" w:name="_Toc145453249"/>
      <w:bookmarkStart w:id="87" w:name="_Toc148555899"/>
      <w:r w:rsidRPr="004B4540">
        <w:rPr>
          <w:rFonts w:cs="Times New Roman"/>
          <w:noProof/>
          <w:szCs w:val="24"/>
        </w:rPr>
        <w:t>Compliance in the EU ETS</w:t>
      </w:r>
      <w:bookmarkEnd w:id="86"/>
      <w:bookmarkEnd w:id="87"/>
    </w:p>
    <w:p w14:paraId="5794FE3A" w14:textId="7FC18226" w:rsidR="009118E4" w:rsidRPr="004B4540" w:rsidRDefault="009118E4" w:rsidP="009118E4">
      <w:pPr>
        <w:pStyle w:val="CMR23-text"/>
        <w:rPr>
          <w:rFonts w:cs="Times New Roman"/>
          <w:noProof/>
          <w:szCs w:val="24"/>
        </w:rPr>
      </w:pPr>
      <w:r w:rsidRPr="004B4540">
        <w:rPr>
          <w:rFonts w:cs="Times New Roman"/>
          <w:noProof/>
          <w:szCs w:val="24"/>
        </w:rPr>
        <w:t>Compliance with the EU ETS is checked in annual cycles. For every year of operation, operators must submit an annual emission report by 31</w:t>
      </w:r>
      <w:r w:rsidR="000F0431" w:rsidRPr="004B4540">
        <w:rPr>
          <w:rFonts w:cs="Times New Roman"/>
          <w:noProof/>
          <w:szCs w:val="24"/>
        </w:rPr>
        <w:t> </w:t>
      </w:r>
      <w:r w:rsidRPr="004B4540">
        <w:rPr>
          <w:rFonts w:cs="Times New Roman"/>
          <w:noProof/>
          <w:szCs w:val="24"/>
        </w:rPr>
        <w:t xml:space="preserve">March the following year. Once the report is </w:t>
      </w:r>
      <w:r w:rsidR="00FB1ECA" w:rsidRPr="004B4540">
        <w:rPr>
          <w:rFonts w:cs="Times New Roman"/>
          <w:noProof/>
          <w:szCs w:val="24"/>
        </w:rPr>
        <w:t>checked</w:t>
      </w:r>
      <w:r w:rsidRPr="004B4540">
        <w:rPr>
          <w:rFonts w:cs="Times New Roman"/>
          <w:noProof/>
          <w:szCs w:val="24"/>
        </w:rPr>
        <w:t>, operators must surrender the agreed number of allowances by 30</w:t>
      </w:r>
      <w:r w:rsidR="000F0431" w:rsidRPr="004B4540">
        <w:rPr>
          <w:rFonts w:cs="Times New Roman"/>
          <w:noProof/>
          <w:szCs w:val="24"/>
        </w:rPr>
        <w:t> </w:t>
      </w:r>
      <w:r w:rsidRPr="004B4540">
        <w:rPr>
          <w:rFonts w:cs="Times New Roman"/>
          <w:noProof/>
          <w:szCs w:val="24"/>
        </w:rPr>
        <w:t>April the same year. For each tonne of CO</w:t>
      </w:r>
      <w:r w:rsidRPr="004B4540">
        <w:rPr>
          <w:rFonts w:cs="Times New Roman"/>
          <w:noProof/>
          <w:szCs w:val="24"/>
          <w:vertAlign w:val="subscript"/>
        </w:rPr>
        <w:t>2</w:t>
      </w:r>
      <w:r w:rsidRPr="004B4540">
        <w:rPr>
          <w:rFonts w:cs="Times New Roman"/>
          <w:noProof/>
          <w:szCs w:val="24"/>
        </w:rPr>
        <w:t xml:space="preserve"> emitted for which no allowance was surrendered </w:t>
      </w:r>
      <w:r w:rsidR="001E02F8" w:rsidRPr="004B4540">
        <w:rPr>
          <w:rFonts w:cs="Times New Roman"/>
          <w:noProof/>
          <w:szCs w:val="24"/>
        </w:rPr>
        <w:t>on time</w:t>
      </w:r>
      <w:r w:rsidRPr="004B4540">
        <w:rPr>
          <w:rFonts w:cs="Times New Roman"/>
          <w:noProof/>
          <w:szCs w:val="24"/>
        </w:rPr>
        <w:t>, the EU ETS Directive imposes a penalty of EUR</w:t>
      </w:r>
      <w:r w:rsidR="000F0431" w:rsidRPr="004B4540">
        <w:rPr>
          <w:rFonts w:cs="Times New Roman"/>
          <w:noProof/>
          <w:szCs w:val="24"/>
        </w:rPr>
        <w:t> </w:t>
      </w:r>
      <w:r w:rsidRPr="004B4540">
        <w:rPr>
          <w:rFonts w:cs="Times New Roman"/>
          <w:noProof/>
          <w:szCs w:val="24"/>
        </w:rPr>
        <w:t>100</w:t>
      </w:r>
      <w:r w:rsidRPr="004B4540">
        <w:rPr>
          <w:rStyle w:val="FootnoteReference"/>
          <w:rFonts w:cs="Times New Roman"/>
          <w:noProof/>
          <w:szCs w:val="24"/>
        </w:rPr>
        <w:footnoteReference w:id="102"/>
      </w:r>
      <w:r w:rsidRPr="004B4540">
        <w:rPr>
          <w:rFonts w:cs="Times New Roman"/>
          <w:noProof/>
          <w:szCs w:val="24"/>
        </w:rPr>
        <w:t xml:space="preserve">. This is on top of the cost of surrendering allowances due. </w:t>
      </w:r>
      <w:r w:rsidR="007D0AC2" w:rsidRPr="004B4540">
        <w:rPr>
          <w:rFonts w:cs="Times New Roman"/>
          <w:noProof/>
          <w:szCs w:val="24"/>
        </w:rPr>
        <w:t>Other penalties may also apply to infringements in implementing the EU ETS based on national rules.</w:t>
      </w:r>
      <w:r w:rsidR="004A71F7" w:rsidRPr="004B4540">
        <w:rPr>
          <w:rFonts w:cs="Times New Roman"/>
          <w:noProof/>
          <w:szCs w:val="24"/>
        </w:rPr>
        <w:t xml:space="preserve"> A detailed overview of compliance in the EU ETS is presented in </w:t>
      </w:r>
      <w:r w:rsidR="00CF796A">
        <w:rPr>
          <w:rFonts w:cs="Times New Roman"/>
          <w:noProof/>
          <w:szCs w:val="24"/>
        </w:rPr>
        <w:t>Tables 11</w:t>
      </w:r>
      <w:r w:rsidR="00EC3F96">
        <w:rPr>
          <w:rFonts w:cs="Times New Roman"/>
          <w:noProof/>
          <w:szCs w:val="24"/>
        </w:rPr>
        <w:t xml:space="preserve"> to 13 in</w:t>
      </w:r>
      <w:r w:rsidR="00CF796A">
        <w:rPr>
          <w:rFonts w:cs="Times New Roman"/>
          <w:noProof/>
          <w:szCs w:val="24"/>
        </w:rPr>
        <w:t xml:space="preserve"> </w:t>
      </w:r>
      <w:r w:rsidR="004A71F7" w:rsidRPr="004B4540">
        <w:rPr>
          <w:rFonts w:cs="Times New Roman"/>
          <w:noProof/>
          <w:szCs w:val="24"/>
        </w:rPr>
        <w:t xml:space="preserve">the </w:t>
      </w:r>
      <w:r w:rsidR="004A3C8F">
        <w:rPr>
          <w:rFonts w:cs="Times New Roman"/>
          <w:noProof/>
          <w:szCs w:val="24"/>
        </w:rPr>
        <w:t>Staff working document</w:t>
      </w:r>
      <w:r w:rsidR="009F78C2">
        <w:rPr>
          <w:rStyle w:val="FootnoteReference"/>
          <w:rFonts w:cs="Times New Roman"/>
          <w:noProof/>
          <w:szCs w:val="24"/>
        </w:rPr>
        <w:footnoteReference w:id="103"/>
      </w:r>
      <w:r w:rsidR="004A71F7" w:rsidRPr="004B4540">
        <w:rPr>
          <w:rFonts w:cs="Times New Roman"/>
          <w:noProof/>
          <w:szCs w:val="24"/>
        </w:rPr>
        <w:t>.</w:t>
      </w:r>
      <w:r w:rsidR="008D0C90" w:rsidRPr="004B4540">
        <w:rPr>
          <w:rFonts w:cs="Times New Roman"/>
          <w:noProof/>
          <w:szCs w:val="24"/>
        </w:rPr>
        <w:t xml:space="preserve"> The revision of the ETS Directive includes adjustments to the compliance calendar</w:t>
      </w:r>
      <w:r w:rsidR="00720648" w:rsidRPr="004B4540">
        <w:rPr>
          <w:rFonts w:cs="Times New Roman"/>
          <w:noProof/>
          <w:szCs w:val="24"/>
        </w:rPr>
        <w:t>.</w:t>
      </w:r>
      <w:r w:rsidR="008D0C90" w:rsidRPr="004B4540">
        <w:rPr>
          <w:rFonts w:cs="Times New Roman"/>
          <w:noProof/>
          <w:szCs w:val="24"/>
        </w:rPr>
        <w:t xml:space="preserve"> From 2024 onwards, the deadline to surrender allowances will </w:t>
      </w:r>
      <w:r w:rsidR="00720648" w:rsidRPr="004B4540">
        <w:rPr>
          <w:rFonts w:cs="Times New Roman"/>
          <w:noProof/>
          <w:szCs w:val="24"/>
        </w:rPr>
        <w:t xml:space="preserve">be moved </w:t>
      </w:r>
      <w:r w:rsidR="008D0C90" w:rsidRPr="004B4540">
        <w:rPr>
          <w:rFonts w:cs="Times New Roman"/>
          <w:noProof/>
          <w:szCs w:val="24"/>
        </w:rPr>
        <w:t>from 30 April to 30 September</w:t>
      </w:r>
      <w:r w:rsidR="00720648" w:rsidRPr="004B4540">
        <w:rPr>
          <w:rFonts w:cs="Times New Roman"/>
          <w:noProof/>
          <w:szCs w:val="24"/>
        </w:rPr>
        <w:t>.</w:t>
      </w:r>
    </w:p>
    <w:p w14:paraId="09E9DF99" w14:textId="22E28612" w:rsidR="009118E4" w:rsidRPr="004B4540" w:rsidRDefault="00713F30" w:rsidP="009118E4">
      <w:pPr>
        <w:pStyle w:val="CMR23-text"/>
        <w:rPr>
          <w:rFonts w:cs="Times New Roman"/>
          <w:noProof/>
          <w:szCs w:val="24"/>
        </w:rPr>
      </w:pPr>
      <w:r w:rsidRPr="00BD74A8">
        <w:rPr>
          <w:noProof/>
        </w:rPr>
        <w:t xml:space="preserve">In the 2022 compliance cycle, the level of compliance with the EU ETS remained very high. </w:t>
      </w:r>
      <w:r w:rsidR="003C3BA7" w:rsidRPr="00BD74A8">
        <w:rPr>
          <w:noProof/>
        </w:rPr>
        <w:t>I</w:t>
      </w:r>
      <w:r w:rsidR="003C3BA7" w:rsidRPr="004B4540">
        <w:rPr>
          <w:rFonts w:cs="Times New Roman"/>
          <w:noProof/>
          <w:szCs w:val="24"/>
        </w:rPr>
        <w:t xml:space="preserve">n most years, operators responsible for over 99% of emissions from installations and aviation met their legal obligations on time. </w:t>
      </w:r>
      <w:r w:rsidR="009118E4" w:rsidRPr="004B4540">
        <w:rPr>
          <w:rFonts w:cs="Times New Roman"/>
          <w:noProof/>
          <w:szCs w:val="24"/>
        </w:rPr>
        <w:t xml:space="preserve">The efficiency of the compliance system has improved with a broader uptake of electronic reporting. In 2022, </w:t>
      </w:r>
      <w:r w:rsidRPr="00F559E6">
        <w:rPr>
          <w:noProof/>
        </w:rPr>
        <w:t>12</w:t>
      </w:r>
      <w:r w:rsidRPr="00BD74A8">
        <w:rPr>
          <w:noProof/>
        </w:rPr>
        <w:t xml:space="preserve"> countries </w:t>
      </w:r>
      <w:r w:rsidR="009118E4" w:rsidRPr="004B4540">
        <w:rPr>
          <w:rFonts w:cs="Times New Roman"/>
          <w:noProof/>
          <w:szCs w:val="24"/>
        </w:rPr>
        <w:t xml:space="preserve">used automated IT systems and electronic templates for monitoring plans, emission reports, verification reports and/or improvement reports. </w:t>
      </w:r>
      <w:r w:rsidR="00E80924">
        <w:rPr>
          <w:noProof/>
        </w:rPr>
        <w:t>Eight</w:t>
      </w:r>
      <w:r w:rsidR="000F0431" w:rsidRPr="00BD74A8">
        <w:rPr>
          <w:noProof/>
        </w:rPr>
        <w:t xml:space="preserve"> </w:t>
      </w:r>
      <w:r w:rsidRPr="00BD74A8">
        <w:rPr>
          <w:noProof/>
        </w:rPr>
        <w:t xml:space="preserve">countries also use automated IT </w:t>
      </w:r>
      <w:r w:rsidR="009118E4" w:rsidRPr="004B4540">
        <w:rPr>
          <w:rFonts w:cs="Times New Roman"/>
          <w:noProof/>
          <w:szCs w:val="24"/>
        </w:rPr>
        <w:t>systems to manage the workflow for monitoring methodology plans, annual activity level reports and other information exchanges on allocation data.</w:t>
      </w:r>
    </w:p>
    <w:p w14:paraId="3B994AF2" w14:textId="0F86B33A" w:rsidR="00713F30" w:rsidRPr="00BD74A8" w:rsidRDefault="00821235" w:rsidP="00713F30">
      <w:pPr>
        <w:pStyle w:val="CMR23-text"/>
        <w:rPr>
          <w:noProof/>
        </w:rPr>
      </w:pPr>
      <w:r w:rsidRPr="00BD74A8">
        <w:rPr>
          <w:noProof/>
        </w:rPr>
        <w:t xml:space="preserve">Following the COVID-19 pandemic and restrictions on physical contact, six countries (18 in 2021) </w:t>
      </w:r>
      <w:r w:rsidR="00713F30" w:rsidRPr="00BD74A8">
        <w:rPr>
          <w:noProof/>
        </w:rPr>
        <w:t>allowed verifiers to carry out virtual site visits</w:t>
      </w:r>
      <w:r w:rsidR="00713F30" w:rsidRPr="00BD74A8">
        <w:rPr>
          <w:rStyle w:val="FootnoteReference"/>
          <w:noProof/>
        </w:rPr>
        <w:footnoteReference w:id="104"/>
      </w:r>
      <w:r w:rsidR="00713F30" w:rsidRPr="00BD74A8">
        <w:rPr>
          <w:noProof/>
        </w:rPr>
        <w:t xml:space="preserve">. For </w:t>
      </w:r>
      <w:r w:rsidR="004E79AE" w:rsidRPr="00BD74A8">
        <w:rPr>
          <w:noProof/>
        </w:rPr>
        <w:t xml:space="preserve">31 </w:t>
      </w:r>
      <w:r w:rsidR="00713F30" w:rsidRPr="00BD74A8">
        <w:rPr>
          <w:noProof/>
        </w:rPr>
        <w:t xml:space="preserve">installations and </w:t>
      </w:r>
      <w:r w:rsidR="004E79AE" w:rsidRPr="00BD74A8">
        <w:rPr>
          <w:noProof/>
        </w:rPr>
        <w:t xml:space="preserve">25 </w:t>
      </w:r>
      <w:r w:rsidR="00713F30" w:rsidRPr="00BD74A8">
        <w:rPr>
          <w:noProof/>
        </w:rPr>
        <w:t>aircraft operators, virtual site visits were approved by the applicable competent authority.</w:t>
      </w:r>
    </w:p>
    <w:p w14:paraId="770F82F2" w14:textId="4FA2C047" w:rsidR="00713F30" w:rsidRPr="00BD74A8" w:rsidRDefault="009118E4" w:rsidP="00713F30">
      <w:pPr>
        <w:pStyle w:val="CMR23-text"/>
        <w:rPr>
          <w:noProof/>
        </w:rPr>
      </w:pPr>
      <w:r w:rsidRPr="004B4540">
        <w:rPr>
          <w:rFonts w:cs="Times New Roman"/>
          <w:noProof/>
          <w:szCs w:val="24"/>
        </w:rPr>
        <w:t xml:space="preserve">Competent authorities carry out different compliance checks on installations’ annual emissions reports. In 2022, all competent authorities checked the completeness of the reports from installations, and most did so for reports from aircraft operators. The exceptions are the competent authorities in Hungary and Latvia (with </w:t>
      </w:r>
      <w:r w:rsidR="004E15C7" w:rsidRPr="004B4540">
        <w:rPr>
          <w:rFonts w:cs="Times New Roman"/>
          <w:noProof/>
          <w:szCs w:val="24"/>
        </w:rPr>
        <w:t>one</w:t>
      </w:r>
      <w:r w:rsidR="008764FB" w:rsidRPr="004B4540">
        <w:rPr>
          <w:rFonts w:cs="Times New Roman"/>
          <w:noProof/>
          <w:szCs w:val="24"/>
        </w:rPr>
        <w:t xml:space="preserve"> </w:t>
      </w:r>
      <w:r w:rsidRPr="004B4540">
        <w:rPr>
          <w:rFonts w:cs="Times New Roman"/>
          <w:noProof/>
          <w:szCs w:val="24"/>
        </w:rPr>
        <w:t xml:space="preserve">and </w:t>
      </w:r>
      <w:r w:rsidR="004E15C7" w:rsidRPr="004B4540">
        <w:rPr>
          <w:rFonts w:cs="Times New Roman"/>
          <w:noProof/>
          <w:szCs w:val="24"/>
        </w:rPr>
        <w:t xml:space="preserve">two </w:t>
      </w:r>
      <w:r w:rsidRPr="004B4540">
        <w:rPr>
          <w:rFonts w:cs="Times New Roman"/>
          <w:noProof/>
          <w:szCs w:val="24"/>
        </w:rPr>
        <w:t xml:space="preserve">aircraft operators, respectively), as well as </w:t>
      </w:r>
      <w:r w:rsidR="00713F30" w:rsidRPr="00BD74A8">
        <w:rPr>
          <w:noProof/>
        </w:rPr>
        <w:t>Liechtenstein and Northern Ireland because they do not administer any aircraft operators.</w:t>
      </w:r>
    </w:p>
    <w:p w14:paraId="480D601D" w14:textId="06CAF834" w:rsidR="009118E4" w:rsidRPr="004B4540" w:rsidRDefault="009118E4" w:rsidP="009118E4">
      <w:pPr>
        <w:pStyle w:val="CMR23-text"/>
        <w:rPr>
          <w:rFonts w:cs="Times New Roman"/>
          <w:noProof/>
          <w:szCs w:val="24"/>
        </w:rPr>
      </w:pPr>
      <w:r w:rsidRPr="004B4540">
        <w:rPr>
          <w:rFonts w:cs="Times New Roman"/>
          <w:noProof/>
          <w:szCs w:val="24"/>
        </w:rPr>
        <w:t xml:space="preserve">Competent authorities in 12 countries made conservative estimates for </w:t>
      </w:r>
      <w:r w:rsidR="008764FB" w:rsidRPr="004B4540">
        <w:rPr>
          <w:rFonts w:cs="Times New Roman"/>
          <w:noProof/>
          <w:szCs w:val="24"/>
        </w:rPr>
        <w:t xml:space="preserve">61 </w:t>
      </w:r>
      <w:r w:rsidRPr="004B4540">
        <w:rPr>
          <w:rFonts w:cs="Times New Roman"/>
          <w:noProof/>
          <w:szCs w:val="24"/>
        </w:rPr>
        <w:t>installations (approximately 0.</w:t>
      </w:r>
      <w:r w:rsidR="008764FB" w:rsidRPr="004B4540">
        <w:rPr>
          <w:rFonts w:cs="Times New Roman"/>
          <w:noProof/>
          <w:szCs w:val="24"/>
        </w:rPr>
        <w:t>7</w:t>
      </w:r>
      <w:r w:rsidRPr="004B4540">
        <w:rPr>
          <w:rFonts w:cs="Times New Roman"/>
          <w:noProof/>
          <w:szCs w:val="24"/>
        </w:rPr>
        <w:t xml:space="preserve">% of </w:t>
      </w:r>
      <w:r w:rsidR="004E15C7" w:rsidRPr="004B4540">
        <w:rPr>
          <w:rFonts w:cs="Times New Roman"/>
          <w:noProof/>
          <w:szCs w:val="24"/>
        </w:rPr>
        <w:t xml:space="preserve">all </w:t>
      </w:r>
      <w:r w:rsidRPr="004B4540">
        <w:rPr>
          <w:rFonts w:cs="Times New Roman"/>
          <w:noProof/>
          <w:szCs w:val="24"/>
        </w:rPr>
        <w:t xml:space="preserve">installations), down from </w:t>
      </w:r>
      <w:r w:rsidR="008764FB" w:rsidRPr="004B4540">
        <w:rPr>
          <w:rFonts w:cs="Times New Roman"/>
          <w:noProof/>
          <w:szCs w:val="24"/>
        </w:rPr>
        <w:t xml:space="preserve">55 </w:t>
      </w:r>
      <w:r w:rsidRPr="004B4540">
        <w:rPr>
          <w:rFonts w:cs="Times New Roman"/>
          <w:noProof/>
          <w:szCs w:val="24"/>
        </w:rPr>
        <w:t>in 2020. Such estimates are made if annual emissions reports were not submitted in time, a negative verification opinion was issued, or an emissions report did not comply with the Regulation</w:t>
      </w:r>
      <w:r w:rsidR="00713F30" w:rsidRPr="004B4540">
        <w:rPr>
          <w:rStyle w:val="FootnoteReference"/>
          <w:rFonts w:cs="Times New Roman"/>
          <w:noProof/>
          <w:szCs w:val="24"/>
        </w:rPr>
        <w:footnoteReference w:id="105"/>
      </w:r>
      <w:r w:rsidRPr="004B4540">
        <w:rPr>
          <w:rFonts w:cs="Times New Roman"/>
          <w:noProof/>
          <w:szCs w:val="24"/>
        </w:rPr>
        <w:t>. All</w:t>
      </w:r>
      <w:r w:rsidR="008A06D2" w:rsidRPr="004B4540">
        <w:rPr>
          <w:rFonts w:cs="Times New Roman"/>
          <w:noProof/>
          <w:szCs w:val="24"/>
        </w:rPr>
        <w:t xml:space="preserve"> the</w:t>
      </w:r>
      <w:r w:rsidRPr="004B4540">
        <w:rPr>
          <w:rFonts w:cs="Times New Roman"/>
          <w:noProof/>
          <w:szCs w:val="24"/>
        </w:rPr>
        <w:t xml:space="preserve"> emissions of </w:t>
      </w:r>
      <w:r w:rsidR="00E922AF" w:rsidRPr="004B4540">
        <w:rPr>
          <w:rFonts w:cs="Times New Roman"/>
          <w:noProof/>
          <w:szCs w:val="24"/>
        </w:rPr>
        <w:t xml:space="preserve">30 </w:t>
      </w:r>
      <w:r w:rsidRPr="004B4540">
        <w:rPr>
          <w:rFonts w:cs="Times New Roman"/>
          <w:noProof/>
          <w:szCs w:val="24"/>
        </w:rPr>
        <w:t xml:space="preserve">installations were estimated conservatively. For </w:t>
      </w:r>
      <w:r w:rsidR="00E922AF" w:rsidRPr="004E1995">
        <w:rPr>
          <w:rFonts w:cs="Times New Roman"/>
          <w:noProof/>
          <w:szCs w:val="24"/>
        </w:rPr>
        <w:t xml:space="preserve">11 </w:t>
      </w:r>
      <w:r w:rsidRPr="004E1995">
        <w:rPr>
          <w:rFonts w:cs="Times New Roman"/>
          <w:noProof/>
          <w:szCs w:val="24"/>
        </w:rPr>
        <w:t>installations</w:t>
      </w:r>
      <w:r w:rsidRPr="004B4540">
        <w:rPr>
          <w:rFonts w:cs="Times New Roman"/>
          <w:noProof/>
          <w:szCs w:val="24"/>
        </w:rPr>
        <w:t xml:space="preserve">, a conservative estimation covered only part of emissions, and </w:t>
      </w:r>
      <w:r w:rsidR="00E922AF" w:rsidRPr="004E1995">
        <w:rPr>
          <w:rFonts w:cs="Times New Roman"/>
          <w:noProof/>
          <w:szCs w:val="24"/>
        </w:rPr>
        <w:t xml:space="preserve">20 </w:t>
      </w:r>
      <w:r w:rsidRPr="004E1995">
        <w:rPr>
          <w:rFonts w:cs="Times New Roman"/>
          <w:noProof/>
          <w:szCs w:val="24"/>
        </w:rPr>
        <w:t>installations</w:t>
      </w:r>
      <w:r w:rsidRPr="004B4540">
        <w:rPr>
          <w:rFonts w:cs="Times New Roman"/>
          <w:noProof/>
          <w:szCs w:val="24"/>
        </w:rPr>
        <w:t xml:space="preserve"> were estimated to have generated no emissions.</w:t>
      </w:r>
    </w:p>
    <w:p w14:paraId="11A22D7B" w14:textId="148229DD" w:rsidR="009118E4" w:rsidRPr="004B4540" w:rsidRDefault="009118E4" w:rsidP="009118E4">
      <w:pPr>
        <w:pStyle w:val="CMR23-text"/>
        <w:rPr>
          <w:rFonts w:cs="Times New Roman"/>
          <w:noProof/>
          <w:szCs w:val="24"/>
        </w:rPr>
      </w:pPr>
      <w:r w:rsidRPr="004B4540">
        <w:rPr>
          <w:rFonts w:cs="Times New Roman"/>
          <w:noProof/>
          <w:szCs w:val="24"/>
        </w:rPr>
        <w:t xml:space="preserve">In total, </w:t>
      </w:r>
      <w:r w:rsidR="00E922AF" w:rsidRPr="004B4540">
        <w:rPr>
          <w:rFonts w:cs="Times New Roman"/>
          <w:noProof/>
          <w:szCs w:val="24"/>
        </w:rPr>
        <w:t>1.0</w:t>
      </w:r>
      <w:r w:rsidRPr="004B4540">
        <w:rPr>
          <w:rFonts w:cs="Times New Roman"/>
          <w:noProof/>
          <w:szCs w:val="24"/>
        </w:rPr>
        <w:t xml:space="preserve"> Mt emissions were estimated conservatively (</w:t>
      </w:r>
      <w:r w:rsidR="00A22B4F" w:rsidRPr="004B4540">
        <w:rPr>
          <w:rFonts w:cs="Times New Roman"/>
          <w:noProof/>
          <w:szCs w:val="24"/>
        </w:rPr>
        <w:t xml:space="preserve">up </w:t>
      </w:r>
      <w:r w:rsidRPr="004B4540">
        <w:rPr>
          <w:rFonts w:cs="Times New Roman"/>
          <w:noProof/>
          <w:szCs w:val="24"/>
        </w:rPr>
        <w:t xml:space="preserve">from </w:t>
      </w:r>
      <w:r w:rsidR="00A22B4F" w:rsidRPr="004B4540">
        <w:rPr>
          <w:rFonts w:cs="Times New Roman"/>
          <w:noProof/>
          <w:szCs w:val="24"/>
        </w:rPr>
        <w:t>0.8</w:t>
      </w:r>
      <w:r w:rsidRPr="004B4540">
        <w:rPr>
          <w:rFonts w:cs="Times New Roman"/>
          <w:noProof/>
          <w:szCs w:val="24"/>
        </w:rPr>
        <w:t xml:space="preserve"> Mt in 202</w:t>
      </w:r>
      <w:r w:rsidR="004C7623" w:rsidRPr="004B4540">
        <w:rPr>
          <w:rFonts w:cs="Times New Roman"/>
          <w:noProof/>
          <w:szCs w:val="24"/>
        </w:rPr>
        <w:t>1</w:t>
      </w:r>
      <w:r w:rsidRPr="004B4540">
        <w:rPr>
          <w:rFonts w:cs="Times New Roman"/>
          <w:noProof/>
          <w:szCs w:val="24"/>
        </w:rPr>
        <w:t xml:space="preserve">) out of </w:t>
      </w:r>
      <w:r w:rsidR="00A22B4F" w:rsidRPr="004B4540">
        <w:rPr>
          <w:rFonts w:cs="Times New Roman"/>
          <w:noProof/>
          <w:szCs w:val="24"/>
        </w:rPr>
        <w:t>2.4</w:t>
      </w:r>
      <w:r w:rsidRPr="004B4540">
        <w:rPr>
          <w:rFonts w:cs="Times New Roman"/>
          <w:noProof/>
          <w:szCs w:val="24"/>
        </w:rPr>
        <w:t xml:space="preserve"> Mt reported by the </w:t>
      </w:r>
      <w:r w:rsidR="00A22B4F" w:rsidRPr="004B4540">
        <w:rPr>
          <w:rFonts w:cs="Times New Roman"/>
          <w:noProof/>
          <w:szCs w:val="24"/>
        </w:rPr>
        <w:t xml:space="preserve">61 </w:t>
      </w:r>
      <w:r w:rsidRPr="004B4540">
        <w:rPr>
          <w:rFonts w:cs="Times New Roman"/>
          <w:noProof/>
          <w:szCs w:val="24"/>
        </w:rPr>
        <w:t xml:space="preserve">installations (down from </w:t>
      </w:r>
      <w:r w:rsidR="00A22B4F" w:rsidRPr="004B4540">
        <w:rPr>
          <w:rFonts w:cs="Times New Roman"/>
          <w:noProof/>
          <w:szCs w:val="24"/>
        </w:rPr>
        <w:t xml:space="preserve">4.9 </w:t>
      </w:r>
      <w:r w:rsidRPr="004B4540">
        <w:rPr>
          <w:rFonts w:cs="Times New Roman"/>
          <w:noProof/>
          <w:szCs w:val="24"/>
        </w:rPr>
        <w:t>Mt in 202</w:t>
      </w:r>
      <w:r w:rsidR="004C7623" w:rsidRPr="004B4540">
        <w:rPr>
          <w:rFonts w:cs="Times New Roman"/>
          <w:noProof/>
          <w:szCs w:val="24"/>
        </w:rPr>
        <w:t>1</w:t>
      </w:r>
      <w:r w:rsidRPr="004B4540">
        <w:rPr>
          <w:rFonts w:cs="Times New Roman"/>
          <w:noProof/>
          <w:szCs w:val="24"/>
        </w:rPr>
        <w:t>). Typically, conservative estimates were made because emissions reports had not been fully in line with</w:t>
      </w:r>
      <w:r w:rsidR="004C7623" w:rsidRPr="004B4540">
        <w:rPr>
          <w:rFonts w:cs="Times New Roman"/>
          <w:noProof/>
          <w:szCs w:val="24"/>
        </w:rPr>
        <w:t xml:space="preserve"> the</w:t>
      </w:r>
      <w:r w:rsidRPr="004B4540">
        <w:rPr>
          <w:rFonts w:cs="Times New Roman"/>
          <w:noProof/>
          <w:szCs w:val="24"/>
        </w:rPr>
        <w:t xml:space="preserve"> Monitoring and Reporting Regulation requirements or because they had been submitted after the deadline.</w:t>
      </w:r>
      <w:r w:rsidR="004C7623" w:rsidRPr="004B4540">
        <w:rPr>
          <w:rFonts w:cs="Times New Roman"/>
          <w:noProof/>
          <w:szCs w:val="24"/>
        </w:rPr>
        <w:t xml:space="preserve"> </w:t>
      </w:r>
      <w:r w:rsidRPr="004B4540">
        <w:rPr>
          <w:rFonts w:cs="Times New Roman"/>
          <w:noProof/>
          <w:szCs w:val="24"/>
        </w:rPr>
        <w:t xml:space="preserve">Conservative estimates for aviation were reported by </w:t>
      </w:r>
      <w:r w:rsidR="008A06D2" w:rsidRPr="004E1995">
        <w:rPr>
          <w:rFonts w:cs="Times New Roman"/>
          <w:noProof/>
          <w:szCs w:val="24"/>
        </w:rPr>
        <w:t>five</w:t>
      </w:r>
      <w:r w:rsidR="00D96540" w:rsidRPr="004E1995">
        <w:rPr>
          <w:rFonts w:cs="Times New Roman"/>
          <w:noProof/>
          <w:szCs w:val="24"/>
        </w:rPr>
        <w:t xml:space="preserve"> </w:t>
      </w:r>
      <w:r w:rsidRPr="004E1995">
        <w:rPr>
          <w:rFonts w:cs="Times New Roman"/>
          <w:noProof/>
          <w:szCs w:val="24"/>
        </w:rPr>
        <w:t>countries</w:t>
      </w:r>
      <w:r w:rsidRPr="004B4540">
        <w:rPr>
          <w:rFonts w:cs="Times New Roman"/>
          <w:noProof/>
          <w:szCs w:val="24"/>
        </w:rPr>
        <w:t xml:space="preserve"> (</w:t>
      </w:r>
      <w:r w:rsidR="00A22B4F" w:rsidRPr="004E1995">
        <w:rPr>
          <w:rFonts w:cs="Times New Roman"/>
          <w:noProof/>
          <w:szCs w:val="24"/>
        </w:rPr>
        <w:t xml:space="preserve">one </w:t>
      </w:r>
      <w:r w:rsidRPr="004E1995">
        <w:rPr>
          <w:rFonts w:cs="Times New Roman"/>
          <w:noProof/>
          <w:szCs w:val="24"/>
        </w:rPr>
        <w:t xml:space="preserve">fewer than </w:t>
      </w:r>
      <w:r w:rsidRPr="004B4540">
        <w:rPr>
          <w:rFonts w:cs="Times New Roman"/>
          <w:noProof/>
          <w:szCs w:val="24"/>
        </w:rPr>
        <w:t>in 202</w:t>
      </w:r>
      <w:r w:rsidR="004C7623" w:rsidRPr="004B4540">
        <w:rPr>
          <w:rFonts w:cs="Times New Roman"/>
          <w:noProof/>
          <w:szCs w:val="24"/>
        </w:rPr>
        <w:t>1</w:t>
      </w:r>
      <w:r w:rsidRPr="004B4540">
        <w:rPr>
          <w:rFonts w:cs="Times New Roman"/>
          <w:noProof/>
          <w:szCs w:val="24"/>
        </w:rPr>
        <w:t xml:space="preserve">) concerning </w:t>
      </w:r>
      <w:r w:rsidR="00E406B1" w:rsidRPr="004B4540">
        <w:rPr>
          <w:rFonts w:cs="Times New Roman"/>
          <w:noProof/>
          <w:szCs w:val="24"/>
        </w:rPr>
        <w:t xml:space="preserve">33 </w:t>
      </w:r>
      <w:r w:rsidRPr="004B4540">
        <w:rPr>
          <w:rFonts w:cs="Times New Roman"/>
          <w:noProof/>
          <w:szCs w:val="24"/>
        </w:rPr>
        <w:t>aircraft operators (</w:t>
      </w:r>
      <w:r w:rsidR="008A06D2" w:rsidRPr="004E1995">
        <w:rPr>
          <w:rFonts w:cs="Times New Roman"/>
          <w:noProof/>
          <w:szCs w:val="24"/>
        </w:rPr>
        <w:t>five</w:t>
      </w:r>
      <w:r w:rsidR="00E406B1" w:rsidRPr="004E1995">
        <w:rPr>
          <w:rFonts w:cs="Times New Roman"/>
          <w:noProof/>
          <w:szCs w:val="24"/>
        </w:rPr>
        <w:t xml:space="preserve"> </w:t>
      </w:r>
      <w:r w:rsidRPr="004E1995">
        <w:rPr>
          <w:rFonts w:cs="Times New Roman"/>
          <w:noProof/>
          <w:szCs w:val="24"/>
        </w:rPr>
        <w:t xml:space="preserve">more than </w:t>
      </w:r>
      <w:r w:rsidRPr="004B4540">
        <w:rPr>
          <w:rFonts w:cs="Times New Roman"/>
          <w:noProof/>
          <w:szCs w:val="24"/>
        </w:rPr>
        <w:t>in 202</w:t>
      </w:r>
      <w:r w:rsidR="004C7623" w:rsidRPr="004B4540">
        <w:rPr>
          <w:rFonts w:cs="Times New Roman"/>
          <w:noProof/>
          <w:szCs w:val="24"/>
        </w:rPr>
        <w:t>1</w:t>
      </w:r>
      <w:r w:rsidRPr="004B4540">
        <w:rPr>
          <w:rFonts w:cs="Times New Roman"/>
          <w:noProof/>
          <w:szCs w:val="24"/>
        </w:rPr>
        <w:t>) and 0.</w:t>
      </w:r>
      <w:r w:rsidR="00557B32" w:rsidRPr="004B4540">
        <w:rPr>
          <w:rFonts w:cs="Times New Roman"/>
          <w:noProof/>
          <w:szCs w:val="24"/>
        </w:rPr>
        <w:t>14</w:t>
      </w:r>
      <w:r w:rsidR="008A06D2" w:rsidRPr="004B4540">
        <w:rPr>
          <w:rFonts w:cs="Times New Roman"/>
          <w:noProof/>
          <w:szCs w:val="24"/>
        </w:rPr>
        <w:t> </w:t>
      </w:r>
      <w:r w:rsidRPr="004B4540">
        <w:rPr>
          <w:rFonts w:cs="Times New Roman"/>
          <w:noProof/>
          <w:szCs w:val="24"/>
        </w:rPr>
        <w:t>Mt emissions (</w:t>
      </w:r>
      <w:r w:rsidR="00557B32" w:rsidRPr="004B4540">
        <w:rPr>
          <w:rFonts w:cs="Times New Roman"/>
          <w:noProof/>
          <w:szCs w:val="24"/>
        </w:rPr>
        <w:t xml:space="preserve">also </w:t>
      </w:r>
      <w:r w:rsidRPr="004B4540">
        <w:rPr>
          <w:rFonts w:cs="Times New Roman"/>
          <w:noProof/>
          <w:szCs w:val="24"/>
        </w:rPr>
        <w:t>0.14</w:t>
      </w:r>
      <w:r w:rsidR="008A06D2" w:rsidRPr="004B4540">
        <w:rPr>
          <w:rFonts w:cs="Times New Roman"/>
          <w:noProof/>
          <w:szCs w:val="24"/>
        </w:rPr>
        <w:t> </w:t>
      </w:r>
      <w:r w:rsidRPr="004B4540">
        <w:rPr>
          <w:rFonts w:cs="Times New Roman"/>
          <w:noProof/>
          <w:szCs w:val="24"/>
        </w:rPr>
        <w:t>Mt in 202</w:t>
      </w:r>
      <w:r w:rsidR="004C7623" w:rsidRPr="004B4540">
        <w:rPr>
          <w:rFonts w:cs="Times New Roman"/>
          <w:noProof/>
          <w:szCs w:val="24"/>
        </w:rPr>
        <w:t>1</w:t>
      </w:r>
      <w:r w:rsidR="00EB7601" w:rsidRPr="004B4540">
        <w:rPr>
          <w:rFonts w:cs="Times New Roman"/>
          <w:noProof/>
          <w:szCs w:val="24"/>
        </w:rPr>
        <w:t xml:space="preserve">). One airline administered by Denmark accounted for 85% </w:t>
      </w:r>
      <w:r w:rsidR="00BC54AF" w:rsidRPr="004B4540">
        <w:rPr>
          <w:rFonts w:cs="Times New Roman"/>
          <w:noProof/>
          <w:szCs w:val="24"/>
        </w:rPr>
        <w:t xml:space="preserve">of the conservative estimates for aviation </w:t>
      </w:r>
      <w:r w:rsidR="00437B6D" w:rsidRPr="004B4540">
        <w:rPr>
          <w:rFonts w:cs="Times New Roman"/>
          <w:noProof/>
          <w:szCs w:val="24"/>
        </w:rPr>
        <w:t>because they had</w:t>
      </w:r>
      <w:r w:rsidR="00922EE6" w:rsidRPr="004B4540">
        <w:rPr>
          <w:rFonts w:cs="Times New Roman"/>
          <w:noProof/>
          <w:szCs w:val="24"/>
        </w:rPr>
        <w:t xml:space="preserve"> </w:t>
      </w:r>
      <w:r w:rsidR="00437B6D" w:rsidRPr="004B4540">
        <w:rPr>
          <w:rFonts w:cs="Times New Roman"/>
          <w:noProof/>
          <w:szCs w:val="24"/>
        </w:rPr>
        <w:t>submitted</w:t>
      </w:r>
      <w:r w:rsidR="00EB7601" w:rsidRPr="004B4540">
        <w:rPr>
          <w:rFonts w:cs="Times New Roman"/>
          <w:noProof/>
          <w:szCs w:val="24"/>
        </w:rPr>
        <w:t xml:space="preserve"> their emission report after the deadline</w:t>
      </w:r>
      <w:r w:rsidRPr="004B4540">
        <w:rPr>
          <w:rFonts w:cs="Times New Roman"/>
          <w:noProof/>
          <w:szCs w:val="24"/>
        </w:rPr>
        <w:t>.</w:t>
      </w:r>
    </w:p>
    <w:p w14:paraId="1C556447" w14:textId="50BF5395" w:rsidR="004C7623" w:rsidRPr="00BD74A8" w:rsidRDefault="009118E4" w:rsidP="004C7623">
      <w:pPr>
        <w:pStyle w:val="CMR23-text"/>
        <w:rPr>
          <w:noProof/>
        </w:rPr>
      </w:pPr>
      <w:r w:rsidRPr="004B4540">
        <w:rPr>
          <w:rFonts w:cs="Times New Roman"/>
          <w:noProof/>
          <w:szCs w:val="24"/>
        </w:rPr>
        <w:t xml:space="preserve">Competent authorities’ checks remain important to supplement verifiers’ work. In addition to checking emissions reports, </w:t>
      </w:r>
      <w:r w:rsidR="004C7623" w:rsidRPr="00BD74A8">
        <w:rPr>
          <w:noProof/>
        </w:rPr>
        <w:t xml:space="preserve">18 countries </w:t>
      </w:r>
      <w:r w:rsidRPr="004B4540">
        <w:rPr>
          <w:rFonts w:cs="Times New Roman"/>
          <w:noProof/>
          <w:szCs w:val="24"/>
        </w:rPr>
        <w:t xml:space="preserve">reported that they had carried out on-site inspections at installations. </w:t>
      </w:r>
      <w:r w:rsidR="00D65672">
        <w:rPr>
          <w:noProof/>
        </w:rPr>
        <w:t>Three</w:t>
      </w:r>
      <w:r w:rsidR="007F2E43" w:rsidRPr="00BD74A8">
        <w:rPr>
          <w:noProof/>
        </w:rPr>
        <w:t xml:space="preserve"> </w:t>
      </w:r>
      <w:r w:rsidR="004C7623" w:rsidRPr="00BD74A8">
        <w:rPr>
          <w:noProof/>
        </w:rPr>
        <w:t>countries</w:t>
      </w:r>
      <w:r w:rsidRPr="004B4540">
        <w:rPr>
          <w:rStyle w:val="FootnoteReference"/>
          <w:rFonts w:cs="Times New Roman"/>
          <w:noProof/>
          <w:szCs w:val="24"/>
        </w:rPr>
        <w:footnoteReference w:id="106"/>
      </w:r>
      <w:r w:rsidRPr="004B4540">
        <w:rPr>
          <w:rFonts w:cs="Times New Roman"/>
          <w:noProof/>
          <w:szCs w:val="24"/>
        </w:rPr>
        <w:t xml:space="preserve"> reported on-site inspections for aviation</w:t>
      </w:r>
      <w:r w:rsidR="00A33EB8" w:rsidRPr="004B4540">
        <w:rPr>
          <w:rFonts w:cs="Times New Roman"/>
          <w:noProof/>
          <w:szCs w:val="24"/>
        </w:rPr>
        <w:t xml:space="preserve"> (</w:t>
      </w:r>
      <w:r w:rsidR="004C7623" w:rsidRPr="004B4540">
        <w:rPr>
          <w:rFonts w:cs="Times New Roman"/>
          <w:noProof/>
          <w:szCs w:val="24"/>
        </w:rPr>
        <w:t>no</w:t>
      </w:r>
      <w:r w:rsidRPr="004B4540">
        <w:rPr>
          <w:rFonts w:cs="Times New Roman"/>
          <w:noProof/>
          <w:szCs w:val="24"/>
        </w:rPr>
        <w:t xml:space="preserve"> countries </w:t>
      </w:r>
      <w:r w:rsidR="00C2059B" w:rsidRPr="004B4540">
        <w:rPr>
          <w:rFonts w:cs="Times New Roman"/>
          <w:noProof/>
          <w:szCs w:val="24"/>
        </w:rPr>
        <w:t>reported these inspections in 2021)</w:t>
      </w:r>
      <w:r w:rsidRPr="004B4540">
        <w:rPr>
          <w:rFonts w:cs="Times New Roman"/>
          <w:noProof/>
          <w:szCs w:val="24"/>
        </w:rPr>
        <w:t xml:space="preserve">. </w:t>
      </w:r>
      <w:r w:rsidR="004C7623" w:rsidRPr="00BD74A8">
        <w:rPr>
          <w:noProof/>
        </w:rPr>
        <w:t xml:space="preserve">These numbers decreased during the COVID-19 pandemic, </w:t>
      </w:r>
      <w:r w:rsidR="009676C4" w:rsidRPr="00BD74A8">
        <w:rPr>
          <w:noProof/>
        </w:rPr>
        <w:t>but</w:t>
      </w:r>
      <w:r w:rsidR="004C7623" w:rsidRPr="00BD74A8">
        <w:rPr>
          <w:noProof/>
        </w:rPr>
        <w:t xml:space="preserve"> are expected to increase again.</w:t>
      </w:r>
    </w:p>
    <w:p w14:paraId="5273FBC8" w14:textId="72FB6FD9" w:rsidR="009118E4" w:rsidRPr="004B4540" w:rsidRDefault="009118E4" w:rsidP="009118E4">
      <w:pPr>
        <w:pStyle w:val="CMR23-text"/>
        <w:rPr>
          <w:rFonts w:cs="Times New Roman"/>
          <w:noProof/>
          <w:szCs w:val="24"/>
        </w:rPr>
      </w:pPr>
      <w:r w:rsidRPr="004B4540">
        <w:rPr>
          <w:rFonts w:cs="Times New Roman"/>
          <w:noProof/>
          <w:szCs w:val="24"/>
        </w:rPr>
        <w:t xml:space="preserve">In 2022, </w:t>
      </w:r>
      <w:r w:rsidR="009676C4" w:rsidRPr="004E1995">
        <w:rPr>
          <w:rFonts w:cs="Times New Roman"/>
          <w:noProof/>
          <w:szCs w:val="24"/>
        </w:rPr>
        <w:t xml:space="preserve">40 </w:t>
      </w:r>
      <w:r w:rsidRPr="004E1995">
        <w:rPr>
          <w:rFonts w:cs="Times New Roman"/>
          <w:noProof/>
          <w:szCs w:val="24"/>
        </w:rPr>
        <w:t>installation operators</w:t>
      </w:r>
      <w:r w:rsidRPr="004B4540">
        <w:rPr>
          <w:rFonts w:cs="Times New Roman"/>
          <w:noProof/>
          <w:szCs w:val="24"/>
        </w:rPr>
        <w:t xml:space="preserve"> in </w:t>
      </w:r>
      <w:r w:rsidR="009676C4" w:rsidRPr="004E1995">
        <w:rPr>
          <w:rFonts w:cs="Times New Roman"/>
          <w:noProof/>
          <w:szCs w:val="24"/>
        </w:rPr>
        <w:t xml:space="preserve">10 </w:t>
      </w:r>
      <w:r w:rsidRPr="004E1995">
        <w:rPr>
          <w:rFonts w:cs="Times New Roman"/>
          <w:noProof/>
          <w:szCs w:val="24"/>
        </w:rPr>
        <w:t>countries</w:t>
      </w:r>
      <w:r w:rsidRPr="004B4540">
        <w:rPr>
          <w:rFonts w:cs="Times New Roman"/>
          <w:noProof/>
          <w:szCs w:val="24"/>
        </w:rPr>
        <w:t xml:space="preserve"> </w:t>
      </w:r>
      <w:r w:rsidR="00C2059B" w:rsidRPr="004B4540">
        <w:rPr>
          <w:rFonts w:cs="Times New Roman"/>
          <w:noProof/>
          <w:szCs w:val="24"/>
        </w:rPr>
        <w:t>were fined</w:t>
      </w:r>
      <w:r w:rsidRPr="004B4540">
        <w:rPr>
          <w:rFonts w:cs="Times New Roman"/>
          <w:noProof/>
          <w:szCs w:val="24"/>
        </w:rPr>
        <w:t xml:space="preserve"> for </w:t>
      </w:r>
      <w:r w:rsidR="005C53C1" w:rsidRPr="004B4540">
        <w:rPr>
          <w:rFonts w:cs="Times New Roman"/>
          <w:noProof/>
          <w:szCs w:val="24"/>
        </w:rPr>
        <w:t>not surrendering sufficient emission allowances to cover their reported emissions (</w:t>
      </w:r>
      <w:r w:rsidRPr="004B4540">
        <w:rPr>
          <w:rFonts w:cs="Times New Roman"/>
          <w:noProof/>
          <w:szCs w:val="24"/>
        </w:rPr>
        <w:t>excess emissions</w:t>
      </w:r>
      <w:r w:rsidR="005C53C1" w:rsidRPr="004B4540">
        <w:rPr>
          <w:rFonts w:cs="Times New Roman"/>
          <w:noProof/>
          <w:szCs w:val="24"/>
        </w:rPr>
        <w:t>)</w:t>
      </w:r>
      <w:r w:rsidRPr="004B4540">
        <w:rPr>
          <w:rFonts w:cs="Times New Roman"/>
          <w:noProof/>
          <w:szCs w:val="24"/>
        </w:rPr>
        <w:t xml:space="preserve">. For aviation, excess emissions penalties were reported by </w:t>
      </w:r>
      <w:r w:rsidR="00C2059B" w:rsidRPr="004E1995">
        <w:rPr>
          <w:rFonts w:cs="Times New Roman"/>
          <w:noProof/>
          <w:szCs w:val="24"/>
        </w:rPr>
        <w:t>six</w:t>
      </w:r>
      <w:r w:rsidR="005C53C1" w:rsidRPr="004E1995">
        <w:rPr>
          <w:rFonts w:cs="Times New Roman"/>
          <w:noProof/>
          <w:szCs w:val="24"/>
        </w:rPr>
        <w:t xml:space="preserve"> </w:t>
      </w:r>
      <w:r w:rsidRPr="004E1995">
        <w:rPr>
          <w:rFonts w:cs="Times New Roman"/>
          <w:noProof/>
          <w:szCs w:val="24"/>
        </w:rPr>
        <w:t xml:space="preserve">countries for </w:t>
      </w:r>
      <w:r w:rsidR="00C2059B" w:rsidRPr="004E1995">
        <w:rPr>
          <w:rFonts w:cs="Times New Roman"/>
          <w:noProof/>
          <w:szCs w:val="24"/>
        </w:rPr>
        <w:t>nine</w:t>
      </w:r>
      <w:r w:rsidR="005C53C1" w:rsidRPr="004E1995">
        <w:rPr>
          <w:rFonts w:cs="Times New Roman"/>
          <w:noProof/>
          <w:szCs w:val="24"/>
        </w:rPr>
        <w:t xml:space="preserve"> </w:t>
      </w:r>
      <w:r w:rsidRPr="004E1995">
        <w:rPr>
          <w:rFonts w:cs="Times New Roman"/>
          <w:noProof/>
          <w:szCs w:val="24"/>
        </w:rPr>
        <w:t>aircraft operators</w:t>
      </w:r>
      <w:r w:rsidRPr="004B4540">
        <w:rPr>
          <w:rFonts w:cs="Times New Roman"/>
          <w:noProof/>
          <w:szCs w:val="24"/>
        </w:rPr>
        <w:t xml:space="preserve">. </w:t>
      </w:r>
      <w:r w:rsidR="005C53C1" w:rsidRPr="004E1995">
        <w:rPr>
          <w:rFonts w:cs="Times New Roman"/>
          <w:noProof/>
          <w:szCs w:val="24"/>
        </w:rPr>
        <w:t xml:space="preserve">13 </w:t>
      </w:r>
      <w:r w:rsidRPr="004E1995">
        <w:rPr>
          <w:rFonts w:cs="Times New Roman"/>
          <w:noProof/>
          <w:szCs w:val="24"/>
        </w:rPr>
        <w:t>countries</w:t>
      </w:r>
      <w:r w:rsidRPr="004B4540">
        <w:rPr>
          <w:rStyle w:val="FootnoteReference"/>
          <w:rFonts w:cs="Times New Roman"/>
          <w:noProof/>
          <w:szCs w:val="24"/>
        </w:rPr>
        <w:footnoteReference w:id="107"/>
      </w:r>
      <w:r w:rsidRPr="004B4540">
        <w:rPr>
          <w:rFonts w:cs="Times New Roman"/>
          <w:noProof/>
          <w:szCs w:val="24"/>
        </w:rPr>
        <w:t xml:space="preserve"> reported </w:t>
      </w:r>
      <w:r w:rsidR="005C53C1" w:rsidRPr="004E1995">
        <w:rPr>
          <w:rFonts w:cs="Times New Roman"/>
          <w:noProof/>
          <w:szCs w:val="24"/>
        </w:rPr>
        <w:t xml:space="preserve">66 </w:t>
      </w:r>
      <w:r w:rsidRPr="004E1995">
        <w:rPr>
          <w:rFonts w:cs="Times New Roman"/>
          <w:noProof/>
          <w:szCs w:val="24"/>
        </w:rPr>
        <w:t>infringements</w:t>
      </w:r>
      <w:r w:rsidR="006D06AB" w:rsidRPr="004B4540">
        <w:rPr>
          <w:rFonts w:cs="Times New Roman"/>
          <w:noProof/>
          <w:szCs w:val="24"/>
        </w:rPr>
        <w:t>, which resulted in penalties, formal warnings or formal notices, aside from excess emissions cases.</w:t>
      </w:r>
      <w:r w:rsidRPr="004B4540">
        <w:rPr>
          <w:rFonts w:cs="Times New Roman"/>
          <w:noProof/>
          <w:szCs w:val="24"/>
        </w:rPr>
        <w:t xml:space="preserve"> </w:t>
      </w:r>
      <w:r w:rsidR="00D45443" w:rsidRPr="004B4540">
        <w:rPr>
          <w:rFonts w:cs="Times New Roman"/>
          <w:noProof/>
          <w:szCs w:val="24"/>
        </w:rPr>
        <w:t xml:space="preserve">A total of </w:t>
      </w:r>
      <w:r w:rsidR="005C53C1" w:rsidRPr="004E1995">
        <w:rPr>
          <w:rFonts w:cs="Times New Roman"/>
          <w:noProof/>
          <w:szCs w:val="24"/>
        </w:rPr>
        <w:t xml:space="preserve">21 </w:t>
      </w:r>
      <w:r w:rsidRPr="004E1995">
        <w:rPr>
          <w:rFonts w:cs="Times New Roman"/>
          <w:noProof/>
          <w:szCs w:val="24"/>
        </w:rPr>
        <w:t>fines</w:t>
      </w:r>
      <w:r w:rsidRPr="004B4540">
        <w:rPr>
          <w:rFonts w:cs="Times New Roman"/>
          <w:noProof/>
          <w:szCs w:val="24"/>
        </w:rPr>
        <w:t xml:space="preserve"> were reported (either issued or to be issued e.g.</w:t>
      </w:r>
      <w:r w:rsidR="00D65672">
        <w:rPr>
          <w:rFonts w:cs="Times New Roman"/>
          <w:noProof/>
          <w:szCs w:val="24"/>
        </w:rPr>
        <w:t>,</w:t>
      </w:r>
      <w:r w:rsidRPr="004B4540">
        <w:rPr>
          <w:rFonts w:cs="Times New Roman"/>
          <w:noProof/>
          <w:szCs w:val="24"/>
        </w:rPr>
        <w:t xml:space="preserve"> due to ongoing legal proceedings), </w:t>
      </w:r>
      <w:r w:rsidR="00A3183D" w:rsidRPr="004B4540">
        <w:rPr>
          <w:rFonts w:cs="Times New Roman"/>
          <w:noProof/>
          <w:szCs w:val="24"/>
        </w:rPr>
        <w:t xml:space="preserve">amounting to </w:t>
      </w:r>
      <w:r w:rsidRPr="004B4540">
        <w:rPr>
          <w:rFonts w:cs="Times New Roman"/>
          <w:noProof/>
          <w:szCs w:val="24"/>
        </w:rPr>
        <w:t>EUR</w:t>
      </w:r>
      <w:r w:rsidR="005C53C1" w:rsidRPr="004B4540">
        <w:rPr>
          <w:rFonts w:cs="Times New Roman"/>
          <w:noProof/>
          <w:szCs w:val="24"/>
        </w:rPr>
        <w:t> 65.6</w:t>
      </w:r>
      <w:r w:rsidRPr="004B4540">
        <w:rPr>
          <w:rFonts w:cs="Times New Roman"/>
          <w:noProof/>
          <w:szCs w:val="24"/>
        </w:rPr>
        <w:t xml:space="preserve"> million. This includes aviation, with </w:t>
      </w:r>
      <w:r w:rsidR="00D65672">
        <w:rPr>
          <w:rFonts w:cs="Times New Roman"/>
          <w:noProof/>
          <w:szCs w:val="24"/>
        </w:rPr>
        <w:t>eight</w:t>
      </w:r>
      <w:r w:rsidR="005C53C1" w:rsidRPr="004B4540">
        <w:rPr>
          <w:rFonts w:cs="Times New Roman"/>
          <w:noProof/>
          <w:szCs w:val="24"/>
        </w:rPr>
        <w:t xml:space="preserve"> </w:t>
      </w:r>
      <w:r w:rsidRPr="004B4540">
        <w:rPr>
          <w:rFonts w:cs="Times New Roman"/>
          <w:noProof/>
          <w:szCs w:val="24"/>
        </w:rPr>
        <w:t xml:space="preserve">infringements in </w:t>
      </w:r>
      <w:r w:rsidR="00D65672">
        <w:rPr>
          <w:rFonts w:cs="Times New Roman"/>
          <w:noProof/>
          <w:szCs w:val="24"/>
        </w:rPr>
        <w:t>five</w:t>
      </w:r>
      <w:r w:rsidR="005C53C1" w:rsidRPr="000928C6">
        <w:rPr>
          <w:rFonts w:cs="Times New Roman"/>
          <w:noProof/>
          <w:szCs w:val="24"/>
        </w:rPr>
        <w:t xml:space="preserve"> </w:t>
      </w:r>
      <w:r w:rsidRPr="000928C6">
        <w:rPr>
          <w:rFonts w:cs="Times New Roman"/>
          <w:noProof/>
          <w:szCs w:val="24"/>
        </w:rPr>
        <w:t xml:space="preserve">countries, leading to </w:t>
      </w:r>
      <w:r w:rsidR="00D65672">
        <w:rPr>
          <w:rFonts w:cs="Times New Roman"/>
          <w:noProof/>
          <w:szCs w:val="24"/>
        </w:rPr>
        <w:t>three</w:t>
      </w:r>
      <w:r w:rsidR="00387E3E" w:rsidRPr="000928C6">
        <w:rPr>
          <w:rFonts w:cs="Times New Roman"/>
          <w:noProof/>
          <w:szCs w:val="24"/>
        </w:rPr>
        <w:t xml:space="preserve"> </w:t>
      </w:r>
      <w:r w:rsidRPr="000928C6">
        <w:rPr>
          <w:rFonts w:cs="Times New Roman"/>
          <w:noProof/>
          <w:szCs w:val="24"/>
        </w:rPr>
        <w:t>fines, for a total of EUR</w:t>
      </w:r>
      <w:r w:rsidR="005C53C1" w:rsidRPr="000928C6">
        <w:rPr>
          <w:rFonts w:cs="Times New Roman"/>
          <w:noProof/>
          <w:szCs w:val="24"/>
        </w:rPr>
        <w:t> 325</w:t>
      </w:r>
      <w:r w:rsidR="00387E3E" w:rsidRPr="000928C6">
        <w:rPr>
          <w:rFonts w:cs="Times New Roman"/>
          <w:noProof/>
          <w:szCs w:val="24"/>
        </w:rPr>
        <w:t> </w:t>
      </w:r>
      <w:r w:rsidRPr="000928C6">
        <w:rPr>
          <w:rFonts w:cs="Times New Roman"/>
          <w:noProof/>
          <w:szCs w:val="24"/>
        </w:rPr>
        <w:t>000.</w:t>
      </w:r>
    </w:p>
    <w:p w14:paraId="66C67333" w14:textId="47F23018" w:rsidR="00286BA6" w:rsidRPr="004B4540" w:rsidRDefault="009118E4" w:rsidP="00286BA6">
      <w:pPr>
        <w:pStyle w:val="CMR23-text"/>
        <w:rPr>
          <w:rFonts w:cs="Times New Roman"/>
          <w:noProof/>
          <w:szCs w:val="24"/>
        </w:rPr>
      </w:pPr>
      <w:r w:rsidRPr="004B4540">
        <w:rPr>
          <w:rFonts w:cs="Times New Roman"/>
          <w:noProof/>
          <w:szCs w:val="24"/>
        </w:rPr>
        <w:t xml:space="preserve">The most common infringements reported for 2022 were </w:t>
      </w:r>
      <w:r w:rsidR="003F18D2" w:rsidRPr="004B4540">
        <w:rPr>
          <w:rFonts w:cs="Times New Roman"/>
          <w:noProof/>
          <w:szCs w:val="24"/>
        </w:rPr>
        <w:t xml:space="preserve">a failure to submit an emissions report (16 </w:t>
      </w:r>
      <w:r w:rsidR="004D2CAE" w:rsidRPr="004B4540">
        <w:rPr>
          <w:rFonts w:cs="Times New Roman"/>
          <w:noProof/>
          <w:szCs w:val="24"/>
        </w:rPr>
        <w:t>cases</w:t>
      </w:r>
      <w:r w:rsidR="003F18D2" w:rsidRPr="004B4540">
        <w:rPr>
          <w:rFonts w:cs="Times New Roman"/>
          <w:noProof/>
          <w:szCs w:val="24"/>
        </w:rPr>
        <w:t>) or an activity level report (</w:t>
      </w:r>
      <w:r w:rsidR="004D2CAE" w:rsidRPr="004B4540">
        <w:rPr>
          <w:rFonts w:cs="Times New Roman"/>
          <w:noProof/>
          <w:szCs w:val="24"/>
        </w:rPr>
        <w:t>four</w:t>
      </w:r>
      <w:r w:rsidR="003F18D2" w:rsidRPr="004B4540">
        <w:rPr>
          <w:rFonts w:cs="Times New Roman"/>
          <w:noProof/>
          <w:szCs w:val="24"/>
        </w:rPr>
        <w:t xml:space="preserve"> </w:t>
      </w:r>
      <w:r w:rsidR="004D2CAE" w:rsidRPr="004B4540">
        <w:rPr>
          <w:rFonts w:cs="Times New Roman"/>
          <w:noProof/>
          <w:szCs w:val="24"/>
        </w:rPr>
        <w:t>cases</w:t>
      </w:r>
      <w:r w:rsidR="003F18D2" w:rsidRPr="004B4540">
        <w:rPr>
          <w:rFonts w:cs="Times New Roman"/>
          <w:noProof/>
          <w:szCs w:val="24"/>
        </w:rPr>
        <w:t>) in due time, a failure to notify changes or update the monitoring plan (</w:t>
      </w:r>
      <w:r w:rsidR="004D2CAE" w:rsidRPr="004B4540">
        <w:rPr>
          <w:rFonts w:cs="Times New Roman"/>
          <w:noProof/>
          <w:szCs w:val="24"/>
        </w:rPr>
        <w:t>nine</w:t>
      </w:r>
      <w:r w:rsidR="003F18D2" w:rsidRPr="004B4540">
        <w:rPr>
          <w:rFonts w:cs="Times New Roman"/>
          <w:noProof/>
          <w:szCs w:val="24"/>
        </w:rPr>
        <w:t xml:space="preserve"> </w:t>
      </w:r>
      <w:r w:rsidR="004D2CAE" w:rsidRPr="004B4540">
        <w:rPr>
          <w:rFonts w:cs="Times New Roman"/>
          <w:noProof/>
          <w:szCs w:val="24"/>
        </w:rPr>
        <w:t>cases</w:t>
      </w:r>
      <w:r w:rsidR="003F18D2" w:rsidRPr="004B4540">
        <w:rPr>
          <w:rFonts w:cs="Times New Roman"/>
          <w:noProof/>
          <w:szCs w:val="24"/>
        </w:rPr>
        <w:t>) and operation without an emissions permit (</w:t>
      </w:r>
      <w:r w:rsidR="004D2CAE" w:rsidRPr="004B4540">
        <w:rPr>
          <w:rFonts w:cs="Times New Roman"/>
          <w:noProof/>
          <w:szCs w:val="24"/>
        </w:rPr>
        <w:t>six</w:t>
      </w:r>
      <w:r w:rsidR="003F18D2" w:rsidRPr="004B4540">
        <w:rPr>
          <w:rFonts w:cs="Times New Roman"/>
          <w:noProof/>
          <w:szCs w:val="24"/>
        </w:rPr>
        <w:t xml:space="preserve"> </w:t>
      </w:r>
      <w:r w:rsidR="004D2CAE" w:rsidRPr="004B4540">
        <w:rPr>
          <w:rFonts w:cs="Times New Roman"/>
          <w:noProof/>
          <w:szCs w:val="24"/>
        </w:rPr>
        <w:t>cases</w:t>
      </w:r>
      <w:r w:rsidR="003F18D2" w:rsidRPr="004B4540">
        <w:rPr>
          <w:rFonts w:cs="Times New Roman"/>
          <w:noProof/>
          <w:szCs w:val="24"/>
        </w:rPr>
        <w:t xml:space="preserve">). </w:t>
      </w:r>
    </w:p>
    <w:p w14:paraId="5FD09AC4" w14:textId="72A65476" w:rsidR="003A5A52" w:rsidRPr="004B4540" w:rsidRDefault="003A5A52" w:rsidP="00CE5873">
      <w:pPr>
        <w:pStyle w:val="CMR23-heading"/>
        <w:rPr>
          <w:rFonts w:cs="Times New Roman"/>
          <w:noProof/>
          <w:sz w:val="24"/>
          <w:szCs w:val="24"/>
          <w:lang w:val="en-GB"/>
        </w:rPr>
      </w:pPr>
      <w:bookmarkStart w:id="88" w:name="_Toc148555900"/>
      <w:r w:rsidRPr="004B4540">
        <w:rPr>
          <w:rFonts w:cs="Times New Roman"/>
          <w:noProof/>
          <w:sz w:val="24"/>
          <w:szCs w:val="24"/>
          <w:lang w:val="en-GB"/>
        </w:rPr>
        <w:t xml:space="preserve">Link between the EU ETS and </w:t>
      </w:r>
      <w:r w:rsidR="005015B0" w:rsidRPr="004B4540">
        <w:rPr>
          <w:rFonts w:cs="Times New Roman"/>
          <w:noProof/>
          <w:sz w:val="24"/>
          <w:szCs w:val="24"/>
          <w:lang w:val="en-GB"/>
        </w:rPr>
        <w:t xml:space="preserve">the </w:t>
      </w:r>
      <w:r w:rsidRPr="004B4540">
        <w:rPr>
          <w:rFonts w:cs="Times New Roman"/>
          <w:noProof/>
          <w:sz w:val="24"/>
          <w:szCs w:val="24"/>
          <w:lang w:val="en-GB"/>
        </w:rPr>
        <w:t>Swiss ETS</w:t>
      </w:r>
      <w:bookmarkEnd w:id="88"/>
    </w:p>
    <w:p w14:paraId="06F14F3D" w14:textId="49E3D2E5" w:rsidR="003A5A52" w:rsidRPr="003A5A52" w:rsidRDefault="007905D4" w:rsidP="003A5A52">
      <w:pPr>
        <w:pStyle w:val="CMR23-text"/>
        <w:rPr>
          <w:noProof/>
        </w:rPr>
      </w:pPr>
      <w:bookmarkStart w:id="89" w:name="_Toc145453250"/>
      <w:r>
        <w:rPr>
          <w:noProof/>
        </w:rPr>
        <w:t>Since</w:t>
      </w:r>
      <w:r w:rsidRPr="0084026D">
        <w:rPr>
          <w:noProof/>
        </w:rPr>
        <w:t xml:space="preserve"> </w:t>
      </w:r>
      <w:r w:rsidR="003A5A52" w:rsidRPr="003A5A52">
        <w:rPr>
          <w:noProof/>
        </w:rPr>
        <w:t xml:space="preserve">2020, the EU ETS and the </w:t>
      </w:r>
      <w:r w:rsidR="002E5693">
        <w:rPr>
          <w:noProof/>
        </w:rPr>
        <w:t xml:space="preserve">Swiss ETS have been </w:t>
      </w:r>
      <w:r w:rsidR="002E5693" w:rsidRPr="0084026D">
        <w:rPr>
          <w:noProof/>
        </w:rPr>
        <w:t xml:space="preserve">linked </w:t>
      </w:r>
      <w:r w:rsidR="003A5A52" w:rsidRPr="003A5A52">
        <w:rPr>
          <w:noProof/>
        </w:rPr>
        <w:t xml:space="preserve">through an international </w:t>
      </w:r>
      <w:r w:rsidR="008A3BA3">
        <w:rPr>
          <w:noProof/>
        </w:rPr>
        <w:t>a</w:t>
      </w:r>
      <w:r w:rsidR="008A3BA3" w:rsidRPr="0084026D">
        <w:rPr>
          <w:noProof/>
        </w:rPr>
        <w:t xml:space="preserve">greement between the </w:t>
      </w:r>
      <w:r w:rsidR="008A3BA3">
        <w:rPr>
          <w:noProof/>
        </w:rPr>
        <w:t xml:space="preserve">EU </w:t>
      </w:r>
      <w:r w:rsidR="008A3BA3" w:rsidRPr="0084026D">
        <w:rPr>
          <w:noProof/>
        </w:rPr>
        <w:t>and the Swiss Confederation</w:t>
      </w:r>
      <w:r w:rsidR="003A5A52" w:rsidRPr="003A5A52">
        <w:rPr>
          <w:noProof/>
        </w:rPr>
        <w:t xml:space="preserve">. This means that allowances issued in one system can be surrendered for emissions generated in either of the two systems. With access to a larger market, operators </w:t>
      </w:r>
      <w:r w:rsidR="00FC06AD" w:rsidRPr="0084026D">
        <w:rPr>
          <w:noProof/>
        </w:rPr>
        <w:t xml:space="preserve">can </w:t>
      </w:r>
      <w:r w:rsidR="00FC06AD">
        <w:rPr>
          <w:noProof/>
        </w:rPr>
        <w:t>make</w:t>
      </w:r>
      <w:r w:rsidR="00FC06AD" w:rsidRPr="0084026D">
        <w:rPr>
          <w:noProof/>
        </w:rPr>
        <w:t xml:space="preserve"> </w:t>
      </w:r>
      <w:r w:rsidR="003A5A52" w:rsidRPr="003A5A52">
        <w:rPr>
          <w:noProof/>
        </w:rPr>
        <w:t xml:space="preserve">cost-efficiency gains and </w:t>
      </w:r>
      <w:r w:rsidR="006A3B02">
        <w:rPr>
          <w:noProof/>
        </w:rPr>
        <w:t xml:space="preserve">have </w:t>
      </w:r>
      <w:r w:rsidR="003A5A52" w:rsidRPr="003A5A52">
        <w:rPr>
          <w:noProof/>
        </w:rPr>
        <w:t>more options for emissions abatement. The Linking Agreement</w:t>
      </w:r>
      <w:r w:rsidR="00D17201">
        <w:rPr>
          <w:rStyle w:val="FootnoteReference"/>
          <w:noProof/>
        </w:rPr>
        <w:footnoteReference w:id="108"/>
      </w:r>
      <w:r w:rsidR="003A5A52" w:rsidRPr="003A5A52">
        <w:rPr>
          <w:noProof/>
        </w:rPr>
        <w:t xml:space="preserve"> sets out the conditions and requirements under which the two systems are linked. It also establishes a mechanism to ensure that the linking conditions of Article 25 of the ETS Directive are respected. </w:t>
      </w:r>
    </w:p>
    <w:p w14:paraId="2F5EC05C" w14:textId="020F6CB5" w:rsidR="00AB367F" w:rsidRDefault="003A5A52" w:rsidP="003A5A52">
      <w:pPr>
        <w:pStyle w:val="CMR23-text"/>
        <w:rPr>
          <w:noProof/>
        </w:rPr>
      </w:pPr>
      <w:r w:rsidRPr="003A5A52">
        <w:rPr>
          <w:noProof/>
        </w:rPr>
        <w:t xml:space="preserve">Including aviation in the Linking Agreement was a crucial requirement for the EU. </w:t>
      </w:r>
      <w:r w:rsidR="00F026FF">
        <w:rPr>
          <w:noProof/>
        </w:rPr>
        <w:t>Under</w:t>
      </w:r>
      <w:r w:rsidRPr="003A5A52">
        <w:rPr>
          <w:noProof/>
        </w:rPr>
        <w:t xml:space="preserve"> Article 6 of the Agreement, Switzerland applies the same approach to the rules on coverage, cap and allocation as the EU ETS. </w:t>
      </w:r>
      <w:r w:rsidR="00E3502C">
        <w:rPr>
          <w:noProof/>
        </w:rPr>
        <w:t>In line with</w:t>
      </w:r>
      <w:r w:rsidR="00443B84">
        <w:rPr>
          <w:noProof/>
        </w:rPr>
        <w:t xml:space="preserve"> Article 7 of the Linking Agreement, this will </w:t>
      </w:r>
      <w:r w:rsidR="00FB29CC">
        <w:rPr>
          <w:noProof/>
        </w:rPr>
        <w:t xml:space="preserve">continue </w:t>
      </w:r>
      <w:r w:rsidR="00E3502C">
        <w:rPr>
          <w:noProof/>
        </w:rPr>
        <w:t>under the revised ETS Directive</w:t>
      </w:r>
      <w:r w:rsidR="00443B84">
        <w:rPr>
          <w:noProof/>
        </w:rPr>
        <w:t xml:space="preserve">. </w:t>
      </w:r>
      <w:r w:rsidRPr="003A5A52">
        <w:rPr>
          <w:noProof/>
        </w:rPr>
        <w:t xml:space="preserve">Swiss domestic flights and flights departing to EEA airports are covered by the Swiss ETS, </w:t>
      </w:r>
      <w:r w:rsidR="00A6008B" w:rsidRPr="0084026D">
        <w:rPr>
          <w:noProof/>
        </w:rPr>
        <w:t>whil</w:t>
      </w:r>
      <w:r w:rsidR="00A6008B">
        <w:rPr>
          <w:noProof/>
        </w:rPr>
        <w:t>e</w:t>
      </w:r>
      <w:r w:rsidR="00A6008B" w:rsidRPr="0084026D">
        <w:rPr>
          <w:noProof/>
        </w:rPr>
        <w:t xml:space="preserve"> flights departing to Switzerland fall under the EU ETS</w:t>
      </w:r>
      <w:r w:rsidRPr="003A5A52">
        <w:rPr>
          <w:noProof/>
        </w:rPr>
        <w:t xml:space="preserve">. This arrangement safeguards the environmental integrity of both systems. </w:t>
      </w:r>
      <w:r w:rsidR="00D47DB1" w:rsidRPr="0084026D">
        <w:rPr>
          <w:noProof/>
        </w:rPr>
        <w:t xml:space="preserve">Both the EU ETS and the Swiss ETS </w:t>
      </w:r>
      <w:r w:rsidR="00D47DB1">
        <w:rPr>
          <w:noProof/>
        </w:rPr>
        <w:t xml:space="preserve">have </w:t>
      </w:r>
      <w:r w:rsidR="00D47DB1" w:rsidRPr="0084026D">
        <w:rPr>
          <w:noProof/>
        </w:rPr>
        <w:t>appl</w:t>
      </w:r>
      <w:r w:rsidR="00D47DB1">
        <w:rPr>
          <w:noProof/>
        </w:rPr>
        <w:t>ied</w:t>
      </w:r>
      <w:r w:rsidR="00D47DB1" w:rsidRPr="0084026D">
        <w:rPr>
          <w:noProof/>
        </w:rPr>
        <w:t xml:space="preserve"> the same approach to flights with the UK </w:t>
      </w:r>
      <w:r w:rsidR="00D47DB1">
        <w:rPr>
          <w:noProof/>
        </w:rPr>
        <w:t xml:space="preserve">since </w:t>
      </w:r>
      <w:r w:rsidR="00D47DB1" w:rsidRPr="0084026D">
        <w:rPr>
          <w:noProof/>
        </w:rPr>
        <w:t>Brexit, covering only departing flights to the UK</w:t>
      </w:r>
      <w:r w:rsidRPr="003A5A52">
        <w:rPr>
          <w:noProof/>
        </w:rPr>
        <w:t>.</w:t>
      </w:r>
      <w:r>
        <w:rPr>
          <w:noProof/>
        </w:rPr>
        <w:t xml:space="preserve"> </w:t>
      </w:r>
    </w:p>
    <w:p w14:paraId="3ADCAB7E" w14:textId="6F1F02E3" w:rsidR="003A5A52" w:rsidRDefault="00494FC2" w:rsidP="003A5A52">
      <w:pPr>
        <w:pStyle w:val="CMR23-text"/>
        <w:rPr>
          <w:noProof/>
        </w:rPr>
      </w:pPr>
      <w:r>
        <w:rPr>
          <w:noProof/>
        </w:rPr>
        <w:t xml:space="preserve">Tables </w:t>
      </w:r>
      <w:r w:rsidR="00DF4A4F">
        <w:rPr>
          <w:noProof/>
        </w:rPr>
        <w:t>16</w:t>
      </w:r>
      <w:r>
        <w:rPr>
          <w:noProof/>
        </w:rPr>
        <w:t xml:space="preserve"> and </w:t>
      </w:r>
      <w:r w:rsidR="00DF4A4F">
        <w:rPr>
          <w:noProof/>
        </w:rPr>
        <w:t>17</w:t>
      </w:r>
      <w:r>
        <w:rPr>
          <w:noProof/>
        </w:rPr>
        <w:t xml:space="preserve"> in the </w:t>
      </w:r>
      <w:r w:rsidR="004A3C8F">
        <w:rPr>
          <w:noProof/>
        </w:rPr>
        <w:t>Staff working document</w:t>
      </w:r>
      <w:r w:rsidR="009F78C2">
        <w:rPr>
          <w:rStyle w:val="FootnoteReference"/>
          <w:noProof/>
        </w:rPr>
        <w:footnoteReference w:id="109"/>
      </w:r>
      <w:r w:rsidR="003A5A52">
        <w:rPr>
          <w:noProof/>
        </w:rPr>
        <w:t xml:space="preserve"> </w:t>
      </w:r>
      <w:r w:rsidR="00445F62">
        <w:rPr>
          <w:noProof/>
        </w:rPr>
        <w:t>show</w:t>
      </w:r>
      <w:r w:rsidR="003A5A52">
        <w:rPr>
          <w:noProof/>
        </w:rPr>
        <w:t xml:space="preserve"> </w:t>
      </w:r>
      <w:r w:rsidR="003A5A52" w:rsidRPr="003A5A52">
        <w:rPr>
          <w:noProof/>
        </w:rPr>
        <w:t xml:space="preserve">key figures for both systems in 2022 – </w:t>
      </w:r>
      <w:r w:rsidR="00F00FBC">
        <w:rPr>
          <w:noProof/>
        </w:rPr>
        <w:t xml:space="preserve">auctioned </w:t>
      </w:r>
      <w:r w:rsidR="00F00FBC" w:rsidRPr="0084026D">
        <w:rPr>
          <w:noProof/>
        </w:rPr>
        <w:t>allowances, free allocation and verified emissions for installation</w:t>
      </w:r>
      <w:r w:rsidR="00445F62">
        <w:rPr>
          <w:noProof/>
        </w:rPr>
        <w:t>s</w:t>
      </w:r>
      <w:r w:rsidR="00F00FBC" w:rsidRPr="0084026D">
        <w:rPr>
          <w:noProof/>
        </w:rPr>
        <w:t xml:space="preserve"> and aircraft operators</w:t>
      </w:r>
      <w:r w:rsidR="003A5A52" w:rsidRPr="003A5A52">
        <w:rPr>
          <w:noProof/>
        </w:rPr>
        <w:t xml:space="preserve">. </w:t>
      </w:r>
      <w:r w:rsidR="004C73F1">
        <w:rPr>
          <w:noProof/>
        </w:rPr>
        <w:t>When comp</w:t>
      </w:r>
      <w:r w:rsidR="00DA034E">
        <w:rPr>
          <w:noProof/>
        </w:rPr>
        <w:t>a</w:t>
      </w:r>
      <w:r w:rsidR="004C73F1">
        <w:rPr>
          <w:noProof/>
        </w:rPr>
        <w:t>red, they demonstrate</w:t>
      </w:r>
      <w:r w:rsidR="003A5A52" w:rsidRPr="003A5A52">
        <w:rPr>
          <w:noProof/>
        </w:rPr>
        <w:t xml:space="preserve"> that</w:t>
      </w:r>
      <w:r w:rsidR="00744466" w:rsidRPr="00744466">
        <w:rPr>
          <w:noProof/>
        </w:rPr>
        <w:t xml:space="preserve"> </w:t>
      </w:r>
      <w:r w:rsidR="00744466">
        <w:rPr>
          <w:noProof/>
        </w:rPr>
        <w:t>the</w:t>
      </w:r>
      <w:r w:rsidR="003A5A52" w:rsidRPr="003A5A52">
        <w:rPr>
          <w:noProof/>
        </w:rPr>
        <w:t xml:space="preserve"> compatibility of the two systems is not a matter of size but of qualitative requirements, level playing field conditions and measures to safeguard market integrity.</w:t>
      </w:r>
    </w:p>
    <w:p w14:paraId="755242B3" w14:textId="60DE5A12" w:rsidR="003A5A52" w:rsidRPr="003A5A52" w:rsidRDefault="003A5A52" w:rsidP="003A5A52">
      <w:pPr>
        <w:pStyle w:val="CMR23-text"/>
        <w:rPr>
          <w:noProof/>
        </w:rPr>
      </w:pPr>
      <w:r w:rsidRPr="003A5A52">
        <w:rPr>
          <w:noProof/>
        </w:rPr>
        <w:t xml:space="preserve">To </w:t>
      </w:r>
      <w:r w:rsidR="00635F87">
        <w:rPr>
          <w:noProof/>
        </w:rPr>
        <w:t xml:space="preserve">implement </w:t>
      </w:r>
      <w:r w:rsidRPr="003A5A52">
        <w:rPr>
          <w:noProof/>
        </w:rPr>
        <w:t>the Linking Agreement and promote efficiency gain</w:t>
      </w:r>
      <w:r w:rsidR="006F0E9D">
        <w:rPr>
          <w:noProof/>
        </w:rPr>
        <w:t>s</w:t>
      </w:r>
      <w:r w:rsidRPr="003A5A52">
        <w:rPr>
          <w:noProof/>
        </w:rPr>
        <w:t>, a direct</w:t>
      </w:r>
      <w:r w:rsidR="00FA169C">
        <w:rPr>
          <w:noProof/>
        </w:rPr>
        <w:t xml:space="preserve"> technical</w:t>
      </w:r>
      <w:r w:rsidRPr="003A5A52">
        <w:rPr>
          <w:noProof/>
        </w:rPr>
        <w:t xml:space="preserve"> link was created between </w:t>
      </w:r>
      <w:r w:rsidR="006F0E9D" w:rsidRPr="003A5A52">
        <w:rPr>
          <w:noProof/>
        </w:rPr>
        <w:t>both systems</w:t>
      </w:r>
      <w:r w:rsidR="006F0E9D">
        <w:rPr>
          <w:noProof/>
        </w:rPr>
        <w:t>’</w:t>
      </w:r>
      <w:r w:rsidR="006F0E9D" w:rsidRPr="003A5A52">
        <w:rPr>
          <w:noProof/>
        </w:rPr>
        <w:t xml:space="preserve"> </w:t>
      </w:r>
      <w:r w:rsidR="00BD6BB2" w:rsidRPr="003A5A52">
        <w:rPr>
          <w:noProof/>
        </w:rPr>
        <w:t>registries</w:t>
      </w:r>
      <w:r w:rsidRPr="003A5A52">
        <w:rPr>
          <w:noProof/>
        </w:rPr>
        <w:t xml:space="preserve">. </w:t>
      </w:r>
      <w:r w:rsidR="006F0E9D">
        <w:rPr>
          <w:noProof/>
        </w:rPr>
        <w:t>This</w:t>
      </w:r>
      <w:r w:rsidR="006F0E9D" w:rsidRPr="003A5A52">
        <w:rPr>
          <w:noProof/>
        </w:rPr>
        <w:t xml:space="preserve"> </w:t>
      </w:r>
      <w:r w:rsidRPr="003A5A52">
        <w:rPr>
          <w:noProof/>
        </w:rPr>
        <w:t xml:space="preserve">allows regulated entities to transfer allowances from an account in one system to an account in the other. The transfers are </w:t>
      </w:r>
      <w:r w:rsidR="006F0E9D">
        <w:rPr>
          <w:noProof/>
        </w:rPr>
        <w:t>scheduled</w:t>
      </w:r>
      <w:r w:rsidRPr="003A5A52">
        <w:rPr>
          <w:noProof/>
        </w:rPr>
        <w:t xml:space="preserve">, generally taking place twice a month. </w:t>
      </w:r>
      <w:r w:rsidR="006F0E9D">
        <w:rPr>
          <w:noProof/>
        </w:rPr>
        <w:t>F</w:t>
      </w:r>
      <w:r w:rsidRPr="003A5A52">
        <w:rPr>
          <w:noProof/>
        </w:rPr>
        <w:t xml:space="preserve">rom 2023, the registry link between the two emissions trading systems will gradually develop into a permanent </w:t>
      </w:r>
      <w:r w:rsidR="006D4922">
        <w:rPr>
          <w:noProof/>
        </w:rPr>
        <w:t>feature</w:t>
      </w:r>
      <w:r w:rsidR="00A03F63">
        <w:rPr>
          <w:noProof/>
        </w:rPr>
        <w:t>.</w:t>
      </w:r>
      <w:r w:rsidR="00C03A2B" w:rsidRPr="003A5A52">
        <w:rPr>
          <w:noProof/>
        </w:rPr>
        <w:t xml:space="preserve"> </w:t>
      </w:r>
      <w:r w:rsidRPr="003A5A52">
        <w:rPr>
          <w:noProof/>
        </w:rPr>
        <w:t xml:space="preserve">This will improve market liquidity and </w:t>
      </w:r>
      <w:r w:rsidR="00EB511A">
        <w:rPr>
          <w:noProof/>
        </w:rPr>
        <w:t xml:space="preserve">the </w:t>
      </w:r>
      <w:r w:rsidRPr="003A5A52">
        <w:rPr>
          <w:noProof/>
        </w:rPr>
        <w:t xml:space="preserve">execution of transactions between the two linked systems </w:t>
      </w:r>
      <w:r w:rsidR="00CC7B5C">
        <w:rPr>
          <w:noProof/>
        </w:rPr>
        <w:t xml:space="preserve">as though they were </w:t>
      </w:r>
      <w:r w:rsidR="00CC7B5C" w:rsidRPr="0084026D">
        <w:rPr>
          <w:noProof/>
        </w:rPr>
        <w:t>one market</w:t>
      </w:r>
      <w:r w:rsidR="00CC7B5C">
        <w:rPr>
          <w:noProof/>
        </w:rPr>
        <w:t>. M</w:t>
      </w:r>
      <w:r w:rsidR="00CC7B5C" w:rsidRPr="0084026D">
        <w:rPr>
          <w:noProof/>
        </w:rPr>
        <w:t xml:space="preserve">arket participants </w:t>
      </w:r>
      <w:r w:rsidR="00CC7B5C">
        <w:rPr>
          <w:noProof/>
        </w:rPr>
        <w:t xml:space="preserve">will be able </w:t>
      </w:r>
      <w:r w:rsidR="00CC7B5C" w:rsidRPr="0084026D">
        <w:rPr>
          <w:noProof/>
        </w:rPr>
        <w:t xml:space="preserve">to act as if they were in one market, subject only to </w:t>
      </w:r>
      <w:r w:rsidR="00CC7B5C">
        <w:rPr>
          <w:noProof/>
        </w:rPr>
        <w:t xml:space="preserve">the </w:t>
      </w:r>
      <w:r w:rsidR="00CC7B5C" w:rsidRPr="0084026D">
        <w:rPr>
          <w:noProof/>
        </w:rPr>
        <w:t xml:space="preserve">individual regulatory </w:t>
      </w:r>
      <w:r w:rsidR="00CC7B5C">
        <w:rPr>
          <w:noProof/>
        </w:rPr>
        <w:t xml:space="preserve">rules </w:t>
      </w:r>
      <w:r w:rsidR="00CC7B5C" w:rsidRPr="0084026D">
        <w:rPr>
          <w:noProof/>
        </w:rPr>
        <w:t xml:space="preserve">of the </w:t>
      </w:r>
      <w:r w:rsidR="00CC7B5C">
        <w:rPr>
          <w:noProof/>
        </w:rPr>
        <w:t>EU and Switzerland</w:t>
      </w:r>
      <w:r w:rsidRPr="003A5A52">
        <w:rPr>
          <w:noProof/>
        </w:rPr>
        <w:t>.</w:t>
      </w:r>
      <w:r w:rsidR="00EB511A" w:rsidRPr="00EB511A">
        <w:rPr>
          <w:noProof/>
        </w:rPr>
        <w:t xml:space="preserve"> </w:t>
      </w:r>
      <w:r w:rsidR="00CC7B5C">
        <w:rPr>
          <w:noProof/>
        </w:rPr>
        <w:t xml:space="preserve">A </w:t>
      </w:r>
      <w:r w:rsidR="00BD6BB2">
        <w:rPr>
          <w:noProof/>
        </w:rPr>
        <w:t>permanent</w:t>
      </w:r>
      <w:r w:rsidR="00CC7B5C">
        <w:rPr>
          <w:noProof/>
        </w:rPr>
        <w:t xml:space="preserve"> link</w:t>
      </w:r>
      <w:r w:rsidR="00EB511A">
        <w:rPr>
          <w:noProof/>
        </w:rPr>
        <w:t xml:space="preserve"> should </w:t>
      </w:r>
      <w:r w:rsidR="00EB511A" w:rsidRPr="003A5A52">
        <w:rPr>
          <w:noProof/>
        </w:rPr>
        <w:t xml:space="preserve">be implemented </w:t>
      </w:r>
      <w:r w:rsidR="00EB511A">
        <w:rPr>
          <w:noProof/>
        </w:rPr>
        <w:t>in</w:t>
      </w:r>
      <w:r w:rsidR="00EB511A" w:rsidRPr="003A5A52">
        <w:rPr>
          <w:noProof/>
        </w:rPr>
        <w:t xml:space="preserve"> 2024</w:t>
      </w:r>
      <w:r w:rsidR="00EB511A">
        <w:rPr>
          <w:noProof/>
        </w:rPr>
        <w:t xml:space="preserve"> at the latest</w:t>
      </w:r>
      <w:r w:rsidR="00EB511A" w:rsidRPr="003A5A52">
        <w:rPr>
          <w:noProof/>
        </w:rPr>
        <w:t>.</w:t>
      </w:r>
    </w:p>
    <w:p w14:paraId="7D20CC0B" w14:textId="0ECB0FE6" w:rsidR="00C40D5B" w:rsidRPr="0084026D" w:rsidRDefault="00C40D5B" w:rsidP="00C40D5B">
      <w:pPr>
        <w:pStyle w:val="CMR23-text"/>
        <w:rPr>
          <w:noProof/>
        </w:rPr>
      </w:pPr>
      <w:r w:rsidRPr="0084026D">
        <w:rPr>
          <w:noProof/>
        </w:rPr>
        <w:t>T</w:t>
      </w:r>
      <w:r w:rsidR="00BD6BB2">
        <w:rPr>
          <w:noProof/>
        </w:rPr>
        <w:t>able 18 in t</w:t>
      </w:r>
      <w:r w:rsidRPr="0084026D">
        <w:rPr>
          <w:noProof/>
        </w:rPr>
        <w:t xml:space="preserve">he </w:t>
      </w:r>
      <w:r w:rsidR="004A3C8F">
        <w:rPr>
          <w:noProof/>
        </w:rPr>
        <w:t>Staff working document</w:t>
      </w:r>
      <w:r w:rsidR="009F78C2">
        <w:rPr>
          <w:rStyle w:val="FootnoteReference"/>
          <w:noProof/>
        </w:rPr>
        <w:footnoteReference w:id="110"/>
      </w:r>
      <w:r w:rsidRPr="0084026D">
        <w:rPr>
          <w:noProof/>
        </w:rPr>
        <w:t xml:space="preserve"> presents the effects </w:t>
      </w:r>
      <w:r>
        <w:rPr>
          <w:noProof/>
        </w:rPr>
        <w:t xml:space="preserve">of </w:t>
      </w:r>
      <w:r w:rsidRPr="0084026D">
        <w:rPr>
          <w:noProof/>
        </w:rPr>
        <w:t xml:space="preserve">the EU ETS and Swiss ETS </w:t>
      </w:r>
      <w:r>
        <w:rPr>
          <w:noProof/>
        </w:rPr>
        <w:t xml:space="preserve">link </w:t>
      </w:r>
      <w:r w:rsidRPr="0084026D">
        <w:rPr>
          <w:noProof/>
        </w:rPr>
        <w:t>in 2022</w:t>
      </w:r>
      <w:r>
        <w:rPr>
          <w:noProof/>
        </w:rPr>
        <w:t>. It</w:t>
      </w:r>
      <w:r w:rsidRPr="0084026D">
        <w:rPr>
          <w:noProof/>
        </w:rPr>
        <w:t xml:space="preserve"> show</w:t>
      </w:r>
      <w:r>
        <w:rPr>
          <w:noProof/>
        </w:rPr>
        <w:t>s</w:t>
      </w:r>
      <w:r w:rsidRPr="0084026D">
        <w:rPr>
          <w:noProof/>
        </w:rPr>
        <w:t xml:space="preserve"> to what extent regulated entities in both systems used allowances issued in the other system for compliance.</w:t>
      </w:r>
    </w:p>
    <w:p w14:paraId="2DD15F10" w14:textId="6E08B09E" w:rsidR="003A5A52" w:rsidRPr="004B4540" w:rsidRDefault="00B531AB" w:rsidP="003A5A52">
      <w:pPr>
        <w:widowControl w:val="0"/>
        <w:autoSpaceDE w:val="0"/>
        <w:autoSpaceDN w:val="0"/>
        <w:spacing w:before="240" w:after="240"/>
        <w:jc w:val="both"/>
        <w:rPr>
          <w:rFonts w:ascii="Times New Roman" w:eastAsia="Times New Roman" w:hAnsi="Times New Roman" w:cs="Times New Roman"/>
          <w:noProof/>
          <w:sz w:val="24"/>
          <w:szCs w:val="24"/>
        </w:rPr>
      </w:pPr>
      <w:r w:rsidRPr="004B4540">
        <w:rPr>
          <w:rFonts w:ascii="Times New Roman" w:eastAsia="Times New Roman" w:hAnsi="Times New Roman" w:cs="Times New Roman"/>
          <w:noProof/>
          <w:sz w:val="24"/>
          <w:szCs w:val="24"/>
        </w:rPr>
        <w:t>In total, regulated entities in the EU ETS (both installations and aircraft operators) used 971 17</w:t>
      </w:r>
      <w:r w:rsidR="0055086C" w:rsidRPr="004B4540">
        <w:rPr>
          <w:rFonts w:ascii="Times New Roman" w:eastAsia="Times New Roman" w:hAnsi="Times New Roman" w:cs="Times New Roman"/>
          <w:noProof/>
          <w:sz w:val="24"/>
          <w:szCs w:val="24"/>
        </w:rPr>
        <w:t>0</w:t>
      </w:r>
      <w:r w:rsidRPr="004B4540">
        <w:rPr>
          <w:rFonts w:ascii="Times New Roman" w:eastAsia="Times New Roman" w:hAnsi="Times New Roman" w:cs="Times New Roman"/>
          <w:noProof/>
          <w:sz w:val="24"/>
          <w:szCs w:val="24"/>
        </w:rPr>
        <w:t xml:space="preserve"> allowances issued under the Swiss ETS for compliance in 2022. </w:t>
      </w:r>
      <w:r w:rsidR="00F350DC" w:rsidRPr="004B4540">
        <w:rPr>
          <w:rFonts w:ascii="Times New Roman" w:eastAsia="Times New Roman" w:hAnsi="Times New Roman" w:cs="Times New Roman"/>
          <w:noProof/>
          <w:sz w:val="24"/>
          <w:szCs w:val="24"/>
        </w:rPr>
        <w:t>This is nearly 83 </w:t>
      </w:r>
      <w:r w:rsidR="00E7207F" w:rsidRPr="004B4540">
        <w:rPr>
          <w:rFonts w:ascii="Times New Roman" w:eastAsia="Times New Roman" w:hAnsi="Times New Roman" w:cs="Times New Roman"/>
          <w:noProof/>
          <w:sz w:val="24"/>
          <w:szCs w:val="24"/>
        </w:rPr>
        <w:t>2</w:t>
      </w:r>
      <w:r w:rsidR="00F350DC" w:rsidRPr="004B4540">
        <w:rPr>
          <w:rFonts w:ascii="Times New Roman" w:eastAsia="Times New Roman" w:hAnsi="Times New Roman" w:cs="Times New Roman"/>
          <w:noProof/>
          <w:sz w:val="24"/>
          <w:szCs w:val="24"/>
        </w:rPr>
        <w:t>00 allowances more than 2021 and almost 3</w:t>
      </w:r>
      <w:r w:rsidR="00E7207F" w:rsidRPr="004B4540">
        <w:rPr>
          <w:rFonts w:ascii="Times New Roman" w:eastAsia="Times New Roman" w:hAnsi="Times New Roman" w:cs="Times New Roman"/>
          <w:noProof/>
          <w:sz w:val="24"/>
          <w:szCs w:val="24"/>
        </w:rPr>
        <w:t>78</w:t>
      </w:r>
      <w:r w:rsidR="00F350DC" w:rsidRPr="004B4540">
        <w:rPr>
          <w:rFonts w:ascii="Times New Roman" w:eastAsia="Times New Roman" w:hAnsi="Times New Roman" w:cs="Times New Roman"/>
          <w:noProof/>
          <w:sz w:val="24"/>
          <w:szCs w:val="24"/>
        </w:rPr>
        <w:t xml:space="preserve"> 000 allowances more than in 2020, signifying an increasing trend in </w:t>
      </w:r>
      <w:r w:rsidR="003A5A52" w:rsidRPr="004B4540">
        <w:rPr>
          <w:rFonts w:ascii="Times New Roman" w:eastAsia="Times New Roman" w:hAnsi="Times New Roman" w:cs="Times New Roman"/>
          <w:noProof/>
          <w:sz w:val="24"/>
          <w:szCs w:val="24"/>
        </w:rPr>
        <w:t xml:space="preserve">the use of the flexibility that the link </w:t>
      </w:r>
      <w:r w:rsidR="00B93B1E" w:rsidRPr="004B4540">
        <w:rPr>
          <w:rFonts w:ascii="Times New Roman" w:eastAsia="Times New Roman" w:hAnsi="Times New Roman" w:cs="Times New Roman"/>
          <w:noProof/>
          <w:sz w:val="24"/>
          <w:szCs w:val="24"/>
        </w:rPr>
        <w:t xml:space="preserve">between the EU ETS and the Swiss ETS </w:t>
      </w:r>
      <w:r w:rsidR="003A5A52" w:rsidRPr="004B4540">
        <w:rPr>
          <w:rFonts w:ascii="Times New Roman" w:eastAsia="Times New Roman" w:hAnsi="Times New Roman" w:cs="Times New Roman"/>
          <w:noProof/>
          <w:sz w:val="24"/>
          <w:szCs w:val="24"/>
        </w:rPr>
        <w:t xml:space="preserve">provides. This was achieved </w:t>
      </w:r>
      <w:r w:rsidR="006A7FFD" w:rsidRPr="004B4540">
        <w:rPr>
          <w:rFonts w:ascii="Times New Roman" w:eastAsia="Times New Roman" w:hAnsi="Times New Roman" w:cs="Times New Roman"/>
          <w:noProof/>
          <w:sz w:val="24"/>
          <w:szCs w:val="24"/>
        </w:rPr>
        <w:t>despite the fact that</w:t>
      </w:r>
      <w:r w:rsidR="003A5A52" w:rsidRPr="004B4540">
        <w:rPr>
          <w:rFonts w:ascii="Times New Roman" w:eastAsia="Times New Roman" w:hAnsi="Times New Roman" w:cs="Times New Roman"/>
          <w:noProof/>
          <w:sz w:val="24"/>
          <w:szCs w:val="24"/>
        </w:rPr>
        <w:t xml:space="preserve"> EU aircraft operators </w:t>
      </w:r>
      <w:r w:rsidR="006A7FFD" w:rsidRPr="004B4540">
        <w:rPr>
          <w:rFonts w:ascii="Times New Roman" w:eastAsia="Times New Roman" w:hAnsi="Times New Roman" w:cs="Times New Roman"/>
          <w:noProof/>
          <w:sz w:val="24"/>
          <w:szCs w:val="24"/>
        </w:rPr>
        <w:t xml:space="preserve">used </w:t>
      </w:r>
      <w:r w:rsidR="003A5A52" w:rsidRPr="004B4540">
        <w:rPr>
          <w:rFonts w:ascii="Times New Roman" w:eastAsia="Times New Roman" w:hAnsi="Times New Roman" w:cs="Times New Roman"/>
          <w:noProof/>
          <w:sz w:val="24"/>
          <w:szCs w:val="24"/>
        </w:rPr>
        <w:t xml:space="preserve">fewer aviation allowances issued under the Swiss ETS in relative terms </w:t>
      </w:r>
      <w:r w:rsidR="00D3640C" w:rsidRPr="004B4540">
        <w:rPr>
          <w:rFonts w:ascii="Times New Roman" w:eastAsia="Times New Roman" w:hAnsi="Times New Roman" w:cs="Times New Roman"/>
          <w:noProof/>
          <w:sz w:val="24"/>
          <w:szCs w:val="24"/>
        </w:rPr>
        <w:t>(</w:t>
      </w:r>
      <w:bookmarkStart w:id="90" w:name="_Hlk148423941"/>
      <w:r w:rsidR="00D3640C" w:rsidRPr="004B4540">
        <w:rPr>
          <w:rFonts w:ascii="Times New Roman" w:eastAsia="Times New Roman" w:hAnsi="Times New Roman" w:cs="Times New Roman"/>
          <w:noProof/>
          <w:sz w:val="24"/>
          <w:szCs w:val="24"/>
        </w:rPr>
        <w:t>0.</w:t>
      </w:r>
      <w:r w:rsidR="006A7FFD" w:rsidRPr="004B4540">
        <w:rPr>
          <w:rFonts w:ascii="Times New Roman" w:eastAsia="Times New Roman" w:hAnsi="Times New Roman" w:cs="Times New Roman"/>
          <w:noProof/>
          <w:sz w:val="24"/>
          <w:szCs w:val="24"/>
        </w:rPr>
        <w:t>7</w:t>
      </w:r>
      <w:r w:rsidR="00D3640C" w:rsidRPr="004B4540">
        <w:rPr>
          <w:rFonts w:ascii="Times New Roman" w:eastAsia="Times New Roman" w:hAnsi="Times New Roman" w:cs="Times New Roman"/>
          <w:noProof/>
          <w:sz w:val="24"/>
          <w:szCs w:val="24"/>
        </w:rPr>
        <w:t>% in 2022 compared to 1.5% in 2021</w:t>
      </w:r>
      <w:bookmarkEnd w:id="90"/>
      <w:r w:rsidR="00D3640C" w:rsidRPr="004B4540">
        <w:rPr>
          <w:rFonts w:ascii="Times New Roman" w:eastAsia="Times New Roman" w:hAnsi="Times New Roman" w:cs="Times New Roman"/>
          <w:noProof/>
          <w:sz w:val="24"/>
          <w:szCs w:val="24"/>
        </w:rPr>
        <w:t>). However, this was partly compensated by an increased use of Swiss general allowances (0.1% in 2022 compared to close to zero in 2021).</w:t>
      </w:r>
    </w:p>
    <w:p w14:paraId="5438A2E2" w14:textId="3E13BA25" w:rsidR="003A5A52" w:rsidRPr="004B4540" w:rsidRDefault="003A5A52" w:rsidP="003A5A52">
      <w:pPr>
        <w:widowControl w:val="0"/>
        <w:autoSpaceDE w:val="0"/>
        <w:autoSpaceDN w:val="0"/>
        <w:spacing w:before="240" w:after="240"/>
        <w:jc w:val="both"/>
        <w:rPr>
          <w:rFonts w:ascii="Times New Roman" w:eastAsia="Times New Roman" w:hAnsi="Times New Roman" w:cs="Times New Roman"/>
          <w:noProof/>
          <w:sz w:val="24"/>
          <w:szCs w:val="24"/>
        </w:rPr>
      </w:pPr>
      <w:bookmarkStart w:id="91" w:name="_Hlk116499353"/>
      <w:r w:rsidRPr="004B4540">
        <w:rPr>
          <w:rFonts w:ascii="Times New Roman" w:eastAsia="Times New Roman" w:hAnsi="Times New Roman" w:cs="Times New Roman"/>
          <w:noProof/>
          <w:sz w:val="24"/>
          <w:szCs w:val="24"/>
        </w:rPr>
        <w:t xml:space="preserve">The number of Swiss general allowances used for compliance by </w:t>
      </w:r>
      <w:bookmarkEnd w:id="91"/>
      <w:r w:rsidRPr="004B4540">
        <w:rPr>
          <w:rFonts w:ascii="Times New Roman" w:eastAsia="Times New Roman" w:hAnsi="Times New Roman" w:cs="Times New Roman"/>
          <w:noProof/>
          <w:sz w:val="24"/>
          <w:szCs w:val="24"/>
        </w:rPr>
        <w:t xml:space="preserve">installations </w:t>
      </w:r>
      <w:r w:rsidR="006E654E" w:rsidRPr="004B4540">
        <w:rPr>
          <w:rFonts w:ascii="Times New Roman" w:eastAsia="Times New Roman" w:hAnsi="Times New Roman" w:cs="Times New Roman"/>
          <w:noProof/>
          <w:sz w:val="24"/>
          <w:szCs w:val="24"/>
        </w:rPr>
        <w:t xml:space="preserve">in the EU </w:t>
      </w:r>
      <w:r w:rsidRPr="004B4540">
        <w:rPr>
          <w:rFonts w:ascii="Times New Roman" w:eastAsia="Times New Roman" w:hAnsi="Times New Roman" w:cs="Times New Roman"/>
          <w:noProof/>
          <w:sz w:val="24"/>
          <w:szCs w:val="24"/>
        </w:rPr>
        <w:t xml:space="preserve">remained stable at </w:t>
      </w:r>
      <w:r w:rsidR="006453C1" w:rsidRPr="004B4540">
        <w:rPr>
          <w:rFonts w:ascii="Times New Roman" w:eastAsia="Times New Roman" w:hAnsi="Times New Roman" w:cs="Times New Roman"/>
          <w:noProof/>
          <w:sz w:val="24"/>
          <w:szCs w:val="24"/>
        </w:rPr>
        <w:t>39</w:t>
      </w:r>
      <w:r w:rsidR="006E654E" w:rsidRPr="004B4540">
        <w:rPr>
          <w:rFonts w:ascii="Times New Roman" w:eastAsia="Times New Roman" w:hAnsi="Times New Roman" w:cs="Times New Roman"/>
          <w:noProof/>
          <w:sz w:val="24"/>
          <w:szCs w:val="24"/>
        </w:rPr>
        <w:t>4</w:t>
      </w:r>
      <w:r w:rsidR="006453C1" w:rsidRPr="004B4540">
        <w:rPr>
          <w:rFonts w:ascii="Times New Roman" w:eastAsia="Times New Roman" w:hAnsi="Times New Roman" w:cs="Times New Roman"/>
          <w:noProof/>
          <w:sz w:val="24"/>
          <w:szCs w:val="24"/>
        </w:rPr>
        <w:t> </w:t>
      </w:r>
      <w:r w:rsidR="006E654E" w:rsidRPr="004B4540">
        <w:rPr>
          <w:rFonts w:ascii="Times New Roman" w:eastAsia="Times New Roman" w:hAnsi="Times New Roman" w:cs="Times New Roman"/>
          <w:noProof/>
          <w:sz w:val="24"/>
          <w:szCs w:val="24"/>
        </w:rPr>
        <w:t>72</w:t>
      </w:r>
      <w:r w:rsidR="006453C1" w:rsidRPr="004B4540">
        <w:rPr>
          <w:rFonts w:ascii="Times New Roman" w:eastAsia="Times New Roman" w:hAnsi="Times New Roman" w:cs="Times New Roman"/>
          <w:noProof/>
          <w:sz w:val="24"/>
          <w:szCs w:val="24"/>
        </w:rPr>
        <w:t>2</w:t>
      </w:r>
      <w:r w:rsidRPr="004B4540">
        <w:rPr>
          <w:rFonts w:ascii="Times New Roman" w:eastAsia="Times New Roman" w:hAnsi="Times New Roman" w:cs="Times New Roman"/>
          <w:noProof/>
          <w:sz w:val="24"/>
          <w:szCs w:val="24"/>
        </w:rPr>
        <w:t xml:space="preserve">. More impressively, the number of Swiss ETS aviation allowances used for compliance by EU ETS installations almost tripled in the same period, </w:t>
      </w:r>
      <w:r w:rsidR="004075AD" w:rsidRPr="004B4540">
        <w:rPr>
          <w:rFonts w:ascii="Times New Roman" w:eastAsia="Times New Roman" w:hAnsi="Times New Roman" w:cs="Times New Roman"/>
          <w:noProof/>
          <w:sz w:val="24"/>
          <w:szCs w:val="24"/>
        </w:rPr>
        <w:t xml:space="preserve">increasing from 63 410 in 2021 to </w:t>
      </w:r>
      <w:r w:rsidR="00A02DEC" w:rsidRPr="004B4540">
        <w:rPr>
          <w:rFonts w:ascii="Times New Roman" w:eastAsia="Times New Roman" w:hAnsi="Times New Roman" w:cs="Times New Roman"/>
          <w:noProof/>
          <w:sz w:val="24"/>
          <w:szCs w:val="24"/>
        </w:rPr>
        <w:t>173</w:t>
      </w:r>
      <w:r w:rsidR="004075AD" w:rsidRPr="004B4540">
        <w:rPr>
          <w:rFonts w:ascii="Times New Roman" w:eastAsia="Times New Roman" w:hAnsi="Times New Roman" w:cs="Times New Roman"/>
          <w:noProof/>
          <w:sz w:val="24"/>
          <w:szCs w:val="24"/>
        </w:rPr>
        <w:t> </w:t>
      </w:r>
      <w:r w:rsidR="00A02DEC" w:rsidRPr="004B4540">
        <w:rPr>
          <w:rFonts w:ascii="Times New Roman" w:eastAsia="Times New Roman" w:hAnsi="Times New Roman" w:cs="Times New Roman"/>
          <w:noProof/>
          <w:sz w:val="24"/>
          <w:szCs w:val="24"/>
        </w:rPr>
        <w:t xml:space="preserve">650 </w:t>
      </w:r>
      <w:r w:rsidR="004075AD" w:rsidRPr="004B4540">
        <w:rPr>
          <w:rFonts w:ascii="Times New Roman" w:eastAsia="Times New Roman" w:hAnsi="Times New Roman" w:cs="Times New Roman"/>
          <w:noProof/>
          <w:sz w:val="24"/>
          <w:szCs w:val="24"/>
        </w:rPr>
        <w:t>in 2022</w:t>
      </w:r>
      <w:r w:rsidRPr="004B4540">
        <w:rPr>
          <w:rFonts w:ascii="Times New Roman" w:eastAsia="Times New Roman" w:hAnsi="Times New Roman" w:cs="Times New Roman"/>
          <w:noProof/>
          <w:sz w:val="24"/>
          <w:szCs w:val="24"/>
        </w:rPr>
        <w:t xml:space="preserve">. </w:t>
      </w:r>
      <w:r w:rsidR="00810A60" w:rsidRPr="004B4540">
        <w:rPr>
          <w:rFonts w:ascii="Times New Roman" w:eastAsia="Times New Roman" w:hAnsi="Times New Roman" w:cs="Times New Roman"/>
          <w:noProof/>
          <w:sz w:val="24"/>
          <w:szCs w:val="24"/>
        </w:rPr>
        <w:t>The</w:t>
      </w:r>
      <w:r w:rsidRPr="004B4540">
        <w:rPr>
          <w:rFonts w:ascii="Times New Roman" w:eastAsia="Times New Roman" w:hAnsi="Times New Roman" w:cs="Times New Roman"/>
          <w:noProof/>
          <w:sz w:val="24"/>
          <w:szCs w:val="24"/>
        </w:rPr>
        <w:t xml:space="preserve"> increased use </w:t>
      </w:r>
      <w:r w:rsidR="00810A60" w:rsidRPr="004B4540">
        <w:rPr>
          <w:rFonts w:ascii="Times New Roman" w:eastAsia="Times New Roman" w:hAnsi="Times New Roman" w:cs="Times New Roman"/>
          <w:noProof/>
          <w:sz w:val="24"/>
          <w:szCs w:val="24"/>
        </w:rPr>
        <w:t xml:space="preserve">of aviation allowances </w:t>
      </w:r>
      <w:r w:rsidRPr="004B4540">
        <w:rPr>
          <w:rFonts w:ascii="Times New Roman" w:eastAsia="Times New Roman" w:hAnsi="Times New Roman" w:cs="Times New Roman"/>
          <w:noProof/>
          <w:sz w:val="24"/>
          <w:szCs w:val="24"/>
        </w:rPr>
        <w:t>for complia</w:t>
      </w:r>
      <w:r w:rsidR="007A0E81" w:rsidRPr="004B4540">
        <w:rPr>
          <w:rFonts w:ascii="Times New Roman" w:eastAsia="Times New Roman" w:hAnsi="Times New Roman" w:cs="Times New Roman"/>
          <w:noProof/>
          <w:sz w:val="24"/>
          <w:szCs w:val="24"/>
        </w:rPr>
        <w:t>n</w:t>
      </w:r>
      <w:r w:rsidRPr="004B4540">
        <w:rPr>
          <w:rFonts w:ascii="Times New Roman" w:eastAsia="Times New Roman" w:hAnsi="Times New Roman" w:cs="Times New Roman"/>
          <w:noProof/>
          <w:sz w:val="24"/>
          <w:szCs w:val="24"/>
        </w:rPr>
        <w:t>ce signals</w:t>
      </w:r>
      <w:bookmarkStart w:id="92" w:name="_Hlk116499267"/>
      <w:r w:rsidRPr="004B4540">
        <w:rPr>
          <w:rFonts w:ascii="Times New Roman" w:eastAsia="Times New Roman" w:hAnsi="Times New Roman" w:cs="Times New Roman"/>
          <w:noProof/>
          <w:sz w:val="24"/>
          <w:szCs w:val="24"/>
        </w:rPr>
        <w:t xml:space="preserve"> rising awareness and acceptance </w:t>
      </w:r>
      <w:r w:rsidR="00F60B63" w:rsidRPr="004B4540">
        <w:rPr>
          <w:rFonts w:ascii="Times New Roman" w:eastAsia="Times New Roman" w:hAnsi="Times New Roman" w:cs="Times New Roman"/>
          <w:noProof/>
          <w:sz w:val="24"/>
          <w:szCs w:val="24"/>
        </w:rPr>
        <w:t>of the EU ETS and Swiss ETS link</w:t>
      </w:r>
      <w:r w:rsidRPr="004B4540">
        <w:rPr>
          <w:rFonts w:ascii="Times New Roman" w:eastAsia="Times New Roman" w:hAnsi="Times New Roman" w:cs="Times New Roman"/>
          <w:noProof/>
          <w:sz w:val="24"/>
          <w:szCs w:val="24"/>
        </w:rPr>
        <w:t>.</w:t>
      </w:r>
      <w:bookmarkEnd w:id="92"/>
      <w:r w:rsidRPr="004B4540">
        <w:rPr>
          <w:rFonts w:ascii="Times New Roman" w:eastAsia="Times New Roman" w:hAnsi="Times New Roman" w:cs="Times New Roman"/>
          <w:noProof/>
          <w:sz w:val="24"/>
          <w:szCs w:val="24"/>
        </w:rPr>
        <w:t xml:space="preserve"> In relative terms, general allowances issued under the Swiss ETS accounted for less than 0.03% of the total surrendered in the EU ETS in 2022. However, this accounted for a </w:t>
      </w:r>
      <w:r w:rsidR="00D31638" w:rsidRPr="004B4540">
        <w:rPr>
          <w:rFonts w:ascii="Times New Roman" w:eastAsia="Times New Roman" w:hAnsi="Times New Roman" w:cs="Times New Roman"/>
          <w:noProof/>
          <w:sz w:val="24"/>
          <w:szCs w:val="24"/>
        </w:rPr>
        <w:t xml:space="preserve">bigger share </w:t>
      </w:r>
      <w:r w:rsidRPr="004B4540">
        <w:rPr>
          <w:rFonts w:ascii="Times New Roman" w:eastAsia="Times New Roman" w:hAnsi="Times New Roman" w:cs="Times New Roman"/>
          <w:noProof/>
          <w:sz w:val="24"/>
          <w:szCs w:val="24"/>
        </w:rPr>
        <w:t>of almost 9.7% of all Swiss</w:t>
      </w:r>
      <w:r w:rsidR="000E4928" w:rsidRPr="004B4540">
        <w:rPr>
          <w:rFonts w:ascii="Times New Roman" w:eastAsia="Times New Roman" w:hAnsi="Times New Roman" w:cs="Times New Roman"/>
          <w:noProof/>
          <w:sz w:val="24"/>
          <w:szCs w:val="24"/>
        </w:rPr>
        <w:t xml:space="preserve"> ETS</w:t>
      </w:r>
      <w:r w:rsidRPr="004B4540">
        <w:rPr>
          <w:rFonts w:ascii="Times New Roman" w:eastAsia="Times New Roman" w:hAnsi="Times New Roman" w:cs="Times New Roman"/>
          <w:noProof/>
          <w:sz w:val="24"/>
          <w:szCs w:val="24"/>
        </w:rPr>
        <w:t xml:space="preserve"> general allowances allocated for free and auctioned that year.</w:t>
      </w:r>
    </w:p>
    <w:p w14:paraId="1BCD892D" w14:textId="06452ED9" w:rsidR="003A5A52" w:rsidRPr="004B4540" w:rsidRDefault="003A5A52" w:rsidP="003A5A52">
      <w:pPr>
        <w:widowControl w:val="0"/>
        <w:autoSpaceDE w:val="0"/>
        <w:autoSpaceDN w:val="0"/>
        <w:spacing w:before="240" w:after="240"/>
        <w:jc w:val="both"/>
        <w:rPr>
          <w:rFonts w:ascii="Times New Roman" w:eastAsia="Times New Roman" w:hAnsi="Times New Roman" w:cs="Times New Roman"/>
          <w:noProof/>
          <w:sz w:val="24"/>
          <w:szCs w:val="24"/>
        </w:rPr>
      </w:pPr>
      <w:r w:rsidRPr="004B4540">
        <w:rPr>
          <w:rFonts w:ascii="Times New Roman" w:eastAsia="Times New Roman" w:hAnsi="Times New Roman" w:cs="Times New Roman"/>
          <w:noProof/>
          <w:sz w:val="24"/>
          <w:szCs w:val="24"/>
        </w:rPr>
        <w:t xml:space="preserve">In the Swiss ETS, installations used a lower share of EU ETS general allowances for compliance in 2022 (6.2%) compared to 2021 (8.2%). In both years, installations in the Swiss ETS did not use EU ETS aviation allowances for compliance. </w:t>
      </w:r>
    </w:p>
    <w:p w14:paraId="37144B5B" w14:textId="53BB09ED" w:rsidR="00903DD0" w:rsidRDefault="000E4928" w:rsidP="003A5A52">
      <w:pPr>
        <w:widowControl w:val="0"/>
        <w:autoSpaceDE w:val="0"/>
        <w:autoSpaceDN w:val="0"/>
        <w:spacing w:before="240" w:after="240"/>
        <w:jc w:val="both"/>
        <w:rPr>
          <w:rFonts w:ascii="Times New Roman" w:eastAsia="Times New Roman" w:hAnsi="Times New Roman" w:cs="Times New Roman"/>
          <w:noProof/>
          <w:sz w:val="24"/>
          <w:szCs w:val="24"/>
        </w:rPr>
      </w:pPr>
      <w:r w:rsidRPr="004B4540">
        <w:rPr>
          <w:rFonts w:ascii="Times New Roman" w:eastAsia="Times New Roman" w:hAnsi="Times New Roman" w:cs="Times New Roman"/>
          <w:noProof/>
          <w:sz w:val="24"/>
          <w:szCs w:val="24"/>
        </w:rPr>
        <w:t xml:space="preserve">Table </w:t>
      </w:r>
      <w:r w:rsidR="00DF4A4F" w:rsidRPr="004B4540">
        <w:rPr>
          <w:rFonts w:ascii="Times New Roman" w:eastAsia="Times New Roman" w:hAnsi="Times New Roman" w:cs="Times New Roman"/>
          <w:noProof/>
          <w:sz w:val="24"/>
          <w:szCs w:val="24"/>
        </w:rPr>
        <w:t>18</w:t>
      </w:r>
      <w:r w:rsidRPr="004B4540">
        <w:rPr>
          <w:rFonts w:ascii="Times New Roman" w:eastAsia="Times New Roman" w:hAnsi="Times New Roman" w:cs="Times New Roman"/>
          <w:noProof/>
          <w:sz w:val="24"/>
          <w:szCs w:val="24"/>
        </w:rPr>
        <w:t xml:space="preserve"> in the </w:t>
      </w:r>
      <w:r w:rsidR="004A3C8F">
        <w:rPr>
          <w:rFonts w:ascii="Times New Roman" w:eastAsia="Times New Roman" w:hAnsi="Times New Roman" w:cs="Times New Roman"/>
          <w:noProof/>
          <w:sz w:val="24"/>
          <w:szCs w:val="24"/>
        </w:rPr>
        <w:t>Staff working document</w:t>
      </w:r>
      <w:r w:rsidR="009F78C2">
        <w:rPr>
          <w:rStyle w:val="FootnoteReference"/>
          <w:rFonts w:ascii="Times New Roman" w:eastAsia="Times New Roman" w:hAnsi="Times New Roman" w:cs="Times New Roman"/>
          <w:noProof/>
          <w:sz w:val="24"/>
          <w:szCs w:val="24"/>
        </w:rPr>
        <w:footnoteReference w:id="111"/>
      </w:r>
      <w:r w:rsidR="003A5A52" w:rsidRPr="004B4540">
        <w:rPr>
          <w:rFonts w:ascii="Times New Roman" w:eastAsia="Times New Roman" w:hAnsi="Times New Roman" w:cs="Times New Roman"/>
          <w:noProof/>
          <w:sz w:val="24"/>
          <w:szCs w:val="24"/>
        </w:rPr>
        <w:t xml:space="preserve"> aggregates </w:t>
      </w:r>
      <w:r w:rsidR="002C3362" w:rsidRPr="004B4540">
        <w:rPr>
          <w:rFonts w:ascii="Times New Roman" w:eastAsia="Times New Roman" w:hAnsi="Times New Roman" w:cs="Times New Roman"/>
          <w:noProof/>
          <w:sz w:val="24"/>
          <w:szCs w:val="24"/>
        </w:rPr>
        <w:t xml:space="preserve">the volume </w:t>
      </w:r>
      <w:r w:rsidR="003A5A52" w:rsidRPr="004B4540">
        <w:rPr>
          <w:rFonts w:ascii="Times New Roman" w:eastAsia="Times New Roman" w:hAnsi="Times New Roman" w:cs="Times New Roman"/>
          <w:noProof/>
          <w:sz w:val="24"/>
          <w:szCs w:val="24"/>
        </w:rPr>
        <w:t xml:space="preserve">of allowances (both general and aviation) transferred </w:t>
      </w:r>
      <w:r w:rsidR="00941CC0" w:rsidRPr="004B4540">
        <w:rPr>
          <w:rFonts w:ascii="Times New Roman" w:eastAsia="Times New Roman" w:hAnsi="Times New Roman" w:cs="Times New Roman"/>
          <w:noProof/>
          <w:sz w:val="24"/>
          <w:szCs w:val="24"/>
        </w:rPr>
        <w:t>on beh</w:t>
      </w:r>
      <w:r w:rsidR="004A3585">
        <w:rPr>
          <w:rFonts w:ascii="Times New Roman" w:eastAsia="Times New Roman" w:hAnsi="Times New Roman" w:cs="Times New Roman"/>
          <w:noProof/>
          <w:sz w:val="24"/>
          <w:szCs w:val="24"/>
        </w:rPr>
        <w:t>a</w:t>
      </w:r>
      <w:r w:rsidR="00941CC0" w:rsidRPr="004B4540">
        <w:rPr>
          <w:rFonts w:ascii="Times New Roman" w:eastAsia="Times New Roman" w:hAnsi="Times New Roman" w:cs="Times New Roman"/>
          <w:noProof/>
          <w:sz w:val="24"/>
          <w:szCs w:val="24"/>
        </w:rPr>
        <w:t xml:space="preserve">lf of market participants between </w:t>
      </w:r>
      <w:r w:rsidR="003A5A52" w:rsidRPr="004B4540">
        <w:rPr>
          <w:rFonts w:ascii="Times New Roman" w:eastAsia="Times New Roman" w:hAnsi="Times New Roman" w:cs="Times New Roman"/>
          <w:noProof/>
          <w:sz w:val="24"/>
          <w:szCs w:val="24"/>
        </w:rPr>
        <w:t xml:space="preserve">the EU ETS and the Swiss ETS since 2020. So far, </w:t>
      </w:r>
      <w:r w:rsidR="009A3BCF" w:rsidRPr="004B4540">
        <w:rPr>
          <w:rFonts w:ascii="Times New Roman" w:eastAsia="Times New Roman" w:hAnsi="Times New Roman" w:cs="Times New Roman"/>
          <w:noProof/>
          <w:sz w:val="24"/>
          <w:szCs w:val="24"/>
        </w:rPr>
        <w:t>2022 had the highest number of aggregate total transfers</w:t>
      </w:r>
      <w:r w:rsidR="003A5A52" w:rsidRPr="004B4540">
        <w:rPr>
          <w:rFonts w:ascii="Times New Roman" w:eastAsia="Times New Roman" w:hAnsi="Times New Roman" w:cs="Times New Roman"/>
          <w:noProof/>
          <w:sz w:val="24"/>
          <w:szCs w:val="24"/>
        </w:rPr>
        <w:t xml:space="preserve">. The current historical balance shows </w:t>
      </w:r>
      <w:r w:rsidR="005765E6" w:rsidRPr="004B4540">
        <w:rPr>
          <w:rFonts w:ascii="Times New Roman" w:eastAsia="Times New Roman" w:hAnsi="Times New Roman" w:cs="Times New Roman"/>
          <w:noProof/>
          <w:sz w:val="24"/>
          <w:szCs w:val="24"/>
        </w:rPr>
        <w:t xml:space="preserve">an outflow of </w:t>
      </w:r>
      <w:r w:rsidR="003A5A52" w:rsidRPr="004B4540">
        <w:rPr>
          <w:rFonts w:ascii="Times New Roman" w:eastAsia="Times New Roman" w:hAnsi="Times New Roman" w:cs="Times New Roman"/>
          <w:noProof/>
          <w:sz w:val="24"/>
          <w:szCs w:val="24"/>
        </w:rPr>
        <w:t>502</w:t>
      </w:r>
      <w:r w:rsidR="00F94891" w:rsidRPr="004B4540">
        <w:rPr>
          <w:rFonts w:ascii="Times New Roman" w:eastAsia="Times New Roman" w:hAnsi="Times New Roman" w:cs="Times New Roman"/>
          <w:noProof/>
          <w:sz w:val="24"/>
          <w:szCs w:val="24"/>
        </w:rPr>
        <w:t> </w:t>
      </w:r>
      <w:r w:rsidR="003A5A52" w:rsidRPr="004B4540">
        <w:rPr>
          <w:rFonts w:ascii="Times New Roman" w:eastAsia="Times New Roman" w:hAnsi="Times New Roman" w:cs="Times New Roman"/>
          <w:noProof/>
          <w:sz w:val="24"/>
          <w:szCs w:val="24"/>
        </w:rPr>
        <w:t xml:space="preserve">106 allowances from the EU ETS to the Swiss </w:t>
      </w:r>
      <w:r w:rsidR="00476E78" w:rsidRPr="004B4540">
        <w:rPr>
          <w:rFonts w:ascii="Times New Roman" w:eastAsia="Times New Roman" w:hAnsi="Times New Roman" w:cs="Times New Roman"/>
          <w:noProof/>
          <w:sz w:val="24"/>
          <w:szCs w:val="24"/>
        </w:rPr>
        <w:t>ETS</w:t>
      </w:r>
      <w:r w:rsidR="003A5A52" w:rsidRPr="004B4540">
        <w:rPr>
          <w:rFonts w:ascii="Times New Roman" w:eastAsia="Times New Roman" w:hAnsi="Times New Roman" w:cs="Times New Roman"/>
          <w:noProof/>
          <w:sz w:val="24"/>
          <w:szCs w:val="24"/>
        </w:rPr>
        <w:t>. It should, however, be noted that the figures may include re-transfers of the same allowances.</w:t>
      </w:r>
    </w:p>
    <w:p w14:paraId="2BF8542E" w14:textId="17502752" w:rsidR="001C2080" w:rsidRPr="004B4540" w:rsidRDefault="00595C46" w:rsidP="00CE5873">
      <w:pPr>
        <w:pStyle w:val="CMR23-heading"/>
        <w:rPr>
          <w:rFonts w:cs="Times New Roman"/>
          <w:noProof/>
          <w:sz w:val="24"/>
          <w:szCs w:val="24"/>
          <w:lang w:val="en-GB"/>
        </w:rPr>
      </w:pPr>
      <w:bookmarkStart w:id="93" w:name="_Toc148555901"/>
      <w:r w:rsidRPr="004B4540">
        <w:rPr>
          <w:rFonts w:cs="Times New Roman"/>
          <w:noProof/>
          <w:sz w:val="24"/>
          <w:szCs w:val="24"/>
          <w:lang w:val="en-GB"/>
        </w:rPr>
        <w:t>EU ETS in the context of the</w:t>
      </w:r>
      <w:r w:rsidR="00A5525D" w:rsidRPr="004B4540">
        <w:rPr>
          <w:rFonts w:cs="Times New Roman"/>
          <w:noProof/>
          <w:sz w:val="24"/>
          <w:szCs w:val="24"/>
          <w:lang w:val="en-GB"/>
        </w:rPr>
        <w:t xml:space="preserve"> EU’s climate and energy governance</w:t>
      </w:r>
      <w:bookmarkEnd w:id="93"/>
      <w:r w:rsidRPr="004B4540">
        <w:rPr>
          <w:rFonts w:cs="Times New Roman"/>
          <w:noProof/>
          <w:sz w:val="24"/>
          <w:szCs w:val="24"/>
          <w:lang w:val="en-GB"/>
        </w:rPr>
        <w:t xml:space="preserve"> </w:t>
      </w:r>
      <w:bookmarkEnd w:id="89"/>
    </w:p>
    <w:p w14:paraId="4AFC6445" w14:textId="0A9A9F01" w:rsidR="00B95F42" w:rsidRPr="004B4540" w:rsidRDefault="00020F29" w:rsidP="00020F29">
      <w:pPr>
        <w:pStyle w:val="CMR23-text"/>
        <w:rPr>
          <w:rFonts w:cs="Times New Roman"/>
          <w:noProof/>
          <w:szCs w:val="24"/>
        </w:rPr>
      </w:pPr>
      <w:r w:rsidRPr="004B4540">
        <w:rPr>
          <w:rFonts w:cs="Times New Roman"/>
          <w:noProof/>
          <w:szCs w:val="24"/>
        </w:rPr>
        <w:t xml:space="preserve">The EU ETS operates within the broader context of </w:t>
      </w:r>
      <w:r w:rsidR="00B15C98" w:rsidRPr="004B4540">
        <w:rPr>
          <w:rFonts w:cs="Times New Roman"/>
          <w:noProof/>
          <w:szCs w:val="24"/>
        </w:rPr>
        <w:t xml:space="preserve">the </w:t>
      </w:r>
      <w:r w:rsidRPr="004B4540">
        <w:rPr>
          <w:rFonts w:cs="Times New Roman"/>
          <w:noProof/>
          <w:szCs w:val="24"/>
        </w:rPr>
        <w:t>EU’s</w:t>
      </w:r>
      <w:r w:rsidR="00A5525D" w:rsidRPr="004B4540">
        <w:rPr>
          <w:rFonts w:cs="Times New Roman"/>
          <w:noProof/>
          <w:szCs w:val="24"/>
        </w:rPr>
        <w:t xml:space="preserve"> climate and</w:t>
      </w:r>
      <w:r w:rsidRPr="004B4540">
        <w:rPr>
          <w:rFonts w:cs="Times New Roman"/>
          <w:noProof/>
          <w:szCs w:val="24"/>
        </w:rPr>
        <w:t xml:space="preserve"> energy </w:t>
      </w:r>
      <w:r w:rsidR="00321A8A" w:rsidRPr="004B4540">
        <w:rPr>
          <w:rFonts w:cs="Times New Roman"/>
          <w:noProof/>
          <w:szCs w:val="24"/>
        </w:rPr>
        <w:t>governance</w:t>
      </w:r>
      <w:r w:rsidRPr="004B4540">
        <w:rPr>
          <w:rFonts w:cs="Times New Roman"/>
          <w:noProof/>
          <w:szCs w:val="24"/>
        </w:rPr>
        <w:t>, including Directive</w:t>
      </w:r>
      <w:r w:rsidR="00195986">
        <w:rPr>
          <w:rFonts w:cs="Times New Roman"/>
          <w:noProof/>
          <w:szCs w:val="24"/>
        </w:rPr>
        <w:t> </w:t>
      </w:r>
      <w:r w:rsidRPr="004B4540">
        <w:rPr>
          <w:rFonts w:cs="Times New Roman"/>
          <w:noProof/>
          <w:szCs w:val="24"/>
        </w:rPr>
        <w:t>2</w:t>
      </w:r>
      <w:r w:rsidR="00AA63DB">
        <w:rPr>
          <w:rFonts w:cs="Times New Roman"/>
          <w:noProof/>
          <w:szCs w:val="24"/>
        </w:rPr>
        <w:t>023</w:t>
      </w:r>
      <w:r w:rsidRPr="004B4540">
        <w:rPr>
          <w:rFonts w:cs="Times New Roman"/>
          <w:noProof/>
          <w:szCs w:val="24"/>
        </w:rPr>
        <w:t>/</w:t>
      </w:r>
      <w:r w:rsidR="007D47AA">
        <w:rPr>
          <w:rFonts w:cs="Times New Roman"/>
          <w:noProof/>
          <w:szCs w:val="24"/>
        </w:rPr>
        <w:t>1791</w:t>
      </w:r>
      <w:r w:rsidR="007D47AA" w:rsidRPr="004B4540">
        <w:rPr>
          <w:rFonts w:cs="Times New Roman"/>
          <w:noProof/>
          <w:szCs w:val="24"/>
        </w:rPr>
        <w:t xml:space="preserve"> </w:t>
      </w:r>
      <w:r w:rsidRPr="004B4540">
        <w:rPr>
          <w:rFonts w:cs="Times New Roman"/>
          <w:noProof/>
          <w:szCs w:val="24"/>
        </w:rPr>
        <w:t>(Energy Efficiency Directive)</w:t>
      </w:r>
      <w:r w:rsidRPr="004B4540">
        <w:rPr>
          <w:rStyle w:val="FootnoteReference"/>
          <w:rFonts w:cs="Times New Roman"/>
          <w:noProof/>
          <w:szCs w:val="24"/>
        </w:rPr>
        <w:footnoteReference w:id="112"/>
      </w:r>
      <w:r w:rsidRPr="004B4540">
        <w:rPr>
          <w:rFonts w:cs="Times New Roman"/>
          <w:noProof/>
          <w:szCs w:val="24"/>
        </w:rPr>
        <w:t xml:space="preserve">. </w:t>
      </w:r>
      <w:r w:rsidR="00D1422D">
        <w:rPr>
          <w:rFonts w:cs="Times New Roman"/>
          <w:noProof/>
          <w:szCs w:val="24"/>
        </w:rPr>
        <w:t>It</w:t>
      </w:r>
      <w:r w:rsidR="00D1422D" w:rsidRPr="004B4540">
        <w:rPr>
          <w:rFonts w:cs="Times New Roman"/>
          <w:noProof/>
          <w:szCs w:val="24"/>
        </w:rPr>
        <w:t xml:space="preserve"> has also been revised as part of Fit</w:t>
      </w:r>
      <w:r w:rsidR="00D1422D">
        <w:rPr>
          <w:rFonts w:cs="Times New Roman"/>
          <w:noProof/>
          <w:szCs w:val="24"/>
        </w:rPr>
        <w:t> </w:t>
      </w:r>
      <w:r w:rsidR="00D1422D" w:rsidRPr="004B4540">
        <w:rPr>
          <w:rFonts w:cs="Times New Roman"/>
          <w:noProof/>
          <w:szCs w:val="24"/>
        </w:rPr>
        <w:t>for</w:t>
      </w:r>
      <w:r w:rsidR="00D1422D">
        <w:rPr>
          <w:rFonts w:cs="Times New Roman"/>
          <w:noProof/>
          <w:szCs w:val="24"/>
        </w:rPr>
        <w:t> </w:t>
      </w:r>
      <w:r w:rsidR="00D1422D" w:rsidRPr="004B4540">
        <w:rPr>
          <w:rFonts w:cs="Times New Roman"/>
          <w:noProof/>
          <w:szCs w:val="24"/>
        </w:rPr>
        <w:t xml:space="preserve">55. </w:t>
      </w:r>
      <w:r w:rsidRPr="004B4540">
        <w:rPr>
          <w:rFonts w:cs="Times New Roman"/>
          <w:noProof/>
          <w:szCs w:val="24"/>
        </w:rPr>
        <w:t xml:space="preserve">The aim of </w:t>
      </w:r>
      <w:r w:rsidR="00D1422D">
        <w:rPr>
          <w:rFonts w:cs="Times New Roman"/>
          <w:noProof/>
          <w:szCs w:val="24"/>
        </w:rPr>
        <w:t xml:space="preserve">the </w:t>
      </w:r>
      <w:r w:rsidRPr="004B4540">
        <w:rPr>
          <w:rFonts w:cs="Times New Roman"/>
          <w:noProof/>
          <w:szCs w:val="24"/>
        </w:rPr>
        <w:t>Directive is to achieve energy savings by laying down targets and obligations for Member States and companies. The carbon price signal of the EU ETS interact</w:t>
      </w:r>
      <w:r w:rsidR="005615EE" w:rsidRPr="004B4540">
        <w:rPr>
          <w:rFonts w:cs="Times New Roman"/>
          <w:noProof/>
          <w:szCs w:val="24"/>
        </w:rPr>
        <w:t>s</w:t>
      </w:r>
      <w:r w:rsidRPr="004B4540">
        <w:rPr>
          <w:rFonts w:cs="Times New Roman"/>
          <w:noProof/>
          <w:szCs w:val="24"/>
        </w:rPr>
        <w:t xml:space="preserve"> with policy measures and actions implemented to that end. </w:t>
      </w:r>
    </w:p>
    <w:p w14:paraId="58BB67FF" w14:textId="56B00D7A" w:rsidR="00277E9E" w:rsidRPr="004B4540" w:rsidRDefault="00321A8A" w:rsidP="00020F29">
      <w:pPr>
        <w:pStyle w:val="CMR23-text"/>
        <w:rPr>
          <w:rFonts w:cs="Times New Roman"/>
          <w:noProof/>
          <w:szCs w:val="24"/>
        </w:rPr>
      </w:pPr>
      <w:r w:rsidRPr="004B4540">
        <w:rPr>
          <w:rFonts w:cs="Times New Roman"/>
          <w:noProof/>
          <w:szCs w:val="24"/>
        </w:rPr>
        <w:t>T</w:t>
      </w:r>
      <w:r w:rsidR="00020F29" w:rsidRPr="004B4540">
        <w:rPr>
          <w:rFonts w:cs="Times New Roman"/>
          <w:noProof/>
          <w:szCs w:val="24"/>
        </w:rPr>
        <w:t xml:space="preserve">he revised </w:t>
      </w:r>
      <w:r w:rsidR="00B95F42" w:rsidRPr="004B4540">
        <w:rPr>
          <w:rFonts w:cs="Times New Roman"/>
          <w:noProof/>
          <w:szCs w:val="24"/>
        </w:rPr>
        <w:t xml:space="preserve">Energy Efficiency </w:t>
      </w:r>
      <w:r w:rsidR="00020F29" w:rsidRPr="004B4540">
        <w:rPr>
          <w:rFonts w:cs="Times New Roman"/>
          <w:noProof/>
          <w:szCs w:val="24"/>
        </w:rPr>
        <w:t xml:space="preserve">Directive </w:t>
      </w:r>
      <w:r w:rsidR="00B95F42" w:rsidRPr="004B4540">
        <w:rPr>
          <w:rFonts w:cs="Times New Roman"/>
          <w:noProof/>
          <w:szCs w:val="24"/>
        </w:rPr>
        <w:t xml:space="preserve">introduces new rules to reduce final energy consumption at EU level by 11.7% in 2030. </w:t>
      </w:r>
      <w:r w:rsidR="00277E9E" w:rsidRPr="004B4540">
        <w:rPr>
          <w:rFonts w:cs="Times New Roman"/>
          <w:noProof/>
          <w:szCs w:val="24"/>
        </w:rPr>
        <w:t xml:space="preserve">All Member States will contribute to achieving </w:t>
      </w:r>
      <w:r w:rsidRPr="004B4540">
        <w:rPr>
          <w:rFonts w:cs="Times New Roman"/>
          <w:noProof/>
          <w:szCs w:val="24"/>
        </w:rPr>
        <w:t>this</w:t>
      </w:r>
      <w:r w:rsidR="00277E9E" w:rsidRPr="004B4540">
        <w:rPr>
          <w:rFonts w:cs="Times New Roman"/>
          <w:noProof/>
          <w:szCs w:val="24"/>
        </w:rPr>
        <w:t xml:space="preserve"> target. They will set indicative national contributions and </w:t>
      </w:r>
      <w:r w:rsidR="00C3650A" w:rsidRPr="004B4540">
        <w:rPr>
          <w:rFonts w:cs="Times New Roman"/>
          <w:noProof/>
          <w:szCs w:val="24"/>
        </w:rPr>
        <w:t>paths to reach the target in their integrated national energy and climate plans</w:t>
      </w:r>
      <w:r w:rsidR="00277E9E" w:rsidRPr="004B4540">
        <w:rPr>
          <w:rFonts w:cs="Times New Roman"/>
          <w:noProof/>
          <w:szCs w:val="24"/>
        </w:rPr>
        <w:t xml:space="preserve"> (NECPs)</w:t>
      </w:r>
      <w:r w:rsidR="00226156" w:rsidRPr="004B4540">
        <w:rPr>
          <w:rFonts w:cs="Times New Roman"/>
          <w:noProof/>
          <w:szCs w:val="24"/>
        </w:rPr>
        <w:t xml:space="preserve"> under Regulation</w:t>
      </w:r>
      <w:r w:rsidR="00195986">
        <w:rPr>
          <w:rFonts w:cs="Times New Roman"/>
          <w:noProof/>
          <w:szCs w:val="24"/>
        </w:rPr>
        <w:t> </w:t>
      </w:r>
      <w:r w:rsidR="00226156" w:rsidRPr="004B4540">
        <w:rPr>
          <w:rFonts w:cs="Times New Roman"/>
          <w:noProof/>
          <w:szCs w:val="24"/>
        </w:rPr>
        <w:t>2018/1999</w:t>
      </w:r>
      <w:r w:rsidR="00226156" w:rsidRPr="004B4540">
        <w:rPr>
          <w:rStyle w:val="FootnoteReference"/>
          <w:rFonts w:cs="Times New Roman"/>
          <w:noProof/>
          <w:szCs w:val="24"/>
        </w:rPr>
        <w:footnoteReference w:id="113"/>
      </w:r>
      <w:r w:rsidR="00226156" w:rsidRPr="004B4540">
        <w:rPr>
          <w:rFonts w:cs="Times New Roman"/>
          <w:noProof/>
          <w:szCs w:val="24"/>
        </w:rPr>
        <w:t xml:space="preserve"> (Governance Regulation</w:t>
      </w:r>
      <w:r w:rsidR="001B7A30" w:rsidRPr="004B4540">
        <w:rPr>
          <w:rFonts w:cs="Times New Roman"/>
          <w:noProof/>
          <w:szCs w:val="24"/>
        </w:rPr>
        <w:t>)</w:t>
      </w:r>
      <w:r w:rsidR="00277E9E" w:rsidRPr="004B4540">
        <w:rPr>
          <w:rFonts w:cs="Times New Roman"/>
          <w:noProof/>
          <w:szCs w:val="24"/>
        </w:rPr>
        <w:t xml:space="preserve">. </w:t>
      </w:r>
    </w:p>
    <w:p w14:paraId="544B7CEE" w14:textId="10BB6776" w:rsidR="00020F29" w:rsidRPr="004B4540" w:rsidRDefault="00205D35" w:rsidP="00020F29">
      <w:pPr>
        <w:pStyle w:val="CMR23-text"/>
        <w:rPr>
          <w:rFonts w:cs="Times New Roman"/>
          <w:noProof/>
          <w:szCs w:val="24"/>
        </w:rPr>
      </w:pPr>
      <w:r w:rsidRPr="004B4540">
        <w:rPr>
          <w:rFonts w:cs="Times New Roman"/>
          <w:noProof/>
          <w:szCs w:val="24"/>
        </w:rPr>
        <w:t>The carbon price signal of the EU ETS feeds into the appraisal of energy efficiency-related investments and measures in the sectors covered.</w:t>
      </w:r>
      <w:r w:rsidR="00020F29" w:rsidRPr="004B4540">
        <w:rPr>
          <w:rFonts w:cs="Times New Roman"/>
          <w:noProof/>
          <w:szCs w:val="24"/>
        </w:rPr>
        <w:t xml:space="preserve"> Member States also use auction revenue from the EU ETS to fund energy efficiency improvements. In 2022</w:t>
      </w:r>
      <w:r w:rsidR="00020F29" w:rsidRPr="00DD47F5">
        <w:rPr>
          <w:rFonts w:cs="Times New Roman"/>
          <w:noProof/>
          <w:szCs w:val="24"/>
        </w:rPr>
        <w:t xml:space="preserve">, </w:t>
      </w:r>
      <w:r w:rsidR="00E7787C">
        <w:rPr>
          <w:rFonts w:cs="Times New Roman"/>
          <w:noProof/>
          <w:szCs w:val="24"/>
        </w:rPr>
        <w:t>they</w:t>
      </w:r>
      <w:r w:rsidR="00020F29" w:rsidRPr="00DD47F5">
        <w:rPr>
          <w:rFonts w:cs="Times New Roman"/>
          <w:noProof/>
          <w:szCs w:val="24"/>
        </w:rPr>
        <w:t xml:space="preserve"> reported </w:t>
      </w:r>
      <w:r w:rsidR="00A07284" w:rsidRPr="00DD47F5">
        <w:rPr>
          <w:rFonts w:cs="Times New Roman"/>
          <w:noProof/>
          <w:szCs w:val="24"/>
        </w:rPr>
        <w:t>spending EUR</w:t>
      </w:r>
      <w:r w:rsidR="00E7787C">
        <w:rPr>
          <w:rFonts w:cs="Times New Roman"/>
          <w:noProof/>
          <w:szCs w:val="24"/>
        </w:rPr>
        <w:t> </w:t>
      </w:r>
      <w:r w:rsidR="00A07284" w:rsidRPr="00DD47F5">
        <w:rPr>
          <w:rFonts w:cs="Times New Roman"/>
          <w:noProof/>
          <w:szCs w:val="24"/>
        </w:rPr>
        <w:t>4.8</w:t>
      </w:r>
      <w:r w:rsidR="00E7787C">
        <w:rPr>
          <w:rFonts w:cs="Times New Roman"/>
          <w:noProof/>
          <w:szCs w:val="24"/>
        </w:rPr>
        <w:t> </w:t>
      </w:r>
      <w:r w:rsidR="00A07284" w:rsidRPr="00DD47F5">
        <w:rPr>
          <w:rFonts w:cs="Times New Roman"/>
          <w:noProof/>
          <w:szCs w:val="24"/>
        </w:rPr>
        <w:t xml:space="preserve">billion </w:t>
      </w:r>
      <w:r w:rsidR="00020F29" w:rsidRPr="00DD47F5">
        <w:rPr>
          <w:rFonts w:cs="Times New Roman"/>
          <w:noProof/>
          <w:szCs w:val="24"/>
        </w:rPr>
        <w:t xml:space="preserve">to fund projects related to energy efficiency. This included </w:t>
      </w:r>
      <w:r w:rsidR="006877BE" w:rsidRPr="00DD47F5">
        <w:rPr>
          <w:rFonts w:cs="Times New Roman"/>
          <w:noProof/>
          <w:szCs w:val="24"/>
        </w:rPr>
        <w:t>no</w:t>
      </w:r>
      <w:r w:rsidR="00DD47F5" w:rsidRPr="00DD47F5">
        <w:rPr>
          <w:rFonts w:cs="Times New Roman"/>
          <w:noProof/>
          <w:szCs w:val="24"/>
        </w:rPr>
        <w:t>t</w:t>
      </w:r>
      <w:r w:rsidR="006877BE" w:rsidRPr="00DD47F5">
        <w:rPr>
          <w:rFonts w:cs="Times New Roman"/>
          <w:noProof/>
          <w:szCs w:val="24"/>
        </w:rPr>
        <w:t xml:space="preserve"> only </w:t>
      </w:r>
      <w:r w:rsidR="00020F29" w:rsidRPr="00DD47F5">
        <w:rPr>
          <w:rFonts w:cs="Times New Roman"/>
          <w:noProof/>
          <w:szCs w:val="24"/>
        </w:rPr>
        <w:t xml:space="preserve">investments in the thermal modernisation of buildings, energy efficiency </w:t>
      </w:r>
      <w:r w:rsidR="00B460E4" w:rsidRPr="00DD47F5">
        <w:rPr>
          <w:rFonts w:cs="Times New Roman"/>
          <w:noProof/>
          <w:szCs w:val="24"/>
        </w:rPr>
        <w:t xml:space="preserve">advice </w:t>
      </w:r>
      <w:r w:rsidR="00020F29" w:rsidRPr="00DD47F5">
        <w:rPr>
          <w:rFonts w:cs="Times New Roman"/>
          <w:noProof/>
          <w:szCs w:val="24"/>
        </w:rPr>
        <w:t xml:space="preserve">as well as research and development, </w:t>
      </w:r>
      <w:r w:rsidR="00AC3974" w:rsidRPr="00DD47F5">
        <w:rPr>
          <w:rFonts w:cs="Times New Roman"/>
          <w:noProof/>
          <w:szCs w:val="24"/>
        </w:rPr>
        <w:t xml:space="preserve">all </w:t>
      </w:r>
      <w:r w:rsidR="00020F29" w:rsidRPr="00DD47F5">
        <w:rPr>
          <w:rFonts w:cs="Times New Roman"/>
          <w:noProof/>
          <w:szCs w:val="24"/>
        </w:rPr>
        <w:t>with the objective to reduce energy consumption</w:t>
      </w:r>
      <w:r w:rsidR="006877BE" w:rsidRPr="00DD47F5">
        <w:rPr>
          <w:rFonts w:cs="Times New Roman"/>
          <w:noProof/>
          <w:szCs w:val="24"/>
        </w:rPr>
        <w:t>, but also social support measures</w:t>
      </w:r>
      <w:r w:rsidR="00DD47F5">
        <w:rPr>
          <w:rFonts w:cs="Times New Roman"/>
          <w:noProof/>
          <w:szCs w:val="24"/>
        </w:rPr>
        <w:t xml:space="preserve"> in light of the energy crisis</w:t>
      </w:r>
      <w:r w:rsidR="00020F29" w:rsidRPr="00DD47F5">
        <w:rPr>
          <w:rFonts w:cs="Times New Roman"/>
          <w:noProof/>
          <w:szCs w:val="24"/>
        </w:rPr>
        <w:t>.</w:t>
      </w:r>
      <w:r w:rsidR="00020F29" w:rsidRPr="004B4540">
        <w:rPr>
          <w:rFonts w:cs="Times New Roman"/>
          <w:noProof/>
          <w:szCs w:val="24"/>
        </w:rPr>
        <w:t xml:space="preserve"> </w:t>
      </w:r>
    </w:p>
    <w:p w14:paraId="04B4EC36" w14:textId="57EB07C8" w:rsidR="00AD5EAA" w:rsidRPr="004B4540" w:rsidRDefault="001B7A30" w:rsidP="001B7A30">
      <w:pPr>
        <w:pStyle w:val="CMR23-text"/>
        <w:rPr>
          <w:rFonts w:cs="Times New Roman"/>
          <w:noProof/>
          <w:szCs w:val="24"/>
        </w:rPr>
      </w:pPr>
      <w:r w:rsidRPr="004B4540">
        <w:rPr>
          <w:rFonts w:cs="Times New Roman"/>
          <w:noProof/>
          <w:szCs w:val="24"/>
        </w:rPr>
        <w:t xml:space="preserve">NECPs </w:t>
      </w:r>
      <w:r w:rsidR="00424F11" w:rsidRPr="004B4540">
        <w:rPr>
          <w:rFonts w:cs="Times New Roman"/>
          <w:noProof/>
          <w:szCs w:val="24"/>
        </w:rPr>
        <w:t xml:space="preserve">set out </w:t>
      </w:r>
      <w:r w:rsidRPr="004B4540">
        <w:rPr>
          <w:rFonts w:cs="Times New Roman"/>
          <w:noProof/>
          <w:szCs w:val="24"/>
        </w:rPr>
        <w:t>how Member States intend to address not only energy efficiency, but also renewables</w:t>
      </w:r>
      <w:r w:rsidR="00A13305">
        <w:rPr>
          <w:rFonts w:cs="Times New Roman"/>
          <w:noProof/>
          <w:szCs w:val="24"/>
        </w:rPr>
        <w:t>’ deployment</w:t>
      </w:r>
      <w:r w:rsidRPr="004B4540">
        <w:rPr>
          <w:rFonts w:cs="Times New Roman"/>
          <w:noProof/>
          <w:szCs w:val="24"/>
        </w:rPr>
        <w:t xml:space="preserve">, emission reductions, </w:t>
      </w:r>
      <w:r w:rsidR="00195986">
        <w:rPr>
          <w:rFonts w:cs="Times New Roman"/>
          <w:noProof/>
          <w:szCs w:val="24"/>
        </w:rPr>
        <w:t xml:space="preserve">industrial diversification, </w:t>
      </w:r>
      <w:r w:rsidRPr="004B4540">
        <w:rPr>
          <w:rFonts w:cs="Times New Roman"/>
          <w:noProof/>
          <w:szCs w:val="24"/>
        </w:rPr>
        <w:t xml:space="preserve">interconnections and research and innovation in the context of EU climate and energy targets. </w:t>
      </w:r>
      <w:r w:rsidR="00A13305">
        <w:rPr>
          <w:rFonts w:cs="Times New Roman"/>
          <w:noProof/>
          <w:szCs w:val="24"/>
        </w:rPr>
        <w:t>They</w:t>
      </w:r>
      <w:r w:rsidR="00A13305" w:rsidRPr="004B4540">
        <w:rPr>
          <w:rFonts w:cs="Times New Roman"/>
          <w:noProof/>
          <w:szCs w:val="24"/>
        </w:rPr>
        <w:t xml:space="preserve"> </w:t>
      </w:r>
      <w:r w:rsidR="00AD5EAA" w:rsidRPr="004B4540">
        <w:rPr>
          <w:rFonts w:cs="Times New Roman"/>
          <w:noProof/>
          <w:szCs w:val="24"/>
        </w:rPr>
        <w:t xml:space="preserve">may include </w:t>
      </w:r>
      <w:r w:rsidR="00393E8F" w:rsidRPr="004B4540">
        <w:rPr>
          <w:rFonts w:cs="Times New Roman"/>
          <w:noProof/>
          <w:szCs w:val="24"/>
        </w:rPr>
        <w:t>measures to</w:t>
      </w:r>
      <w:r w:rsidR="00226156" w:rsidRPr="004B4540">
        <w:rPr>
          <w:rFonts w:cs="Times New Roman"/>
          <w:noProof/>
          <w:szCs w:val="24"/>
        </w:rPr>
        <w:t xml:space="preserve"> promote decarbonisation of </w:t>
      </w:r>
      <w:r w:rsidR="00321A8A" w:rsidRPr="004B4540">
        <w:rPr>
          <w:rFonts w:cs="Times New Roman"/>
          <w:noProof/>
          <w:szCs w:val="24"/>
        </w:rPr>
        <w:t>EU</w:t>
      </w:r>
      <w:r w:rsidR="00226156" w:rsidRPr="004B4540">
        <w:rPr>
          <w:rFonts w:cs="Times New Roman"/>
          <w:noProof/>
          <w:szCs w:val="24"/>
        </w:rPr>
        <w:t xml:space="preserve"> ETS</w:t>
      </w:r>
      <w:r w:rsidRPr="004B4540">
        <w:rPr>
          <w:rFonts w:cs="Times New Roman"/>
          <w:noProof/>
          <w:szCs w:val="24"/>
        </w:rPr>
        <w:t xml:space="preserve"> sectors</w:t>
      </w:r>
      <w:r w:rsidR="00A64D48">
        <w:rPr>
          <w:rFonts w:cs="Times New Roman"/>
          <w:noProof/>
          <w:szCs w:val="24"/>
        </w:rPr>
        <w:t>, ways of using ETS revenue for the green</w:t>
      </w:r>
      <w:r w:rsidR="003E603F">
        <w:rPr>
          <w:rFonts w:cs="Times New Roman"/>
          <w:noProof/>
          <w:szCs w:val="24"/>
        </w:rPr>
        <w:t xml:space="preserve"> and just</w:t>
      </w:r>
      <w:r w:rsidR="00A64D48">
        <w:rPr>
          <w:rFonts w:cs="Times New Roman"/>
          <w:noProof/>
          <w:szCs w:val="24"/>
        </w:rPr>
        <w:t xml:space="preserve"> </w:t>
      </w:r>
      <w:r w:rsidR="00F47513">
        <w:rPr>
          <w:rFonts w:cs="Times New Roman"/>
          <w:noProof/>
          <w:szCs w:val="24"/>
        </w:rPr>
        <w:t>transformation</w:t>
      </w:r>
      <w:r w:rsidR="00A64D48">
        <w:rPr>
          <w:rFonts w:cs="Times New Roman"/>
          <w:noProof/>
          <w:szCs w:val="24"/>
        </w:rPr>
        <w:t xml:space="preserve"> and</w:t>
      </w:r>
      <w:r w:rsidR="005275B2">
        <w:rPr>
          <w:rFonts w:cs="Times New Roman"/>
          <w:noProof/>
          <w:szCs w:val="24"/>
        </w:rPr>
        <w:t xml:space="preserve"> </w:t>
      </w:r>
      <w:r w:rsidR="007014E7">
        <w:rPr>
          <w:rFonts w:cs="Times New Roman"/>
          <w:noProof/>
          <w:szCs w:val="24"/>
        </w:rPr>
        <w:t>plans</w:t>
      </w:r>
      <w:r w:rsidR="005275B2">
        <w:rPr>
          <w:rFonts w:cs="Times New Roman"/>
          <w:noProof/>
          <w:szCs w:val="24"/>
        </w:rPr>
        <w:t xml:space="preserve"> to cancel ETS allowances</w:t>
      </w:r>
      <w:r w:rsidR="00F47513">
        <w:rPr>
          <w:rFonts w:cs="Times New Roman"/>
          <w:noProof/>
          <w:szCs w:val="24"/>
        </w:rPr>
        <w:t xml:space="preserve"> in view of</w:t>
      </w:r>
      <w:r w:rsidR="007014E7">
        <w:rPr>
          <w:rFonts w:cs="Times New Roman"/>
          <w:noProof/>
          <w:szCs w:val="24"/>
        </w:rPr>
        <w:t xml:space="preserve"> a scheduled phase out of fossil fuels</w:t>
      </w:r>
      <w:r w:rsidR="00F101D0">
        <w:rPr>
          <w:rFonts w:cs="Times New Roman"/>
          <w:noProof/>
          <w:szCs w:val="24"/>
        </w:rPr>
        <w:t xml:space="preserve"> for electricity generation</w:t>
      </w:r>
      <w:r w:rsidR="00226156" w:rsidRPr="004B4540">
        <w:rPr>
          <w:rFonts w:cs="Times New Roman"/>
          <w:noProof/>
          <w:szCs w:val="24"/>
        </w:rPr>
        <w:t>.</w:t>
      </w:r>
      <w:r w:rsidR="00A64D48">
        <w:rPr>
          <w:rFonts w:cs="Times New Roman"/>
          <w:noProof/>
          <w:szCs w:val="24"/>
        </w:rPr>
        <w:t xml:space="preserve"> </w:t>
      </w:r>
    </w:p>
    <w:p w14:paraId="0D334A4E" w14:textId="285DE3ED" w:rsidR="00F11F4F" w:rsidRDefault="00BA5E35" w:rsidP="00195986">
      <w:pPr>
        <w:pStyle w:val="CMR23-text"/>
        <w:rPr>
          <w:rFonts w:cs="Times New Roman"/>
          <w:noProof/>
          <w:szCs w:val="24"/>
        </w:rPr>
      </w:pPr>
      <w:r>
        <w:rPr>
          <w:rFonts w:cs="Times New Roman"/>
          <w:noProof/>
          <w:szCs w:val="24"/>
        </w:rPr>
        <w:t>Under Article</w:t>
      </w:r>
      <w:r w:rsidR="00195986">
        <w:rPr>
          <w:rFonts w:cs="Times New Roman"/>
          <w:noProof/>
          <w:szCs w:val="24"/>
        </w:rPr>
        <w:t> </w:t>
      </w:r>
      <w:r>
        <w:rPr>
          <w:rFonts w:cs="Times New Roman"/>
          <w:noProof/>
          <w:szCs w:val="24"/>
        </w:rPr>
        <w:t xml:space="preserve">14 of the Governance Regulation, </w:t>
      </w:r>
      <w:r w:rsidR="001F52CF" w:rsidRPr="004B4540">
        <w:rPr>
          <w:rFonts w:cs="Times New Roman"/>
          <w:noProof/>
          <w:szCs w:val="24"/>
        </w:rPr>
        <w:t>Member States were expected to have submitted their draft updated NECPs to the Commission</w:t>
      </w:r>
      <w:r w:rsidRPr="00BA5E35">
        <w:rPr>
          <w:rFonts w:cs="Times New Roman"/>
          <w:noProof/>
          <w:szCs w:val="24"/>
        </w:rPr>
        <w:t xml:space="preserve"> </w:t>
      </w:r>
      <w:r>
        <w:rPr>
          <w:rFonts w:cs="Times New Roman"/>
          <w:noProof/>
          <w:szCs w:val="24"/>
        </w:rPr>
        <w:t>b</w:t>
      </w:r>
      <w:r w:rsidRPr="004B4540">
        <w:rPr>
          <w:rFonts w:cs="Times New Roman"/>
          <w:noProof/>
          <w:szCs w:val="24"/>
        </w:rPr>
        <w:t>y the end of June</w:t>
      </w:r>
      <w:r w:rsidR="00195986">
        <w:rPr>
          <w:rFonts w:cs="Times New Roman"/>
          <w:noProof/>
          <w:szCs w:val="24"/>
        </w:rPr>
        <w:t> </w:t>
      </w:r>
      <w:r w:rsidRPr="004B4540">
        <w:rPr>
          <w:rFonts w:cs="Times New Roman"/>
          <w:noProof/>
          <w:szCs w:val="24"/>
        </w:rPr>
        <w:t>2023</w:t>
      </w:r>
      <w:r w:rsidR="001F52CF" w:rsidRPr="004B4540">
        <w:rPr>
          <w:rFonts w:cs="Times New Roman"/>
          <w:noProof/>
          <w:szCs w:val="24"/>
        </w:rPr>
        <w:t>. These updated plans should take into account the more ambitious EU climate targets under the Climate Law and amendments to key pieces of the EU energy and climate legislation under Fit</w:t>
      </w:r>
      <w:r w:rsidR="004F532A">
        <w:rPr>
          <w:rFonts w:cs="Times New Roman"/>
          <w:noProof/>
          <w:szCs w:val="24"/>
        </w:rPr>
        <w:t> </w:t>
      </w:r>
      <w:r w:rsidR="001F52CF" w:rsidRPr="004B4540">
        <w:rPr>
          <w:rFonts w:cs="Times New Roman"/>
          <w:noProof/>
          <w:szCs w:val="24"/>
        </w:rPr>
        <w:t>for</w:t>
      </w:r>
      <w:r w:rsidR="004F532A">
        <w:rPr>
          <w:rFonts w:cs="Times New Roman"/>
          <w:noProof/>
          <w:szCs w:val="24"/>
        </w:rPr>
        <w:t> </w:t>
      </w:r>
      <w:r w:rsidR="001F52CF" w:rsidRPr="004B4540">
        <w:rPr>
          <w:rFonts w:cs="Times New Roman"/>
          <w:noProof/>
          <w:szCs w:val="24"/>
        </w:rPr>
        <w:t>55. By December</w:t>
      </w:r>
      <w:r w:rsidR="004F532A">
        <w:rPr>
          <w:rFonts w:cs="Times New Roman"/>
          <w:noProof/>
          <w:szCs w:val="24"/>
        </w:rPr>
        <w:t> </w:t>
      </w:r>
      <w:r w:rsidR="001F52CF" w:rsidRPr="004B4540">
        <w:rPr>
          <w:rFonts w:cs="Times New Roman"/>
          <w:noProof/>
          <w:szCs w:val="24"/>
        </w:rPr>
        <w:t>2023, the Commission will consolidate an EU-wide assessment of the updated NECPs and issue country-specific recommendations. In the final updated plans, due by the end of June</w:t>
      </w:r>
      <w:r w:rsidR="004F532A">
        <w:rPr>
          <w:rFonts w:cs="Times New Roman"/>
          <w:noProof/>
          <w:szCs w:val="24"/>
        </w:rPr>
        <w:t> </w:t>
      </w:r>
      <w:r w:rsidR="001F52CF" w:rsidRPr="004B4540">
        <w:rPr>
          <w:rFonts w:cs="Times New Roman"/>
          <w:noProof/>
          <w:szCs w:val="24"/>
        </w:rPr>
        <w:t>2024, Member States will be expected to have addressed the Commission’s recommendations.</w:t>
      </w:r>
    </w:p>
    <w:p w14:paraId="6D4AA178" w14:textId="3218CF5A" w:rsidR="00595C46" w:rsidRPr="004B4540" w:rsidRDefault="00B36B2C" w:rsidP="00F84ECB">
      <w:pPr>
        <w:pStyle w:val="CMR23-heading"/>
        <w:rPr>
          <w:rFonts w:cs="Times New Roman"/>
          <w:noProof/>
          <w:sz w:val="24"/>
          <w:szCs w:val="24"/>
          <w:lang w:val="en-GB"/>
        </w:rPr>
      </w:pPr>
      <w:r w:rsidRPr="004B4540">
        <w:rPr>
          <w:rFonts w:cs="Times New Roman"/>
          <w:noProof/>
          <w:sz w:val="24"/>
          <w:szCs w:val="24"/>
          <w:lang w:val="en-GB"/>
        </w:rPr>
        <w:t xml:space="preserve"> </w:t>
      </w:r>
      <w:bookmarkStart w:id="94" w:name="_Toc145453251"/>
      <w:bookmarkStart w:id="95" w:name="_Toc148555902"/>
      <w:r w:rsidR="00595C46" w:rsidRPr="004B4540">
        <w:rPr>
          <w:rFonts w:cs="Times New Roman"/>
          <w:noProof/>
          <w:sz w:val="24"/>
          <w:szCs w:val="24"/>
          <w:lang w:val="en-GB"/>
        </w:rPr>
        <w:t>Conclusions and outlook</w:t>
      </w:r>
      <w:bookmarkEnd w:id="94"/>
      <w:bookmarkEnd w:id="95"/>
      <w:r w:rsidR="00595C46" w:rsidRPr="004B4540">
        <w:rPr>
          <w:rFonts w:cs="Times New Roman"/>
          <w:noProof/>
          <w:sz w:val="24"/>
          <w:szCs w:val="24"/>
          <w:lang w:val="en-GB"/>
        </w:rPr>
        <w:t xml:space="preserve"> </w:t>
      </w:r>
    </w:p>
    <w:p w14:paraId="4284EE76" w14:textId="1AF9677F" w:rsidR="00AC70EB" w:rsidRPr="004B4540" w:rsidRDefault="00A314D6" w:rsidP="007B7640">
      <w:pPr>
        <w:pStyle w:val="CMR23-text"/>
        <w:rPr>
          <w:rFonts w:cs="Times New Roman"/>
          <w:noProof/>
          <w:szCs w:val="24"/>
        </w:rPr>
      </w:pPr>
      <w:r w:rsidRPr="004B4540">
        <w:rPr>
          <w:rFonts w:cs="Times New Roman"/>
          <w:noProof/>
          <w:szCs w:val="24"/>
        </w:rPr>
        <w:t xml:space="preserve">In the ETS sectors, </w:t>
      </w:r>
      <w:r w:rsidR="003A05D4" w:rsidRPr="004B4540">
        <w:rPr>
          <w:rFonts w:cs="Times New Roman"/>
          <w:noProof/>
          <w:szCs w:val="24"/>
        </w:rPr>
        <w:t xml:space="preserve">2022 </w:t>
      </w:r>
      <w:r w:rsidR="003A3386" w:rsidRPr="004B4540">
        <w:rPr>
          <w:rFonts w:cs="Times New Roman"/>
          <w:noProof/>
          <w:szCs w:val="24"/>
        </w:rPr>
        <w:t>was marked by the effect</w:t>
      </w:r>
      <w:r w:rsidR="00AC78D1" w:rsidRPr="004B4540">
        <w:rPr>
          <w:rFonts w:cs="Times New Roman"/>
          <w:noProof/>
          <w:szCs w:val="24"/>
        </w:rPr>
        <w:t>s of the energy crisis</w:t>
      </w:r>
      <w:r w:rsidR="0019369B" w:rsidRPr="004B4540">
        <w:rPr>
          <w:rFonts w:cs="Times New Roman"/>
          <w:noProof/>
          <w:szCs w:val="24"/>
        </w:rPr>
        <w:t xml:space="preserve"> in Europe. Emissions from electricity and heat generation </w:t>
      </w:r>
      <w:r w:rsidR="006561E4" w:rsidRPr="004B4540">
        <w:rPr>
          <w:rFonts w:cs="Times New Roman"/>
          <w:noProof/>
          <w:szCs w:val="24"/>
        </w:rPr>
        <w:t xml:space="preserve">grew </w:t>
      </w:r>
      <w:r w:rsidR="000629A0" w:rsidRPr="004B4540">
        <w:rPr>
          <w:rFonts w:cs="Times New Roman"/>
          <w:noProof/>
          <w:szCs w:val="24"/>
        </w:rPr>
        <w:t>due</w:t>
      </w:r>
      <w:r w:rsidR="006561E4" w:rsidRPr="004B4540">
        <w:rPr>
          <w:rFonts w:cs="Times New Roman"/>
          <w:noProof/>
          <w:szCs w:val="24"/>
        </w:rPr>
        <w:t xml:space="preserve"> to</w:t>
      </w:r>
      <w:r w:rsidR="0019369B" w:rsidRPr="004B4540">
        <w:rPr>
          <w:rFonts w:cs="Times New Roman"/>
          <w:noProof/>
          <w:szCs w:val="24"/>
        </w:rPr>
        <w:t xml:space="preserve"> an increased use of </w:t>
      </w:r>
      <w:r w:rsidR="00892A10" w:rsidRPr="004B4540">
        <w:rPr>
          <w:rFonts w:cs="Times New Roman"/>
          <w:noProof/>
          <w:szCs w:val="24"/>
        </w:rPr>
        <w:t xml:space="preserve">coal </w:t>
      </w:r>
      <w:r w:rsidR="00EB590F" w:rsidRPr="004B4540">
        <w:rPr>
          <w:rFonts w:cs="Times New Roman"/>
          <w:noProof/>
          <w:szCs w:val="24"/>
        </w:rPr>
        <w:t>prompted by higher prices of natural ga</w:t>
      </w:r>
      <w:r w:rsidR="0019369B" w:rsidRPr="004B4540">
        <w:rPr>
          <w:rFonts w:cs="Times New Roman"/>
          <w:noProof/>
          <w:szCs w:val="24"/>
        </w:rPr>
        <w:t>s.</w:t>
      </w:r>
      <w:r w:rsidR="000629A0" w:rsidRPr="004B4540">
        <w:rPr>
          <w:rFonts w:cs="Times New Roman"/>
          <w:noProof/>
          <w:szCs w:val="24"/>
        </w:rPr>
        <w:t xml:space="preserve"> </w:t>
      </w:r>
      <w:r w:rsidR="006050D3" w:rsidRPr="004B4540">
        <w:rPr>
          <w:rFonts w:cs="Times New Roman"/>
          <w:noProof/>
          <w:szCs w:val="24"/>
        </w:rPr>
        <w:t>An overall reduction in emissions from ETS installations was driven</w:t>
      </w:r>
      <w:r w:rsidR="00296428" w:rsidRPr="004B4540">
        <w:rPr>
          <w:rFonts w:cs="Times New Roman"/>
          <w:noProof/>
          <w:szCs w:val="24"/>
        </w:rPr>
        <w:t xml:space="preserve"> </w:t>
      </w:r>
      <w:r w:rsidR="000629A0" w:rsidRPr="004B4540">
        <w:rPr>
          <w:rFonts w:cs="Times New Roman"/>
          <w:noProof/>
          <w:szCs w:val="24"/>
        </w:rPr>
        <w:t>mainly by the manufacturing industry</w:t>
      </w:r>
      <w:r w:rsidR="004A0060" w:rsidRPr="004B4540">
        <w:rPr>
          <w:rFonts w:cs="Times New Roman"/>
          <w:noProof/>
          <w:szCs w:val="24"/>
        </w:rPr>
        <w:t xml:space="preserve">, </w:t>
      </w:r>
      <w:r w:rsidR="00CD0ACB">
        <w:rPr>
          <w:rFonts w:cs="Times New Roman"/>
          <w:noProof/>
          <w:szCs w:val="24"/>
        </w:rPr>
        <w:t xml:space="preserve">affected </w:t>
      </w:r>
      <w:r w:rsidR="003B30BD" w:rsidRPr="004B4540">
        <w:rPr>
          <w:rFonts w:cs="Times New Roman"/>
          <w:noProof/>
          <w:szCs w:val="24"/>
        </w:rPr>
        <w:t>by</w:t>
      </w:r>
      <w:r w:rsidR="00296428" w:rsidRPr="004B4540">
        <w:rPr>
          <w:rFonts w:cs="Times New Roman"/>
          <w:noProof/>
          <w:szCs w:val="24"/>
        </w:rPr>
        <w:t xml:space="preserve"> </w:t>
      </w:r>
      <w:r w:rsidR="001B3FAA" w:rsidRPr="004B4540">
        <w:rPr>
          <w:rFonts w:cs="Times New Roman"/>
          <w:noProof/>
          <w:szCs w:val="24"/>
        </w:rPr>
        <w:t xml:space="preserve">higher </w:t>
      </w:r>
      <w:r w:rsidR="00157B0E" w:rsidRPr="004B4540">
        <w:rPr>
          <w:rFonts w:cs="Times New Roman"/>
          <w:noProof/>
          <w:szCs w:val="24"/>
        </w:rPr>
        <w:t>fuel and energy prices</w:t>
      </w:r>
      <w:r w:rsidR="001B3FAA" w:rsidRPr="004B4540">
        <w:rPr>
          <w:rFonts w:cs="Times New Roman"/>
          <w:noProof/>
          <w:szCs w:val="24"/>
        </w:rPr>
        <w:t xml:space="preserve">. </w:t>
      </w:r>
    </w:p>
    <w:p w14:paraId="6442602D" w14:textId="0140B813" w:rsidR="007259C1" w:rsidRPr="004B4540" w:rsidRDefault="007259C1" w:rsidP="007259C1">
      <w:pPr>
        <w:pStyle w:val="CMR23-text"/>
        <w:rPr>
          <w:rFonts w:cs="Times New Roman"/>
          <w:noProof/>
          <w:szCs w:val="24"/>
        </w:rPr>
      </w:pPr>
      <w:r w:rsidRPr="004B4540">
        <w:rPr>
          <w:rFonts w:cs="Times New Roman"/>
          <w:noProof/>
          <w:szCs w:val="24"/>
        </w:rPr>
        <w:t>Despite the disruption caused by the energy crisis in the ETS sectors, the EU ETS has continued to function smoothly. Emissions from installations remained on a downward trend compared to the pre-pandemic-2019 level. Auctions of allowances continued as planned. Except for a short-term dip coinciding with the start of Russia’s full-scale invasion of Ukraine, the carbon price signal remained robust.</w:t>
      </w:r>
    </w:p>
    <w:p w14:paraId="658631C3" w14:textId="4DA2DA7D" w:rsidR="00595F91" w:rsidRPr="004B4540" w:rsidRDefault="00595F91" w:rsidP="00595F91">
      <w:pPr>
        <w:pStyle w:val="CMR23-text"/>
        <w:rPr>
          <w:rFonts w:cs="Times New Roman"/>
          <w:noProof/>
          <w:szCs w:val="24"/>
        </w:rPr>
      </w:pPr>
      <w:r w:rsidRPr="004B4540">
        <w:rPr>
          <w:rFonts w:cs="Times New Roman"/>
          <w:noProof/>
          <w:szCs w:val="24"/>
        </w:rPr>
        <w:t>The Market Stability Reserve continued to remove the surplus of allowances</w:t>
      </w:r>
      <w:r w:rsidR="00FA2FF8" w:rsidRPr="004B4540">
        <w:rPr>
          <w:rFonts w:cs="Times New Roman"/>
          <w:noProof/>
          <w:szCs w:val="24"/>
        </w:rPr>
        <w:t xml:space="preserve"> from the </w:t>
      </w:r>
      <w:r w:rsidR="00862707" w:rsidRPr="004B4540">
        <w:rPr>
          <w:rFonts w:cs="Times New Roman"/>
          <w:noProof/>
          <w:szCs w:val="24"/>
        </w:rPr>
        <w:t>EU ETS</w:t>
      </w:r>
      <w:r w:rsidRPr="004B4540">
        <w:rPr>
          <w:rFonts w:cs="Times New Roman"/>
          <w:noProof/>
          <w:szCs w:val="24"/>
        </w:rPr>
        <w:t>, fostering a balanced and resilient carbon market. The Reserve also invalidated over 2.5 billion allowances of the historical surplus. This is more than all the international credits used for compliance in the EU ETS to date.</w:t>
      </w:r>
    </w:p>
    <w:p w14:paraId="02399781" w14:textId="43F78008" w:rsidR="00E534A4" w:rsidRPr="004B4540" w:rsidRDefault="00E534A4" w:rsidP="00E534A4">
      <w:pPr>
        <w:pStyle w:val="CMR23-text"/>
        <w:rPr>
          <w:rFonts w:cs="Times New Roman"/>
          <w:noProof/>
          <w:szCs w:val="24"/>
        </w:rPr>
      </w:pPr>
      <w:r w:rsidRPr="004B4540">
        <w:rPr>
          <w:rFonts w:cs="Times New Roman"/>
          <w:noProof/>
          <w:szCs w:val="24"/>
        </w:rPr>
        <w:t xml:space="preserve">A strong carbon price signal in 2022 led to higher EU ETS auction revenue – nearly EUR 39 billion. This revenue was mainly distributed to Member States that have largely used </w:t>
      </w:r>
      <w:r w:rsidR="0073218E">
        <w:rPr>
          <w:rFonts w:cs="Times New Roman"/>
          <w:noProof/>
          <w:szCs w:val="24"/>
        </w:rPr>
        <w:t>it</w:t>
      </w:r>
      <w:r w:rsidRPr="004B4540">
        <w:rPr>
          <w:rFonts w:cs="Times New Roman"/>
          <w:noProof/>
          <w:szCs w:val="24"/>
        </w:rPr>
        <w:t xml:space="preserve"> to support climate and energy action, including measures to address the effects of the energy crisis and help people and businesses. On top of this, disbursements from the Modernisation Fund have helped advance the modernisation of the energy sector in all beneficiary Member States, and the Innovation Fund has directed significant resources to energy and industry transformation.</w:t>
      </w:r>
    </w:p>
    <w:p w14:paraId="506481BC" w14:textId="5BD63DF5" w:rsidR="00947219" w:rsidRPr="004B4540" w:rsidRDefault="00A87273" w:rsidP="00947219">
      <w:pPr>
        <w:pStyle w:val="CMR23-text"/>
        <w:rPr>
          <w:rFonts w:cs="Times New Roman"/>
          <w:noProof/>
          <w:szCs w:val="24"/>
        </w:rPr>
      </w:pPr>
      <w:r w:rsidRPr="004B4540">
        <w:rPr>
          <w:rFonts w:cs="Times New Roman"/>
          <w:noProof/>
          <w:szCs w:val="24"/>
        </w:rPr>
        <w:t xml:space="preserve">The EU ETS remains a crucial vehicle for the green transition. </w:t>
      </w:r>
      <w:r w:rsidR="002A2CAC" w:rsidRPr="004B4540">
        <w:rPr>
          <w:rFonts w:cs="Times New Roman"/>
          <w:noProof/>
          <w:szCs w:val="24"/>
        </w:rPr>
        <w:t>In</w:t>
      </w:r>
      <w:r w:rsidR="008319F7" w:rsidRPr="004B4540">
        <w:rPr>
          <w:rFonts w:cs="Times New Roman"/>
          <w:noProof/>
          <w:szCs w:val="24"/>
        </w:rPr>
        <w:t xml:space="preserve"> addition to pricing carbon</w:t>
      </w:r>
      <w:r w:rsidR="00DD7AC8" w:rsidRPr="004B4540">
        <w:rPr>
          <w:rFonts w:cs="Times New Roman"/>
          <w:noProof/>
          <w:szCs w:val="24"/>
        </w:rPr>
        <w:t>, in</w:t>
      </w:r>
      <w:r w:rsidR="002A2CAC" w:rsidRPr="004B4540">
        <w:rPr>
          <w:rFonts w:cs="Times New Roman"/>
          <w:noProof/>
          <w:szCs w:val="24"/>
        </w:rPr>
        <w:t xml:space="preserve"> the short-term, it will help fund </w:t>
      </w:r>
      <w:r w:rsidR="00F54BBD" w:rsidRPr="004B4540">
        <w:rPr>
          <w:rFonts w:cs="Times New Roman"/>
          <w:noProof/>
          <w:szCs w:val="24"/>
        </w:rPr>
        <w:t>measures under the</w:t>
      </w:r>
      <w:r w:rsidR="002A2CAC" w:rsidRPr="004B4540">
        <w:rPr>
          <w:rFonts w:cs="Times New Roman"/>
          <w:noProof/>
          <w:szCs w:val="24"/>
        </w:rPr>
        <w:t xml:space="preserve"> REPowerEU </w:t>
      </w:r>
      <w:r w:rsidR="00962F13" w:rsidRPr="004B4540">
        <w:rPr>
          <w:rFonts w:cs="Times New Roman"/>
          <w:noProof/>
          <w:szCs w:val="24"/>
        </w:rPr>
        <w:t xml:space="preserve">plan </w:t>
      </w:r>
      <w:r w:rsidR="00F54BBD" w:rsidRPr="004B4540">
        <w:rPr>
          <w:rFonts w:cs="Times New Roman"/>
          <w:noProof/>
          <w:szCs w:val="24"/>
        </w:rPr>
        <w:t xml:space="preserve">to boost energy savings, diversify energy supplies and accelerate the deployment of renewable energy. With the revision of the ETS Directive, the system is strengthened to </w:t>
      </w:r>
      <w:r w:rsidR="00F41E49" w:rsidRPr="004B4540">
        <w:rPr>
          <w:rFonts w:cs="Times New Roman"/>
          <w:noProof/>
          <w:szCs w:val="24"/>
        </w:rPr>
        <w:t>create incentives for far-reaching</w:t>
      </w:r>
      <w:r w:rsidR="006561E4" w:rsidRPr="004B4540">
        <w:rPr>
          <w:rFonts w:cs="Times New Roman"/>
          <w:noProof/>
          <w:szCs w:val="24"/>
        </w:rPr>
        <w:t>,</w:t>
      </w:r>
      <w:r w:rsidR="00F54BBD" w:rsidRPr="004B4540">
        <w:rPr>
          <w:rFonts w:cs="Times New Roman"/>
          <w:noProof/>
          <w:szCs w:val="24"/>
        </w:rPr>
        <w:t xml:space="preserve"> long-term decarbonisation and discourage carbon lock-in</w:t>
      </w:r>
      <w:r w:rsidR="006561E4" w:rsidRPr="004B4540">
        <w:rPr>
          <w:rFonts w:cs="Times New Roman"/>
          <w:noProof/>
          <w:szCs w:val="24"/>
        </w:rPr>
        <w:t xml:space="preserve">. </w:t>
      </w:r>
      <w:r w:rsidR="00BD4EE7" w:rsidRPr="004B4540">
        <w:rPr>
          <w:rFonts w:cs="Times New Roman"/>
          <w:noProof/>
          <w:szCs w:val="24"/>
        </w:rPr>
        <w:t>With the EU ETS scope extended to the maritime sector from 2024</w:t>
      </w:r>
      <w:r w:rsidR="00252E7E">
        <w:rPr>
          <w:rFonts w:cs="Times New Roman"/>
          <w:noProof/>
          <w:szCs w:val="24"/>
        </w:rPr>
        <w:t xml:space="preserve"> </w:t>
      </w:r>
      <w:r w:rsidR="00DA142D" w:rsidRPr="004B4540">
        <w:rPr>
          <w:rFonts w:cs="Times New Roman"/>
          <w:noProof/>
          <w:szCs w:val="24"/>
        </w:rPr>
        <w:t xml:space="preserve">and </w:t>
      </w:r>
      <w:r w:rsidR="006561E4" w:rsidRPr="004B4540">
        <w:rPr>
          <w:rFonts w:cs="Times New Roman"/>
          <w:noProof/>
          <w:szCs w:val="24"/>
        </w:rPr>
        <w:t>ETS</w:t>
      </w:r>
      <w:r w:rsidR="00252E7E">
        <w:rPr>
          <w:rFonts w:cs="Times New Roman"/>
          <w:noProof/>
          <w:szCs w:val="24"/>
        </w:rPr>
        <w:t> </w:t>
      </w:r>
      <w:r w:rsidR="006561E4" w:rsidRPr="004B4540">
        <w:rPr>
          <w:rFonts w:cs="Times New Roman"/>
          <w:noProof/>
          <w:szCs w:val="24"/>
        </w:rPr>
        <w:t xml:space="preserve">2 for buildings, </w:t>
      </w:r>
      <w:r w:rsidR="00DA142D" w:rsidRPr="004B4540">
        <w:rPr>
          <w:rFonts w:cs="Times New Roman"/>
          <w:noProof/>
          <w:szCs w:val="24"/>
        </w:rPr>
        <w:t>road transport and small</w:t>
      </w:r>
      <w:r w:rsidR="0058538B" w:rsidRPr="004B4540">
        <w:rPr>
          <w:rFonts w:cs="Times New Roman"/>
          <w:noProof/>
          <w:szCs w:val="24"/>
        </w:rPr>
        <w:t>-</w:t>
      </w:r>
      <w:r w:rsidR="00DA142D" w:rsidRPr="004B4540">
        <w:rPr>
          <w:rFonts w:cs="Times New Roman"/>
          <w:noProof/>
          <w:szCs w:val="24"/>
        </w:rPr>
        <w:t xml:space="preserve">emitting industry </w:t>
      </w:r>
      <w:r w:rsidR="006561E4" w:rsidRPr="004B4540">
        <w:rPr>
          <w:rFonts w:cs="Times New Roman"/>
          <w:noProof/>
          <w:szCs w:val="24"/>
        </w:rPr>
        <w:t xml:space="preserve">launching </w:t>
      </w:r>
      <w:r w:rsidR="00FD5185" w:rsidRPr="004B4540">
        <w:rPr>
          <w:rFonts w:cs="Times New Roman"/>
          <w:noProof/>
          <w:szCs w:val="24"/>
        </w:rPr>
        <w:t>in 2027</w:t>
      </w:r>
      <w:r w:rsidR="00536422" w:rsidRPr="004B4540">
        <w:rPr>
          <w:rFonts w:cs="Times New Roman"/>
          <w:noProof/>
          <w:szCs w:val="24"/>
        </w:rPr>
        <w:t xml:space="preserve">, carbon pricing </w:t>
      </w:r>
      <w:r w:rsidR="00FD5185" w:rsidRPr="004B4540">
        <w:rPr>
          <w:rFonts w:cs="Times New Roman"/>
          <w:noProof/>
          <w:szCs w:val="24"/>
        </w:rPr>
        <w:t xml:space="preserve">will </w:t>
      </w:r>
      <w:r w:rsidR="00536422" w:rsidRPr="004B4540">
        <w:rPr>
          <w:rFonts w:cs="Times New Roman"/>
          <w:noProof/>
          <w:szCs w:val="24"/>
        </w:rPr>
        <w:t xml:space="preserve">cover </w:t>
      </w:r>
      <w:r w:rsidR="00D76468" w:rsidRPr="004B4540">
        <w:rPr>
          <w:rFonts w:cs="Times New Roman"/>
          <w:noProof/>
          <w:szCs w:val="24"/>
        </w:rPr>
        <w:t>three quarters of the EU economy</w:t>
      </w:r>
      <w:r w:rsidR="00947219" w:rsidRPr="004B4540">
        <w:rPr>
          <w:rFonts w:cs="Times New Roman"/>
          <w:noProof/>
          <w:szCs w:val="24"/>
        </w:rPr>
        <w:t xml:space="preserve">. In </w:t>
      </w:r>
      <w:r w:rsidR="00252E7E" w:rsidRPr="004B4540">
        <w:rPr>
          <w:rFonts w:cs="Times New Roman"/>
          <w:noProof/>
          <w:szCs w:val="24"/>
        </w:rPr>
        <w:t>addition,</w:t>
      </w:r>
      <w:r w:rsidR="00947219" w:rsidRPr="004B4540">
        <w:rPr>
          <w:rFonts w:cs="Times New Roman"/>
          <w:noProof/>
          <w:szCs w:val="24"/>
        </w:rPr>
        <w:t xml:space="preserve"> the system leverages more resources to support people and businesses in the green transition.</w:t>
      </w:r>
    </w:p>
    <w:p w14:paraId="5D2447D4" w14:textId="3AD1F558" w:rsidR="00F21BD0" w:rsidRPr="004B4540" w:rsidRDefault="00F21BD0" w:rsidP="00F21BD0">
      <w:pPr>
        <w:pStyle w:val="CMR23-text"/>
        <w:rPr>
          <w:rFonts w:cs="Times New Roman"/>
          <w:noProof/>
          <w:szCs w:val="24"/>
        </w:rPr>
      </w:pPr>
    </w:p>
    <w:sectPr w:rsidR="00F21BD0" w:rsidRPr="004B4540">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B7A9A" w14:textId="77777777" w:rsidR="00215683" w:rsidRDefault="00215683" w:rsidP="00B40A87">
      <w:pPr>
        <w:spacing w:after="0" w:line="240" w:lineRule="auto"/>
      </w:pPr>
      <w:r>
        <w:separator/>
      </w:r>
    </w:p>
  </w:endnote>
  <w:endnote w:type="continuationSeparator" w:id="0">
    <w:p w14:paraId="1EF93B63" w14:textId="77777777" w:rsidR="00215683" w:rsidRDefault="00215683" w:rsidP="00B40A87">
      <w:pPr>
        <w:spacing w:after="0" w:line="240" w:lineRule="auto"/>
      </w:pPr>
      <w:r>
        <w:continuationSeparator/>
      </w:r>
    </w:p>
  </w:endnote>
  <w:endnote w:type="continuationNotice" w:id="1">
    <w:p w14:paraId="63E91F3E" w14:textId="77777777" w:rsidR="00215683" w:rsidRDefault="00215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27C27" w14:textId="2879FCAE" w:rsidR="00B83BFA" w:rsidRPr="002F3AE3" w:rsidRDefault="00B83BFA" w:rsidP="002F3AE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1DF58" w14:textId="77777777" w:rsidR="00F97218" w:rsidRDefault="00F9721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132392"/>
      <w:docPartObj>
        <w:docPartGallery w:val="Page Numbers (Bottom of Page)"/>
        <w:docPartUnique/>
      </w:docPartObj>
    </w:sdtPr>
    <w:sdtEndPr>
      <w:rPr>
        <w:noProof/>
      </w:rPr>
    </w:sdtEndPr>
    <w:sdtContent>
      <w:p w14:paraId="73DE7909" w14:textId="154DB487" w:rsidR="00EF3736" w:rsidRDefault="00EF3736" w:rsidP="00F73ED1">
        <w:pPr>
          <w:pStyle w:val="Footer"/>
          <w:jc w:val="center"/>
        </w:pPr>
        <w:r>
          <w:fldChar w:fldCharType="begin"/>
        </w:r>
        <w:r>
          <w:instrText xml:space="preserve"> PAGE   \* MERGEFORMAT </w:instrText>
        </w:r>
        <w:r>
          <w:fldChar w:fldCharType="separate"/>
        </w:r>
        <w:r w:rsidR="002F3AE3">
          <w:rPr>
            <w:noProof/>
          </w:rPr>
          <w:t>36</w:t>
        </w:r>
        <w:r>
          <w:rPr>
            <w:noProof/>
          </w:rPr>
          <w:fldChar w:fldCharType="end"/>
        </w:r>
      </w:p>
    </w:sdtContent>
  </w:sdt>
  <w:p w14:paraId="535CA481" w14:textId="77777777" w:rsidR="00F97218" w:rsidRDefault="00F9721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6F9AE" w14:textId="77777777" w:rsidR="00F97218" w:rsidRDefault="00F97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68B0E" w14:textId="7AE224BB" w:rsidR="00B83BFA" w:rsidRPr="002F3AE3" w:rsidRDefault="002F3AE3" w:rsidP="002F3AE3">
    <w:pPr>
      <w:pStyle w:val="FooterCoverPage"/>
      <w:rPr>
        <w:rFonts w:ascii="Arial" w:hAnsi="Arial" w:cs="Arial"/>
        <w:b/>
        <w:sz w:val="48"/>
      </w:rPr>
    </w:pPr>
    <w:r w:rsidRPr="002F3AE3">
      <w:rPr>
        <w:rFonts w:ascii="Arial" w:hAnsi="Arial" w:cs="Arial"/>
        <w:b/>
        <w:sz w:val="48"/>
      </w:rPr>
      <w:t>EN</w:t>
    </w:r>
    <w:r w:rsidRPr="002F3AE3">
      <w:rPr>
        <w:rFonts w:ascii="Arial" w:hAnsi="Arial" w:cs="Arial"/>
        <w:b/>
        <w:sz w:val="48"/>
      </w:rPr>
      <w:tab/>
    </w:r>
    <w:r w:rsidRPr="002F3AE3">
      <w:rPr>
        <w:rFonts w:ascii="Arial" w:hAnsi="Arial" w:cs="Arial"/>
        <w:b/>
        <w:sz w:val="48"/>
      </w:rPr>
      <w:tab/>
    </w:r>
    <w:r w:rsidRPr="002F3AE3">
      <w:tab/>
    </w:r>
    <w:r w:rsidRPr="002F3AE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6203C" w14:textId="77777777" w:rsidR="002F3AE3" w:rsidRPr="002F3AE3" w:rsidRDefault="002F3AE3" w:rsidP="002F3AE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F8E3" w14:textId="77777777" w:rsidR="00F97218" w:rsidRDefault="00F972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636609"/>
      <w:docPartObj>
        <w:docPartGallery w:val="Page Numbers (Bottom of Page)"/>
        <w:docPartUnique/>
      </w:docPartObj>
    </w:sdtPr>
    <w:sdtEndPr>
      <w:rPr>
        <w:noProof/>
      </w:rPr>
    </w:sdtEndPr>
    <w:sdtContent>
      <w:p w14:paraId="15EF1511" w14:textId="337C70D6" w:rsidR="0029120B" w:rsidRDefault="0029120B" w:rsidP="00B83BFA">
        <w:pPr>
          <w:pStyle w:val="Footer"/>
          <w:jc w:val="center"/>
        </w:pPr>
        <w:r>
          <w:fldChar w:fldCharType="begin"/>
        </w:r>
        <w:r>
          <w:instrText xml:space="preserve"> PAGE   \* MERGEFORMAT </w:instrText>
        </w:r>
        <w:r>
          <w:fldChar w:fldCharType="separate"/>
        </w:r>
        <w:r w:rsidR="002F3AE3">
          <w:rPr>
            <w:noProof/>
          </w:rPr>
          <w:t>1</w:t>
        </w:r>
        <w:r>
          <w:rPr>
            <w:noProof/>
          </w:rPr>
          <w:fldChar w:fldCharType="end"/>
        </w:r>
      </w:p>
    </w:sdtContent>
  </w:sdt>
  <w:p w14:paraId="5E5A5F3C" w14:textId="77777777" w:rsidR="00F97218" w:rsidRDefault="00F972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81EA0" w14:textId="77777777" w:rsidR="00F97218" w:rsidRDefault="00F9721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91CB5" w14:textId="77777777" w:rsidR="00F97218" w:rsidRDefault="00F9721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75364582"/>
      <w:docPartObj>
        <w:docPartGallery w:val="Page Numbers (Bottom of Page)"/>
        <w:docPartUnique/>
      </w:docPartObj>
    </w:sdtPr>
    <w:sdtEndPr/>
    <w:sdtContent>
      <w:p w14:paraId="0037EA8D" w14:textId="3455BB07" w:rsidR="00B71985" w:rsidRPr="004E1995" w:rsidRDefault="00B71985">
        <w:pPr>
          <w:pStyle w:val="Footer"/>
          <w:jc w:val="right"/>
          <w:rPr>
            <w:rFonts w:ascii="Times New Roman" w:hAnsi="Times New Roman" w:cs="Times New Roman"/>
          </w:rPr>
        </w:pPr>
        <w:r w:rsidRPr="004E1995">
          <w:rPr>
            <w:rFonts w:ascii="Times New Roman" w:hAnsi="Times New Roman" w:cs="Times New Roman"/>
          </w:rPr>
          <w:fldChar w:fldCharType="begin"/>
        </w:r>
        <w:r w:rsidRPr="004E1995">
          <w:rPr>
            <w:rFonts w:ascii="Times New Roman" w:hAnsi="Times New Roman" w:cs="Times New Roman"/>
          </w:rPr>
          <w:instrText xml:space="preserve"> PAGE   \* MERGEFORMAT </w:instrText>
        </w:r>
        <w:r w:rsidRPr="004E1995">
          <w:rPr>
            <w:rFonts w:ascii="Times New Roman" w:hAnsi="Times New Roman" w:cs="Times New Roman"/>
          </w:rPr>
          <w:fldChar w:fldCharType="separate"/>
        </w:r>
        <w:r w:rsidR="002F3AE3">
          <w:rPr>
            <w:rFonts w:ascii="Times New Roman" w:hAnsi="Times New Roman" w:cs="Times New Roman"/>
            <w:noProof/>
          </w:rPr>
          <w:t>11</w:t>
        </w:r>
        <w:r w:rsidRPr="004E1995">
          <w:rPr>
            <w:rFonts w:ascii="Times New Roman" w:hAnsi="Times New Roman" w:cs="Times New Roman"/>
          </w:rPr>
          <w:fldChar w:fldCharType="end"/>
        </w:r>
      </w:p>
    </w:sdtContent>
  </w:sdt>
  <w:p w14:paraId="6CE1A932" w14:textId="77777777" w:rsidR="00F97218" w:rsidRDefault="00F9721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CB169" w14:textId="77777777" w:rsidR="00F97218" w:rsidRDefault="00F97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958A7" w14:textId="77777777" w:rsidR="00215683" w:rsidRDefault="00215683" w:rsidP="00B40A87">
      <w:pPr>
        <w:spacing w:after="0" w:line="240" w:lineRule="auto"/>
      </w:pPr>
      <w:r>
        <w:separator/>
      </w:r>
    </w:p>
  </w:footnote>
  <w:footnote w:type="continuationSeparator" w:id="0">
    <w:p w14:paraId="733CA7B3" w14:textId="77777777" w:rsidR="00215683" w:rsidRDefault="00215683" w:rsidP="00B40A87">
      <w:pPr>
        <w:spacing w:after="0" w:line="240" w:lineRule="auto"/>
      </w:pPr>
      <w:r>
        <w:continuationSeparator/>
      </w:r>
    </w:p>
  </w:footnote>
  <w:footnote w:type="continuationNotice" w:id="1">
    <w:p w14:paraId="3D1FAB4D" w14:textId="77777777" w:rsidR="00215683" w:rsidRDefault="00215683">
      <w:pPr>
        <w:spacing w:after="0" w:line="240" w:lineRule="auto"/>
      </w:pPr>
    </w:p>
  </w:footnote>
  <w:footnote w:id="2">
    <w:p w14:paraId="582C6769" w14:textId="5C8598D1" w:rsidR="00A548B2" w:rsidRPr="0051224B" w:rsidRDefault="00A548B2" w:rsidP="005F188E">
      <w:pPr>
        <w:pStyle w:val="CMR2023-footnote"/>
        <w:jc w:val="both"/>
      </w:pPr>
      <w:r w:rsidRPr="0051224B">
        <w:rPr>
          <w:rStyle w:val="FootnoteReference"/>
          <w:rFonts w:cs="Times New Roman"/>
        </w:rPr>
        <w:footnoteRef/>
      </w:r>
      <w:r w:rsidR="00FB2BB8">
        <w:t xml:space="preserve"> </w:t>
      </w:r>
      <w:r w:rsidRPr="0051224B">
        <w:t>ETS emissions from installations</w:t>
      </w:r>
      <w:r w:rsidR="00444D33">
        <w:t xml:space="preserve"> in the power and industry sectors</w:t>
      </w:r>
      <w:r w:rsidRPr="0051224B">
        <w:t xml:space="preserve"> in 2021, without the UK, </w:t>
      </w:r>
      <w:bookmarkStart w:id="6" w:name="_Hlk148353475"/>
      <w:bookmarkStart w:id="7" w:name="_Hlk148353367"/>
      <w:r w:rsidR="00C23951" w:rsidRPr="0051224B">
        <w:t>only</w:t>
      </w:r>
      <w:r w:rsidR="00C23951">
        <w:t xml:space="preserve"> the power sector</w:t>
      </w:r>
      <w:r w:rsidR="00C23951" w:rsidRPr="0051224B">
        <w:t xml:space="preserve"> </w:t>
      </w:r>
      <w:bookmarkEnd w:id="6"/>
      <w:r w:rsidR="00C23951" w:rsidRPr="0051224B">
        <w:t>in Northern Ireland</w:t>
      </w:r>
      <w:bookmarkEnd w:id="7"/>
      <w:r w:rsidRPr="0051224B">
        <w:t>, compared to an adjusted value of 2005</w:t>
      </w:r>
      <w:r w:rsidR="00444D33">
        <w:t xml:space="preserve"> ETS emissions</w:t>
      </w:r>
      <w:r w:rsidRPr="0051224B">
        <w:t xml:space="preserve"> observing the same scope.</w:t>
      </w:r>
      <w:r w:rsidR="00BB70B0">
        <w:t xml:space="preserve"> Based on </w:t>
      </w:r>
      <w:r w:rsidR="00444D33">
        <w:t xml:space="preserve">the European Environment Agency </w:t>
      </w:r>
      <w:hyperlink r:id="rId1" w:history="1">
        <w:r w:rsidR="00444D33">
          <w:rPr>
            <w:rStyle w:val="Hyperlink"/>
          </w:rPr>
          <w:t>ETS data viewer</w:t>
        </w:r>
      </w:hyperlink>
      <w:r w:rsidR="008D2037">
        <w:t xml:space="preserve">, extracted </w:t>
      </w:r>
      <w:r w:rsidR="008D2037" w:rsidRPr="00437054">
        <w:t>on 29</w:t>
      </w:r>
      <w:r w:rsidR="00485B2D" w:rsidRPr="00437054">
        <w:t>.8.</w:t>
      </w:r>
      <w:r w:rsidR="008D2037" w:rsidRPr="00437054">
        <w:t>2023</w:t>
      </w:r>
      <w:r w:rsidR="00F8435E" w:rsidRPr="00437054">
        <w:t>.</w:t>
      </w:r>
      <w:r w:rsidR="00F8435E">
        <w:t xml:space="preserve"> </w:t>
      </w:r>
    </w:p>
  </w:footnote>
  <w:footnote w:id="3">
    <w:p w14:paraId="3716F383" w14:textId="36536082" w:rsidR="009B1004" w:rsidRPr="0051224B" w:rsidRDefault="009B1004" w:rsidP="005F188E">
      <w:pPr>
        <w:pStyle w:val="CMR2023-footnote"/>
        <w:jc w:val="both"/>
      </w:pPr>
      <w:r w:rsidRPr="0051224B">
        <w:rPr>
          <w:rStyle w:val="FootnoteReference"/>
        </w:rPr>
        <w:footnoteRef/>
      </w:r>
      <w:r w:rsidR="00FB2BB8">
        <w:t xml:space="preserve"> </w:t>
      </w:r>
      <w:r w:rsidRPr="0051224B">
        <w:t>Regulation (EU) 2021/1119 of the European Parliament and of the Council of 30</w:t>
      </w:r>
      <w:r>
        <w:t> </w:t>
      </w:r>
      <w:r w:rsidRPr="0051224B">
        <w:t>June 2021 establishing the framework for achieving climate neutrality and amending Regulations (EC) No</w:t>
      </w:r>
      <w:r>
        <w:t> </w:t>
      </w:r>
      <w:r w:rsidRPr="0051224B">
        <w:t>401/2009 and (EU) 2018/1999</w:t>
      </w:r>
      <w:r w:rsidR="007E333D">
        <w:t xml:space="preserve"> (</w:t>
      </w:r>
      <w:hyperlink r:id="rId2" w:history="1">
        <w:r w:rsidRPr="0051224B">
          <w:rPr>
            <w:rStyle w:val="Hyperlink"/>
          </w:rPr>
          <w:t>OJ L 243</w:t>
        </w:r>
      </w:hyperlink>
      <w:r w:rsidRPr="0051224B">
        <w:t>, 9.7.2021</w:t>
      </w:r>
      <w:r w:rsidR="007E333D">
        <w:t>)</w:t>
      </w:r>
      <w:r w:rsidRPr="0051224B">
        <w:t>.</w:t>
      </w:r>
    </w:p>
  </w:footnote>
  <w:footnote w:id="4">
    <w:p w14:paraId="4995033C" w14:textId="588362E6" w:rsidR="005C3FD7" w:rsidRPr="0051224B" w:rsidRDefault="005C3FD7" w:rsidP="005F188E">
      <w:pPr>
        <w:pStyle w:val="CMR2023-footnote"/>
        <w:jc w:val="both"/>
      </w:pPr>
      <w:r w:rsidRPr="0051224B">
        <w:rPr>
          <w:rStyle w:val="FootnoteReference"/>
        </w:rPr>
        <w:footnoteRef/>
      </w:r>
      <w:r w:rsidR="00FB2BB8">
        <w:t xml:space="preserve"> </w:t>
      </w:r>
      <w:hyperlink r:id="rId3" w:history="1">
        <w:r w:rsidRPr="0051224B">
          <w:rPr>
            <w:rStyle w:val="Hyperlink"/>
          </w:rPr>
          <w:t>Delivering the European Green Deal</w:t>
        </w:r>
      </w:hyperlink>
      <w:r w:rsidRPr="0051224B">
        <w:t xml:space="preserve">, </w:t>
      </w:r>
      <w:r>
        <w:t>DG</w:t>
      </w:r>
      <w:r w:rsidRPr="0051224B">
        <w:t xml:space="preserve"> Climate Action, 14.7.2021.</w:t>
      </w:r>
    </w:p>
  </w:footnote>
  <w:footnote w:id="5">
    <w:p w14:paraId="274D1702" w14:textId="57E7EB8E" w:rsidR="005D4B4E" w:rsidRDefault="005D4B4E" w:rsidP="005F188E">
      <w:pPr>
        <w:pStyle w:val="CMR2023-footnote"/>
        <w:jc w:val="both"/>
      </w:pPr>
      <w:r>
        <w:rPr>
          <w:rStyle w:val="FootnoteReference"/>
        </w:rPr>
        <w:footnoteRef/>
      </w:r>
      <w:r>
        <w:t xml:space="preserve"> Directive 2003/87/EC of the European Parliament and of the Council of 13 October 2003 establishing a system for greenhouse gas emission allowance trading within the Union and amending Council Directive 96/61/EC </w:t>
      </w:r>
      <w:r w:rsidR="007E333D">
        <w:t>(</w:t>
      </w:r>
      <w:hyperlink r:id="rId4" w:history="1">
        <w:r>
          <w:rPr>
            <w:rStyle w:val="Hyperlink"/>
          </w:rPr>
          <w:t>OJ L 275</w:t>
        </w:r>
      </w:hyperlink>
      <w:r>
        <w:t>, 25.10.2003</w:t>
      </w:r>
      <w:r w:rsidR="007E333D">
        <w:t>)</w:t>
      </w:r>
      <w:r>
        <w:t>.</w:t>
      </w:r>
    </w:p>
  </w:footnote>
  <w:footnote w:id="6">
    <w:p w14:paraId="3BC15EE7" w14:textId="3072FEB9" w:rsidR="009F78C2" w:rsidRPr="009F78C2" w:rsidRDefault="009F78C2">
      <w:pPr>
        <w:pStyle w:val="FootnoteText"/>
      </w:pPr>
      <w:r>
        <w:rPr>
          <w:rStyle w:val="FootnoteReference"/>
        </w:rPr>
        <w:footnoteRef/>
      </w:r>
      <w:r>
        <w:t xml:space="preserve"> </w:t>
      </w:r>
      <w:r w:rsidRPr="009F78C2">
        <w:t>SWD(2023) 346</w:t>
      </w:r>
    </w:p>
  </w:footnote>
  <w:footnote w:id="7">
    <w:p w14:paraId="4D779505" w14:textId="36B14801" w:rsidR="007971A8" w:rsidRPr="007971A8" w:rsidRDefault="007971A8" w:rsidP="005F188E">
      <w:pPr>
        <w:pStyle w:val="CMR2023-footnote"/>
        <w:jc w:val="both"/>
      </w:pPr>
      <w:r>
        <w:rPr>
          <w:rStyle w:val="FootnoteReference"/>
        </w:rPr>
        <w:footnoteRef/>
      </w:r>
      <w:r>
        <w:t xml:space="preserve"> </w:t>
      </w:r>
      <w:bookmarkStart w:id="15" w:name="_Hlk145073473"/>
      <w:r w:rsidR="003E5511" w:rsidRPr="0084026D">
        <w:t>Directive (EU) 2023/959 of the European Parliament and of the Council of 10</w:t>
      </w:r>
      <w:r w:rsidR="003E5511">
        <w:t> </w:t>
      </w:r>
      <w:r w:rsidR="003E5511" w:rsidRPr="0084026D">
        <w:t xml:space="preserve">May 2023 amending Directive 2003/87/EC establishing a system for greenhouse gas emission allowance trading within the Union and Decision (EU) 2015/1814 concerning the establishment and operation of a market stability reserve for the Union greenhouse gas emission trading system </w:t>
      </w:r>
      <w:r w:rsidR="003E5511">
        <w:t>(</w:t>
      </w:r>
      <w:hyperlink r:id="rId5" w:history="1">
        <w:r w:rsidR="003E5511" w:rsidRPr="0084026D">
          <w:rPr>
            <w:rStyle w:val="Hyperlink"/>
          </w:rPr>
          <w:t>OJ L 130</w:t>
        </w:r>
      </w:hyperlink>
      <w:r w:rsidR="003E5511" w:rsidRPr="0084026D">
        <w:t>, 16.5.2023</w:t>
      </w:r>
      <w:r w:rsidR="003E5511">
        <w:t>)</w:t>
      </w:r>
      <w:r w:rsidR="003E5511" w:rsidRPr="0084026D">
        <w:t xml:space="preserve">. </w:t>
      </w:r>
      <w:r w:rsidR="004C594A">
        <w:t>See</w:t>
      </w:r>
      <w:r w:rsidR="003E5511" w:rsidRPr="0084026D">
        <w:t xml:space="preserve"> </w:t>
      </w:r>
      <w:hyperlink r:id="rId6" w:history="1">
        <w:r w:rsidR="004C594A">
          <w:rPr>
            <w:rStyle w:val="Hyperlink"/>
          </w:rPr>
          <w:t>consolidated text.</w:t>
        </w:r>
      </w:hyperlink>
    </w:p>
    <w:bookmarkEnd w:id="15"/>
  </w:footnote>
  <w:footnote w:id="8">
    <w:p w14:paraId="4E0E6097" w14:textId="68B3FE39" w:rsidR="008A3A67" w:rsidRPr="008A3A67" w:rsidRDefault="008A3A67" w:rsidP="005F188E">
      <w:pPr>
        <w:pStyle w:val="CMR2023-footnote"/>
        <w:jc w:val="both"/>
      </w:pPr>
      <w:r>
        <w:rPr>
          <w:rStyle w:val="FootnoteReference"/>
        </w:rPr>
        <w:footnoteRef/>
      </w:r>
      <w:r>
        <w:t xml:space="preserve"> </w:t>
      </w:r>
      <w:r w:rsidR="00D64D42" w:rsidRPr="0084026D">
        <w:t>Decision (EU) 2023/852 of the European Parliament and of the Council of 19</w:t>
      </w:r>
      <w:r w:rsidR="00D64D42">
        <w:t> </w:t>
      </w:r>
      <w:r w:rsidR="00D64D42" w:rsidRPr="0084026D">
        <w:t xml:space="preserve">April 2023 amending Decision (EU) 2015/1814 as regards the number of allowances to be placed in the market stability reserve for the Union greenhouse gas emission trading system until 2030 </w:t>
      </w:r>
      <w:r w:rsidR="00D64D42">
        <w:t>(</w:t>
      </w:r>
      <w:hyperlink r:id="rId7" w:history="1">
        <w:r w:rsidR="00D64D42" w:rsidRPr="0084026D">
          <w:rPr>
            <w:rStyle w:val="Hyperlink"/>
          </w:rPr>
          <w:t>OJ L 110</w:t>
        </w:r>
      </w:hyperlink>
      <w:r w:rsidR="00D64D42" w:rsidRPr="0084026D">
        <w:t>, 25.4.2023</w:t>
      </w:r>
      <w:r w:rsidR="00D64D42">
        <w:t>)</w:t>
      </w:r>
      <w:r w:rsidR="00D64D42" w:rsidRPr="0084026D">
        <w:t xml:space="preserve">. </w:t>
      </w:r>
      <w:r w:rsidR="004C594A">
        <w:t>See</w:t>
      </w:r>
      <w:r w:rsidR="00D64D42" w:rsidRPr="0084026D">
        <w:t xml:space="preserve"> </w:t>
      </w:r>
      <w:hyperlink r:id="rId8" w:history="1">
        <w:r w:rsidR="004C594A">
          <w:rPr>
            <w:rStyle w:val="Hyperlink"/>
          </w:rPr>
          <w:t>consolidated text</w:t>
        </w:r>
      </w:hyperlink>
      <w:r w:rsidR="00D64D42" w:rsidRPr="0084026D">
        <w:t>.</w:t>
      </w:r>
    </w:p>
  </w:footnote>
  <w:footnote w:id="9">
    <w:p w14:paraId="60BB6EA7" w14:textId="3CC1FE8D" w:rsidR="009D05B5" w:rsidRPr="0059499E" w:rsidRDefault="009D05B5" w:rsidP="005F188E">
      <w:pPr>
        <w:pStyle w:val="CMR2023-footnote"/>
        <w:jc w:val="both"/>
      </w:pPr>
      <w:r>
        <w:rPr>
          <w:rStyle w:val="FootnoteReference"/>
        </w:rPr>
        <w:footnoteRef/>
      </w:r>
      <w:r>
        <w:t xml:space="preserve"> </w:t>
      </w:r>
      <w:r w:rsidR="00810891" w:rsidRPr="0084026D">
        <w:t>Decision (EU) 2023/136 of the European Parliament and of the Council of 18</w:t>
      </w:r>
      <w:r w:rsidR="00810891">
        <w:t> </w:t>
      </w:r>
      <w:r w:rsidR="00810891" w:rsidRPr="0084026D">
        <w:t xml:space="preserve">January 2023 amending Directive 2003/87/EC as regards the notification of offsetting in respect of a global market-based measure for aircraft operators based in the Union </w:t>
      </w:r>
      <w:r w:rsidR="00810891">
        <w:t>(</w:t>
      </w:r>
      <w:hyperlink r:id="rId9" w:history="1">
        <w:r w:rsidR="00810891" w:rsidRPr="0084026D">
          <w:rPr>
            <w:rStyle w:val="Hyperlink"/>
          </w:rPr>
          <w:t>OJ L 19</w:t>
        </w:r>
      </w:hyperlink>
      <w:r w:rsidR="00810891" w:rsidRPr="0084026D">
        <w:t>, 20.1.2023</w:t>
      </w:r>
      <w:r w:rsidR="00810891">
        <w:t>)</w:t>
      </w:r>
      <w:r w:rsidR="00810891" w:rsidRPr="0084026D">
        <w:t>.</w:t>
      </w:r>
    </w:p>
  </w:footnote>
  <w:footnote w:id="10">
    <w:p w14:paraId="09BD2F36" w14:textId="71462B8F" w:rsidR="006245C2" w:rsidRPr="006245C2" w:rsidRDefault="006245C2" w:rsidP="005F188E">
      <w:pPr>
        <w:pStyle w:val="CMR2023-footnote"/>
        <w:jc w:val="both"/>
      </w:pPr>
      <w:r>
        <w:rPr>
          <w:rStyle w:val="FootnoteReference"/>
        </w:rPr>
        <w:footnoteRef/>
      </w:r>
      <w:r>
        <w:t xml:space="preserve"> </w:t>
      </w:r>
      <w:r w:rsidR="001940AC" w:rsidRPr="0084026D">
        <w:t>Directive (EU) 2023/958 of the European Parliament and of the Council of 10</w:t>
      </w:r>
      <w:r w:rsidR="001940AC">
        <w:t> </w:t>
      </w:r>
      <w:r w:rsidR="001940AC" w:rsidRPr="0084026D">
        <w:t xml:space="preserve">May 2023 amending Directive 2003/87/EC as regards aviation’s contribution to the Union’s economy-wide emission reduction target and the appropriate implementation of a global market-based measure </w:t>
      </w:r>
      <w:r w:rsidR="001940AC">
        <w:t>(</w:t>
      </w:r>
      <w:hyperlink r:id="rId10" w:history="1">
        <w:r w:rsidR="001940AC" w:rsidRPr="0084026D">
          <w:rPr>
            <w:rStyle w:val="Hyperlink"/>
          </w:rPr>
          <w:t>OJ L 130</w:t>
        </w:r>
      </w:hyperlink>
      <w:r w:rsidR="001940AC" w:rsidRPr="0084026D">
        <w:t>, 16.5.2023</w:t>
      </w:r>
      <w:r w:rsidR="001940AC">
        <w:t>)</w:t>
      </w:r>
      <w:r w:rsidR="001940AC" w:rsidRPr="0084026D">
        <w:t>.</w:t>
      </w:r>
    </w:p>
  </w:footnote>
  <w:footnote w:id="11">
    <w:p w14:paraId="751C2B84" w14:textId="63527ED9" w:rsidR="009E6FD7" w:rsidRPr="009E6FD7" w:rsidRDefault="009E6FD7" w:rsidP="005F188E">
      <w:pPr>
        <w:pStyle w:val="CMR2023-footnote"/>
        <w:jc w:val="both"/>
      </w:pPr>
      <w:r>
        <w:rPr>
          <w:rStyle w:val="FootnoteReference"/>
        </w:rPr>
        <w:footnoteRef/>
      </w:r>
      <w:r>
        <w:t xml:space="preserve"> </w:t>
      </w:r>
      <w:r w:rsidR="00751570" w:rsidRPr="0084026D">
        <w:t>Regulation (EU) 2023/957 of the European Parliament and of the Council of 10</w:t>
      </w:r>
      <w:r w:rsidR="00751570">
        <w:t> </w:t>
      </w:r>
      <w:r w:rsidR="00751570" w:rsidRPr="0084026D">
        <w:t xml:space="preserve">May 2023 amending Regulation (EU) 2015/757 in order to provide for the inclusion of maritime transport activities in the EU Emissions Trading System and for the monitoring, reporting and verification of emissions of additional greenhouse gases and emissions from additional ship types </w:t>
      </w:r>
      <w:r w:rsidR="00751570">
        <w:t>(</w:t>
      </w:r>
      <w:hyperlink r:id="rId11" w:history="1">
        <w:r w:rsidR="00751570" w:rsidRPr="0084026D">
          <w:rPr>
            <w:rStyle w:val="Hyperlink"/>
          </w:rPr>
          <w:t>OJ L130</w:t>
        </w:r>
      </w:hyperlink>
      <w:r w:rsidR="00751570" w:rsidRPr="0084026D">
        <w:t>, 16.5.2023</w:t>
      </w:r>
      <w:r w:rsidR="00751570">
        <w:t>)</w:t>
      </w:r>
      <w:r w:rsidR="00751570" w:rsidRPr="0084026D">
        <w:t>.</w:t>
      </w:r>
    </w:p>
  </w:footnote>
  <w:footnote w:id="12">
    <w:p w14:paraId="74855FCD" w14:textId="1D85B375" w:rsidR="003B108D" w:rsidRPr="003B108D" w:rsidRDefault="003B108D" w:rsidP="005F188E">
      <w:pPr>
        <w:pStyle w:val="CMR2023-footnote"/>
        <w:jc w:val="both"/>
      </w:pPr>
      <w:r>
        <w:rPr>
          <w:rStyle w:val="FootnoteReference"/>
        </w:rPr>
        <w:footnoteRef/>
      </w:r>
      <w:r>
        <w:t xml:space="preserve"> </w:t>
      </w:r>
      <w:r w:rsidR="00BA69A9" w:rsidRPr="0084026D">
        <w:t>Regulation (EU) 2023/955 of the European Parliament and of the Council of 10</w:t>
      </w:r>
      <w:r w:rsidR="00BA69A9">
        <w:t> </w:t>
      </w:r>
      <w:r w:rsidR="00BA69A9" w:rsidRPr="0084026D">
        <w:t xml:space="preserve">May 2023 establishing a Social Climate Fund and amending Regulation (EU) 2021/1060 </w:t>
      </w:r>
      <w:r w:rsidR="00BA69A9">
        <w:t>(</w:t>
      </w:r>
      <w:hyperlink r:id="rId12" w:history="1">
        <w:r w:rsidR="00BA69A9" w:rsidRPr="0084026D">
          <w:rPr>
            <w:rStyle w:val="Hyperlink"/>
          </w:rPr>
          <w:t>OJ L 130</w:t>
        </w:r>
      </w:hyperlink>
      <w:r w:rsidR="00BA69A9" w:rsidRPr="0084026D">
        <w:t>, 16.5.2023</w:t>
      </w:r>
      <w:r w:rsidR="00BA69A9">
        <w:t>)</w:t>
      </w:r>
      <w:r w:rsidR="00BA69A9" w:rsidRPr="0084026D">
        <w:t>.</w:t>
      </w:r>
    </w:p>
  </w:footnote>
  <w:footnote w:id="13">
    <w:p w14:paraId="62E46C65" w14:textId="64C8098F" w:rsidR="008B093B" w:rsidRPr="008B093B" w:rsidRDefault="008B093B" w:rsidP="005F188E">
      <w:pPr>
        <w:pStyle w:val="CMR2023-footnote"/>
        <w:jc w:val="both"/>
      </w:pPr>
      <w:r>
        <w:rPr>
          <w:rStyle w:val="FootnoteReference"/>
        </w:rPr>
        <w:footnoteRef/>
      </w:r>
      <w:r>
        <w:t xml:space="preserve"> </w:t>
      </w:r>
      <w:r w:rsidR="009776F4" w:rsidRPr="0084026D">
        <w:t>Regulation (EU) 2023/956 of the European Parliament and of the Council of 10</w:t>
      </w:r>
      <w:r w:rsidR="009776F4">
        <w:t> </w:t>
      </w:r>
      <w:r w:rsidR="009776F4" w:rsidRPr="0084026D">
        <w:t xml:space="preserve">May 2023 establishing a carbon border adjustment mechanism </w:t>
      </w:r>
      <w:r w:rsidR="009776F4">
        <w:t>(</w:t>
      </w:r>
      <w:hyperlink r:id="rId13" w:history="1">
        <w:r w:rsidR="009776F4" w:rsidRPr="0084026D">
          <w:rPr>
            <w:rStyle w:val="Hyperlink"/>
          </w:rPr>
          <w:t>OJ L 130</w:t>
        </w:r>
      </w:hyperlink>
      <w:r w:rsidR="009776F4" w:rsidRPr="0084026D">
        <w:t>, 16.5.2023</w:t>
      </w:r>
      <w:r w:rsidR="009776F4">
        <w:t>)</w:t>
      </w:r>
      <w:r w:rsidR="009776F4" w:rsidRPr="0084026D">
        <w:t>.</w:t>
      </w:r>
    </w:p>
  </w:footnote>
  <w:footnote w:id="14">
    <w:p w14:paraId="725F9DBC" w14:textId="654B91E9" w:rsidR="008A1C54" w:rsidRPr="008A1C54" w:rsidRDefault="008A1C54" w:rsidP="005F188E">
      <w:pPr>
        <w:pStyle w:val="CMR2023-footnote"/>
        <w:jc w:val="both"/>
      </w:pPr>
      <w:r>
        <w:rPr>
          <w:rStyle w:val="FootnoteReference"/>
        </w:rPr>
        <w:footnoteRef/>
      </w:r>
      <w:r>
        <w:t xml:space="preserve"> </w:t>
      </w:r>
      <w:r w:rsidR="008848C7" w:rsidRPr="0084026D">
        <w:t xml:space="preserve">Communication from the Commission </w:t>
      </w:r>
      <w:r w:rsidR="008848C7">
        <w:t>–</w:t>
      </w:r>
      <w:r w:rsidR="008848C7" w:rsidRPr="0084026D">
        <w:t xml:space="preserve"> REPowerEU Plan</w:t>
      </w:r>
      <w:r w:rsidR="008848C7">
        <w:t xml:space="preserve"> (</w:t>
      </w:r>
      <w:hyperlink r:id="rId14" w:history="1">
        <w:r w:rsidR="008848C7" w:rsidRPr="0084026D">
          <w:rPr>
            <w:rStyle w:val="Hyperlink"/>
          </w:rPr>
          <w:t>COM(2022) 230 final</w:t>
        </w:r>
      </w:hyperlink>
      <w:r w:rsidR="008848C7">
        <w:rPr>
          <w:rStyle w:val="Hyperlink"/>
        </w:rPr>
        <w:t>)</w:t>
      </w:r>
      <w:r w:rsidR="008848C7" w:rsidRPr="0084026D">
        <w:t>.</w:t>
      </w:r>
    </w:p>
  </w:footnote>
  <w:footnote w:id="15">
    <w:p w14:paraId="683E6F45" w14:textId="3B0C9265" w:rsidR="00B845BA" w:rsidRPr="00B845BA" w:rsidRDefault="00B845BA" w:rsidP="005F188E">
      <w:pPr>
        <w:pStyle w:val="CMR2023-footnote"/>
        <w:jc w:val="both"/>
      </w:pPr>
      <w:r>
        <w:rPr>
          <w:rStyle w:val="FootnoteReference"/>
        </w:rPr>
        <w:footnoteRef/>
      </w:r>
      <w:r>
        <w:t xml:space="preserve"> </w:t>
      </w:r>
      <w:r w:rsidR="00374645" w:rsidRPr="00374645">
        <w:t>Regulation (EU) 2023/435 of the European Parliament and of the Council of 27 February 2023</w:t>
      </w:r>
      <w:r w:rsidR="007E333D">
        <w:t xml:space="preserve"> (</w:t>
      </w:r>
      <w:hyperlink r:id="rId15" w:history="1">
        <w:r w:rsidR="00374645" w:rsidRPr="00374645">
          <w:rPr>
            <w:rStyle w:val="Hyperlink"/>
          </w:rPr>
          <w:t>OJ L 63</w:t>
        </w:r>
      </w:hyperlink>
      <w:r w:rsidR="00374645" w:rsidRPr="00374645">
        <w:t>, 28.2.2023</w:t>
      </w:r>
      <w:r w:rsidR="007E333D">
        <w:t>)</w:t>
      </w:r>
      <w:r w:rsidR="00666D04">
        <w:t>.</w:t>
      </w:r>
    </w:p>
  </w:footnote>
  <w:footnote w:id="16">
    <w:p w14:paraId="1174F18C" w14:textId="48075908" w:rsidR="00120853" w:rsidRDefault="00120853" w:rsidP="005F188E">
      <w:pPr>
        <w:pStyle w:val="CMR2023-footnote"/>
        <w:jc w:val="both"/>
        <w:rPr>
          <w:rFonts w:cs="Times New Roman"/>
        </w:rPr>
      </w:pPr>
      <w:r>
        <w:rPr>
          <w:rStyle w:val="FootnoteReference"/>
          <w:rFonts w:cs="Times New Roman"/>
        </w:rPr>
        <w:footnoteRef/>
      </w:r>
      <w:r w:rsidR="00D275DF">
        <w:rPr>
          <w:rFonts w:cs="Times New Roman"/>
        </w:rPr>
        <w:t xml:space="preserve"> </w:t>
      </w:r>
      <w:r w:rsidR="007F7392">
        <w:rPr>
          <w:rFonts w:cs="Times New Roman"/>
        </w:rPr>
        <w:t>Under</w:t>
      </w:r>
      <w:r>
        <w:rPr>
          <w:rFonts w:cs="Times New Roman"/>
        </w:rPr>
        <w:t xml:space="preserve"> the Protocol on Ireland/Northern Ireland of the EU-UK Withdrawal Agreement.</w:t>
      </w:r>
    </w:p>
  </w:footnote>
  <w:footnote w:id="17">
    <w:p w14:paraId="4F7F55E1" w14:textId="77777777" w:rsidR="00E44C0D" w:rsidRDefault="00E44C0D" w:rsidP="005F188E">
      <w:pPr>
        <w:pStyle w:val="CMR2023-footnote"/>
        <w:jc w:val="both"/>
        <w:rPr>
          <w:rFonts w:cs="Times New Roman"/>
        </w:rPr>
      </w:pPr>
      <w:r>
        <w:rPr>
          <w:rStyle w:val="FootnoteReference"/>
          <w:rFonts w:cs="Times New Roman"/>
        </w:rPr>
        <w:footnoteRef/>
      </w:r>
      <w:r>
        <w:rPr>
          <w:rFonts w:cs="Times New Roman"/>
        </w:rPr>
        <w:t xml:space="preserve"> Category A installations.</w:t>
      </w:r>
    </w:p>
  </w:footnote>
  <w:footnote w:id="18">
    <w:p w14:paraId="630E7F77" w14:textId="77777777" w:rsidR="00E44C0D" w:rsidRDefault="00E44C0D" w:rsidP="005F188E">
      <w:pPr>
        <w:pStyle w:val="CMR2023-footnote"/>
        <w:jc w:val="both"/>
        <w:rPr>
          <w:rFonts w:cs="Times New Roman"/>
        </w:rPr>
      </w:pPr>
      <w:r>
        <w:rPr>
          <w:rStyle w:val="FootnoteReference"/>
          <w:rFonts w:cs="Times New Roman"/>
        </w:rPr>
        <w:footnoteRef/>
      </w:r>
      <w:r>
        <w:rPr>
          <w:rFonts w:cs="Times New Roman"/>
        </w:rPr>
        <w:t xml:space="preserve"> A subset within category A installations, with emissions below 25 000 tonnes CO</w:t>
      </w:r>
      <w:r>
        <w:rPr>
          <w:rFonts w:cs="Times New Roman"/>
          <w:vertAlign w:val="subscript"/>
        </w:rPr>
        <w:t>2</w:t>
      </w:r>
      <w:r>
        <w:rPr>
          <w:rFonts w:cs="Times New Roman"/>
        </w:rPr>
        <w:t>eq per year.</w:t>
      </w:r>
    </w:p>
  </w:footnote>
  <w:footnote w:id="19">
    <w:p w14:paraId="3E3CD332" w14:textId="77777777" w:rsidR="00E44C0D" w:rsidRDefault="00E44C0D" w:rsidP="005F188E">
      <w:pPr>
        <w:pStyle w:val="CMR2023-footnote"/>
        <w:jc w:val="both"/>
        <w:rPr>
          <w:rFonts w:cs="Times New Roman"/>
        </w:rPr>
      </w:pPr>
      <w:r>
        <w:rPr>
          <w:rStyle w:val="FootnoteReference"/>
          <w:rFonts w:cs="Times New Roman"/>
        </w:rPr>
        <w:footnoteRef/>
      </w:r>
      <w:r>
        <w:rPr>
          <w:rFonts w:cs="Times New Roman"/>
        </w:rPr>
        <w:t xml:space="preserve"> Category B installations.</w:t>
      </w:r>
    </w:p>
  </w:footnote>
  <w:footnote w:id="20">
    <w:p w14:paraId="3E7EEC45" w14:textId="77777777" w:rsidR="00E44C0D" w:rsidRDefault="00E44C0D" w:rsidP="005F188E">
      <w:pPr>
        <w:pStyle w:val="CMR2023-footnote"/>
        <w:jc w:val="both"/>
        <w:rPr>
          <w:rFonts w:cs="Times New Roman"/>
        </w:rPr>
      </w:pPr>
      <w:r>
        <w:rPr>
          <w:rStyle w:val="FootnoteReference"/>
          <w:rFonts w:cs="Times New Roman"/>
        </w:rPr>
        <w:footnoteRef/>
      </w:r>
      <w:r>
        <w:rPr>
          <w:rFonts w:cs="Times New Roman"/>
        </w:rPr>
        <w:t xml:space="preserve"> Category C installations.</w:t>
      </w:r>
    </w:p>
  </w:footnote>
  <w:footnote w:id="21">
    <w:p w14:paraId="3FCA18FE" w14:textId="2ED0E867" w:rsidR="00E44C0D" w:rsidRDefault="00E44C0D" w:rsidP="005F188E">
      <w:pPr>
        <w:pStyle w:val="CMR2023-footnote"/>
        <w:jc w:val="both"/>
      </w:pPr>
      <w:r>
        <w:rPr>
          <w:rStyle w:val="FootnoteReference"/>
          <w:rFonts w:cs="Times New Roman"/>
        </w:rPr>
        <w:footnoteRef/>
      </w:r>
      <w:r>
        <w:t xml:space="preserve"> </w:t>
      </w:r>
      <w:r w:rsidR="00084562">
        <w:t>Under</w:t>
      </w:r>
      <w:r>
        <w:t xml:space="preserve"> Article</w:t>
      </w:r>
      <w:r w:rsidR="004407E4">
        <w:t> </w:t>
      </w:r>
      <w:r>
        <w:t>27 of the ETS Directive.</w:t>
      </w:r>
      <w:r w:rsidR="00084562">
        <w:t xml:space="preserve"> </w:t>
      </w:r>
    </w:p>
  </w:footnote>
  <w:footnote w:id="22">
    <w:p w14:paraId="472DABEE" w14:textId="1F707FFD" w:rsidR="00E44C0D" w:rsidRDefault="00E44C0D" w:rsidP="005F188E">
      <w:pPr>
        <w:pStyle w:val="CMR2023-footnote"/>
        <w:jc w:val="both"/>
      </w:pPr>
      <w:r>
        <w:rPr>
          <w:rStyle w:val="FootnoteReference"/>
        </w:rPr>
        <w:footnoteRef/>
      </w:r>
      <w:r>
        <w:t xml:space="preserve"> </w:t>
      </w:r>
      <w:r w:rsidR="00084562">
        <w:t>Under Article 27</w:t>
      </w:r>
      <w:r w:rsidR="00BF0C59">
        <w:t>a (</w:t>
      </w:r>
      <w:r w:rsidR="00084562">
        <w:t xml:space="preserve">1) of the ETS Directive. </w:t>
      </w:r>
      <w:r>
        <w:t>In each of the three years before notification to the Commission. Emissions from biomass are excluded.</w:t>
      </w:r>
    </w:p>
  </w:footnote>
  <w:footnote w:id="23">
    <w:p w14:paraId="3E299344" w14:textId="39EAD075" w:rsidR="00E44C0D" w:rsidRDefault="00E44C0D" w:rsidP="005F188E">
      <w:pPr>
        <w:pStyle w:val="CMR2023-footnote"/>
        <w:jc w:val="both"/>
      </w:pPr>
      <w:r>
        <w:rPr>
          <w:rStyle w:val="FootnoteReference"/>
        </w:rPr>
        <w:footnoteRef/>
      </w:r>
      <w:r>
        <w:t xml:space="preserve"> Under Article</w:t>
      </w:r>
      <w:r w:rsidR="004407E4">
        <w:t> </w:t>
      </w:r>
      <w:r>
        <w:t>27</w:t>
      </w:r>
      <w:r w:rsidR="00BF0C59">
        <w:t>a (</w:t>
      </w:r>
      <w:r>
        <w:t>3) of the ETS Directive.</w:t>
      </w:r>
    </w:p>
  </w:footnote>
  <w:footnote w:id="24">
    <w:p w14:paraId="5C036E52" w14:textId="7E0B6B2F" w:rsidR="00E44C0D" w:rsidRDefault="00E44C0D" w:rsidP="005F188E">
      <w:pPr>
        <w:pStyle w:val="CMR2023-footnote"/>
        <w:jc w:val="both"/>
      </w:pPr>
      <w:r>
        <w:rPr>
          <w:rStyle w:val="FootnoteReference"/>
        </w:rPr>
        <w:footnoteRef/>
      </w:r>
      <w:r>
        <w:t xml:space="preserve"> An example of a commercial aircraft operator </w:t>
      </w:r>
      <w:r w:rsidR="009B3753">
        <w:t>is</w:t>
      </w:r>
      <w:r w:rsidR="009B3753" w:rsidRPr="0084026D">
        <w:t xml:space="preserve"> </w:t>
      </w:r>
      <w:r>
        <w:t xml:space="preserve">a passenger airline providing services to the public. An example of a non-commercial aircraft operator </w:t>
      </w:r>
      <w:r w:rsidR="00BE2E55">
        <w:t>is</w:t>
      </w:r>
      <w:r w:rsidR="00BE2E55" w:rsidRPr="0084026D">
        <w:t xml:space="preserve"> </w:t>
      </w:r>
      <w:r>
        <w:t>a privately owned aircraft.</w:t>
      </w:r>
    </w:p>
  </w:footnote>
  <w:footnote w:id="25">
    <w:p w14:paraId="545D826C" w14:textId="3C73D936" w:rsidR="00630433" w:rsidRPr="00630433" w:rsidRDefault="00630433" w:rsidP="00624C6C">
      <w:pPr>
        <w:pStyle w:val="CMR2023-footnote"/>
        <w:rPr>
          <w:lang w:val="en-IE"/>
        </w:rPr>
      </w:pPr>
      <w:r>
        <w:rPr>
          <w:rStyle w:val="FootnoteReference"/>
        </w:rPr>
        <w:footnoteRef/>
      </w:r>
      <w:r>
        <w:t xml:space="preserve"> </w:t>
      </w:r>
      <w:r w:rsidR="00624C6C">
        <w:t>In line with</w:t>
      </w:r>
      <w:r w:rsidR="000C4AA7">
        <w:t xml:space="preserve"> Ar</w:t>
      </w:r>
      <w:r w:rsidR="00624C6C">
        <w:t>ticle 55 of the Regulation (EU) 2018/2066</w:t>
      </w:r>
      <w:r w:rsidR="00803D9A">
        <w:t xml:space="preserve"> (see footnote 91)</w:t>
      </w:r>
      <w:r w:rsidR="00624C6C">
        <w:t xml:space="preserve">. </w:t>
      </w:r>
    </w:p>
  </w:footnote>
  <w:footnote w:id="26">
    <w:p w14:paraId="6E0C0E72" w14:textId="1B00A8D4" w:rsidR="009F78C2" w:rsidRPr="009F78C2" w:rsidRDefault="009F78C2">
      <w:pPr>
        <w:pStyle w:val="FootnoteText"/>
      </w:pPr>
      <w:r>
        <w:rPr>
          <w:rStyle w:val="FootnoteReference"/>
        </w:rPr>
        <w:footnoteRef/>
      </w:r>
      <w:r>
        <w:t xml:space="preserve"> </w:t>
      </w:r>
      <w:r w:rsidRPr="009F78C2">
        <w:t>SWD(2023) 346</w:t>
      </w:r>
    </w:p>
  </w:footnote>
  <w:footnote w:id="27">
    <w:p w14:paraId="4B6E3BC2" w14:textId="2EC883A1" w:rsidR="00101519" w:rsidRDefault="00101519" w:rsidP="005F188E">
      <w:pPr>
        <w:pStyle w:val="CMR2023-footnote"/>
        <w:jc w:val="both"/>
      </w:pPr>
      <w:r>
        <w:rPr>
          <w:rStyle w:val="FootnoteReference"/>
        </w:rPr>
        <w:footnoteRef/>
      </w:r>
      <w:r>
        <w:t xml:space="preserve"> </w:t>
      </w:r>
      <w:r w:rsidR="0060097E" w:rsidRPr="0084026D">
        <w:t xml:space="preserve">Report from the Commission </w:t>
      </w:r>
      <w:r w:rsidR="0060097E">
        <w:t>–</w:t>
      </w:r>
      <w:r w:rsidR="0060097E" w:rsidRPr="0084026D">
        <w:t xml:space="preserve"> Fourth Annual Report from the European Commission on CO</w:t>
      </w:r>
      <w:r w:rsidR="0060097E" w:rsidRPr="0084026D">
        <w:rPr>
          <w:vertAlign w:val="subscript"/>
        </w:rPr>
        <w:t>2</w:t>
      </w:r>
      <w:r w:rsidR="0060097E" w:rsidRPr="0084026D">
        <w:t xml:space="preserve"> Emissions from Maritime Transport (period 2018-2021), 13.3.2023</w:t>
      </w:r>
      <w:r w:rsidR="0060097E">
        <w:t xml:space="preserve"> (</w:t>
      </w:r>
      <w:hyperlink r:id="rId16" w:history="1">
        <w:r w:rsidR="0060097E" w:rsidRPr="0084026D">
          <w:rPr>
            <w:rStyle w:val="Hyperlink"/>
          </w:rPr>
          <w:t>SWD(2023) 54 final</w:t>
        </w:r>
      </w:hyperlink>
      <w:r w:rsidR="0060097E">
        <w:t>).</w:t>
      </w:r>
      <w:r>
        <w:t xml:space="preserve"> </w:t>
      </w:r>
    </w:p>
  </w:footnote>
  <w:footnote w:id="28">
    <w:p w14:paraId="5EF75206" w14:textId="5D6E7F1E" w:rsidR="00101519" w:rsidRDefault="00101519" w:rsidP="005F188E">
      <w:pPr>
        <w:pStyle w:val="CMR2023-footnote"/>
        <w:jc w:val="both"/>
      </w:pPr>
      <w:r w:rsidRPr="00F07B91">
        <w:rPr>
          <w:vertAlign w:val="superscript"/>
        </w:rPr>
        <w:footnoteRef/>
      </w:r>
      <w:r>
        <w:t xml:space="preserve"> </w:t>
      </w:r>
      <w:r w:rsidR="0072637A" w:rsidRPr="0084026D">
        <w:t xml:space="preserve">Regulation (EU) 2015/757 of the European Parliament and of the Council on the monitoring, reporting and verification of carbon dioxide emissions from maritime transport, and amending Directive 2009/16/EC </w:t>
      </w:r>
      <w:r w:rsidR="0072637A">
        <w:t>(</w:t>
      </w:r>
      <w:hyperlink r:id="rId17" w:history="1">
        <w:r w:rsidR="0072637A" w:rsidRPr="0084026D">
          <w:rPr>
            <w:rStyle w:val="Hyperlink"/>
          </w:rPr>
          <w:t>OJ L 123</w:t>
        </w:r>
      </w:hyperlink>
      <w:r w:rsidR="0072637A" w:rsidRPr="0084026D">
        <w:t>, 19.5.2015</w:t>
      </w:r>
      <w:r w:rsidR="0072637A">
        <w:t>)</w:t>
      </w:r>
      <w:r w:rsidR="0072637A" w:rsidRPr="0084026D">
        <w:t>.</w:t>
      </w:r>
    </w:p>
  </w:footnote>
  <w:footnote w:id="29">
    <w:p w14:paraId="4F498313" w14:textId="37C52866" w:rsidR="00F12F95" w:rsidRPr="0022538E" w:rsidRDefault="00F12F95" w:rsidP="00F12F95">
      <w:pPr>
        <w:pStyle w:val="CMR2023-footnote"/>
      </w:pPr>
      <w:r>
        <w:rPr>
          <w:rStyle w:val="FootnoteReference"/>
        </w:rPr>
        <w:footnoteRef/>
      </w:r>
      <w:r>
        <w:t xml:space="preserve"> </w:t>
      </w:r>
      <w:r w:rsidR="00276375" w:rsidRPr="0084026D">
        <w:t>Commission Decision (EU) 2023/1575 of 27</w:t>
      </w:r>
      <w:r w:rsidR="00276375">
        <w:t> </w:t>
      </w:r>
      <w:r w:rsidR="00276375" w:rsidRPr="0084026D">
        <w:t xml:space="preserve">July 2023 on the Union-wide quantity of allowances to be issued under the EU Emissions Trading System for 2024 </w:t>
      </w:r>
      <w:r w:rsidR="00276375">
        <w:t>(</w:t>
      </w:r>
      <w:hyperlink r:id="rId18" w:history="1">
        <w:r w:rsidR="00276375" w:rsidRPr="0084026D">
          <w:rPr>
            <w:rStyle w:val="Hyperlink"/>
          </w:rPr>
          <w:t>OJ L 192</w:t>
        </w:r>
      </w:hyperlink>
      <w:r w:rsidR="00276375" w:rsidRPr="0084026D">
        <w:t>, 31.7.2023</w:t>
      </w:r>
      <w:r w:rsidR="00276375">
        <w:t>)</w:t>
      </w:r>
      <w:r w:rsidR="00276375" w:rsidRPr="0084026D">
        <w:t>.</w:t>
      </w:r>
    </w:p>
  </w:footnote>
  <w:footnote w:id="30">
    <w:p w14:paraId="13B3D12F" w14:textId="4DEB115A" w:rsidR="00A10A9E" w:rsidRPr="00A10A9E" w:rsidRDefault="00A10A9E" w:rsidP="005F188E">
      <w:pPr>
        <w:pStyle w:val="CMR2023-footnote"/>
        <w:jc w:val="both"/>
        <w:rPr>
          <w:lang w:val="en-IE"/>
        </w:rPr>
      </w:pPr>
      <w:r>
        <w:rPr>
          <w:rStyle w:val="FootnoteReference"/>
        </w:rPr>
        <w:footnoteRef/>
      </w:r>
      <w:r>
        <w:t xml:space="preserve"> </w:t>
      </w:r>
      <w:r w:rsidR="008C7417" w:rsidRPr="0084026D">
        <w:t xml:space="preserve">In </w:t>
      </w:r>
      <w:r w:rsidR="008C7417" w:rsidRPr="00A528F9">
        <w:t>practice</w:t>
      </w:r>
      <w:r w:rsidR="008C7417" w:rsidRPr="0084026D">
        <w:t xml:space="preserve">, the exact share varies as the volume of allowances auctioned </w:t>
      </w:r>
      <w:r w:rsidR="008C7417">
        <w:t>has</w:t>
      </w:r>
      <w:r w:rsidR="008C7417" w:rsidRPr="0084026D">
        <w:t xml:space="preserve"> been reduced to contribute to the Market Stability Reserve, while the volume of allowances earmarked for free allocation has not changed.</w:t>
      </w:r>
    </w:p>
  </w:footnote>
  <w:footnote w:id="31">
    <w:p w14:paraId="3740F79C" w14:textId="0E3B8FB9" w:rsidR="00C0764E" w:rsidRPr="001179E4" w:rsidRDefault="00C0764E" w:rsidP="005F188E">
      <w:pPr>
        <w:pStyle w:val="CMR2023-footnote"/>
        <w:jc w:val="both"/>
      </w:pPr>
      <w:r w:rsidRPr="001179E4">
        <w:rPr>
          <w:rStyle w:val="FootnoteReference"/>
          <w:rFonts w:cs="Times New Roman"/>
        </w:rPr>
        <w:footnoteRef/>
      </w:r>
      <w:r w:rsidRPr="001179E4">
        <w:t xml:space="preserve"> </w:t>
      </w:r>
      <w:r w:rsidR="00AD6252" w:rsidRPr="0084026D">
        <w:t>Commission Regulation (EU) No</w:t>
      </w:r>
      <w:r w:rsidR="00AD6252">
        <w:t> </w:t>
      </w:r>
      <w:r w:rsidR="00AD6252" w:rsidRPr="0084026D">
        <w:t>1031/2010 of 12</w:t>
      </w:r>
      <w:r w:rsidR="00AD6252">
        <w:t> </w:t>
      </w:r>
      <w:r w:rsidR="00AD6252" w:rsidRPr="0084026D">
        <w:t xml:space="preserve">November 2010 on the timing, administration and other aspects of auctioning of greenhouse gas emission allowances pursuant to Directive 2003/87/EC of the European Parliament and of the Council establishing a scheme for greenhouse gas emission allowances trading within the Community </w:t>
      </w:r>
      <w:r w:rsidR="00AD6252">
        <w:t>(</w:t>
      </w:r>
      <w:hyperlink r:id="rId19" w:history="1">
        <w:r w:rsidR="00AD6252" w:rsidRPr="0084026D">
          <w:rPr>
            <w:rStyle w:val="Hyperlink"/>
            <w:rFonts w:cs="Times New Roman"/>
          </w:rPr>
          <w:t>OJ L 302</w:t>
        </w:r>
      </w:hyperlink>
      <w:r w:rsidR="00AD6252" w:rsidRPr="0084026D">
        <w:t>, 18.11.2010</w:t>
      </w:r>
      <w:r w:rsidR="00AD6252">
        <w:t>)</w:t>
      </w:r>
      <w:r w:rsidR="00AD6252" w:rsidRPr="0084026D">
        <w:t>.</w:t>
      </w:r>
    </w:p>
  </w:footnote>
  <w:footnote w:id="32">
    <w:p w14:paraId="1DA7E66B" w14:textId="77777777" w:rsidR="006F38BB" w:rsidRPr="0084026D" w:rsidRDefault="006F38BB" w:rsidP="006F38BB">
      <w:pPr>
        <w:pStyle w:val="CMR2023-footnote"/>
      </w:pPr>
      <w:r w:rsidRPr="0084026D">
        <w:rPr>
          <w:rStyle w:val="FootnoteReference"/>
        </w:rPr>
        <w:footnoteRef/>
      </w:r>
      <w:r w:rsidRPr="0084026D">
        <w:t xml:space="preserve"> Regulatory update, </w:t>
      </w:r>
      <w:hyperlink r:id="rId20" w:history="1">
        <w:r w:rsidRPr="0084026D">
          <w:rPr>
            <w:rStyle w:val="Hyperlink"/>
          </w:rPr>
          <w:t>Revised 2023 auction calendar published</w:t>
        </w:r>
      </w:hyperlink>
      <w:r w:rsidRPr="0084026D">
        <w:t>, DG Climate Action, 23.7.2023.</w:t>
      </w:r>
    </w:p>
  </w:footnote>
  <w:footnote w:id="33">
    <w:p w14:paraId="03F19BBC" w14:textId="6912D385" w:rsidR="002A6371" w:rsidRPr="00D56464" w:rsidRDefault="002A6371" w:rsidP="00D56464">
      <w:pPr>
        <w:pStyle w:val="CMR2023-footnote"/>
        <w:rPr>
          <w:lang w:val="fr-BE"/>
        </w:rPr>
      </w:pPr>
      <w:r>
        <w:rPr>
          <w:rStyle w:val="FootnoteReference"/>
        </w:rPr>
        <w:footnoteRef/>
      </w:r>
      <w:r w:rsidRPr="00D56464">
        <w:rPr>
          <w:lang w:val="fr-BE"/>
        </w:rPr>
        <w:t xml:space="preserve"> EEX, </w:t>
      </w:r>
      <w:hyperlink r:id="rId21" w:history="1">
        <w:r w:rsidRPr="00D56464">
          <w:rPr>
            <w:rStyle w:val="Hyperlink"/>
            <w:lang w:val="fr-BE"/>
          </w:rPr>
          <w:t xml:space="preserve">EU ETS </w:t>
        </w:r>
        <w:r w:rsidR="001E3725" w:rsidRPr="00565637">
          <w:rPr>
            <w:rStyle w:val="Hyperlink"/>
            <w:lang w:val="fr-BE"/>
          </w:rPr>
          <w:t>Auctions</w:t>
        </w:r>
      </w:hyperlink>
      <w:r w:rsidR="001E3725">
        <w:rPr>
          <w:lang w:val="fr-BE"/>
        </w:rPr>
        <w:t>.</w:t>
      </w:r>
    </w:p>
  </w:footnote>
  <w:footnote w:id="34">
    <w:p w14:paraId="34EF9376" w14:textId="1E056F32" w:rsidR="00662C12" w:rsidRPr="00D56464" w:rsidRDefault="00662C12" w:rsidP="009D0BCE">
      <w:pPr>
        <w:pStyle w:val="CMR2023-footnote"/>
        <w:rPr>
          <w:lang w:val="fr-BE"/>
        </w:rPr>
      </w:pPr>
      <w:r w:rsidRPr="001179E4">
        <w:rPr>
          <w:rStyle w:val="FootnoteReference"/>
          <w:rFonts w:cs="Times New Roman"/>
        </w:rPr>
        <w:footnoteRef/>
      </w:r>
      <w:r w:rsidRPr="00D56464">
        <w:rPr>
          <w:rFonts w:cs="Times New Roman"/>
          <w:lang w:val="fr-BE"/>
        </w:rPr>
        <w:t xml:space="preserve"> </w:t>
      </w:r>
      <w:hyperlink r:id="rId22" w:anchor="documentation" w:history="1">
        <w:r w:rsidR="009B343E" w:rsidRPr="00D56464">
          <w:rPr>
            <w:rStyle w:val="Hyperlink"/>
            <w:rFonts w:cs="Times New Roman"/>
            <w:lang w:val="fr-BE"/>
          </w:rPr>
          <w:t>Auction reports</w:t>
        </w:r>
      </w:hyperlink>
      <w:r w:rsidR="009B343E" w:rsidRPr="00D56464">
        <w:rPr>
          <w:rFonts w:cs="Times New Roman"/>
          <w:lang w:val="fr-BE"/>
        </w:rPr>
        <w:t xml:space="preserve">, DG </w:t>
      </w:r>
      <w:r w:rsidR="009B343E" w:rsidRPr="00565637">
        <w:rPr>
          <w:rFonts w:cs="Times New Roman"/>
          <w:lang w:val="fr-BE"/>
        </w:rPr>
        <w:t>Climate</w:t>
      </w:r>
      <w:r w:rsidR="009B343E" w:rsidRPr="00D56464">
        <w:rPr>
          <w:rFonts w:cs="Times New Roman"/>
          <w:lang w:val="fr-BE"/>
        </w:rPr>
        <w:t xml:space="preserve"> Action, 30.6.2023.</w:t>
      </w:r>
    </w:p>
  </w:footnote>
  <w:footnote w:id="35">
    <w:p w14:paraId="423468E2" w14:textId="19D6A1BE" w:rsidR="002C3A96" w:rsidRPr="002C3A96" w:rsidRDefault="002C3A96" w:rsidP="005F188E">
      <w:pPr>
        <w:pStyle w:val="CMR2023-footnote"/>
        <w:jc w:val="both"/>
      </w:pPr>
      <w:r>
        <w:rPr>
          <w:rStyle w:val="FootnoteReference"/>
        </w:rPr>
        <w:footnoteRef/>
      </w:r>
      <w:r>
        <w:t xml:space="preserve"> </w:t>
      </w:r>
      <w:r w:rsidRPr="002C3A96">
        <w:t xml:space="preserve">Carbon leakage may occur if ETS-regulated activities </w:t>
      </w:r>
      <w:r w:rsidR="00B509DB">
        <w:t>we</w:t>
      </w:r>
      <w:r w:rsidRPr="002C3A96">
        <w:t xml:space="preserve">re moved to non-EU countries with less ambitious climate </w:t>
      </w:r>
      <w:r w:rsidR="00484946" w:rsidRPr="002C3A96">
        <w:t>policies and</w:t>
      </w:r>
      <w:r w:rsidR="003D56A7">
        <w:t xml:space="preserve"> were</w:t>
      </w:r>
      <w:r w:rsidRPr="002C3A96">
        <w:t xml:space="preserve"> leading to an increase in overall greenhouse gas emissions.</w:t>
      </w:r>
    </w:p>
  </w:footnote>
  <w:footnote w:id="36">
    <w:p w14:paraId="0C074769" w14:textId="27C9F04F" w:rsidR="007A5927" w:rsidRPr="007A5927" w:rsidRDefault="007A5927" w:rsidP="005F188E">
      <w:pPr>
        <w:pStyle w:val="CMR2023-footnote"/>
        <w:jc w:val="both"/>
      </w:pPr>
      <w:r>
        <w:rPr>
          <w:rStyle w:val="FootnoteReference"/>
        </w:rPr>
        <w:footnoteRef/>
      </w:r>
      <w:r>
        <w:t xml:space="preserve"> </w:t>
      </w:r>
      <w:r w:rsidR="00936BE4" w:rsidRPr="0084026D">
        <w:t>Commission Delegated Decision (EU) 2019/708 of 15</w:t>
      </w:r>
      <w:r w:rsidR="00936BE4">
        <w:t> </w:t>
      </w:r>
      <w:r w:rsidR="00936BE4" w:rsidRPr="0084026D">
        <w:t xml:space="preserve">February 2019 supplementing Directive 2003/87/EC of the European Parliament and of the Council concerning the determination of sectors and subsectors deemed at risk of carbon leakage for the period 2021 to 2030 </w:t>
      </w:r>
      <w:r w:rsidR="00936BE4">
        <w:t>(</w:t>
      </w:r>
      <w:hyperlink r:id="rId23" w:history="1">
        <w:r w:rsidR="00936BE4" w:rsidRPr="0084026D">
          <w:rPr>
            <w:rStyle w:val="Hyperlink"/>
          </w:rPr>
          <w:t>OJ L 120</w:t>
        </w:r>
      </w:hyperlink>
      <w:r w:rsidR="00936BE4" w:rsidRPr="0084026D">
        <w:t>, 8.5.2019</w:t>
      </w:r>
      <w:r w:rsidR="00936BE4">
        <w:t>)</w:t>
      </w:r>
      <w:r w:rsidR="00936BE4" w:rsidRPr="0084026D">
        <w:t>.</w:t>
      </w:r>
    </w:p>
  </w:footnote>
  <w:footnote w:id="37">
    <w:p w14:paraId="446AD97C" w14:textId="5D0D4B89" w:rsidR="000E05F7" w:rsidRPr="000E05F7" w:rsidRDefault="000E05F7" w:rsidP="005F188E">
      <w:pPr>
        <w:pStyle w:val="CMR2023-footnote"/>
        <w:jc w:val="both"/>
      </w:pPr>
      <w:r>
        <w:rPr>
          <w:rStyle w:val="FootnoteReference"/>
        </w:rPr>
        <w:footnoteRef/>
      </w:r>
      <w:r>
        <w:t xml:space="preserve"> </w:t>
      </w:r>
      <w:r w:rsidR="0082470E" w:rsidRPr="0084026D">
        <w:t>Commission Implementing Regulation (EU) 2021/447 of 12</w:t>
      </w:r>
      <w:r w:rsidR="0082470E">
        <w:t> </w:t>
      </w:r>
      <w:r w:rsidR="0082470E" w:rsidRPr="0084026D">
        <w:t>March 2021 determining revised benchmark values for free allocation of emission allowances for the period from 2021 to 2025 pursuant to Article</w:t>
      </w:r>
      <w:r w:rsidR="0082470E">
        <w:t> </w:t>
      </w:r>
      <w:r w:rsidR="0082470E" w:rsidRPr="0084026D">
        <w:t xml:space="preserve">10a(2) of Directive 2003/87/EC of the European Parliament and of the Council </w:t>
      </w:r>
      <w:r w:rsidR="0082470E">
        <w:t>(</w:t>
      </w:r>
      <w:hyperlink r:id="rId24" w:history="1">
        <w:r w:rsidR="0082470E" w:rsidRPr="0084026D">
          <w:rPr>
            <w:rStyle w:val="Hyperlink"/>
          </w:rPr>
          <w:t>OJ L 87</w:t>
        </w:r>
      </w:hyperlink>
      <w:r w:rsidR="0082470E" w:rsidRPr="0084026D">
        <w:t>, 15.3.2021</w:t>
      </w:r>
      <w:r w:rsidR="0082470E">
        <w:t>)</w:t>
      </w:r>
      <w:r w:rsidR="0082470E" w:rsidRPr="0084026D">
        <w:t>.</w:t>
      </w:r>
    </w:p>
  </w:footnote>
  <w:footnote w:id="38">
    <w:p w14:paraId="3899A38C" w14:textId="3F3743B4" w:rsidR="00212144" w:rsidRPr="00212144" w:rsidRDefault="00212144" w:rsidP="005F188E">
      <w:pPr>
        <w:pStyle w:val="CMR2023-footnote"/>
        <w:jc w:val="both"/>
      </w:pPr>
      <w:r>
        <w:rPr>
          <w:rStyle w:val="FootnoteReference"/>
        </w:rPr>
        <w:footnoteRef/>
      </w:r>
      <w:r>
        <w:t xml:space="preserve"> </w:t>
      </w:r>
      <w:r w:rsidR="00EE46D0" w:rsidRPr="0084026D">
        <w:t>Commission Implementing Regulation (EU) 2019/1842 of 31</w:t>
      </w:r>
      <w:r w:rsidR="00EE46D0">
        <w:t> </w:t>
      </w:r>
      <w:r w:rsidR="00EE46D0" w:rsidRPr="0084026D">
        <w:t xml:space="preserve">October 2019 laying down rules for the application of Directive 2003/87/EC of the European Parliament and of the Council as regards further arrangements for the adjustments to free allocation of emission allowances due to activity level changes </w:t>
      </w:r>
      <w:r w:rsidR="00567B08">
        <w:br/>
      </w:r>
      <w:r w:rsidR="00EE46D0">
        <w:t>(</w:t>
      </w:r>
      <w:hyperlink r:id="rId25" w:history="1">
        <w:r w:rsidR="00EE46D0" w:rsidRPr="0084026D">
          <w:rPr>
            <w:rStyle w:val="Hyperlink"/>
          </w:rPr>
          <w:t>OJ L 282</w:t>
        </w:r>
      </w:hyperlink>
      <w:r w:rsidR="00EE46D0" w:rsidRPr="0084026D">
        <w:t>, 4.11.2019</w:t>
      </w:r>
      <w:r w:rsidR="00EE46D0">
        <w:t>)</w:t>
      </w:r>
      <w:r w:rsidR="00EE46D0" w:rsidRPr="0084026D">
        <w:t>.</w:t>
      </w:r>
    </w:p>
  </w:footnote>
  <w:footnote w:id="39">
    <w:p w14:paraId="658AF1DB" w14:textId="462D370B" w:rsidR="00D67D91" w:rsidRPr="003428EE" w:rsidRDefault="00D67D91" w:rsidP="005F188E">
      <w:pPr>
        <w:pStyle w:val="CMR2023-footnote"/>
        <w:jc w:val="both"/>
      </w:pPr>
      <w:r>
        <w:rPr>
          <w:rStyle w:val="FootnoteReference"/>
        </w:rPr>
        <w:footnoteRef/>
      </w:r>
      <w:r>
        <w:t xml:space="preserve"> Until 2020, the threshold was set at 50% </w:t>
      </w:r>
      <w:r w:rsidR="0039533D">
        <w:t xml:space="preserve">for </w:t>
      </w:r>
      <w:r>
        <w:t>production decreases</w:t>
      </w:r>
      <w:r w:rsidR="0039533D">
        <w:t xml:space="preserve"> while increases </w:t>
      </w:r>
      <w:r w:rsidR="005535FD">
        <w:t xml:space="preserve">were </w:t>
      </w:r>
      <w:r w:rsidR="0091777E">
        <w:t xml:space="preserve">only </w:t>
      </w:r>
      <w:r w:rsidR="005535FD">
        <w:t xml:space="preserve">considered </w:t>
      </w:r>
      <w:r w:rsidR="0091777E">
        <w:t>when</w:t>
      </w:r>
      <w:r w:rsidR="005535FD">
        <w:t xml:space="preserve"> linked to physical</w:t>
      </w:r>
      <w:r w:rsidR="00B10C60">
        <w:t xml:space="preserve"> changes expanding the capacity</w:t>
      </w:r>
      <w:r>
        <w:t>.</w:t>
      </w:r>
    </w:p>
  </w:footnote>
  <w:footnote w:id="40">
    <w:p w14:paraId="223BD6D9" w14:textId="44A7B96D" w:rsidR="008966D3" w:rsidRPr="00024A58" w:rsidRDefault="008966D3" w:rsidP="005F188E">
      <w:pPr>
        <w:pStyle w:val="CMR2023-footnote"/>
        <w:jc w:val="both"/>
      </w:pPr>
      <w:r>
        <w:rPr>
          <w:rStyle w:val="FootnoteReference"/>
        </w:rPr>
        <w:footnoteRef/>
      </w:r>
      <w:r>
        <w:t xml:space="preserve"> </w:t>
      </w:r>
      <w:bookmarkStart w:id="39" w:name="_Hlk143807304"/>
      <w:r w:rsidR="00264FDA" w:rsidRPr="0084026D">
        <w:t xml:space="preserve">The </w:t>
      </w:r>
      <w:r w:rsidR="00264FDA">
        <w:t>EFTA</w:t>
      </w:r>
      <w:r w:rsidR="00264FDA" w:rsidRPr="0084026D">
        <w:t xml:space="preserve"> Surveillance Authority also adopted </w:t>
      </w:r>
      <w:r w:rsidR="00264FDA">
        <w:t>d</w:t>
      </w:r>
      <w:r w:rsidR="00264FDA" w:rsidRPr="0084026D">
        <w:t>ecisions for Iceland, Liechtenstein and Norway.</w:t>
      </w:r>
      <w:bookmarkEnd w:id="39"/>
    </w:p>
  </w:footnote>
  <w:footnote w:id="41">
    <w:p w14:paraId="65C43448" w14:textId="640F727E" w:rsidR="00C76475" w:rsidRPr="00C76475" w:rsidRDefault="00C76475" w:rsidP="004245B6">
      <w:pPr>
        <w:pStyle w:val="CMR2023-footnote"/>
        <w:jc w:val="both"/>
      </w:pPr>
      <w:r>
        <w:rPr>
          <w:rStyle w:val="FootnoteReference"/>
        </w:rPr>
        <w:footnoteRef/>
      </w:r>
      <w:r>
        <w:t xml:space="preserve"> </w:t>
      </w:r>
      <w:r w:rsidR="00264FDA" w:rsidRPr="0084026D">
        <w:t xml:space="preserve">The </w:t>
      </w:r>
      <w:r w:rsidR="00264FDA">
        <w:t>EFTA</w:t>
      </w:r>
      <w:r w:rsidR="00264FDA" w:rsidRPr="0084026D">
        <w:t xml:space="preserve"> Surveillance Authority also adopted </w:t>
      </w:r>
      <w:r w:rsidR="00264FDA">
        <w:t>d</w:t>
      </w:r>
      <w:r w:rsidR="00264FDA" w:rsidRPr="0084026D">
        <w:t>ecisions for Iceland, Liechtenstein and Norway.</w:t>
      </w:r>
    </w:p>
  </w:footnote>
  <w:footnote w:id="42">
    <w:p w14:paraId="4CA5F7E8" w14:textId="5682E86C" w:rsidR="009A141A" w:rsidRPr="005645CE" w:rsidRDefault="009A141A" w:rsidP="004245B6">
      <w:pPr>
        <w:pStyle w:val="CMR2023-footnote"/>
        <w:jc w:val="both"/>
      </w:pPr>
      <w:r>
        <w:rPr>
          <w:rStyle w:val="FootnoteReference"/>
        </w:rPr>
        <w:footnoteRef/>
      </w:r>
      <w:r>
        <w:t xml:space="preserve"> Annex I </w:t>
      </w:r>
      <w:r w:rsidR="009B7F70">
        <w:t>t</w:t>
      </w:r>
      <w:r>
        <w:t xml:space="preserve">o the ETS Directive – activities in the scope of the EU ETS. </w:t>
      </w:r>
    </w:p>
  </w:footnote>
  <w:footnote w:id="43">
    <w:p w14:paraId="5B5E1646" w14:textId="3FA83AF8" w:rsidR="009A141A" w:rsidRPr="008629F7" w:rsidRDefault="009A141A" w:rsidP="004245B6">
      <w:pPr>
        <w:pStyle w:val="CMR2023-footnote"/>
        <w:jc w:val="both"/>
      </w:pPr>
      <w:r>
        <w:rPr>
          <w:rStyle w:val="FootnoteReference"/>
        </w:rPr>
        <w:footnoteRef/>
      </w:r>
      <w:r>
        <w:t xml:space="preserve"> </w:t>
      </w:r>
      <w:r w:rsidR="0016462B">
        <w:t>See</w:t>
      </w:r>
      <w:r>
        <w:t xml:space="preserve"> footnote </w:t>
      </w:r>
      <w:r w:rsidR="00627844">
        <w:t>11</w:t>
      </w:r>
      <w:r>
        <w:t xml:space="preserve">. </w:t>
      </w:r>
    </w:p>
  </w:footnote>
  <w:footnote w:id="44">
    <w:p w14:paraId="21E1A3DA" w14:textId="33EB04DA" w:rsidR="00F01589" w:rsidRPr="0084026D" w:rsidRDefault="00F01589" w:rsidP="004245B6">
      <w:pPr>
        <w:pStyle w:val="CMR2023-footnote"/>
        <w:jc w:val="both"/>
      </w:pPr>
      <w:r w:rsidRPr="0084026D">
        <w:rPr>
          <w:rStyle w:val="FootnoteReference"/>
        </w:rPr>
        <w:footnoteRef/>
      </w:r>
      <w:r w:rsidRPr="0084026D">
        <w:t xml:space="preserve"> </w:t>
      </w:r>
      <w:hyperlink r:id="rId26" w:anchor=":~:text=On%2017%20August%202023%2C%20the,until%20the%20end%20of%202025." w:history="1">
        <w:r w:rsidRPr="0084026D">
          <w:rPr>
            <w:rStyle w:val="Hyperlink"/>
          </w:rPr>
          <w:t>Commission adopts detailed reporting rules for the Carbon Border Adjustment Mechanism’s transitional phase</w:t>
        </w:r>
      </w:hyperlink>
      <w:r w:rsidRPr="0084026D">
        <w:t>, DG Taxation and Customs Union, 17</w:t>
      </w:r>
      <w:r>
        <w:t> </w:t>
      </w:r>
      <w:r w:rsidRPr="0084026D">
        <w:t>August 2023.</w:t>
      </w:r>
    </w:p>
  </w:footnote>
  <w:footnote w:id="45">
    <w:p w14:paraId="08703B1E" w14:textId="35BAD2F2" w:rsidR="009F78C2" w:rsidRPr="009F78C2" w:rsidRDefault="009F78C2">
      <w:pPr>
        <w:pStyle w:val="FootnoteText"/>
      </w:pPr>
      <w:r>
        <w:rPr>
          <w:rStyle w:val="FootnoteReference"/>
        </w:rPr>
        <w:footnoteRef/>
      </w:r>
      <w:r>
        <w:t xml:space="preserve"> </w:t>
      </w:r>
      <w:r w:rsidRPr="009F78C2">
        <w:t>SWD(2023) 346</w:t>
      </w:r>
    </w:p>
  </w:footnote>
  <w:footnote w:id="46">
    <w:p w14:paraId="10D18B3F" w14:textId="7542AE40" w:rsidR="009F78C2" w:rsidRPr="009F78C2" w:rsidRDefault="009F78C2">
      <w:pPr>
        <w:pStyle w:val="FootnoteText"/>
      </w:pPr>
      <w:r>
        <w:rPr>
          <w:rStyle w:val="FootnoteReference"/>
        </w:rPr>
        <w:footnoteRef/>
      </w:r>
      <w:r>
        <w:t xml:space="preserve"> </w:t>
      </w:r>
      <w:r w:rsidRPr="009F78C2">
        <w:t>SWD(2023) 346</w:t>
      </w:r>
    </w:p>
  </w:footnote>
  <w:footnote w:id="47">
    <w:p w14:paraId="64B37296" w14:textId="06DE4F96" w:rsidR="00E468B1" w:rsidRPr="0051224B" w:rsidRDefault="00E468B1" w:rsidP="004245B6">
      <w:pPr>
        <w:pStyle w:val="CMR2023-footnote"/>
        <w:jc w:val="both"/>
      </w:pPr>
      <w:r w:rsidRPr="0051224B">
        <w:rPr>
          <w:rStyle w:val="FootnoteReference"/>
        </w:rPr>
        <w:footnoteRef/>
      </w:r>
      <w:r w:rsidR="004C1E00">
        <w:t xml:space="preserve"> </w:t>
      </w:r>
      <w:r w:rsidRPr="0051224B">
        <w:t xml:space="preserve">The remaining difference accounts for </w:t>
      </w:r>
      <w:r w:rsidR="00E02C66">
        <w:t xml:space="preserve">the </w:t>
      </w:r>
      <w:r w:rsidRPr="0051224B">
        <w:t xml:space="preserve">revenues pooled under the Innovation and Modernisation Funds as well as </w:t>
      </w:r>
      <w:r w:rsidR="00E02C66">
        <w:t xml:space="preserve">the </w:t>
      </w:r>
      <w:r w:rsidRPr="0051224B">
        <w:t>revenues distributed to Iceland, Liechtenstein</w:t>
      </w:r>
      <w:r w:rsidR="00E02C66">
        <w:t xml:space="preserve"> </w:t>
      </w:r>
      <w:r w:rsidRPr="0051224B">
        <w:t>and Norway</w:t>
      </w:r>
      <w:r w:rsidR="00E02C66">
        <w:t xml:space="preserve"> plus the UK in respect of Northern Ireland</w:t>
      </w:r>
      <w:r w:rsidRPr="0051224B">
        <w:t>.</w:t>
      </w:r>
    </w:p>
  </w:footnote>
  <w:footnote w:id="48">
    <w:p w14:paraId="6D5D36F4" w14:textId="5A25E0FB" w:rsidR="008462E8" w:rsidRPr="0084026D" w:rsidRDefault="008462E8" w:rsidP="004245B6">
      <w:pPr>
        <w:pStyle w:val="CMR2023-footnote"/>
        <w:jc w:val="both"/>
      </w:pPr>
      <w:r w:rsidRPr="0084026D">
        <w:rPr>
          <w:rStyle w:val="FootnoteReference"/>
        </w:rPr>
        <w:footnoteRef/>
      </w:r>
      <w:r w:rsidRPr="0084026D">
        <w:t xml:space="preserve"> </w:t>
      </w:r>
      <w:r w:rsidR="00272F77">
        <w:t xml:space="preserve">To be adopted; </w:t>
      </w:r>
      <w:r w:rsidR="009E0E99">
        <w:t xml:space="preserve">COM(2023) </w:t>
      </w:r>
      <w:r w:rsidR="00272F77">
        <w:t>653 final.</w:t>
      </w:r>
    </w:p>
  </w:footnote>
  <w:footnote w:id="49">
    <w:p w14:paraId="4068D6A9" w14:textId="7A34E974" w:rsidR="00F5603C" w:rsidRPr="0084026D" w:rsidRDefault="00F5603C" w:rsidP="004245B6">
      <w:pPr>
        <w:pStyle w:val="CMR2023-footnote"/>
        <w:jc w:val="both"/>
      </w:pPr>
      <w:r w:rsidRPr="0084026D">
        <w:rPr>
          <w:rStyle w:val="FootnoteReference"/>
        </w:rPr>
        <w:footnoteRef/>
      </w:r>
      <w:r w:rsidRPr="0084026D">
        <w:t xml:space="preserve"> Including allowances distributed for solidarity and growth.</w:t>
      </w:r>
    </w:p>
  </w:footnote>
  <w:footnote w:id="50">
    <w:p w14:paraId="10FFE578" w14:textId="0C87B88C" w:rsidR="00F5603C" w:rsidRPr="0084026D" w:rsidRDefault="00F5603C" w:rsidP="004245B6">
      <w:pPr>
        <w:pStyle w:val="CMR2023-footnote"/>
        <w:jc w:val="both"/>
      </w:pPr>
      <w:r w:rsidRPr="0084026D">
        <w:rPr>
          <w:rStyle w:val="FootnoteReference"/>
        </w:rPr>
        <w:footnoteRef/>
      </w:r>
      <w:r w:rsidRPr="0084026D">
        <w:t xml:space="preserve"> The same obligation </w:t>
      </w:r>
      <w:r>
        <w:t xml:space="preserve">will </w:t>
      </w:r>
      <w:r w:rsidRPr="0084026D">
        <w:t>appl</w:t>
      </w:r>
      <w:r>
        <w:t>y</w:t>
      </w:r>
      <w:r w:rsidRPr="0084026D">
        <w:t xml:space="preserve"> to revenue generated from the new ETS 2 for buildings, road transport and small emitting industr</w:t>
      </w:r>
      <w:r>
        <w:t>ies</w:t>
      </w:r>
      <w:r w:rsidRPr="0084026D">
        <w:t xml:space="preserve"> </w:t>
      </w:r>
      <w:r>
        <w:t>when</w:t>
      </w:r>
      <w:r w:rsidRPr="0084026D">
        <w:t xml:space="preserve"> launched.</w:t>
      </w:r>
    </w:p>
  </w:footnote>
  <w:footnote w:id="51">
    <w:p w14:paraId="58A633CE" w14:textId="48B0D5FB" w:rsidR="001B6047" w:rsidRDefault="001B6047" w:rsidP="004245B6">
      <w:pPr>
        <w:pStyle w:val="CMR2023-footnote"/>
        <w:jc w:val="both"/>
      </w:pPr>
      <w:r>
        <w:rPr>
          <w:rStyle w:val="FootnoteReference"/>
          <w:rFonts w:cs="Times New Roman"/>
        </w:rPr>
        <w:footnoteRef/>
      </w:r>
      <w:r>
        <w:t xml:space="preserve"> </w:t>
      </w:r>
      <w:r w:rsidR="009F0BD2" w:rsidRPr="0084026D">
        <w:t>Guidelines on certain State aid measures in the context of the greenhouse gas emission allowances trading scheme post</w:t>
      </w:r>
      <w:r w:rsidR="009F0BD2">
        <w:t>-</w:t>
      </w:r>
      <w:r w:rsidR="009F0BD2" w:rsidRPr="0084026D">
        <w:t xml:space="preserve">2012 </w:t>
      </w:r>
      <w:r w:rsidR="009F0BD2">
        <w:t>(</w:t>
      </w:r>
      <w:hyperlink r:id="rId27" w:history="1">
        <w:r w:rsidR="009F0BD2" w:rsidRPr="0084026D">
          <w:rPr>
            <w:rStyle w:val="Hyperlink"/>
            <w:rFonts w:cs="Times New Roman"/>
          </w:rPr>
          <w:t>OJ C 158</w:t>
        </w:r>
      </w:hyperlink>
      <w:r w:rsidR="009F0BD2" w:rsidRPr="0084026D">
        <w:t>, 5.6.2012</w:t>
      </w:r>
      <w:r w:rsidR="009F0BD2">
        <w:t>)</w:t>
      </w:r>
      <w:r w:rsidR="009F0BD2" w:rsidRPr="0084026D">
        <w:t>.</w:t>
      </w:r>
    </w:p>
  </w:footnote>
  <w:footnote w:id="52">
    <w:p w14:paraId="7B1E5C5F" w14:textId="068F5F8F" w:rsidR="001B6047" w:rsidRDefault="001B6047" w:rsidP="004245B6">
      <w:pPr>
        <w:pStyle w:val="CMR2023-footnote"/>
        <w:jc w:val="both"/>
      </w:pPr>
      <w:r>
        <w:rPr>
          <w:rStyle w:val="FootnoteReference"/>
          <w:rFonts w:cs="Times New Roman"/>
        </w:rPr>
        <w:footnoteRef/>
      </w:r>
      <w:r>
        <w:t xml:space="preserve"> </w:t>
      </w:r>
      <w:r w:rsidR="00042085" w:rsidRPr="0084026D">
        <w:t>Guidelines on certain State aid measures in the context of the system for greenhouse gas emission allowances trading scheme post</w:t>
      </w:r>
      <w:r w:rsidR="00042085">
        <w:t>-</w:t>
      </w:r>
      <w:r w:rsidR="00042085" w:rsidRPr="0084026D">
        <w:t xml:space="preserve">2021 </w:t>
      </w:r>
      <w:r w:rsidR="00042085">
        <w:t>(</w:t>
      </w:r>
      <w:hyperlink r:id="rId28" w:history="1">
        <w:r w:rsidR="00042085" w:rsidRPr="0084026D">
          <w:rPr>
            <w:rStyle w:val="Hyperlink"/>
            <w:rFonts w:cs="Times New Roman"/>
          </w:rPr>
          <w:t>OJ C 317</w:t>
        </w:r>
      </w:hyperlink>
      <w:r w:rsidR="00042085" w:rsidRPr="0084026D">
        <w:t>, 25.9.2020</w:t>
      </w:r>
      <w:r w:rsidR="00042085">
        <w:t>)</w:t>
      </w:r>
      <w:r w:rsidR="00042085" w:rsidRPr="0084026D">
        <w:t>.</w:t>
      </w:r>
    </w:p>
  </w:footnote>
  <w:footnote w:id="53">
    <w:p w14:paraId="56CA8FFD" w14:textId="3D85A1C6" w:rsidR="001B6047" w:rsidRPr="0033023E" w:rsidRDefault="001B6047" w:rsidP="004245B6">
      <w:pPr>
        <w:pStyle w:val="CMR2023-footnote"/>
        <w:jc w:val="both"/>
      </w:pPr>
      <w:r>
        <w:rPr>
          <w:rStyle w:val="FootnoteReference"/>
        </w:rPr>
        <w:footnoteRef/>
      </w:r>
      <w:r>
        <w:t xml:space="preserve"> </w:t>
      </w:r>
      <w:r w:rsidRPr="003309B7">
        <w:t>See State aid case SA.100103. The budget of the Portuguese scheme is EUR</w:t>
      </w:r>
      <w:r w:rsidR="00042085">
        <w:t> </w:t>
      </w:r>
      <w:r w:rsidRPr="003309B7">
        <w:t>25</w:t>
      </w:r>
      <w:r w:rsidR="00042085">
        <w:t> </w:t>
      </w:r>
      <w:r w:rsidRPr="003309B7">
        <w:t>m</w:t>
      </w:r>
      <w:r w:rsidR="00042085">
        <w:t>i</w:t>
      </w:r>
      <w:r w:rsidRPr="003309B7">
        <w:t>l</w:t>
      </w:r>
      <w:r w:rsidR="00042085">
        <w:t>lio</w:t>
      </w:r>
      <w:r w:rsidRPr="003309B7">
        <w:t>n.</w:t>
      </w:r>
      <w:r>
        <w:rPr>
          <w:rStyle w:val="cf01"/>
        </w:rPr>
        <w:t xml:space="preserve"> </w:t>
      </w:r>
    </w:p>
  </w:footnote>
  <w:footnote w:id="54">
    <w:p w14:paraId="3402B0E8" w14:textId="77777777" w:rsidR="001B6047" w:rsidRDefault="001B6047" w:rsidP="004245B6">
      <w:pPr>
        <w:pStyle w:val="CMR2023-footnote"/>
        <w:jc w:val="both"/>
      </w:pPr>
      <w:r>
        <w:rPr>
          <w:rStyle w:val="FootnoteReference"/>
          <w:rFonts w:cs="Times New Roman"/>
        </w:rPr>
        <w:footnoteRef/>
      </w:r>
      <w:r>
        <w:t xml:space="preserve"> Excluding revenues from auctioning aviation allowances.</w:t>
      </w:r>
    </w:p>
  </w:footnote>
  <w:footnote w:id="55">
    <w:p w14:paraId="036D551F" w14:textId="04E794D0" w:rsidR="00346A61" w:rsidRPr="00346A61" w:rsidRDefault="00346A61" w:rsidP="00797B64">
      <w:pPr>
        <w:pStyle w:val="FootnoteText"/>
        <w:jc w:val="both"/>
        <w:rPr>
          <w:lang w:val="en-IE"/>
        </w:rPr>
      </w:pPr>
      <w:r>
        <w:rPr>
          <w:rStyle w:val="FootnoteReference"/>
        </w:rPr>
        <w:footnoteRef/>
      </w:r>
      <w:r>
        <w:t xml:space="preserve"> </w:t>
      </w:r>
      <w:r w:rsidRPr="00716E0E">
        <w:rPr>
          <w:rStyle w:val="CMR2023-footnoteChar"/>
        </w:rPr>
        <w:t>Excluding revenues from the auctioning of aviation allowances.</w:t>
      </w:r>
    </w:p>
  </w:footnote>
  <w:footnote w:id="56">
    <w:p w14:paraId="2B1E09C4" w14:textId="027C1555" w:rsidR="00200D13" w:rsidRPr="00200D13" w:rsidRDefault="00200D13" w:rsidP="00797B64">
      <w:pPr>
        <w:pStyle w:val="FootnoteText"/>
        <w:jc w:val="both"/>
      </w:pPr>
      <w:r>
        <w:rPr>
          <w:rStyle w:val="FootnoteReference"/>
        </w:rPr>
        <w:footnoteRef/>
      </w:r>
      <w:r>
        <w:t xml:space="preserve"> </w:t>
      </w:r>
      <w:r w:rsidRPr="00200D13">
        <w:rPr>
          <w:rStyle w:val="CMR2023-footnoteChar"/>
        </w:rPr>
        <w:t>Greece’s figures are provisional. Given that its compensation scheme was approved only in May 2023, the disbursement exercise had not been finalised yet at the time of reporting.</w:t>
      </w:r>
    </w:p>
  </w:footnote>
  <w:footnote w:id="57">
    <w:p w14:paraId="6C624F8E" w14:textId="6AB89D43" w:rsidR="009769EC" w:rsidRPr="00810423" w:rsidRDefault="009769EC" w:rsidP="00797B64">
      <w:pPr>
        <w:pStyle w:val="CMR2023-footnote"/>
        <w:jc w:val="both"/>
        <w:rPr>
          <w:lang w:val="en-IE"/>
        </w:rPr>
      </w:pPr>
      <w:r>
        <w:rPr>
          <w:rStyle w:val="FootnoteReference"/>
        </w:rPr>
        <w:footnoteRef/>
      </w:r>
      <w:r>
        <w:t xml:space="preserve"> </w:t>
      </w:r>
      <w:r w:rsidR="002B0985" w:rsidRPr="0084026D">
        <w:rPr>
          <w:shd w:val="clear" w:color="auto" w:fill="FFFFFF"/>
        </w:rPr>
        <w:t>Report from the Commission to the European Parliament and the Council on the implementation of the Innovation Fund</w:t>
      </w:r>
      <w:r w:rsidR="002B0985">
        <w:rPr>
          <w:shd w:val="clear" w:color="auto" w:fill="FFFFFF"/>
        </w:rPr>
        <w:t xml:space="preserve"> (</w:t>
      </w:r>
      <w:hyperlink r:id="rId29" w:history="1">
        <w:r w:rsidR="002B0985" w:rsidRPr="0084026D">
          <w:rPr>
            <w:rStyle w:val="Hyperlink"/>
            <w:shd w:val="clear" w:color="auto" w:fill="FFFFFF"/>
          </w:rPr>
          <w:t>COM/2022/416 final</w:t>
        </w:r>
      </w:hyperlink>
      <w:r w:rsidR="002B0985">
        <w:rPr>
          <w:shd w:val="clear" w:color="auto" w:fill="FFFFFF"/>
        </w:rPr>
        <w:t>)</w:t>
      </w:r>
      <w:r w:rsidR="002B0985" w:rsidRPr="0084026D">
        <w:rPr>
          <w:shd w:val="clear" w:color="auto" w:fill="FFFFFF"/>
        </w:rPr>
        <w:t>.</w:t>
      </w:r>
    </w:p>
  </w:footnote>
  <w:footnote w:id="58">
    <w:p w14:paraId="38BED30F" w14:textId="77777777" w:rsidR="00A426C9" w:rsidRPr="0084026D" w:rsidRDefault="00A426C9" w:rsidP="00797B64">
      <w:pPr>
        <w:pStyle w:val="CMR2023-footnote"/>
        <w:jc w:val="both"/>
      </w:pPr>
      <w:r w:rsidRPr="0084026D">
        <w:rPr>
          <w:rStyle w:val="FootnoteReference"/>
        </w:rPr>
        <w:footnoteRef/>
      </w:r>
      <w:r w:rsidRPr="0084026D">
        <w:t xml:space="preserve"> </w:t>
      </w:r>
      <w:bookmarkStart w:id="56" w:name="_Hlk148431765"/>
      <w:r w:rsidRPr="0084026D">
        <w:t xml:space="preserve">The projects will contribute to </w:t>
      </w:r>
      <w:r>
        <w:t xml:space="preserve">the </w:t>
      </w:r>
      <w:r w:rsidRPr="0084026D">
        <w:t>decarbonisation efforts of six Member States (Bulgaria, France, Germany, the Netherlands, Poland, and Sweden), plus Iceland and Norway.</w:t>
      </w:r>
      <w:bookmarkEnd w:id="56"/>
    </w:p>
  </w:footnote>
  <w:footnote w:id="59">
    <w:p w14:paraId="0BB3AB9D" w14:textId="6D150381" w:rsidR="00A426C9" w:rsidRPr="0084026D" w:rsidRDefault="00A426C9" w:rsidP="00797B64">
      <w:pPr>
        <w:pStyle w:val="CMR2023-footnote"/>
        <w:jc w:val="both"/>
      </w:pPr>
      <w:r w:rsidRPr="0084026D">
        <w:rPr>
          <w:rStyle w:val="FootnoteReference"/>
        </w:rPr>
        <w:footnoteRef/>
      </w:r>
      <w:r w:rsidRPr="0084026D">
        <w:t xml:space="preserve"> </w:t>
      </w:r>
      <w:hyperlink r:id="rId30" w:history="1">
        <w:r w:rsidRPr="0084026D">
          <w:rPr>
            <w:rStyle w:val="Hyperlink"/>
          </w:rPr>
          <w:t>16 grants from the EU’s Innovation Fund awarded to projects across Europe</w:t>
        </w:r>
      </w:hyperlink>
      <w:r w:rsidRPr="0084026D">
        <w:t xml:space="preserve">, DG Climate Action, </w:t>
      </w:r>
      <w:bookmarkStart w:id="57" w:name="_Hlk148431814"/>
      <w:r w:rsidRPr="0084026D">
        <w:t>6</w:t>
      </w:r>
      <w:r>
        <w:t> </w:t>
      </w:r>
      <w:r w:rsidRPr="0084026D">
        <w:t>June 2023</w:t>
      </w:r>
      <w:bookmarkEnd w:id="57"/>
      <w:r w:rsidRPr="0084026D">
        <w:t>.</w:t>
      </w:r>
    </w:p>
  </w:footnote>
  <w:footnote w:id="60">
    <w:p w14:paraId="23294AA0" w14:textId="5C76BBD6" w:rsidR="004A1B79" w:rsidRDefault="004A1B79" w:rsidP="00797B64">
      <w:pPr>
        <w:pStyle w:val="CMR2023-footnote"/>
        <w:jc w:val="both"/>
      </w:pPr>
      <w:r>
        <w:rPr>
          <w:rStyle w:val="FootnoteReference"/>
        </w:rPr>
        <w:footnoteRef/>
      </w:r>
      <w:r>
        <w:t xml:space="preserve"> </w:t>
      </w:r>
      <w:hyperlink r:id="rId31" w:history="1">
        <w:r w:rsidR="002865CF" w:rsidRPr="00101BD9">
          <w:rPr>
            <w:rStyle w:val="Hyperlink"/>
          </w:rPr>
          <w:t>Updated portfolio of projects signed under the Innovation Fund</w:t>
        </w:r>
      </w:hyperlink>
      <w:r w:rsidR="002865CF" w:rsidRPr="0084026D">
        <w:t>.</w:t>
      </w:r>
    </w:p>
  </w:footnote>
  <w:footnote w:id="61">
    <w:p w14:paraId="08A2F479" w14:textId="77777777" w:rsidR="00F76E10" w:rsidRPr="001E7394" w:rsidRDefault="00F76E10" w:rsidP="00797B64">
      <w:pPr>
        <w:pStyle w:val="CMR2023-footnote"/>
        <w:jc w:val="both"/>
      </w:pPr>
      <w:r>
        <w:rPr>
          <w:rStyle w:val="FootnoteReference"/>
        </w:rPr>
        <w:footnoteRef/>
      </w:r>
      <w:r>
        <w:t xml:space="preserve"> </w:t>
      </w:r>
      <w:r w:rsidRPr="00397696">
        <w:t>Recital 20 of Directive 2009/29/EC, reaffirmed in recital 14 of Directive (EU) 2018/410.</w:t>
      </w:r>
    </w:p>
  </w:footnote>
  <w:footnote w:id="62">
    <w:p w14:paraId="3B4ADDE7" w14:textId="5210F99A" w:rsidR="004A1B79" w:rsidRDefault="004A1B79" w:rsidP="00797B64">
      <w:pPr>
        <w:pStyle w:val="CMR2023-footnote"/>
        <w:jc w:val="both"/>
      </w:pPr>
      <w:r>
        <w:rPr>
          <w:rStyle w:val="FootnoteReference"/>
        </w:rPr>
        <w:footnoteRef/>
      </w:r>
      <w:r>
        <w:t xml:space="preserve"> </w:t>
      </w:r>
      <w:hyperlink r:id="rId32" w:history="1">
        <w:r w:rsidR="0098549C">
          <w:rPr>
            <w:rStyle w:val="Hyperlink"/>
          </w:rPr>
          <w:t>EU invests €3.6 billion of emissions trading revenues</w:t>
        </w:r>
      </w:hyperlink>
      <w:r w:rsidR="0098549C">
        <w:t xml:space="preserve">, DG Climate Action, </w:t>
      </w:r>
      <w:r w:rsidR="006916A8" w:rsidRPr="0084026D">
        <w:t>13</w:t>
      </w:r>
      <w:r w:rsidR="006916A8">
        <w:t> </w:t>
      </w:r>
      <w:r w:rsidR="006916A8" w:rsidRPr="0084026D">
        <w:t>July 2023</w:t>
      </w:r>
      <w:r w:rsidR="008F082D">
        <w:t xml:space="preserve">. </w:t>
      </w:r>
    </w:p>
  </w:footnote>
  <w:footnote w:id="63">
    <w:p w14:paraId="13326D1D" w14:textId="70446242" w:rsidR="00BE7ABE" w:rsidRPr="00BE7ABE" w:rsidRDefault="00BE7ABE" w:rsidP="00797B64">
      <w:pPr>
        <w:pStyle w:val="CMR2023-footnote"/>
        <w:jc w:val="both"/>
      </w:pPr>
      <w:r>
        <w:rPr>
          <w:rStyle w:val="FootnoteReference"/>
        </w:rPr>
        <w:footnoteRef/>
      </w:r>
      <w:r>
        <w:t xml:space="preserve"> </w:t>
      </w:r>
      <w:r w:rsidR="00F76E10">
        <w:t xml:space="preserve">At an estimated carbon </w:t>
      </w:r>
      <w:r w:rsidR="00616240">
        <w:t xml:space="preserve">price of </w:t>
      </w:r>
      <w:r w:rsidR="00B3703A" w:rsidRPr="0084026D">
        <w:t>EUR</w:t>
      </w:r>
      <w:r w:rsidR="00B3703A">
        <w:t> </w:t>
      </w:r>
      <w:r w:rsidR="00B3703A" w:rsidRPr="0084026D">
        <w:t>75</w:t>
      </w:r>
      <w:r w:rsidR="00616240">
        <w:t>/t</w:t>
      </w:r>
      <w:r w:rsidR="002742F0">
        <w:t>onne of CO</w:t>
      </w:r>
      <w:r w:rsidR="002742F0" w:rsidRPr="00F76E10">
        <w:rPr>
          <w:vertAlign w:val="subscript"/>
        </w:rPr>
        <w:t>2</w:t>
      </w:r>
      <w:r w:rsidR="002742F0">
        <w:t>.</w:t>
      </w:r>
    </w:p>
  </w:footnote>
  <w:footnote w:id="64">
    <w:p w14:paraId="4EE95C97" w14:textId="157E9C89" w:rsidR="00F0734B" w:rsidRPr="00F0734B" w:rsidRDefault="00F0734B" w:rsidP="00797B64">
      <w:pPr>
        <w:pStyle w:val="CMR2023-footnote"/>
        <w:jc w:val="both"/>
      </w:pPr>
      <w:r>
        <w:rPr>
          <w:rStyle w:val="FootnoteReference"/>
        </w:rPr>
        <w:footnoteRef/>
      </w:r>
      <w:r>
        <w:t xml:space="preserve"> </w:t>
      </w:r>
      <w:r w:rsidR="009D29EB" w:rsidRPr="0084026D">
        <w:t>Commission Delegated Regulation (EU) 2019/856 of 26</w:t>
      </w:r>
      <w:r w:rsidR="009D29EB">
        <w:t> </w:t>
      </w:r>
      <w:r w:rsidR="009D29EB" w:rsidRPr="0084026D">
        <w:t xml:space="preserve">February 2019 supplementing Directive 2003/87/EC of the European Parliament and of the Council with regard to the operation of the Innovation Fund </w:t>
      </w:r>
      <w:r w:rsidR="009D29EB">
        <w:t>(</w:t>
      </w:r>
      <w:hyperlink r:id="rId33" w:history="1">
        <w:r w:rsidR="009D29EB" w:rsidRPr="0084026D">
          <w:rPr>
            <w:rStyle w:val="Hyperlink"/>
          </w:rPr>
          <w:t>OJ L 140</w:t>
        </w:r>
      </w:hyperlink>
      <w:r w:rsidR="009D29EB" w:rsidRPr="0084026D">
        <w:t>, 28.5.2019</w:t>
      </w:r>
      <w:r w:rsidR="009D29EB">
        <w:t>)</w:t>
      </w:r>
      <w:r w:rsidR="009D29EB" w:rsidRPr="0084026D">
        <w:t>.</w:t>
      </w:r>
    </w:p>
  </w:footnote>
  <w:footnote w:id="65">
    <w:p w14:paraId="6FD71D9F" w14:textId="7A80D756" w:rsidR="009D11EF" w:rsidRPr="008070A8" w:rsidRDefault="009D11EF" w:rsidP="00797B64">
      <w:pPr>
        <w:pStyle w:val="CMR2023-footnote"/>
        <w:jc w:val="both"/>
        <w:rPr>
          <w:shd w:val="clear" w:color="auto" w:fill="FFFFFF"/>
        </w:rPr>
      </w:pPr>
      <w:r w:rsidRPr="008070A8">
        <w:rPr>
          <w:rStyle w:val="FootnoteReference"/>
          <w:rFonts w:cs="Times New Roman"/>
        </w:rPr>
        <w:footnoteRef/>
      </w:r>
      <w:r w:rsidRPr="008070A8">
        <w:t xml:space="preserve"> </w:t>
      </w:r>
      <w:r w:rsidR="00F76E10" w:rsidRPr="00F76E10">
        <w:t xml:space="preserve"> </w:t>
      </w:r>
      <w:r w:rsidR="00B36576" w:rsidRPr="0084026D">
        <w:t xml:space="preserve"> </w:t>
      </w:r>
      <w:r w:rsidR="00B36576" w:rsidRPr="0084026D">
        <w:rPr>
          <w:shd w:val="clear" w:color="auto" w:fill="FFFFFF"/>
        </w:rPr>
        <w:t xml:space="preserve">Communication from the Commission to the European Parliament, the Council, the European Economic and Social Committee and the Committee of the Regions </w:t>
      </w:r>
      <w:r w:rsidR="00B36576">
        <w:rPr>
          <w:shd w:val="clear" w:color="auto" w:fill="FFFFFF"/>
        </w:rPr>
        <w:t>–</w:t>
      </w:r>
      <w:r w:rsidR="00B36576" w:rsidRPr="0084026D">
        <w:rPr>
          <w:shd w:val="clear" w:color="auto" w:fill="FFFFFF"/>
        </w:rPr>
        <w:t xml:space="preserve"> European Hydrogen Bank, 16.3.2023</w:t>
      </w:r>
      <w:r w:rsidR="00B36576">
        <w:rPr>
          <w:shd w:val="clear" w:color="auto" w:fill="FFFFFF"/>
        </w:rPr>
        <w:t xml:space="preserve"> (</w:t>
      </w:r>
      <w:hyperlink r:id="rId34" w:history="1">
        <w:r w:rsidR="00B36576" w:rsidRPr="000F1E4A">
          <w:rPr>
            <w:rStyle w:val="Hyperlink"/>
            <w:shd w:val="clear" w:color="auto" w:fill="FFFFFF"/>
          </w:rPr>
          <w:t>COM(2023) 156 final</w:t>
        </w:r>
      </w:hyperlink>
      <w:r w:rsidR="00B36576">
        <w:rPr>
          <w:shd w:val="clear" w:color="auto" w:fill="FFFFFF"/>
        </w:rPr>
        <w:t>)</w:t>
      </w:r>
      <w:r w:rsidR="00B36576" w:rsidRPr="0084026D">
        <w:rPr>
          <w:shd w:val="clear" w:color="auto" w:fill="FFFFFF"/>
        </w:rPr>
        <w:t>.</w:t>
      </w:r>
    </w:p>
  </w:footnote>
  <w:footnote w:id="66">
    <w:p w14:paraId="70FBDBB4" w14:textId="2EC4F0E8" w:rsidR="00273826" w:rsidRPr="00273826" w:rsidRDefault="00273826" w:rsidP="00797B64">
      <w:pPr>
        <w:pStyle w:val="CMR2023-footnote"/>
        <w:jc w:val="both"/>
      </w:pPr>
      <w:r>
        <w:rPr>
          <w:rStyle w:val="FootnoteReference"/>
        </w:rPr>
        <w:footnoteRef/>
      </w:r>
      <w:r>
        <w:t xml:space="preserve"> </w:t>
      </w:r>
      <w:r w:rsidR="00355CAA" w:rsidRPr="0084026D">
        <w:t xml:space="preserve">The </w:t>
      </w:r>
      <w:r w:rsidR="00355CAA">
        <w:t xml:space="preserve">first </w:t>
      </w:r>
      <w:r w:rsidR="00355CAA" w:rsidRPr="0084026D">
        <w:t>beneficiary Member States were Bulgaria, Croatia, Czechia, Estonia, Hungary, Latvia, Lithuania, Poland, Romania and Slovakia</w:t>
      </w:r>
      <w:r w:rsidR="00355CAA">
        <w:t>.</w:t>
      </w:r>
      <w:r w:rsidR="00355CAA" w:rsidRPr="0084026D">
        <w:t xml:space="preserve"> </w:t>
      </w:r>
      <w:r w:rsidR="00355CAA" w:rsidRPr="0084026D">
        <w:rPr>
          <w:rFonts w:cs="Times New Roman"/>
        </w:rPr>
        <w:t xml:space="preserve">Greece, Portugal and Slovenia </w:t>
      </w:r>
      <w:r w:rsidR="00355CAA">
        <w:rPr>
          <w:rFonts w:cs="Times New Roman"/>
        </w:rPr>
        <w:t>were</w:t>
      </w:r>
      <w:r w:rsidR="00355CAA" w:rsidRPr="0084026D">
        <w:rPr>
          <w:rFonts w:cs="Times New Roman"/>
        </w:rPr>
        <w:t xml:space="preserve"> added in the 2023 revision of the ETS Directive</w:t>
      </w:r>
      <w:r w:rsidR="00355CAA" w:rsidRPr="0084026D">
        <w:t>.</w:t>
      </w:r>
    </w:p>
  </w:footnote>
  <w:footnote w:id="67">
    <w:p w14:paraId="466FD99C" w14:textId="2C55963F" w:rsidR="00E77C65" w:rsidRPr="00E77C65" w:rsidRDefault="00E77C65" w:rsidP="00797B64">
      <w:pPr>
        <w:pStyle w:val="CMR2023-footnote"/>
        <w:jc w:val="both"/>
      </w:pPr>
      <w:r>
        <w:rPr>
          <w:rStyle w:val="FootnoteReference"/>
        </w:rPr>
        <w:footnoteRef/>
      </w:r>
      <w:r>
        <w:t xml:space="preserve"> Annex IIb </w:t>
      </w:r>
      <w:r w:rsidR="004C2A6A">
        <w:t>t</w:t>
      </w:r>
      <w:r>
        <w:t>o the ETS Directive</w:t>
      </w:r>
      <w:r w:rsidR="004463F9">
        <w:t xml:space="preserve"> – Modernisation Fund allocation key</w:t>
      </w:r>
      <w:r>
        <w:t xml:space="preserve">. </w:t>
      </w:r>
    </w:p>
  </w:footnote>
  <w:footnote w:id="68">
    <w:p w14:paraId="42836893" w14:textId="545AB28C" w:rsidR="00D070B3" w:rsidRPr="00D070B3" w:rsidRDefault="00D070B3" w:rsidP="00797B64">
      <w:pPr>
        <w:pStyle w:val="CMR2023-footnote"/>
        <w:jc w:val="both"/>
        <w:rPr>
          <w:lang w:val="en-IE"/>
        </w:rPr>
      </w:pPr>
      <w:r>
        <w:rPr>
          <w:rStyle w:val="FootnoteReference"/>
        </w:rPr>
        <w:footnoteRef/>
      </w:r>
      <w:r>
        <w:t xml:space="preserve"> </w:t>
      </w:r>
      <w:r w:rsidR="003A69E7" w:rsidRPr="0084026D">
        <w:t>Commission Decision of 30.5.2023 on the disbursement of revenues from the Modernisation Fund under Directive 2003/87/EC of the European Parliament and the Council - First biannual disbursement cycle of 2023</w:t>
      </w:r>
      <w:r w:rsidR="003A69E7">
        <w:t xml:space="preserve"> (</w:t>
      </w:r>
      <w:r w:rsidR="003A69E7" w:rsidRPr="0084026D">
        <w:t>C(2023) 3643 final</w:t>
      </w:r>
      <w:r w:rsidR="003A69E7">
        <w:t>)</w:t>
      </w:r>
      <w:r w:rsidR="003A69E7" w:rsidRPr="0084026D">
        <w:t>.</w:t>
      </w:r>
    </w:p>
  </w:footnote>
  <w:footnote w:id="69">
    <w:p w14:paraId="334154B3" w14:textId="0D55B595" w:rsidR="007E51E1" w:rsidRPr="007E51E1" w:rsidRDefault="007E51E1" w:rsidP="00797B64">
      <w:pPr>
        <w:pStyle w:val="CMR2023-footnote"/>
        <w:jc w:val="both"/>
      </w:pPr>
      <w:r>
        <w:rPr>
          <w:rStyle w:val="FootnoteReference"/>
        </w:rPr>
        <w:footnoteRef/>
      </w:r>
      <w:r w:rsidRPr="007E51E1">
        <w:t xml:space="preserve"> </w:t>
      </w:r>
      <w:r w:rsidR="000811C6" w:rsidRPr="0084026D">
        <w:t>The fifth disbursement decision under the Modernisation Fund authorised payments to Romania (EUR</w:t>
      </w:r>
      <w:r w:rsidR="000811C6">
        <w:t> </w:t>
      </w:r>
      <w:r w:rsidR="000811C6" w:rsidRPr="0084026D">
        <w:t>1.1</w:t>
      </w:r>
      <w:r w:rsidR="000811C6">
        <w:t> </w:t>
      </w:r>
      <w:r w:rsidR="000811C6" w:rsidRPr="0084026D">
        <w:t>billion), Czechia (EUR 1</w:t>
      </w:r>
      <w:r w:rsidR="000811C6">
        <w:t> </w:t>
      </w:r>
      <w:r w:rsidR="000811C6" w:rsidRPr="0084026D">
        <w:t>billion), Bulgaria (EUR 197</w:t>
      </w:r>
      <w:r w:rsidR="000811C6">
        <w:t> </w:t>
      </w:r>
      <w:r w:rsidR="000811C6" w:rsidRPr="0084026D">
        <w:t>million), Poland (EUR</w:t>
      </w:r>
      <w:r w:rsidR="000811C6">
        <w:t> </w:t>
      </w:r>
      <w:r w:rsidR="000811C6" w:rsidRPr="0084026D">
        <w:t>47</w:t>
      </w:r>
      <w:r w:rsidR="000811C6">
        <w:t> </w:t>
      </w:r>
      <w:r w:rsidR="000811C6" w:rsidRPr="0084026D">
        <w:t>million), Croatia (EUR</w:t>
      </w:r>
      <w:r w:rsidR="000811C6">
        <w:t> </w:t>
      </w:r>
      <w:r w:rsidR="000811C6" w:rsidRPr="0084026D">
        <w:t>88</w:t>
      </w:r>
      <w:r w:rsidR="000811C6">
        <w:t> </w:t>
      </w:r>
      <w:r w:rsidR="000811C6" w:rsidRPr="0084026D">
        <w:t>million), Latvia (EUR</w:t>
      </w:r>
      <w:r w:rsidR="000811C6">
        <w:t> </w:t>
      </w:r>
      <w:r w:rsidR="000811C6" w:rsidRPr="0084026D">
        <w:t>5</w:t>
      </w:r>
      <w:r w:rsidR="000811C6">
        <w:t> </w:t>
      </w:r>
      <w:r w:rsidR="000811C6" w:rsidRPr="0084026D">
        <w:t>million) and Lithuania (EUR</w:t>
      </w:r>
      <w:r w:rsidR="000811C6">
        <w:t> </w:t>
      </w:r>
      <w:r w:rsidR="000811C6" w:rsidRPr="0084026D">
        <w:t>1</w:t>
      </w:r>
      <w:r w:rsidR="000811C6">
        <w:t> </w:t>
      </w:r>
      <w:r w:rsidR="000811C6" w:rsidRPr="0084026D">
        <w:t>million).</w:t>
      </w:r>
    </w:p>
  </w:footnote>
  <w:footnote w:id="70">
    <w:p w14:paraId="4E0AF9B4" w14:textId="76AAF342" w:rsidR="002B7C0C" w:rsidRPr="002B7C0C" w:rsidRDefault="002B7C0C" w:rsidP="002B7C0C">
      <w:pPr>
        <w:pStyle w:val="CMR2023-footnote"/>
      </w:pPr>
      <w:r>
        <w:rPr>
          <w:rStyle w:val="FootnoteReference"/>
        </w:rPr>
        <w:footnoteRef/>
      </w:r>
      <w:r>
        <w:t xml:space="preserve"> </w:t>
      </w:r>
      <w:r w:rsidR="006F08A7" w:rsidRPr="0084026D">
        <w:t>Commission Implementing Regulation (EU) 2020/1001 of 9</w:t>
      </w:r>
      <w:r w:rsidR="006F08A7">
        <w:t> </w:t>
      </w:r>
      <w:r w:rsidR="006F08A7" w:rsidRPr="0084026D">
        <w:t xml:space="preserve">July 2020 laying down detailed rules for the application of Directive 2003/87/EC as regards the operation of the Modernisation Fund supporting investments to modernise the energy systems and to improve energy efficiency of certain Member States </w:t>
      </w:r>
      <w:r w:rsidR="006F08A7">
        <w:t>(</w:t>
      </w:r>
      <w:hyperlink r:id="rId35" w:history="1">
        <w:r w:rsidR="006F08A7" w:rsidRPr="0084026D">
          <w:rPr>
            <w:rStyle w:val="Hyperlink"/>
          </w:rPr>
          <w:t>OJ L 221</w:t>
        </w:r>
      </w:hyperlink>
      <w:r w:rsidR="006F08A7" w:rsidRPr="0084026D">
        <w:t>, 10.7.2020</w:t>
      </w:r>
      <w:r w:rsidR="006F08A7">
        <w:t>)</w:t>
      </w:r>
      <w:r w:rsidR="006F08A7" w:rsidRPr="0084026D">
        <w:t>.</w:t>
      </w:r>
    </w:p>
  </w:footnote>
  <w:footnote w:id="71">
    <w:p w14:paraId="24514BE8" w14:textId="4D9D99A3" w:rsidR="00112112" w:rsidRPr="0051224B" w:rsidRDefault="00112112" w:rsidP="00376963">
      <w:pPr>
        <w:pStyle w:val="CMR2023-footnote"/>
      </w:pPr>
      <w:r w:rsidRPr="0051224B">
        <w:rPr>
          <w:rStyle w:val="FootnoteReference"/>
        </w:rPr>
        <w:footnoteRef/>
      </w:r>
      <w:r w:rsidR="00376963">
        <w:t xml:space="preserve"> </w:t>
      </w:r>
      <w:r w:rsidRPr="0051224B">
        <w:t>Article</w:t>
      </w:r>
      <w:r>
        <w:t> </w:t>
      </w:r>
      <w:r w:rsidRPr="0051224B">
        <w:t xml:space="preserve">38(6) of the Monitoring and Reporting Regulation. As above, Regulation (EU) 2018/2066 amended in 2020 by Regulation (EU) 2020/2085 and in 2022 by Regulation (EU) 2022/388. See </w:t>
      </w:r>
      <w:hyperlink r:id="rId36" w:history="1">
        <w:r w:rsidR="001B2263">
          <w:rPr>
            <w:rStyle w:val="Hyperlink"/>
          </w:rPr>
          <w:t>consolidated text</w:t>
        </w:r>
      </w:hyperlink>
      <w:r w:rsidRPr="0051224B">
        <w:t>.</w:t>
      </w:r>
    </w:p>
  </w:footnote>
  <w:footnote w:id="72">
    <w:p w14:paraId="5DD9CB83" w14:textId="1FC5739D" w:rsidR="00112112" w:rsidRPr="0051224B" w:rsidRDefault="00112112" w:rsidP="00376963">
      <w:pPr>
        <w:pStyle w:val="CMR2023-footnote"/>
      </w:pPr>
      <w:r w:rsidRPr="0051224B">
        <w:rPr>
          <w:rStyle w:val="FootnoteReference"/>
        </w:rPr>
        <w:footnoteRef/>
      </w:r>
      <w:r w:rsidR="00AF44AE">
        <w:t xml:space="preserve"> </w:t>
      </w:r>
      <w:r w:rsidRPr="0051224B">
        <w:t>Directive (EU) 2018/2001 of the European Parliament and of the Council of 11</w:t>
      </w:r>
      <w:r>
        <w:t> </w:t>
      </w:r>
      <w:r w:rsidRPr="0051224B">
        <w:t>December 2018 on the promotion of the use of energy from renewable sources (recast)</w:t>
      </w:r>
      <w:r w:rsidR="00077E01">
        <w:t xml:space="preserve"> (</w:t>
      </w:r>
      <w:hyperlink r:id="rId37" w:history="1">
        <w:r w:rsidRPr="0051224B">
          <w:rPr>
            <w:rStyle w:val="Hyperlink"/>
          </w:rPr>
          <w:t>OJ L 328</w:t>
        </w:r>
      </w:hyperlink>
      <w:r w:rsidRPr="0051224B">
        <w:t>, 21.12.2018</w:t>
      </w:r>
      <w:r w:rsidR="00077E01">
        <w:t>)</w:t>
      </w:r>
      <w:r w:rsidRPr="0051224B">
        <w:t>.</w:t>
      </w:r>
      <w:r w:rsidR="001B2263">
        <w:t xml:space="preserve"> See </w:t>
      </w:r>
      <w:hyperlink r:id="rId38" w:history="1">
        <w:r w:rsidR="001B2263" w:rsidRPr="001B2263">
          <w:rPr>
            <w:rStyle w:val="Hyperlink"/>
          </w:rPr>
          <w:t>consolidated text</w:t>
        </w:r>
      </w:hyperlink>
      <w:r w:rsidR="001B2263">
        <w:t>.</w:t>
      </w:r>
    </w:p>
  </w:footnote>
  <w:footnote w:id="73">
    <w:p w14:paraId="2EC17753" w14:textId="094D56A6" w:rsidR="007C461C" w:rsidRPr="007C461C" w:rsidRDefault="007C461C" w:rsidP="007C461C">
      <w:pPr>
        <w:pStyle w:val="CMR2023-footnote"/>
        <w:rPr>
          <w:lang w:val="en-IE"/>
        </w:rPr>
      </w:pPr>
      <w:r>
        <w:rPr>
          <w:rStyle w:val="FootnoteReference"/>
        </w:rPr>
        <w:footnoteRef/>
      </w:r>
      <w:r>
        <w:t xml:space="preserve"> </w:t>
      </w:r>
      <w:r w:rsidR="005537B3" w:rsidRPr="0084026D">
        <w:t>The MSR withdraws 24% of the TNAC when it exceeds 833 million allowances.</w:t>
      </w:r>
      <w:r>
        <w:rPr>
          <w:lang w:val="en-IE"/>
        </w:rPr>
        <w:t xml:space="preserve"> </w:t>
      </w:r>
    </w:p>
  </w:footnote>
  <w:footnote w:id="74">
    <w:p w14:paraId="221B5D7C" w14:textId="7701C4D1" w:rsidR="00F14BD4" w:rsidRPr="00F14BD4" w:rsidRDefault="00F14BD4" w:rsidP="00B26CFD">
      <w:pPr>
        <w:pStyle w:val="CMR2023-footnote"/>
        <w:rPr>
          <w:lang w:val="en-IE"/>
        </w:rPr>
      </w:pPr>
      <w:r>
        <w:rPr>
          <w:rStyle w:val="FootnoteReference"/>
        </w:rPr>
        <w:footnoteRef/>
      </w:r>
      <w:r>
        <w:t xml:space="preserve"> </w:t>
      </w:r>
      <w:r w:rsidR="004C1474" w:rsidRPr="0084026D">
        <w:t xml:space="preserve">Communication from the Commission Publication of the total number of allowances in circulation in 2022 for the purposes of the Market Stability Reserve under the EU Emissions Trading System established by Directive 2003/87/EC </w:t>
      </w:r>
      <w:r w:rsidR="004C1474">
        <w:t>(</w:t>
      </w:r>
      <w:hyperlink r:id="rId39" w:history="1">
        <w:r w:rsidR="004C1474" w:rsidRPr="0084026D">
          <w:rPr>
            <w:rStyle w:val="Hyperlink"/>
          </w:rPr>
          <w:t>OJ C 172</w:t>
        </w:r>
      </w:hyperlink>
      <w:r w:rsidR="004C1474" w:rsidRPr="0084026D">
        <w:t>, 15.5.2023</w:t>
      </w:r>
      <w:r w:rsidR="004C1474">
        <w:t>)</w:t>
      </w:r>
      <w:r w:rsidR="004C1474" w:rsidRPr="0084026D">
        <w:t>.</w:t>
      </w:r>
    </w:p>
  </w:footnote>
  <w:footnote w:id="75">
    <w:p w14:paraId="7F4C28D5" w14:textId="2E45EE36" w:rsidR="009F78C2" w:rsidRPr="009F78C2" w:rsidRDefault="009F78C2">
      <w:pPr>
        <w:pStyle w:val="FootnoteText"/>
      </w:pPr>
      <w:r>
        <w:rPr>
          <w:rStyle w:val="FootnoteReference"/>
        </w:rPr>
        <w:footnoteRef/>
      </w:r>
      <w:r>
        <w:t xml:space="preserve"> </w:t>
      </w:r>
      <w:r w:rsidRPr="009F78C2">
        <w:t>SWD(2023) 346</w:t>
      </w:r>
    </w:p>
  </w:footnote>
  <w:footnote w:id="76">
    <w:p w14:paraId="3C7593EB" w14:textId="5B33970F" w:rsidR="00BC0039" w:rsidRPr="00BC0039" w:rsidRDefault="00BC0039">
      <w:pPr>
        <w:pStyle w:val="FootnoteText"/>
        <w:rPr>
          <w:lang w:val="en-IE"/>
        </w:rPr>
      </w:pPr>
      <w:r>
        <w:rPr>
          <w:rStyle w:val="FootnoteReference"/>
        </w:rPr>
        <w:footnoteRef/>
      </w:r>
      <w:r>
        <w:t xml:space="preserve"> </w:t>
      </w:r>
      <w:r w:rsidRPr="00BC0039">
        <w:rPr>
          <w:rStyle w:val="CMR2023-footnoteChar"/>
        </w:rPr>
        <w:t>Under Article 1(5a) of the MSR Decision.</w:t>
      </w:r>
    </w:p>
  </w:footnote>
  <w:footnote w:id="77">
    <w:p w14:paraId="25CCEDBF" w14:textId="2263414D" w:rsidR="005524BD" w:rsidRDefault="005524BD" w:rsidP="008764BD">
      <w:pPr>
        <w:pStyle w:val="CMR2023-footnote"/>
        <w:jc w:val="both"/>
      </w:pPr>
      <w:r w:rsidRPr="00927452">
        <w:rPr>
          <w:rStyle w:val="Footnote1"/>
          <w:vertAlign w:val="superscript"/>
        </w:rPr>
        <w:footnoteRef/>
      </w:r>
      <w:r w:rsidR="00927452" w:rsidRPr="00927452">
        <w:rPr>
          <w:rStyle w:val="Footnote1"/>
        </w:rPr>
        <w:t xml:space="preserve"> </w:t>
      </w:r>
      <w:r w:rsidR="00E02E2F" w:rsidRPr="0084026D">
        <w:rPr>
          <w:rStyle w:val="Footnote1"/>
        </w:rPr>
        <w:t>Decision No</w:t>
      </w:r>
      <w:r w:rsidR="00E02E2F">
        <w:rPr>
          <w:rStyle w:val="Footnote1"/>
        </w:rPr>
        <w:t> </w:t>
      </w:r>
      <w:r w:rsidR="00E02E2F" w:rsidRPr="0084026D">
        <w:rPr>
          <w:rStyle w:val="Footnote1"/>
        </w:rPr>
        <w:t>377/2013/EU of the European Parliament and of the Council of 24</w:t>
      </w:r>
      <w:r w:rsidR="00E02E2F">
        <w:rPr>
          <w:rStyle w:val="Footnote1"/>
        </w:rPr>
        <w:t> </w:t>
      </w:r>
      <w:r w:rsidR="00E02E2F" w:rsidRPr="0084026D">
        <w:rPr>
          <w:rStyle w:val="Footnote1"/>
        </w:rPr>
        <w:t>April 2013 derogating</w:t>
      </w:r>
      <w:r w:rsidR="00E02E2F" w:rsidRPr="0084026D">
        <w:t xml:space="preserve"> </w:t>
      </w:r>
      <w:r w:rsidR="00E02E2F" w:rsidRPr="0084026D">
        <w:rPr>
          <w:rStyle w:val="Footnote1"/>
        </w:rPr>
        <w:t>temporarily from Directive 2003/87/EC establishing a scheme for greenhouse gas emission allowance trading within the Community</w:t>
      </w:r>
      <w:hyperlink r:id="rId40" w:history="1">
        <w:r w:rsidR="00E02E2F" w:rsidRPr="0084026D">
          <w:rPr>
            <w:rStyle w:val="Footnote1"/>
          </w:rPr>
          <w:t xml:space="preserve"> </w:t>
        </w:r>
        <w:r w:rsidR="00E02E2F">
          <w:rPr>
            <w:rStyle w:val="Footnote1"/>
          </w:rPr>
          <w:t>(</w:t>
        </w:r>
        <w:r w:rsidR="00E02E2F" w:rsidRPr="0084026D">
          <w:rPr>
            <w:rStyle w:val="Footnote1"/>
            <w:color w:val="0000FF"/>
            <w:u w:val="single"/>
          </w:rPr>
          <w:t xml:space="preserve">OJ L </w:t>
        </w:r>
        <w:r w:rsidR="00E02E2F" w:rsidRPr="0084026D">
          <w:rPr>
            <w:rStyle w:val="Footnote1"/>
            <w:color w:val="0000FF"/>
            <w:u w:val="single"/>
            <w:lang w:eastAsia="bg-BG" w:bidi="bg-BG"/>
          </w:rPr>
          <w:t>113</w:t>
        </w:r>
        <w:r w:rsidR="00E02E2F" w:rsidRPr="0084026D">
          <w:rPr>
            <w:rStyle w:val="Footnote1"/>
            <w:lang w:eastAsia="bg-BG" w:bidi="bg-BG"/>
          </w:rPr>
          <w:t>,</w:t>
        </w:r>
      </w:hyperlink>
      <w:r w:rsidR="00E02E2F" w:rsidRPr="0084026D">
        <w:rPr>
          <w:rStyle w:val="Footnote1"/>
          <w:lang w:eastAsia="bg-BG" w:bidi="bg-BG"/>
        </w:rPr>
        <w:t xml:space="preserve"> 25.4.2013</w:t>
      </w:r>
      <w:r w:rsidR="00E02E2F">
        <w:rPr>
          <w:rStyle w:val="Footnote1"/>
          <w:lang w:eastAsia="bg-BG" w:bidi="bg-BG"/>
        </w:rPr>
        <w:t>)</w:t>
      </w:r>
      <w:r w:rsidR="00E02E2F" w:rsidRPr="0084026D">
        <w:rPr>
          <w:rStyle w:val="Footnote1"/>
          <w:lang w:eastAsia="bg-BG" w:bidi="bg-BG"/>
        </w:rPr>
        <w:t>.</w:t>
      </w:r>
    </w:p>
  </w:footnote>
  <w:footnote w:id="78">
    <w:p w14:paraId="4A6FA9B2" w14:textId="7BF6016C" w:rsidR="00D51018" w:rsidRDefault="00C43EFC" w:rsidP="008764BD">
      <w:pPr>
        <w:pStyle w:val="CMR2023-footnote"/>
        <w:jc w:val="both"/>
      </w:pPr>
      <w:r>
        <w:rPr>
          <w:rStyle w:val="FootnoteReference"/>
        </w:rPr>
        <w:footnoteRef/>
      </w:r>
      <w:r>
        <w:t xml:space="preserve"> </w:t>
      </w:r>
      <w:r>
        <w:rPr>
          <w:rStyle w:val="Footnote1"/>
        </w:rPr>
        <w:t xml:space="preserve">Adjusted verified emissions, </w:t>
      </w:r>
      <w:r w:rsidR="00110745" w:rsidRPr="0084026D">
        <w:rPr>
          <w:rStyle w:val="Footnote1"/>
        </w:rPr>
        <w:t xml:space="preserve">excluding </w:t>
      </w:r>
      <w:r w:rsidR="00110745">
        <w:rPr>
          <w:rStyle w:val="Footnote1"/>
        </w:rPr>
        <w:t xml:space="preserve">incoming </w:t>
      </w:r>
      <w:r w:rsidR="00110745" w:rsidRPr="0084026D">
        <w:rPr>
          <w:rStyle w:val="Footnote1"/>
        </w:rPr>
        <w:t xml:space="preserve">flights incoming from the UK: </w:t>
      </w:r>
      <w:r w:rsidR="00110745" w:rsidRPr="0084026D">
        <w:rPr>
          <w:rStyle w:val="Footnote1"/>
          <w:lang w:eastAsia="bg-BG" w:bidi="bg-BG"/>
        </w:rPr>
        <w:t>21.5</w:t>
      </w:r>
      <w:r w:rsidR="00110745">
        <w:rPr>
          <w:rStyle w:val="Footnote1"/>
          <w:lang w:eastAsia="bg-BG" w:bidi="bg-BG"/>
        </w:rPr>
        <w:t> </w:t>
      </w:r>
      <w:r w:rsidR="00110745" w:rsidRPr="0084026D">
        <w:rPr>
          <w:rStyle w:val="Footnote1"/>
        </w:rPr>
        <w:t xml:space="preserve">Mt in </w:t>
      </w:r>
      <w:r w:rsidR="00110745" w:rsidRPr="0084026D">
        <w:rPr>
          <w:rStyle w:val="Footnote1"/>
          <w:lang w:eastAsia="bg-BG" w:bidi="bg-BG"/>
        </w:rPr>
        <w:t xml:space="preserve">2020 </w:t>
      </w:r>
      <w:r w:rsidR="00110745" w:rsidRPr="0084026D">
        <w:rPr>
          <w:rStyle w:val="Footnote1"/>
        </w:rPr>
        <w:t xml:space="preserve">and </w:t>
      </w:r>
      <w:r w:rsidR="00110745" w:rsidRPr="0084026D">
        <w:rPr>
          <w:rStyle w:val="Footnote1"/>
          <w:lang w:eastAsia="bg-BG" w:bidi="bg-BG"/>
        </w:rPr>
        <w:t>55.8</w:t>
      </w:r>
      <w:r w:rsidR="00110745">
        <w:rPr>
          <w:rStyle w:val="Footnote1"/>
          <w:lang w:eastAsia="bg-BG" w:bidi="bg-BG"/>
        </w:rPr>
        <w:t> </w:t>
      </w:r>
      <w:r w:rsidR="00110745" w:rsidRPr="0084026D">
        <w:rPr>
          <w:rStyle w:val="Footnote1"/>
        </w:rPr>
        <w:t>Mt in</w:t>
      </w:r>
      <w:r w:rsidR="00110745" w:rsidRPr="0084026D">
        <w:t xml:space="preserve"> </w:t>
      </w:r>
      <w:r w:rsidR="00110745" w:rsidRPr="0084026D">
        <w:rPr>
          <w:rStyle w:val="Footnote1"/>
          <w:lang w:eastAsia="bg-BG" w:bidi="bg-BG"/>
        </w:rPr>
        <w:t>2019.</w:t>
      </w:r>
    </w:p>
  </w:footnote>
  <w:footnote w:id="79">
    <w:p w14:paraId="7D03CA3E" w14:textId="00BFAB8D" w:rsidR="009E1B78" w:rsidRPr="009E1B78" w:rsidRDefault="009E1B78">
      <w:pPr>
        <w:pStyle w:val="FootnoteText"/>
      </w:pPr>
      <w:r>
        <w:rPr>
          <w:rStyle w:val="FootnoteReference"/>
        </w:rPr>
        <w:footnoteRef/>
      </w:r>
      <w:r>
        <w:t xml:space="preserve"> </w:t>
      </w:r>
      <w:r w:rsidRPr="009D4FEC">
        <w:rPr>
          <w:rFonts w:ascii="Times New Roman" w:hAnsi="Times New Roman" w:cs="Times New Roman"/>
          <w:lang w:val="en-IE"/>
        </w:rPr>
        <w:t xml:space="preserve">A temporary derogation from the </w:t>
      </w:r>
      <w:r>
        <w:rPr>
          <w:rFonts w:ascii="Times New Roman" w:hAnsi="Times New Roman" w:cs="Times New Roman"/>
          <w:lang w:val="en-IE"/>
        </w:rPr>
        <w:t xml:space="preserve">EU </w:t>
      </w:r>
      <w:r w:rsidRPr="009D4FEC">
        <w:rPr>
          <w:rFonts w:ascii="Times New Roman" w:hAnsi="Times New Roman" w:cs="Times New Roman"/>
          <w:lang w:val="en-IE"/>
        </w:rPr>
        <w:t xml:space="preserve">ETS is provided until 2030 for emissions from flights between an aerodrome in an outermost region </w:t>
      </w:r>
      <w:r>
        <w:rPr>
          <w:rFonts w:ascii="Times New Roman" w:hAnsi="Times New Roman" w:cs="Times New Roman"/>
          <w:lang w:val="en-IE"/>
        </w:rPr>
        <w:t>in</w:t>
      </w:r>
      <w:r w:rsidRPr="009D4FEC">
        <w:rPr>
          <w:rFonts w:ascii="Times New Roman" w:hAnsi="Times New Roman" w:cs="Times New Roman"/>
          <w:lang w:val="en-IE"/>
        </w:rPr>
        <w:t xml:space="preserve"> </w:t>
      </w:r>
      <w:r>
        <w:rPr>
          <w:rFonts w:ascii="Times New Roman" w:hAnsi="Times New Roman" w:cs="Times New Roman"/>
          <w:lang w:val="en-IE"/>
        </w:rPr>
        <w:t>one Member State</w:t>
      </w:r>
      <w:r w:rsidRPr="009D4FEC">
        <w:rPr>
          <w:rFonts w:ascii="Times New Roman" w:hAnsi="Times New Roman" w:cs="Times New Roman"/>
          <w:lang w:val="en-IE"/>
        </w:rPr>
        <w:t xml:space="preserve"> and an aerodrome in the same </w:t>
      </w:r>
      <w:r>
        <w:rPr>
          <w:rFonts w:ascii="Times New Roman" w:hAnsi="Times New Roman" w:cs="Times New Roman"/>
          <w:lang w:val="en-IE"/>
        </w:rPr>
        <w:t>Member State</w:t>
      </w:r>
      <w:r w:rsidRPr="009D4FEC">
        <w:rPr>
          <w:rFonts w:ascii="Times New Roman" w:hAnsi="Times New Roman" w:cs="Times New Roman"/>
          <w:lang w:val="en-IE"/>
        </w:rPr>
        <w:t>.</w:t>
      </w:r>
    </w:p>
  </w:footnote>
  <w:footnote w:id="80">
    <w:p w14:paraId="13C863C6" w14:textId="1141F64A" w:rsidR="00AF3C99" w:rsidRPr="00AF3C99" w:rsidRDefault="00AF3C99" w:rsidP="008764BD">
      <w:pPr>
        <w:pStyle w:val="CMR2023-footnote"/>
        <w:jc w:val="both"/>
      </w:pPr>
      <w:r>
        <w:rPr>
          <w:rStyle w:val="FootnoteReference"/>
        </w:rPr>
        <w:footnoteRef/>
      </w:r>
      <w:r>
        <w:t xml:space="preserve"> </w:t>
      </w:r>
      <w:hyperlink r:id="rId41" w:history="1">
        <w:r w:rsidRPr="007D468E">
          <w:rPr>
            <w:rStyle w:val="Hyperlink"/>
          </w:rPr>
          <w:t>European Aviat</w:t>
        </w:r>
        <w:r w:rsidR="00EE42EA">
          <w:rPr>
            <w:rStyle w:val="Hyperlink"/>
          </w:rPr>
          <w:t>i</w:t>
        </w:r>
        <w:r w:rsidRPr="007D468E">
          <w:rPr>
            <w:rStyle w:val="Hyperlink"/>
          </w:rPr>
          <w:t>on Overview</w:t>
        </w:r>
        <w:r w:rsidR="007D468E" w:rsidRPr="007D468E">
          <w:rPr>
            <w:rStyle w:val="Hyperlink"/>
          </w:rPr>
          <w:t xml:space="preserve"> 24-30 May</w:t>
        </w:r>
      </w:hyperlink>
      <w:r>
        <w:t xml:space="preserve">, Eurocontrol, </w:t>
      </w:r>
      <w:r w:rsidR="007D468E">
        <w:t>1.6.2023.</w:t>
      </w:r>
    </w:p>
  </w:footnote>
  <w:footnote w:id="81">
    <w:p w14:paraId="33B68B3A" w14:textId="4FAF0202" w:rsidR="00405B6F" w:rsidRDefault="00405B6F" w:rsidP="008764BD">
      <w:pPr>
        <w:pStyle w:val="CMR2023-footnote"/>
        <w:jc w:val="both"/>
      </w:pPr>
      <w:r w:rsidRPr="00FE21B9">
        <w:rPr>
          <w:vertAlign w:val="superscript"/>
        </w:rPr>
        <w:footnoteRef/>
      </w:r>
      <w:r>
        <w:rPr>
          <w:rStyle w:val="Footnote1"/>
          <w:sz w:val="13"/>
          <w:szCs w:val="13"/>
          <w:lang w:val="en-IE" w:eastAsia="bg-BG" w:bidi="bg-BG"/>
        </w:rPr>
        <w:t xml:space="preserve"> </w:t>
      </w:r>
      <w:r w:rsidR="00421671" w:rsidRPr="0084026D">
        <w:rPr>
          <w:rStyle w:val="Footnote1"/>
        </w:rPr>
        <w:t xml:space="preserve">Considering the updated </w:t>
      </w:r>
      <w:r w:rsidR="00421671">
        <w:rPr>
          <w:rStyle w:val="Footnote1"/>
        </w:rPr>
        <w:t xml:space="preserve">scope of aviation in the </w:t>
      </w:r>
      <w:r w:rsidR="00421671" w:rsidRPr="0084026D">
        <w:rPr>
          <w:rStyle w:val="Footnote1"/>
        </w:rPr>
        <w:t xml:space="preserve">EU ETS (without </w:t>
      </w:r>
      <w:r w:rsidR="00421671">
        <w:rPr>
          <w:rStyle w:val="Footnote1"/>
        </w:rPr>
        <w:t>incoming</w:t>
      </w:r>
      <w:r w:rsidR="00421671" w:rsidRPr="0084026D">
        <w:rPr>
          <w:rStyle w:val="Footnote1"/>
        </w:rPr>
        <w:t xml:space="preserve"> flights from the UK).</w:t>
      </w:r>
    </w:p>
  </w:footnote>
  <w:footnote w:id="82">
    <w:p w14:paraId="7D0805C9" w14:textId="77777777" w:rsidR="00405B6F" w:rsidRDefault="00405B6F" w:rsidP="008764BD">
      <w:pPr>
        <w:pStyle w:val="CMR2023-footnote"/>
        <w:jc w:val="both"/>
      </w:pPr>
      <w:r w:rsidRPr="00FE21B9">
        <w:rPr>
          <w:vertAlign w:val="superscript"/>
        </w:rPr>
        <w:footnoteRef/>
      </w:r>
      <w:r>
        <w:rPr>
          <w:vertAlign w:val="superscript"/>
        </w:rPr>
        <w:t xml:space="preserve"> </w:t>
      </w:r>
      <w:r>
        <w:rPr>
          <w:rStyle w:val="Footnote1"/>
        </w:rPr>
        <w:t xml:space="preserve">Switzerland included in </w:t>
      </w:r>
      <w:r>
        <w:rPr>
          <w:rStyle w:val="Footnote1"/>
          <w:lang w:val="bg-BG" w:eastAsia="bg-BG" w:bidi="bg-BG"/>
        </w:rPr>
        <w:t>2020</w:t>
      </w:r>
      <w:r>
        <w:rPr>
          <w:rStyle w:val="Footnote1"/>
        </w:rPr>
        <w:t xml:space="preserve">, </w:t>
      </w:r>
      <w:r>
        <w:rPr>
          <w:rStyle w:val="Footnote1"/>
          <w:lang w:val="bg-BG" w:eastAsia="bg-BG" w:bidi="bg-BG"/>
        </w:rPr>
        <w:t>2021</w:t>
      </w:r>
      <w:r w:rsidRPr="0070143F">
        <w:rPr>
          <w:rStyle w:val="Footnote1"/>
          <w:lang w:val="en-IE" w:eastAsia="bg-BG" w:bidi="bg-BG"/>
        </w:rPr>
        <w:t xml:space="preserve"> and 2022</w:t>
      </w:r>
      <w:r>
        <w:rPr>
          <w:rStyle w:val="Footnote1"/>
          <w:lang w:val="bg-BG" w:eastAsia="bg-BG" w:bidi="bg-BG"/>
        </w:rPr>
        <w:t xml:space="preserve"> </w:t>
      </w:r>
      <w:r>
        <w:rPr>
          <w:rStyle w:val="Footnote1"/>
        </w:rPr>
        <w:t>data only.</w:t>
      </w:r>
    </w:p>
  </w:footnote>
  <w:footnote w:id="83">
    <w:p w14:paraId="1432CF58" w14:textId="2769D597" w:rsidR="00405B6F" w:rsidRDefault="00405B6F" w:rsidP="008764BD">
      <w:pPr>
        <w:pStyle w:val="CMR2023-footnote"/>
        <w:jc w:val="both"/>
      </w:pPr>
      <w:r w:rsidRPr="00FE21B9">
        <w:rPr>
          <w:vertAlign w:val="superscript"/>
        </w:rPr>
        <w:footnoteRef/>
      </w:r>
      <w:r>
        <w:rPr>
          <w:vertAlign w:val="superscript"/>
        </w:rPr>
        <w:t xml:space="preserve"> </w:t>
      </w:r>
      <w:r>
        <w:rPr>
          <w:rStyle w:val="Footnote1"/>
        </w:rPr>
        <w:t>These numbers do not take into account all closures of aircraft operators and free allowances from the</w:t>
      </w:r>
      <w:r>
        <w:t xml:space="preserve"> </w:t>
      </w:r>
      <w:r>
        <w:rPr>
          <w:rStyle w:val="Footnote1"/>
        </w:rPr>
        <w:t xml:space="preserve">special reserve for new entrants and fast-growing operators, nor returns in </w:t>
      </w:r>
      <w:r>
        <w:rPr>
          <w:rStyle w:val="Footnote1"/>
          <w:lang w:val="bg-BG" w:eastAsia="bg-BG" w:bidi="bg-BG"/>
        </w:rPr>
        <w:t xml:space="preserve">2012 </w:t>
      </w:r>
      <w:r w:rsidR="005D4BA4" w:rsidRPr="0084026D">
        <w:rPr>
          <w:rStyle w:val="Footnote1"/>
        </w:rPr>
        <w:t>due to the change</w:t>
      </w:r>
      <w:r w:rsidR="005D4BA4">
        <w:rPr>
          <w:rStyle w:val="Footnote1"/>
        </w:rPr>
        <w:t xml:space="preserve"> in scope</w:t>
      </w:r>
      <w:r w:rsidR="005D4BA4" w:rsidRPr="0084026D">
        <w:rPr>
          <w:rStyle w:val="Footnote1"/>
        </w:rPr>
        <w:t xml:space="preserve">. </w:t>
      </w:r>
      <w:r>
        <w:rPr>
          <w:rStyle w:val="Footnote1"/>
        </w:rPr>
        <w:t>Sources: EUTL, DG Climate Action.</w:t>
      </w:r>
    </w:p>
  </w:footnote>
  <w:footnote w:id="84">
    <w:p w14:paraId="1F70BF2A" w14:textId="35390A1F" w:rsidR="00D070B3" w:rsidRDefault="00D070B3" w:rsidP="008764BD">
      <w:pPr>
        <w:pStyle w:val="CMR2023-footnote"/>
        <w:jc w:val="both"/>
      </w:pPr>
      <w:r w:rsidRPr="00FE21B9">
        <w:rPr>
          <w:vertAlign w:val="superscript"/>
        </w:rPr>
        <w:footnoteRef/>
      </w:r>
      <w:r>
        <w:rPr>
          <w:rStyle w:val="Footnote1"/>
          <w:sz w:val="13"/>
          <w:szCs w:val="13"/>
          <w:lang w:val="en-IE" w:eastAsia="bg-BG" w:bidi="bg-BG"/>
        </w:rPr>
        <w:t xml:space="preserve"> </w:t>
      </w:r>
      <w:r>
        <w:rPr>
          <w:rStyle w:val="Footnote1"/>
        </w:rPr>
        <w:t>Taking into account the numbers withheld due to closures of aircraft operators, the real allocation for</w:t>
      </w:r>
      <w:r>
        <w:t xml:space="preserve"> </w:t>
      </w:r>
      <w:r>
        <w:rPr>
          <w:rStyle w:val="Footnote1"/>
          <w:lang w:val="bg-BG" w:eastAsia="bg-BG" w:bidi="bg-BG"/>
        </w:rPr>
        <w:t xml:space="preserve">2019 </w:t>
      </w:r>
      <w:r>
        <w:rPr>
          <w:rStyle w:val="Footnote1"/>
        </w:rPr>
        <w:t xml:space="preserve">would be </w:t>
      </w:r>
      <w:r>
        <w:rPr>
          <w:rStyle w:val="Footnote1"/>
          <w:lang w:val="bg-BG" w:eastAsia="bg-BG" w:bidi="bg-BG"/>
        </w:rPr>
        <w:t xml:space="preserve">4 </w:t>
      </w:r>
      <w:r>
        <w:rPr>
          <w:rStyle w:val="Footnote1"/>
        </w:rPr>
        <w:t>million below the figure provided (</w:t>
      </w:r>
      <w:r w:rsidR="00717E3B" w:rsidRPr="0084026D">
        <w:rPr>
          <w:rStyle w:val="Footnote1"/>
        </w:rPr>
        <w:t xml:space="preserve">see </w:t>
      </w:r>
      <w:r w:rsidR="00717E3B">
        <w:rPr>
          <w:rStyle w:val="Footnote1"/>
        </w:rPr>
        <w:t>f</w:t>
      </w:r>
      <w:r w:rsidR="00717E3B" w:rsidRPr="0084026D">
        <w:rPr>
          <w:rStyle w:val="Footnote1"/>
        </w:rPr>
        <w:t xml:space="preserve">ootnote </w:t>
      </w:r>
      <w:r w:rsidR="00717E3B" w:rsidRPr="0084026D">
        <w:rPr>
          <w:rStyle w:val="Footnote1"/>
          <w:lang w:eastAsia="bg-BG" w:bidi="bg-BG"/>
        </w:rPr>
        <w:t xml:space="preserve">8 </w:t>
      </w:r>
      <w:r w:rsidR="00717E3B" w:rsidRPr="0084026D">
        <w:rPr>
          <w:rStyle w:val="Footnote1"/>
        </w:rPr>
        <w:t xml:space="preserve">in Notice C/2020/8643, OJ C </w:t>
      </w:r>
      <w:r w:rsidR="00717E3B" w:rsidRPr="0084026D">
        <w:rPr>
          <w:rStyle w:val="Footnote1"/>
          <w:lang w:eastAsia="bg-BG" w:bidi="bg-BG"/>
        </w:rPr>
        <w:t>428, 11.12.2020</w:t>
      </w:r>
      <w:r>
        <w:rPr>
          <w:rStyle w:val="Footnote1"/>
          <w:lang w:val="bg-BG" w:eastAsia="bg-BG" w:bidi="bg-BG"/>
        </w:rPr>
        <w:t xml:space="preserve">). </w:t>
      </w:r>
      <w:r>
        <w:rPr>
          <w:rStyle w:val="Footnote1"/>
        </w:rPr>
        <w:t xml:space="preserve">The allocation for the UK </w:t>
      </w:r>
      <w:r>
        <w:rPr>
          <w:rStyle w:val="Footnote1"/>
          <w:lang w:val="bg-BG" w:eastAsia="bg-BG" w:bidi="bg-BG"/>
        </w:rPr>
        <w:t xml:space="preserve">(4.31 </w:t>
      </w:r>
      <w:r>
        <w:rPr>
          <w:rStyle w:val="Footnote1"/>
        </w:rPr>
        <w:t xml:space="preserve">million allowances of the total for </w:t>
      </w:r>
      <w:r>
        <w:rPr>
          <w:rStyle w:val="Footnote1"/>
          <w:lang w:val="bg-BG" w:eastAsia="bg-BG" w:bidi="bg-BG"/>
        </w:rPr>
        <w:t xml:space="preserve">2019) </w:t>
      </w:r>
      <w:r w:rsidR="00D15DCA">
        <w:rPr>
          <w:rStyle w:val="Footnote1"/>
          <w:lang w:eastAsia="bg-BG" w:bidi="bg-BG"/>
        </w:rPr>
        <w:t xml:space="preserve">was </w:t>
      </w:r>
      <w:r w:rsidR="00D15DCA" w:rsidRPr="0084026D">
        <w:rPr>
          <w:rStyle w:val="Footnote1"/>
        </w:rPr>
        <w:t xml:space="preserve">suspended in </w:t>
      </w:r>
      <w:r w:rsidR="00D15DCA" w:rsidRPr="0084026D">
        <w:rPr>
          <w:rStyle w:val="Footnote1"/>
          <w:lang w:eastAsia="bg-BG" w:bidi="bg-BG"/>
        </w:rPr>
        <w:t xml:space="preserve">2019 </w:t>
      </w:r>
      <w:r w:rsidR="00D15DCA" w:rsidRPr="0084026D">
        <w:rPr>
          <w:rStyle w:val="Footnote1"/>
        </w:rPr>
        <w:t>due to the safeguard measures adopted by the Commission to protect the environmental integrity of the EU ETS in cases where EU law ceases to apply to a Member State withdrawing from the EU</w:t>
      </w:r>
      <w:r w:rsidR="00D15DCA">
        <w:rPr>
          <w:rStyle w:val="Footnote1"/>
        </w:rPr>
        <w:t>. The allocation</w:t>
      </w:r>
      <w:r w:rsidR="00D15DCA" w:rsidRPr="0084026D">
        <w:rPr>
          <w:rStyle w:val="Footnote1"/>
        </w:rPr>
        <w:t xml:space="preserve"> resumed in </w:t>
      </w:r>
      <w:r w:rsidR="00D15DCA" w:rsidRPr="0084026D">
        <w:rPr>
          <w:rStyle w:val="Footnote1"/>
          <w:lang w:eastAsia="bg-BG" w:bidi="bg-BG"/>
        </w:rPr>
        <w:t>2020.</w:t>
      </w:r>
    </w:p>
  </w:footnote>
  <w:footnote w:id="85">
    <w:p w14:paraId="1961EEAB" w14:textId="6839F6F8" w:rsidR="00833EF0" w:rsidRPr="000928C6" w:rsidRDefault="00833EF0" w:rsidP="008764BD">
      <w:pPr>
        <w:pStyle w:val="CMR2023-footnote"/>
        <w:jc w:val="both"/>
        <w:rPr>
          <w:lang w:val="en-IE"/>
        </w:rPr>
      </w:pPr>
      <w:r>
        <w:rPr>
          <w:rStyle w:val="FootnoteReference"/>
        </w:rPr>
        <w:footnoteRef/>
      </w:r>
      <w:r>
        <w:t xml:space="preserve"> </w:t>
      </w:r>
      <w:r w:rsidR="00623C04">
        <w:t xml:space="preserve">Impact </w:t>
      </w:r>
      <w:r w:rsidR="002E52D9">
        <w:t>a</w:t>
      </w:r>
      <w:r w:rsidR="00623C04">
        <w:t xml:space="preserve">ssessment </w:t>
      </w:r>
      <w:r w:rsidR="002E52D9">
        <w:t>r</w:t>
      </w:r>
      <w:r w:rsidR="00623C04">
        <w:t>eport</w:t>
      </w:r>
      <w:r w:rsidR="00C31F8A">
        <w:t xml:space="preserve"> a</w:t>
      </w:r>
      <w:r w:rsidR="00623C04" w:rsidRPr="00623C04">
        <w:t xml:space="preserve">ccompanying the Proposal for a </w:t>
      </w:r>
      <w:r w:rsidR="002E52D9">
        <w:t>Directive of the European Parliament and the Council</w:t>
      </w:r>
      <w:r w:rsidR="00623C04" w:rsidRPr="00623C04">
        <w:t xml:space="preserve"> amending Directive 2003/87/EC as regards aviation's contribution to the Union’s economy-wide emission reduction target and appropriately implementing a global market-based measure</w:t>
      </w:r>
      <w:r w:rsidR="00623C04">
        <w:t xml:space="preserve"> (</w:t>
      </w:r>
      <w:hyperlink r:id="rId42" w:history="1">
        <w:r w:rsidR="004E1975" w:rsidRPr="002E52D9">
          <w:rPr>
            <w:rStyle w:val="Hyperlink"/>
            <w:lang w:val="en-IE"/>
          </w:rPr>
          <w:t>SWD(2021) 603</w:t>
        </w:r>
      </w:hyperlink>
      <w:r w:rsidR="004E1975">
        <w:rPr>
          <w:lang w:val="en-IE"/>
        </w:rPr>
        <w:t xml:space="preserve">, </w:t>
      </w:r>
      <w:r w:rsidR="002E52D9">
        <w:rPr>
          <w:lang w:val="en-IE"/>
        </w:rPr>
        <w:t xml:space="preserve">14.7.2021, </w:t>
      </w:r>
      <w:r w:rsidR="004B0183">
        <w:rPr>
          <w:lang w:val="en-IE"/>
        </w:rPr>
        <w:t>p</w:t>
      </w:r>
      <w:r w:rsidR="002E52D9">
        <w:rPr>
          <w:lang w:val="en-IE"/>
        </w:rPr>
        <w:t>.</w:t>
      </w:r>
      <w:r w:rsidR="004B0183">
        <w:rPr>
          <w:lang w:val="en-IE"/>
        </w:rPr>
        <w:t>9</w:t>
      </w:r>
      <w:r w:rsidR="00623C04">
        <w:rPr>
          <w:lang w:val="en-IE"/>
        </w:rPr>
        <w:t>)</w:t>
      </w:r>
      <w:r w:rsidR="002E52D9">
        <w:rPr>
          <w:lang w:val="en-IE"/>
        </w:rPr>
        <w:t>.</w:t>
      </w:r>
    </w:p>
  </w:footnote>
  <w:footnote w:id="86">
    <w:p w14:paraId="0BAC5879" w14:textId="35F23AC4" w:rsidR="009D3ABC" w:rsidRPr="003C48EB" w:rsidRDefault="009D3ABC" w:rsidP="008764BD">
      <w:pPr>
        <w:pStyle w:val="CMR2023-footnote"/>
        <w:jc w:val="both"/>
      </w:pPr>
      <w:r w:rsidRPr="00C12C09">
        <w:rPr>
          <w:rStyle w:val="FootnoteReference"/>
        </w:rPr>
        <w:footnoteRef/>
      </w:r>
      <w:r w:rsidR="003C48EB">
        <w:rPr>
          <w:rStyle w:val="Bodytext1"/>
        </w:rPr>
        <w:t xml:space="preserve"> </w:t>
      </w:r>
      <w:r w:rsidRPr="00C12C09">
        <w:rPr>
          <w:rStyle w:val="Bodytext1"/>
        </w:rPr>
        <w:t>The overall impact of global aviation on climate is considerably higher than the CO</w:t>
      </w:r>
      <w:r w:rsidRPr="00244D6A">
        <w:rPr>
          <w:rStyle w:val="Bodytext1"/>
          <w:vertAlign w:val="subscript"/>
        </w:rPr>
        <w:t>2</w:t>
      </w:r>
      <w:r w:rsidRPr="00C12C09">
        <w:rPr>
          <w:rStyle w:val="Bodytext1"/>
        </w:rPr>
        <w:t xml:space="preserve"> component alone, which the EU ETS currently regulates. </w:t>
      </w:r>
      <w:r w:rsidR="00EB137D" w:rsidRPr="0084026D">
        <w:rPr>
          <w:rStyle w:val="Bodytext1"/>
        </w:rPr>
        <w:t xml:space="preserve">The </w:t>
      </w:r>
      <w:r w:rsidR="00EB137D">
        <w:rPr>
          <w:rStyle w:val="Bodytext1"/>
        </w:rPr>
        <w:t>overall</w:t>
      </w:r>
      <w:r w:rsidR="00EB137D" w:rsidRPr="0084026D">
        <w:rPr>
          <w:rStyle w:val="Bodytext1"/>
        </w:rPr>
        <w:t xml:space="preserve"> impact of aviation </w:t>
      </w:r>
      <w:r w:rsidR="00EB137D">
        <w:rPr>
          <w:rStyle w:val="Bodytext1"/>
        </w:rPr>
        <w:t>is</w:t>
      </w:r>
      <w:r w:rsidR="00EB137D" w:rsidRPr="0084026D">
        <w:rPr>
          <w:rStyle w:val="Bodytext1"/>
        </w:rPr>
        <w:t xml:space="preserve"> estimated to be </w:t>
      </w:r>
      <w:r w:rsidR="00EB137D">
        <w:rPr>
          <w:rStyle w:val="Bodytext1"/>
          <w:lang w:eastAsia="bg-BG" w:bidi="bg-BG"/>
        </w:rPr>
        <w:t>two to four</w:t>
      </w:r>
      <w:r w:rsidR="00EB137D" w:rsidRPr="0084026D">
        <w:rPr>
          <w:rStyle w:val="Bodytext1"/>
          <w:lang w:eastAsia="bg-BG" w:bidi="bg-BG"/>
        </w:rPr>
        <w:t xml:space="preserve"> </w:t>
      </w:r>
      <w:r w:rsidR="00EB137D" w:rsidRPr="0084026D">
        <w:rPr>
          <w:rStyle w:val="Bodytext1"/>
        </w:rPr>
        <w:t xml:space="preserve">times </w:t>
      </w:r>
      <w:r w:rsidRPr="00C12C09">
        <w:rPr>
          <w:rStyle w:val="Bodytext1"/>
        </w:rPr>
        <w:t>that of CO</w:t>
      </w:r>
      <w:r w:rsidRPr="00244D6A">
        <w:rPr>
          <w:rStyle w:val="Bodytext1"/>
          <w:vertAlign w:val="subscript"/>
        </w:rPr>
        <w:t xml:space="preserve">2 </w:t>
      </w:r>
      <w:r w:rsidRPr="00C12C09">
        <w:rPr>
          <w:rStyle w:val="Bodytext1"/>
        </w:rPr>
        <w:t>emissions when the non-CO</w:t>
      </w:r>
      <w:r w:rsidRPr="001F2B04">
        <w:rPr>
          <w:rStyle w:val="Bodytext1"/>
          <w:vertAlign w:val="subscript"/>
        </w:rPr>
        <w:t>2</w:t>
      </w:r>
      <w:r w:rsidRPr="00C12C09">
        <w:rPr>
          <w:rStyle w:val="Bodytext1"/>
        </w:rPr>
        <w:t xml:space="preserve"> effects are considered. Addressing these emissions is relevant as the Intergovernmental Panel on Climate Change (IPCC) has singled out international aviation (and shipping), in its Sixth Assessment Report on mitigation of climate change, as sectors with climate goals that fall short of what would be required to curb global temperature increase in line with the Paris Agreement.</w:t>
      </w:r>
    </w:p>
  </w:footnote>
  <w:footnote w:id="87">
    <w:p w14:paraId="3520E96A" w14:textId="4BCD1D9B" w:rsidR="00D8242F" w:rsidRPr="00D8242F" w:rsidRDefault="00D8242F" w:rsidP="008764BD">
      <w:pPr>
        <w:pStyle w:val="CMR2023-footnote"/>
        <w:jc w:val="both"/>
      </w:pPr>
      <w:r>
        <w:rPr>
          <w:rStyle w:val="FootnoteReference"/>
        </w:rPr>
        <w:footnoteRef/>
      </w:r>
      <w:r>
        <w:t xml:space="preserve"> </w:t>
      </w:r>
      <w:r w:rsidRPr="004C3B5E">
        <w:t>Directive 2014/65/EU of the European Parliament and of the Council of 15 May 2014 on markets in financial instruments and amending Directive 2002/92/EC and Directive 2011/61/EU</w:t>
      </w:r>
      <w:r w:rsidR="006B754A">
        <w:t xml:space="preserve"> (</w:t>
      </w:r>
      <w:hyperlink r:id="rId43" w:history="1">
        <w:r w:rsidRPr="004C3B5E">
          <w:rPr>
            <w:rStyle w:val="Hyperlink"/>
            <w:rFonts w:eastAsia="Times New Roman" w:cs="Times New Roman"/>
          </w:rPr>
          <w:t>OJ L 173</w:t>
        </w:r>
      </w:hyperlink>
      <w:r w:rsidRPr="004C3B5E">
        <w:t>, 12.6.2014</w:t>
      </w:r>
      <w:r w:rsidR="006B754A">
        <w:t>)</w:t>
      </w:r>
      <w:r w:rsidR="00464FF8">
        <w:t xml:space="preserve">. </w:t>
      </w:r>
    </w:p>
  </w:footnote>
  <w:footnote w:id="88">
    <w:p w14:paraId="3EC74C96" w14:textId="28C55409" w:rsidR="00187C46" w:rsidRPr="00187C46" w:rsidRDefault="00187C46" w:rsidP="008764BD">
      <w:pPr>
        <w:pStyle w:val="CMR2023-footnote"/>
        <w:jc w:val="both"/>
        <w:rPr>
          <w:lang w:val="en-IE"/>
        </w:rPr>
      </w:pPr>
      <w:r>
        <w:rPr>
          <w:rStyle w:val="FootnoteReference"/>
        </w:rPr>
        <w:footnoteRef/>
      </w:r>
      <w:r>
        <w:t xml:space="preserve"> </w:t>
      </w:r>
      <w:r w:rsidR="00B630A3" w:rsidRPr="0084026D">
        <w:t xml:space="preserve">The list of national competent authorities responsible under the Market Abuse Regulation can be found on </w:t>
      </w:r>
      <w:hyperlink r:id="rId44" w:history="1">
        <w:r w:rsidR="00B630A3" w:rsidRPr="0084026D">
          <w:rPr>
            <w:rStyle w:val="Hyperlink"/>
            <w:rFonts w:eastAsia="Times New Roman" w:cs="Times New Roman"/>
          </w:rPr>
          <w:t>ESMA’s web</w:t>
        </w:r>
        <w:r w:rsidR="00B630A3">
          <w:rPr>
            <w:rStyle w:val="Hyperlink"/>
            <w:rFonts w:eastAsia="Times New Roman" w:cs="Times New Roman"/>
          </w:rPr>
          <w:t>site</w:t>
        </w:r>
      </w:hyperlink>
      <w:r w:rsidR="00B630A3" w:rsidRPr="0084026D">
        <w:t>.</w:t>
      </w:r>
    </w:p>
  </w:footnote>
  <w:footnote w:id="89">
    <w:p w14:paraId="474286A8" w14:textId="2E7EE326" w:rsidR="0023049F" w:rsidRPr="00187C46" w:rsidRDefault="0023049F" w:rsidP="008764BD">
      <w:pPr>
        <w:pStyle w:val="CMR2023-footnote"/>
        <w:jc w:val="both"/>
        <w:rPr>
          <w:lang w:val="en-IE"/>
        </w:rPr>
      </w:pPr>
      <w:r>
        <w:rPr>
          <w:rStyle w:val="FootnoteReference"/>
        </w:rPr>
        <w:footnoteRef/>
      </w:r>
      <w:r>
        <w:t xml:space="preserve"> </w:t>
      </w:r>
      <w:r w:rsidR="00133B24" w:rsidRPr="0084026D">
        <w:t>Regulation (EU) No</w:t>
      </w:r>
      <w:r w:rsidR="00133B24">
        <w:t> </w:t>
      </w:r>
      <w:r w:rsidR="00133B24" w:rsidRPr="0084026D">
        <w:t>596/2014 of the European Parliament and of the Council of 16</w:t>
      </w:r>
      <w:r w:rsidR="00133B24">
        <w:t> </w:t>
      </w:r>
      <w:r w:rsidR="00133B24" w:rsidRPr="0084026D">
        <w:t xml:space="preserve">April 2014 on market abuse (market abuse regulation) and repealing Directive 2003/6/EC of the European Parliament and of the Council and Commission Directives 2003/124/EC, 2003/125/EC and 2004/72/EC </w:t>
      </w:r>
      <w:r w:rsidR="00133B24">
        <w:t>(</w:t>
      </w:r>
      <w:hyperlink r:id="rId45" w:history="1">
        <w:r w:rsidR="00133B24" w:rsidRPr="0084026D">
          <w:rPr>
            <w:rStyle w:val="Hyperlink"/>
          </w:rPr>
          <w:t>OJ L 173</w:t>
        </w:r>
      </w:hyperlink>
      <w:r w:rsidR="00133B24" w:rsidRPr="0084026D">
        <w:t>, 12.6.2014</w:t>
      </w:r>
      <w:r w:rsidR="00133B24">
        <w:t>)</w:t>
      </w:r>
      <w:r w:rsidR="00133B24" w:rsidRPr="0084026D">
        <w:t>.</w:t>
      </w:r>
    </w:p>
  </w:footnote>
  <w:footnote w:id="90">
    <w:p w14:paraId="24DF194A" w14:textId="77777777" w:rsidR="00337D99" w:rsidRPr="004941BF" w:rsidRDefault="00337D99" w:rsidP="008764BD">
      <w:pPr>
        <w:pStyle w:val="CMR2023-footnote"/>
        <w:jc w:val="both"/>
        <w:rPr>
          <w:rFonts w:eastAsia="Times New Roman" w:cs="Times New Roman"/>
        </w:rPr>
      </w:pPr>
      <w:r>
        <w:rPr>
          <w:rStyle w:val="FootnoteReference"/>
        </w:rPr>
        <w:footnoteRef/>
      </w:r>
      <w:r>
        <w:t xml:space="preserve"> </w:t>
      </w:r>
      <w:hyperlink r:id="rId46" w:history="1">
        <w:r w:rsidRPr="004C3B5E">
          <w:rPr>
            <w:rStyle w:val="Hyperlink"/>
            <w:rFonts w:eastAsia="Times New Roman" w:cs="Times New Roman"/>
          </w:rPr>
          <w:t>ESMA70-445-38</w:t>
        </w:r>
      </w:hyperlink>
      <w:r w:rsidRPr="004C3B5E">
        <w:rPr>
          <w:rFonts w:eastAsia="Times New Roman" w:cs="Times New Roman"/>
        </w:rPr>
        <w:t>, ESMA Final report on emission allowances, 28.3.2022</w:t>
      </w:r>
      <w:r>
        <w:rPr>
          <w:rFonts w:eastAsia="Times New Roman" w:cs="Times New Roman"/>
        </w:rPr>
        <w:t xml:space="preserve">. </w:t>
      </w:r>
    </w:p>
  </w:footnote>
  <w:footnote w:id="91">
    <w:p w14:paraId="6EEDD121" w14:textId="236E9D5C" w:rsidR="00337D99" w:rsidRPr="00337D99" w:rsidRDefault="00337D99" w:rsidP="008764BD">
      <w:pPr>
        <w:pStyle w:val="CMR2023-footnote"/>
        <w:jc w:val="both"/>
        <w:rPr>
          <w:lang w:val="en-IE"/>
        </w:rPr>
      </w:pPr>
      <w:r>
        <w:rPr>
          <w:rStyle w:val="FootnoteReference"/>
        </w:rPr>
        <w:footnoteRef/>
      </w:r>
      <w:r>
        <w:t xml:space="preserve"> </w:t>
      </w:r>
      <w:hyperlink r:id="rId47" w:history="1">
        <w:r w:rsidR="00390615">
          <w:rPr>
            <w:rStyle w:val="Hyperlink"/>
            <w:rFonts w:eastAsia="Times New Roman" w:cs="Times New Roman"/>
          </w:rPr>
          <w:t>FR09/23</w:t>
        </w:r>
      </w:hyperlink>
      <w:r w:rsidR="0083286C">
        <w:t xml:space="preserve"> - C</w:t>
      </w:r>
      <w:r w:rsidR="0083286C" w:rsidRPr="0083286C">
        <w:t>ompliance Carbon Markets</w:t>
      </w:r>
      <w:r w:rsidRPr="004C3B5E">
        <w:t>, IOSCO, Final Report, 5.7.2023</w:t>
      </w:r>
      <w:r w:rsidR="0083286C">
        <w:t xml:space="preserve">. </w:t>
      </w:r>
    </w:p>
  </w:footnote>
  <w:footnote w:id="92">
    <w:p w14:paraId="13F7B7CD" w14:textId="54DCF3F5" w:rsidR="00BA270C" w:rsidRDefault="00BA270C" w:rsidP="008764BD">
      <w:pPr>
        <w:pStyle w:val="CMR2023-footnote"/>
        <w:jc w:val="both"/>
      </w:pPr>
      <w:r>
        <w:rPr>
          <w:rStyle w:val="FootnoteReference"/>
        </w:rPr>
        <w:footnoteRef/>
      </w:r>
      <w:r>
        <w:t xml:space="preserve"> As above, Regulation (EU) 2018/2066 amended in 2020 by Regulation (EU) 2020/2085 and in 2022 by Regulation (EU) 2022/388. See </w:t>
      </w:r>
      <w:hyperlink r:id="rId48" w:history="1">
        <w:r w:rsidR="002B5395">
          <w:rPr>
            <w:rStyle w:val="Hyperlink"/>
          </w:rPr>
          <w:t>consolidated text</w:t>
        </w:r>
      </w:hyperlink>
      <w:r>
        <w:t>.</w:t>
      </w:r>
    </w:p>
  </w:footnote>
  <w:footnote w:id="93">
    <w:p w14:paraId="2152E035" w14:textId="3B87DEF6" w:rsidR="00BA270C" w:rsidRDefault="00BA270C" w:rsidP="008764BD">
      <w:pPr>
        <w:pStyle w:val="CMR2023-footnote"/>
        <w:jc w:val="both"/>
      </w:pPr>
      <w:r>
        <w:rPr>
          <w:rStyle w:val="FootnoteReference"/>
        </w:rPr>
        <w:footnoteRef/>
      </w:r>
      <w:r>
        <w:t xml:space="preserve"> Commission Implementing Regulation (EU) 2018/2067 of 19 December 2018 on the verification of data and on the accreditation of verifiers pursuant to Directive 2003/87/EC of the European Parliament and of the Council, </w:t>
      </w:r>
      <w:hyperlink r:id="rId49" w:history="1">
        <w:r>
          <w:rPr>
            <w:rStyle w:val="Hyperlink"/>
          </w:rPr>
          <w:t>OJ L 334</w:t>
        </w:r>
      </w:hyperlink>
      <w:r>
        <w:t xml:space="preserve">, 31.12.2018. The regulation was amended in 2020 by Commission Regulation (EU) 2020/2084. See </w:t>
      </w:r>
      <w:hyperlink r:id="rId50" w:history="1">
        <w:r w:rsidR="002B5395">
          <w:rPr>
            <w:rStyle w:val="Hyperlink"/>
          </w:rPr>
          <w:t>consolidated text</w:t>
        </w:r>
      </w:hyperlink>
      <w:r>
        <w:t>.</w:t>
      </w:r>
    </w:p>
  </w:footnote>
  <w:footnote w:id="94">
    <w:p w14:paraId="7E3F2488" w14:textId="3029DBD9" w:rsidR="00D009A4" w:rsidRDefault="00D009A4" w:rsidP="008764BD">
      <w:pPr>
        <w:pStyle w:val="CMR2023-footnote"/>
        <w:jc w:val="both"/>
      </w:pPr>
      <w:r>
        <w:rPr>
          <w:rStyle w:val="FootnoteReference"/>
        </w:rPr>
        <w:footnoteRef/>
      </w:r>
      <w:r>
        <w:t xml:space="preserve"> </w:t>
      </w:r>
      <w:r w:rsidR="00F52956">
        <w:t>These Member States were Denmark, Finland, Hungary, Lithuania, and the Netherlands. Croatia no longer reports using simplified reporting.</w:t>
      </w:r>
    </w:p>
  </w:footnote>
  <w:footnote w:id="95">
    <w:p w14:paraId="57696A12" w14:textId="0C20C916" w:rsidR="00D009A4" w:rsidRDefault="00D009A4" w:rsidP="008764BD">
      <w:pPr>
        <w:pStyle w:val="CMR2023-footnote"/>
        <w:jc w:val="both"/>
      </w:pPr>
      <w:r>
        <w:rPr>
          <w:rStyle w:val="FootnoteReference"/>
          <w:rFonts w:cs="Times New Roman"/>
        </w:rPr>
        <w:footnoteRef/>
      </w:r>
      <w:r>
        <w:rPr>
          <w:rFonts w:cs="Times New Roman"/>
        </w:rPr>
        <w:t xml:space="preserve"> </w:t>
      </w:r>
      <w:r w:rsidR="00093C93" w:rsidRPr="0084026D">
        <w:rPr>
          <w:rFonts w:cs="Times New Roman"/>
        </w:rPr>
        <w:t xml:space="preserve">Pursuant to Article 13 of the Monitoring and Reporting Regulation </w:t>
      </w:r>
      <w:r w:rsidR="00093C93">
        <w:rPr>
          <w:rFonts w:cs="Times New Roman"/>
        </w:rPr>
        <w:t>(</w:t>
      </w:r>
      <w:r w:rsidR="00093C93" w:rsidRPr="0084026D">
        <w:t xml:space="preserve">Commission Implementing Regulation (EU) 2018/2066 of 19 December 2018 on the monitoring and reporting of greenhouse gas emissions pursuant to Directive 2003/87/EC of the European Parliament and of the Council and amending Commission Regulation (EU) No 601/2012 </w:t>
      </w:r>
      <w:r w:rsidR="00093C93">
        <w:t>(</w:t>
      </w:r>
      <w:hyperlink r:id="rId51" w:history="1">
        <w:r w:rsidR="00093C93" w:rsidRPr="0084026D">
          <w:rPr>
            <w:rStyle w:val="Hyperlink"/>
          </w:rPr>
          <w:t>OJ L 334</w:t>
        </w:r>
      </w:hyperlink>
      <w:r w:rsidR="00093C93" w:rsidRPr="0084026D">
        <w:t>, 31.12.2018</w:t>
      </w:r>
      <w:r w:rsidR="00093C93">
        <w:t>)</w:t>
      </w:r>
      <w:r w:rsidR="00093C93" w:rsidRPr="0084026D">
        <w:t xml:space="preserve">. The Regulation was amended in 2020 by Commission Regulation (EU) 2020/2085 and in 2022 by Commission Regulation (EU) 2022/388. </w:t>
      </w:r>
      <w:r>
        <w:t xml:space="preserve">See </w:t>
      </w:r>
      <w:hyperlink r:id="rId52" w:history="1">
        <w:r w:rsidR="005A78CF">
          <w:rPr>
            <w:rStyle w:val="Hyperlink"/>
          </w:rPr>
          <w:t>consolidated text</w:t>
        </w:r>
      </w:hyperlink>
      <w:r w:rsidR="00093C93">
        <w:t>)</w:t>
      </w:r>
      <w:r>
        <w:t>.</w:t>
      </w:r>
    </w:p>
  </w:footnote>
  <w:footnote w:id="96">
    <w:p w14:paraId="4F1C5CD6" w14:textId="4E41102B" w:rsidR="00C20261" w:rsidRPr="0051224B" w:rsidRDefault="00C20261" w:rsidP="008764BD">
      <w:pPr>
        <w:pStyle w:val="CMR2023-footnote"/>
        <w:jc w:val="both"/>
      </w:pPr>
      <w:r w:rsidRPr="0051224B">
        <w:rPr>
          <w:rStyle w:val="FootnoteReference"/>
        </w:rPr>
        <w:footnoteRef/>
      </w:r>
      <w:r w:rsidR="00BA270C">
        <w:t xml:space="preserve"> T</w:t>
      </w:r>
      <w:r w:rsidR="00BA270C" w:rsidRPr="0051224B">
        <w:t xml:space="preserve">he main reason for this is that the measurement-based methodology involves significant resources and know-how, which many smaller operators </w:t>
      </w:r>
      <w:r w:rsidR="00BA270C">
        <w:t>lack</w:t>
      </w:r>
      <w:r w:rsidR="00BA270C" w:rsidRPr="0051224B">
        <w:t>.</w:t>
      </w:r>
    </w:p>
  </w:footnote>
  <w:footnote w:id="97">
    <w:p w14:paraId="0E2263F3" w14:textId="067759AC" w:rsidR="00BA270C" w:rsidRPr="0051224B" w:rsidRDefault="00BA270C" w:rsidP="008764BD">
      <w:pPr>
        <w:pStyle w:val="CMR2023-footnote"/>
        <w:jc w:val="both"/>
      </w:pPr>
      <w:r w:rsidRPr="0051224B">
        <w:rPr>
          <w:rStyle w:val="FootnoteReference"/>
        </w:rPr>
        <w:footnoteRef/>
      </w:r>
      <w:r>
        <w:t xml:space="preserve"> </w:t>
      </w:r>
      <w:r w:rsidRPr="0051224B">
        <w:t xml:space="preserve">The </w:t>
      </w:r>
      <w:r>
        <w:t>Monitoring and Reporting Regulation</w:t>
      </w:r>
      <w:r w:rsidRPr="0051224B">
        <w:t xml:space="preserve"> requires all operators to meet certain minimum tiers</w:t>
      </w:r>
      <w:r w:rsidR="00584DCD">
        <w:t>.</w:t>
      </w:r>
      <w:r w:rsidRPr="0051224B">
        <w:t xml:space="preserve"> </w:t>
      </w:r>
      <w:r w:rsidR="00584DCD">
        <w:t>L</w:t>
      </w:r>
      <w:r w:rsidRPr="0051224B">
        <w:t xml:space="preserve">arger emission sources </w:t>
      </w:r>
      <w:r w:rsidR="00584DCD">
        <w:t xml:space="preserve">are </w:t>
      </w:r>
      <w:r w:rsidRPr="0051224B">
        <w:t>required to meet higher tiers (involving more reliable data quality), while less strict requirements apply to smaller sources</w:t>
      </w:r>
      <w:r w:rsidR="005A78CF" w:rsidRPr="005A78CF">
        <w:t xml:space="preserve"> </w:t>
      </w:r>
      <w:r w:rsidR="005A78CF" w:rsidRPr="0084026D">
        <w:t>for cost-efficiency reasons</w:t>
      </w:r>
      <w:r w:rsidRPr="0051224B">
        <w:t>.</w:t>
      </w:r>
    </w:p>
  </w:footnote>
  <w:footnote w:id="98">
    <w:p w14:paraId="22921A8E" w14:textId="60CEF614" w:rsidR="000259C2" w:rsidRPr="000259C2" w:rsidRDefault="000259C2" w:rsidP="000928C6">
      <w:pPr>
        <w:pStyle w:val="CMR2023-footnote"/>
        <w:jc w:val="both"/>
      </w:pPr>
      <w:r>
        <w:rPr>
          <w:rStyle w:val="FootnoteReference"/>
        </w:rPr>
        <w:footnoteRef/>
      </w:r>
      <w:r>
        <w:t xml:space="preserve"> </w:t>
      </w:r>
      <w:r w:rsidRPr="000259C2">
        <w:t>Commission Implementing Regulation (EU) 2023/2122 of 1</w:t>
      </w:r>
      <w:r w:rsidR="00053DA9">
        <w:t>7</w:t>
      </w:r>
      <w:r w:rsidRPr="000259C2">
        <w:t xml:space="preserve"> October 2023 amending Implementing Regulation (EU) 2018/2066 as regards updating the monitoring and reporting of greenhouse gas emissions pursuant to Directive 2003/87/EC of the European Parliament and of the Council</w:t>
      </w:r>
      <w:r w:rsidR="00464468">
        <w:t xml:space="preserve"> (</w:t>
      </w:r>
      <w:hyperlink r:id="rId53" w:history="1">
        <w:r w:rsidR="00464468" w:rsidRPr="00464468">
          <w:rPr>
            <w:rStyle w:val="Hyperlink"/>
          </w:rPr>
          <w:t>OJ L, 2023/2122</w:t>
        </w:r>
      </w:hyperlink>
      <w:r w:rsidR="00464468" w:rsidRPr="00464468">
        <w:t>, 18.10.2023</w:t>
      </w:r>
      <w:r w:rsidR="00464468">
        <w:t>).</w:t>
      </w:r>
    </w:p>
  </w:footnote>
  <w:footnote w:id="99">
    <w:p w14:paraId="5F365F34" w14:textId="66E8858B" w:rsidR="009F78C2" w:rsidRPr="009F78C2" w:rsidRDefault="009F78C2">
      <w:pPr>
        <w:pStyle w:val="FootnoteText"/>
      </w:pPr>
      <w:r>
        <w:rPr>
          <w:rStyle w:val="FootnoteReference"/>
        </w:rPr>
        <w:footnoteRef/>
      </w:r>
      <w:r>
        <w:t xml:space="preserve"> </w:t>
      </w:r>
      <w:r w:rsidRPr="009F78C2">
        <w:t>SWD(2023) 346</w:t>
      </w:r>
    </w:p>
  </w:footnote>
  <w:footnote w:id="100">
    <w:p w14:paraId="4E5CD392" w14:textId="5984DD24" w:rsidR="009F78C2" w:rsidRPr="009F78C2" w:rsidRDefault="009F78C2">
      <w:pPr>
        <w:pStyle w:val="FootnoteText"/>
      </w:pPr>
      <w:r>
        <w:rPr>
          <w:rStyle w:val="FootnoteReference"/>
        </w:rPr>
        <w:footnoteRef/>
      </w:r>
      <w:r>
        <w:t xml:space="preserve"> </w:t>
      </w:r>
      <w:r w:rsidRPr="009F78C2">
        <w:t>SWD(2023) 346</w:t>
      </w:r>
    </w:p>
  </w:footnote>
  <w:footnote w:id="101">
    <w:p w14:paraId="02AE2FBB" w14:textId="7DC83F51" w:rsidR="00BA270C" w:rsidRPr="0051224B" w:rsidRDefault="00BA270C" w:rsidP="00020F29">
      <w:pPr>
        <w:pStyle w:val="CMR2023-footnote"/>
      </w:pPr>
      <w:r w:rsidRPr="0051224B">
        <w:rPr>
          <w:rStyle w:val="FootnoteReference"/>
        </w:rPr>
        <w:footnoteRef/>
      </w:r>
      <w:r w:rsidR="00020F29">
        <w:t xml:space="preserve"> </w:t>
      </w:r>
      <w:r w:rsidRPr="0051224B">
        <w:t xml:space="preserve">Where regional/local authorities are responsible for MRV </w:t>
      </w:r>
      <w:r>
        <w:t>work</w:t>
      </w:r>
      <w:r w:rsidRPr="0051224B">
        <w:t xml:space="preserve">, the central competent authority </w:t>
      </w:r>
      <w:r w:rsidR="008D650E">
        <w:t xml:space="preserve">also </w:t>
      </w:r>
      <w:r w:rsidRPr="0051224B">
        <w:t xml:space="preserve">reviews relevant documents </w:t>
      </w:r>
      <w:r w:rsidR="008D650E">
        <w:t>(</w:t>
      </w:r>
      <w:r w:rsidRPr="0051224B">
        <w:t>such as monitoring plans</w:t>
      </w:r>
      <w:r w:rsidR="008D650E">
        <w:t>)</w:t>
      </w:r>
      <w:r w:rsidRPr="0051224B">
        <w:t xml:space="preserve"> to monitor the quality of MRV processes.</w:t>
      </w:r>
    </w:p>
  </w:footnote>
  <w:footnote w:id="102">
    <w:p w14:paraId="1E637922" w14:textId="2ED9352C" w:rsidR="009118E4" w:rsidRPr="0051224B" w:rsidRDefault="009118E4" w:rsidP="00797B64">
      <w:pPr>
        <w:pStyle w:val="CMR2023-footnote"/>
        <w:jc w:val="both"/>
      </w:pPr>
      <w:r w:rsidRPr="0051224B">
        <w:rPr>
          <w:rStyle w:val="FootnoteReference"/>
        </w:rPr>
        <w:footnoteRef/>
      </w:r>
      <w:r w:rsidR="00020F29">
        <w:t xml:space="preserve"> </w:t>
      </w:r>
      <w:r w:rsidRPr="0051224B">
        <w:t>The penalty is indexed for inflation.</w:t>
      </w:r>
    </w:p>
  </w:footnote>
  <w:footnote w:id="103">
    <w:p w14:paraId="3DAAED49" w14:textId="1554216A" w:rsidR="009F78C2" w:rsidRPr="009F78C2" w:rsidRDefault="009F78C2">
      <w:pPr>
        <w:pStyle w:val="FootnoteText"/>
      </w:pPr>
      <w:r>
        <w:rPr>
          <w:rStyle w:val="FootnoteReference"/>
        </w:rPr>
        <w:footnoteRef/>
      </w:r>
      <w:r>
        <w:t xml:space="preserve"> </w:t>
      </w:r>
      <w:r w:rsidRPr="009F78C2">
        <w:t>SWD(2023) 346</w:t>
      </w:r>
    </w:p>
  </w:footnote>
  <w:footnote w:id="104">
    <w:p w14:paraId="73A85CA5" w14:textId="0E059389" w:rsidR="00713F30" w:rsidRPr="0051224B" w:rsidRDefault="00713F30" w:rsidP="00797B64">
      <w:pPr>
        <w:pStyle w:val="CMR2023-footnote"/>
        <w:jc w:val="both"/>
      </w:pPr>
      <w:r w:rsidRPr="0051224B">
        <w:rPr>
          <w:rStyle w:val="FootnoteReference"/>
        </w:rPr>
        <w:footnoteRef/>
      </w:r>
      <w:r>
        <w:t xml:space="preserve"> </w:t>
      </w:r>
      <w:r w:rsidRPr="0051224B">
        <w:t>Article</w:t>
      </w:r>
      <w:r>
        <w:t> </w:t>
      </w:r>
      <w:r w:rsidRPr="0051224B">
        <w:t>34a of the Accreditation and Verification Regulation allows the verifier to carry out a virtual site visits if a force majeure situation prevents the verifier from going to the site. This is only allowed subject to</w:t>
      </w:r>
      <w:r w:rsidR="008D650E">
        <w:t xml:space="preserve"> the</w:t>
      </w:r>
      <w:r w:rsidRPr="0051224B">
        <w:t xml:space="preserve"> competent authority’s approval and if certain conditions have been met.</w:t>
      </w:r>
    </w:p>
  </w:footnote>
  <w:footnote w:id="105">
    <w:p w14:paraId="2AD2EA23" w14:textId="6BE49EE8" w:rsidR="00713F30" w:rsidRPr="00405B6F" w:rsidRDefault="00713F30" w:rsidP="00797B64">
      <w:pPr>
        <w:pStyle w:val="CMR2023-footnote"/>
        <w:jc w:val="both"/>
        <w:rPr>
          <w:lang w:val="en-IE"/>
        </w:rPr>
      </w:pPr>
      <w:r>
        <w:rPr>
          <w:rStyle w:val="FootnoteReference"/>
        </w:rPr>
        <w:footnoteRef/>
      </w:r>
      <w:r>
        <w:t xml:space="preserve"> </w:t>
      </w:r>
      <w:r w:rsidR="004C7623" w:rsidRPr="00405B6F">
        <w:rPr>
          <w:rStyle w:val="CMR2023-footnoteChar"/>
        </w:rPr>
        <w:t>Under Article 70 of the Monitoring and Reporting Regulation.</w:t>
      </w:r>
    </w:p>
  </w:footnote>
  <w:footnote w:id="106">
    <w:p w14:paraId="2A7EBC4E" w14:textId="4C1DFB60" w:rsidR="009118E4" w:rsidRPr="0051224B" w:rsidRDefault="009118E4" w:rsidP="00797B64">
      <w:pPr>
        <w:pStyle w:val="CMR2023-footnote"/>
        <w:jc w:val="both"/>
      </w:pPr>
      <w:r w:rsidRPr="0051224B">
        <w:rPr>
          <w:rStyle w:val="FootnoteReference"/>
        </w:rPr>
        <w:footnoteRef/>
      </w:r>
      <w:r w:rsidR="00020F29">
        <w:t xml:space="preserve"> </w:t>
      </w:r>
      <w:r w:rsidR="006B0E9A">
        <w:t>A further t</w:t>
      </w:r>
      <w:r w:rsidR="006B0E9A" w:rsidRPr="000A0843">
        <w:t>wo countries (Liechtenstein and Northern Ireland) do not</w:t>
      </w:r>
      <w:r w:rsidR="006B0E9A" w:rsidRPr="0051224B">
        <w:t xml:space="preserve"> administer any aircraft operators.</w:t>
      </w:r>
    </w:p>
  </w:footnote>
  <w:footnote w:id="107">
    <w:p w14:paraId="5B0AD905" w14:textId="4B61EB16" w:rsidR="009118E4" w:rsidRPr="0051224B" w:rsidRDefault="009118E4" w:rsidP="00797B64">
      <w:pPr>
        <w:pStyle w:val="CMR2023-footnote"/>
        <w:jc w:val="both"/>
      </w:pPr>
      <w:r w:rsidRPr="0051224B">
        <w:rPr>
          <w:rStyle w:val="FootnoteReference"/>
        </w:rPr>
        <w:footnoteRef/>
      </w:r>
      <w:r w:rsidR="00277E9E">
        <w:t xml:space="preserve"> </w:t>
      </w:r>
      <w:r w:rsidR="003E086A" w:rsidRPr="0051224B">
        <w:t xml:space="preserve">The </w:t>
      </w:r>
      <w:r w:rsidR="003E086A">
        <w:t>13</w:t>
      </w:r>
      <w:r w:rsidR="003E086A" w:rsidRPr="0051224B">
        <w:t xml:space="preserve"> countries </w:t>
      </w:r>
      <w:r w:rsidR="003E086A">
        <w:t>are</w:t>
      </w:r>
      <w:r w:rsidR="003E086A" w:rsidRPr="0051224B">
        <w:t xml:space="preserve"> Czechia, Denmark, Spain, Finland, France, Hungary, </w:t>
      </w:r>
      <w:r w:rsidR="003E086A">
        <w:t xml:space="preserve">Ireland, </w:t>
      </w:r>
      <w:r w:rsidR="003E086A" w:rsidRPr="0051224B">
        <w:t xml:space="preserve">Netherlands, </w:t>
      </w:r>
      <w:r w:rsidR="003E086A">
        <w:t xml:space="preserve">Norway, </w:t>
      </w:r>
      <w:r w:rsidR="003E086A" w:rsidRPr="0051224B">
        <w:t>Poland</w:t>
      </w:r>
      <w:r w:rsidR="003E086A">
        <w:t>, Sweden and</w:t>
      </w:r>
      <w:r w:rsidR="003E086A" w:rsidRPr="0051224B">
        <w:t xml:space="preserve"> Romania.</w:t>
      </w:r>
    </w:p>
  </w:footnote>
  <w:footnote w:id="108">
    <w:p w14:paraId="61766F1B" w14:textId="60811F8F" w:rsidR="00D17201" w:rsidRPr="00D17201" w:rsidRDefault="00D17201" w:rsidP="00797B64">
      <w:pPr>
        <w:pStyle w:val="CMR2023-footnote"/>
        <w:jc w:val="both"/>
      </w:pPr>
      <w:r>
        <w:rPr>
          <w:rStyle w:val="FootnoteReference"/>
        </w:rPr>
        <w:footnoteRef/>
      </w:r>
      <w:r>
        <w:t xml:space="preserve"> </w:t>
      </w:r>
      <w:r w:rsidR="007C15B7">
        <w:rPr>
          <w:shd w:val="clear" w:color="auto" w:fill="FFFFFF"/>
        </w:rPr>
        <w:t>Agreement between the European Union and the Swiss Confederation on the linking of their greenhouse gas emissions trading systems </w:t>
      </w:r>
      <w:r w:rsidR="00635F87">
        <w:rPr>
          <w:shd w:val="clear" w:color="auto" w:fill="FFFFFF"/>
        </w:rPr>
        <w:t>(</w:t>
      </w:r>
      <w:hyperlink r:id="rId54" w:history="1">
        <w:r w:rsidR="007C15B7">
          <w:rPr>
            <w:rStyle w:val="Hyperlink"/>
            <w:color w:val="337AB7"/>
            <w:sz w:val="19"/>
            <w:szCs w:val="19"/>
            <w:shd w:val="clear" w:color="auto" w:fill="FFFFFF"/>
          </w:rPr>
          <w:t>OJ L 322</w:t>
        </w:r>
      </w:hyperlink>
      <w:r w:rsidR="007C15B7">
        <w:rPr>
          <w:shd w:val="clear" w:color="auto" w:fill="FFFFFF"/>
        </w:rPr>
        <w:t>, 7.12.2017</w:t>
      </w:r>
      <w:r w:rsidR="00635F87">
        <w:rPr>
          <w:shd w:val="clear" w:color="auto" w:fill="FFFFFF"/>
        </w:rPr>
        <w:t>).</w:t>
      </w:r>
    </w:p>
  </w:footnote>
  <w:footnote w:id="109">
    <w:p w14:paraId="13BEBB99" w14:textId="3E218869" w:rsidR="009F78C2" w:rsidRPr="009F78C2" w:rsidRDefault="009F78C2">
      <w:pPr>
        <w:pStyle w:val="FootnoteText"/>
        <w:rPr>
          <w:lang w:val="es-ES"/>
        </w:rPr>
      </w:pPr>
      <w:r>
        <w:rPr>
          <w:rStyle w:val="FootnoteReference"/>
        </w:rPr>
        <w:footnoteRef/>
      </w:r>
      <w:r>
        <w:t xml:space="preserve"> </w:t>
      </w:r>
      <w:r w:rsidRPr="009F78C2">
        <w:t>SWD(2023) 346</w:t>
      </w:r>
    </w:p>
  </w:footnote>
  <w:footnote w:id="110">
    <w:p w14:paraId="1F2DABBF" w14:textId="11ACE6DE" w:rsidR="009F78C2" w:rsidRPr="009F78C2" w:rsidRDefault="009F78C2">
      <w:pPr>
        <w:pStyle w:val="FootnoteText"/>
        <w:rPr>
          <w:lang w:val="es-ES"/>
        </w:rPr>
      </w:pPr>
      <w:r>
        <w:rPr>
          <w:rStyle w:val="FootnoteReference"/>
        </w:rPr>
        <w:footnoteRef/>
      </w:r>
      <w:r>
        <w:t xml:space="preserve"> </w:t>
      </w:r>
      <w:r w:rsidRPr="009F78C2">
        <w:t>SWD(2023) 346</w:t>
      </w:r>
    </w:p>
  </w:footnote>
  <w:footnote w:id="111">
    <w:p w14:paraId="4978A290" w14:textId="00265947" w:rsidR="009F78C2" w:rsidRPr="009F78C2" w:rsidRDefault="009F78C2">
      <w:pPr>
        <w:pStyle w:val="FootnoteText"/>
      </w:pPr>
      <w:r>
        <w:rPr>
          <w:rStyle w:val="FootnoteReference"/>
        </w:rPr>
        <w:footnoteRef/>
      </w:r>
      <w:r>
        <w:t xml:space="preserve"> </w:t>
      </w:r>
      <w:r w:rsidRPr="009F78C2">
        <w:t>SWD(2023) 346</w:t>
      </w:r>
    </w:p>
  </w:footnote>
  <w:footnote w:id="112">
    <w:p w14:paraId="6F049804" w14:textId="1473BDB2" w:rsidR="00020F29" w:rsidRDefault="00020F29" w:rsidP="00797B64">
      <w:pPr>
        <w:pStyle w:val="CMR2023-footnote"/>
        <w:jc w:val="both"/>
      </w:pPr>
      <w:r>
        <w:rPr>
          <w:rStyle w:val="FootnoteReference"/>
        </w:rPr>
        <w:footnoteRef/>
      </w:r>
      <w:r w:rsidR="00277E9E">
        <w:t xml:space="preserve"> </w:t>
      </w:r>
      <w:r w:rsidR="007D47AA" w:rsidRPr="007D47AA">
        <w:t>Directive (EU) 2023/1791 of the European Parliament and of the Council of 13 September 2023 on energy efficiency and amending Regulation (EU) 2023/955 (recast)</w:t>
      </w:r>
      <w:r w:rsidR="007D47AA">
        <w:t xml:space="preserve"> </w:t>
      </w:r>
      <w:r w:rsidR="00FA5132">
        <w:t>(</w:t>
      </w:r>
      <w:hyperlink r:id="rId55" w:history="1">
        <w:r w:rsidR="007D47AA" w:rsidRPr="00D1422D">
          <w:rPr>
            <w:rStyle w:val="Hyperlink"/>
          </w:rPr>
          <w:t>OJ L 23</w:t>
        </w:r>
        <w:r w:rsidR="00D1422D" w:rsidRPr="00D1422D">
          <w:rPr>
            <w:rStyle w:val="Hyperlink"/>
          </w:rPr>
          <w:t>1</w:t>
        </w:r>
      </w:hyperlink>
      <w:r>
        <w:t>, 2</w:t>
      </w:r>
      <w:r w:rsidR="00D1422D">
        <w:t>0</w:t>
      </w:r>
      <w:r>
        <w:t>.</w:t>
      </w:r>
      <w:r w:rsidR="00D1422D">
        <w:t>9</w:t>
      </w:r>
      <w:r>
        <w:t>.2018</w:t>
      </w:r>
      <w:r w:rsidR="00FA5132">
        <w:t>)</w:t>
      </w:r>
      <w:r>
        <w:t>.</w:t>
      </w:r>
    </w:p>
  </w:footnote>
  <w:footnote w:id="113">
    <w:p w14:paraId="3F746C3D" w14:textId="0148B3C8" w:rsidR="00226156" w:rsidRPr="00226156" w:rsidRDefault="00226156" w:rsidP="00797B64">
      <w:pPr>
        <w:pStyle w:val="CMR2023-footnote"/>
        <w:jc w:val="both"/>
      </w:pPr>
      <w:r>
        <w:rPr>
          <w:rStyle w:val="FootnoteReference"/>
        </w:rPr>
        <w:footnoteRef/>
      </w:r>
      <w:r>
        <w:t xml:space="preserve"> </w:t>
      </w:r>
      <w:r w:rsidRPr="00226156">
        <w:t>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w:t>
      </w:r>
      <w:r w:rsidR="00797B64">
        <w:t xml:space="preserve"> (</w:t>
      </w:r>
      <w:hyperlink r:id="rId56" w:history="1">
        <w:r w:rsidRPr="00226156">
          <w:rPr>
            <w:rStyle w:val="Hyperlink"/>
          </w:rPr>
          <w:t>OJ L 328</w:t>
        </w:r>
      </w:hyperlink>
      <w:r w:rsidRPr="00226156">
        <w:t>, 21.12.2018</w:t>
      </w:r>
      <w:r w:rsidR="00797B64">
        <w:t>)</w:t>
      </w:r>
      <w:r>
        <w:rPr>
          <w:rStyle w:val="Emphasis"/>
          <w:rFonts w:ascii="Roboto" w:hAnsi="Roboto"/>
          <w:color w:val="333333"/>
          <w:sz w:val="21"/>
          <w:szCs w:val="21"/>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26418" w14:textId="77777777" w:rsidR="002F3AE3" w:rsidRPr="002F3AE3" w:rsidRDefault="002F3AE3" w:rsidP="002F3AE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2935F" w14:textId="77777777" w:rsidR="00F97218" w:rsidRDefault="00F9721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73974" w14:textId="77777777" w:rsidR="00F97218" w:rsidRDefault="00F9721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B7EB1" w14:textId="77777777" w:rsidR="00F97218" w:rsidRDefault="00F97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4DDCA" w14:textId="77777777" w:rsidR="002F3AE3" w:rsidRPr="002F3AE3" w:rsidRDefault="002F3AE3" w:rsidP="002F3AE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8AB0B" w14:textId="77777777" w:rsidR="002F3AE3" w:rsidRPr="002F3AE3" w:rsidRDefault="002F3AE3" w:rsidP="002F3AE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B3331" w14:textId="1CB81E65" w:rsidR="00F97218" w:rsidRDefault="00F972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A044" w14:textId="77777777" w:rsidR="00F97218" w:rsidRDefault="00F972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43C4D" w14:textId="77777777" w:rsidR="00F97218" w:rsidRDefault="00F972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A3352" w14:textId="77777777" w:rsidR="00F97218" w:rsidRDefault="00F972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64ACC" w14:textId="77777777" w:rsidR="00F97218" w:rsidRDefault="00F972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89B65" w14:textId="77777777" w:rsidR="00F97218" w:rsidRDefault="00F97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718"/>
    <w:multiLevelType w:val="hybridMultilevel"/>
    <w:tmpl w:val="B602015C"/>
    <w:lvl w:ilvl="0" w:tplc="1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B30834"/>
    <w:multiLevelType w:val="hybridMultilevel"/>
    <w:tmpl w:val="7E560C2A"/>
    <w:lvl w:ilvl="0" w:tplc="0A8CE3BC">
      <w:start w:val="1"/>
      <w:numFmt w:val="decimal"/>
      <w:lvlText w:val="(%1)"/>
      <w:lvlJc w:val="left"/>
      <w:pPr>
        <w:ind w:left="2988" w:hanging="360"/>
      </w:pPr>
      <w:rPr>
        <w:rFonts w:hint="default"/>
      </w:rPr>
    </w:lvl>
    <w:lvl w:ilvl="1" w:tplc="FFFFFFFF" w:tentative="1">
      <w:start w:val="1"/>
      <w:numFmt w:val="bullet"/>
      <w:lvlText w:val="o"/>
      <w:lvlJc w:val="left"/>
      <w:pPr>
        <w:ind w:left="3708" w:hanging="360"/>
      </w:pPr>
      <w:rPr>
        <w:rFonts w:ascii="Courier New" w:hAnsi="Courier New" w:cs="Courier New" w:hint="default"/>
      </w:rPr>
    </w:lvl>
    <w:lvl w:ilvl="2" w:tplc="FFFFFFFF" w:tentative="1">
      <w:start w:val="1"/>
      <w:numFmt w:val="bullet"/>
      <w:lvlText w:val=""/>
      <w:lvlJc w:val="left"/>
      <w:pPr>
        <w:ind w:left="4428" w:hanging="360"/>
      </w:pPr>
      <w:rPr>
        <w:rFonts w:ascii="Wingdings" w:hAnsi="Wingdings" w:hint="default"/>
      </w:rPr>
    </w:lvl>
    <w:lvl w:ilvl="3" w:tplc="FFFFFFFF" w:tentative="1">
      <w:start w:val="1"/>
      <w:numFmt w:val="bullet"/>
      <w:lvlText w:val=""/>
      <w:lvlJc w:val="left"/>
      <w:pPr>
        <w:ind w:left="5148" w:hanging="360"/>
      </w:pPr>
      <w:rPr>
        <w:rFonts w:ascii="Symbol" w:hAnsi="Symbol" w:hint="default"/>
      </w:rPr>
    </w:lvl>
    <w:lvl w:ilvl="4" w:tplc="FFFFFFFF" w:tentative="1">
      <w:start w:val="1"/>
      <w:numFmt w:val="bullet"/>
      <w:lvlText w:val="o"/>
      <w:lvlJc w:val="left"/>
      <w:pPr>
        <w:ind w:left="5868" w:hanging="360"/>
      </w:pPr>
      <w:rPr>
        <w:rFonts w:ascii="Courier New" w:hAnsi="Courier New" w:cs="Courier New" w:hint="default"/>
      </w:rPr>
    </w:lvl>
    <w:lvl w:ilvl="5" w:tplc="FFFFFFFF" w:tentative="1">
      <w:start w:val="1"/>
      <w:numFmt w:val="bullet"/>
      <w:lvlText w:val=""/>
      <w:lvlJc w:val="left"/>
      <w:pPr>
        <w:ind w:left="6588" w:hanging="360"/>
      </w:pPr>
      <w:rPr>
        <w:rFonts w:ascii="Wingdings" w:hAnsi="Wingdings" w:hint="default"/>
      </w:rPr>
    </w:lvl>
    <w:lvl w:ilvl="6" w:tplc="FFFFFFFF" w:tentative="1">
      <w:start w:val="1"/>
      <w:numFmt w:val="bullet"/>
      <w:lvlText w:val=""/>
      <w:lvlJc w:val="left"/>
      <w:pPr>
        <w:ind w:left="7308" w:hanging="360"/>
      </w:pPr>
      <w:rPr>
        <w:rFonts w:ascii="Symbol" w:hAnsi="Symbol" w:hint="default"/>
      </w:rPr>
    </w:lvl>
    <w:lvl w:ilvl="7" w:tplc="FFFFFFFF" w:tentative="1">
      <w:start w:val="1"/>
      <w:numFmt w:val="bullet"/>
      <w:lvlText w:val="o"/>
      <w:lvlJc w:val="left"/>
      <w:pPr>
        <w:ind w:left="8028" w:hanging="360"/>
      </w:pPr>
      <w:rPr>
        <w:rFonts w:ascii="Courier New" w:hAnsi="Courier New" w:cs="Courier New" w:hint="default"/>
      </w:rPr>
    </w:lvl>
    <w:lvl w:ilvl="8" w:tplc="FFFFFFFF" w:tentative="1">
      <w:start w:val="1"/>
      <w:numFmt w:val="bullet"/>
      <w:lvlText w:val=""/>
      <w:lvlJc w:val="left"/>
      <w:pPr>
        <w:ind w:left="8748" w:hanging="360"/>
      </w:pPr>
      <w:rPr>
        <w:rFonts w:ascii="Wingdings" w:hAnsi="Wingdings" w:hint="default"/>
      </w:rPr>
    </w:lvl>
  </w:abstractNum>
  <w:abstractNum w:abstractNumId="2" w15:restartNumberingAfterBreak="0">
    <w:nsid w:val="0924497B"/>
    <w:multiLevelType w:val="hybridMultilevel"/>
    <w:tmpl w:val="8D70A2F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BD7281"/>
    <w:multiLevelType w:val="hybridMultilevel"/>
    <w:tmpl w:val="2EB88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8D6C86"/>
    <w:multiLevelType w:val="hybridMultilevel"/>
    <w:tmpl w:val="542217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F2486A"/>
    <w:multiLevelType w:val="hybridMultilevel"/>
    <w:tmpl w:val="9F0CFB9A"/>
    <w:lvl w:ilvl="0" w:tplc="27704B64">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7FF1592"/>
    <w:multiLevelType w:val="hybridMultilevel"/>
    <w:tmpl w:val="4FEC82F2"/>
    <w:lvl w:ilvl="0" w:tplc="E8FE0A20">
      <w:start w:val="1"/>
      <w:numFmt w:val="decimal"/>
      <w:lvlText w:val="%1."/>
      <w:lvlJc w:val="left"/>
      <w:pPr>
        <w:tabs>
          <w:tab w:val="num" w:pos="720"/>
        </w:tabs>
        <w:ind w:left="720" w:hanging="360"/>
      </w:pPr>
    </w:lvl>
    <w:lvl w:ilvl="1" w:tplc="C8867A86">
      <w:start w:val="1"/>
      <w:numFmt w:val="decimal"/>
      <w:lvlText w:val="%2."/>
      <w:lvlJc w:val="left"/>
      <w:pPr>
        <w:tabs>
          <w:tab w:val="num" w:pos="1440"/>
        </w:tabs>
        <w:ind w:left="1440" w:hanging="360"/>
      </w:pPr>
    </w:lvl>
    <w:lvl w:ilvl="2" w:tplc="05FAC702">
      <w:start w:val="1"/>
      <w:numFmt w:val="decimal"/>
      <w:lvlText w:val="%3."/>
      <w:lvlJc w:val="left"/>
      <w:pPr>
        <w:tabs>
          <w:tab w:val="num" w:pos="2160"/>
        </w:tabs>
        <w:ind w:left="2160" w:hanging="360"/>
      </w:pPr>
    </w:lvl>
    <w:lvl w:ilvl="3" w:tplc="3C6ECFA6">
      <w:start w:val="1"/>
      <w:numFmt w:val="decimal"/>
      <w:lvlText w:val="%4."/>
      <w:lvlJc w:val="left"/>
      <w:pPr>
        <w:tabs>
          <w:tab w:val="num" w:pos="2880"/>
        </w:tabs>
        <w:ind w:left="2880" w:hanging="360"/>
      </w:pPr>
    </w:lvl>
    <w:lvl w:ilvl="4" w:tplc="CBF28DF4">
      <w:start w:val="1"/>
      <w:numFmt w:val="decimal"/>
      <w:lvlText w:val="%5."/>
      <w:lvlJc w:val="left"/>
      <w:pPr>
        <w:tabs>
          <w:tab w:val="num" w:pos="3600"/>
        </w:tabs>
        <w:ind w:left="3600" w:hanging="360"/>
      </w:pPr>
    </w:lvl>
    <w:lvl w:ilvl="5" w:tplc="333E6264">
      <w:start w:val="1"/>
      <w:numFmt w:val="decimal"/>
      <w:lvlText w:val="%6."/>
      <w:lvlJc w:val="left"/>
      <w:pPr>
        <w:tabs>
          <w:tab w:val="num" w:pos="4320"/>
        </w:tabs>
        <w:ind w:left="4320" w:hanging="360"/>
      </w:pPr>
    </w:lvl>
    <w:lvl w:ilvl="6" w:tplc="27541A7A">
      <w:start w:val="1"/>
      <w:numFmt w:val="decimal"/>
      <w:lvlText w:val="%7."/>
      <w:lvlJc w:val="left"/>
      <w:pPr>
        <w:tabs>
          <w:tab w:val="num" w:pos="5040"/>
        </w:tabs>
        <w:ind w:left="5040" w:hanging="360"/>
      </w:pPr>
    </w:lvl>
    <w:lvl w:ilvl="7" w:tplc="3CFE4BDA">
      <w:start w:val="1"/>
      <w:numFmt w:val="decimal"/>
      <w:lvlText w:val="%8."/>
      <w:lvlJc w:val="left"/>
      <w:pPr>
        <w:tabs>
          <w:tab w:val="num" w:pos="5760"/>
        </w:tabs>
        <w:ind w:left="5760" w:hanging="360"/>
      </w:pPr>
    </w:lvl>
    <w:lvl w:ilvl="8" w:tplc="5720FB3A">
      <w:start w:val="1"/>
      <w:numFmt w:val="decimal"/>
      <w:lvlText w:val="%9."/>
      <w:lvlJc w:val="left"/>
      <w:pPr>
        <w:tabs>
          <w:tab w:val="num" w:pos="6480"/>
        </w:tabs>
        <w:ind w:left="6480" w:hanging="360"/>
      </w:pPr>
    </w:lvl>
  </w:abstractNum>
  <w:abstractNum w:abstractNumId="7" w15:restartNumberingAfterBreak="0">
    <w:nsid w:val="2C2304A8"/>
    <w:multiLevelType w:val="hybridMultilevel"/>
    <w:tmpl w:val="8C82B8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3F6000"/>
    <w:multiLevelType w:val="hybridMultilevel"/>
    <w:tmpl w:val="D2CC76FA"/>
    <w:lvl w:ilvl="0" w:tplc="0C0A5330">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343CDE6"/>
    <w:multiLevelType w:val="hybridMultilevel"/>
    <w:tmpl w:val="FFFFFFFF"/>
    <w:lvl w:ilvl="0" w:tplc="20F6DB70">
      <w:start w:val="1"/>
      <w:numFmt w:val="lowerRoman"/>
      <w:lvlText w:val="%1."/>
      <w:lvlJc w:val="right"/>
      <w:pPr>
        <w:ind w:left="720" w:hanging="360"/>
      </w:pPr>
    </w:lvl>
    <w:lvl w:ilvl="1" w:tplc="0960E8C4">
      <w:start w:val="1"/>
      <w:numFmt w:val="lowerLetter"/>
      <w:lvlText w:val="%2."/>
      <w:lvlJc w:val="left"/>
      <w:pPr>
        <w:ind w:left="1440" w:hanging="360"/>
      </w:pPr>
    </w:lvl>
    <w:lvl w:ilvl="2" w:tplc="282A22A0">
      <w:start w:val="1"/>
      <w:numFmt w:val="lowerRoman"/>
      <w:lvlText w:val="%3."/>
      <w:lvlJc w:val="right"/>
      <w:pPr>
        <w:ind w:left="2160" w:hanging="180"/>
      </w:pPr>
    </w:lvl>
    <w:lvl w:ilvl="3" w:tplc="9842994A">
      <w:start w:val="1"/>
      <w:numFmt w:val="decimal"/>
      <w:lvlText w:val="%4."/>
      <w:lvlJc w:val="left"/>
      <w:pPr>
        <w:ind w:left="2880" w:hanging="360"/>
      </w:pPr>
    </w:lvl>
    <w:lvl w:ilvl="4" w:tplc="41C0ACE4">
      <w:start w:val="1"/>
      <w:numFmt w:val="lowerLetter"/>
      <w:lvlText w:val="%5."/>
      <w:lvlJc w:val="left"/>
      <w:pPr>
        <w:ind w:left="3600" w:hanging="360"/>
      </w:pPr>
    </w:lvl>
    <w:lvl w:ilvl="5" w:tplc="194281C0">
      <w:start w:val="1"/>
      <w:numFmt w:val="lowerRoman"/>
      <w:lvlText w:val="%6."/>
      <w:lvlJc w:val="right"/>
      <w:pPr>
        <w:ind w:left="4320" w:hanging="180"/>
      </w:pPr>
    </w:lvl>
    <w:lvl w:ilvl="6" w:tplc="3826786A">
      <w:start w:val="1"/>
      <w:numFmt w:val="decimal"/>
      <w:lvlText w:val="%7."/>
      <w:lvlJc w:val="left"/>
      <w:pPr>
        <w:ind w:left="5040" w:hanging="360"/>
      </w:pPr>
    </w:lvl>
    <w:lvl w:ilvl="7" w:tplc="FF4C9A30">
      <w:start w:val="1"/>
      <w:numFmt w:val="lowerLetter"/>
      <w:lvlText w:val="%8."/>
      <w:lvlJc w:val="left"/>
      <w:pPr>
        <w:ind w:left="5760" w:hanging="360"/>
      </w:pPr>
    </w:lvl>
    <w:lvl w:ilvl="8" w:tplc="C5B89EA6">
      <w:start w:val="1"/>
      <w:numFmt w:val="lowerRoman"/>
      <w:lvlText w:val="%9."/>
      <w:lvlJc w:val="right"/>
      <w:pPr>
        <w:ind w:left="6480" w:hanging="180"/>
      </w:pPr>
    </w:lvl>
  </w:abstractNum>
  <w:abstractNum w:abstractNumId="10" w15:restartNumberingAfterBreak="0">
    <w:nsid w:val="492133AF"/>
    <w:multiLevelType w:val="hybridMultilevel"/>
    <w:tmpl w:val="5B368B50"/>
    <w:lvl w:ilvl="0" w:tplc="37DC55A6">
      <w:start w:val="3"/>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1508EC"/>
    <w:multiLevelType w:val="hybridMultilevel"/>
    <w:tmpl w:val="4D6C7D9E"/>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16A578D"/>
    <w:multiLevelType w:val="hybridMultilevel"/>
    <w:tmpl w:val="FFFFFFFF"/>
    <w:lvl w:ilvl="0" w:tplc="738C4236">
      <w:start w:val="3"/>
      <w:numFmt w:val="lowerRoman"/>
      <w:lvlText w:val="%1."/>
      <w:lvlJc w:val="right"/>
      <w:pPr>
        <w:ind w:left="720" w:hanging="360"/>
      </w:pPr>
    </w:lvl>
    <w:lvl w:ilvl="1" w:tplc="831C45A4">
      <w:start w:val="1"/>
      <w:numFmt w:val="lowerLetter"/>
      <w:lvlText w:val="%2."/>
      <w:lvlJc w:val="left"/>
      <w:pPr>
        <w:ind w:left="1440" w:hanging="360"/>
      </w:pPr>
    </w:lvl>
    <w:lvl w:ilvl="2" w:tplc="32043B66">
      <w:start w:val="1"/>
      <w:numFmt w:val="lowerRoman"/>
      <w:lvlText w:val="%3."/>
      <w:lvlJc w:val="right"/>
      <w:pPr>
        <w:ind w:left="2160" w:hanging="180"/>
      </w:pPr>
    </w:lvl>
    <w:lvl w:ilvl="3" w:tplc="42ECDBE2">
      <w:start w:val="1"/>
      <w:numFmt w:val="decimal"/>
      <w:lvlText w:val="%4."/>
      <w:lvlJc w:val="left"/>
      <w:pPr>
        <w:ind w:left="2880" w:hanging="360"/>
      </w:pPr>
    </w:lvl>
    <w:lvl w:ilvl="4" w:tplc="11228A8A">
      <w:start w:val="1"/>
      <w:numFmt w:val="lowerLetter"/>
      <w:lvlText w:val="%5."/>
      <w:lvlJc w:val="left"/>
      <w:pPr>
        <w:ind w:left="3600" w:hanging="360"/>
      </w:pPr>
    </w:lvl>
    <w:lvl w:ilvl="5" w:tplc="5FDC0D0E">
      <w:start w:val="1"/>
      <w:numFmt w:val="lowerRoman"/>
      <w:lvlText w:val="%6."/>
      <w:lvlJc w:val="right"/>
      <w:pPr>
        <w:ind w:left="4320" w:hanging="180"/>
      </w:pPr>
    </w:lvl>
    <w:lvl w:ilvl="6" w:tplc="58AE80C6">
      <w:start w:val="1"/>
      <w:numFmt w:val="decimal"/>
      <w:lvlText w:val="%7."/>
      <w:lvlJc w:val="left"/>
      <w:pPr>
        <w:ind w:left="5040" w:hanging="360"/>
      </w:pPr>
    </w:lvl>
    <w:lvl w:ilvl="7" w:tplc="B8C03F6A">
      <w:start w:val="1"/>
      <w:numFmt w:val="lowerLetter"/>
      <w:lvlText w:val="%8."/>
      <w:lvlJc w:val="left"/>
      <w:pPr>
        <w:ind w:left="5760" w:hanging="360"/>
      </w:pPr>
    </w:lvl>
    <w:lvl w:ilvl="8" w:tplc="10560780">
      <w:start w:val="1"/>
      <w:numFmt w:val="lowerRoman"/>
      <w:lvlText w:val="%9."/>
      <w:lvlJc w:val="right"/>
      <w:pPr>
        <w:ind w:left="6480" w:hanging="180"/>
      </w:pPr>
    </w:lvl>
  </w:abstractNum>
  <w:abstractNum w:abstractNumId="13" w15:restartNumberingAfterBreak="0">
    <w:nsid w:val="543CAD0B"/>
    <w:multiLevelType w:val="hybridMultilevel"/>
    <w:tmpl w:val="7DDCC4CC"/>
    <w:lvl w:ilvl="0" w:tplc="5A20EEB0">
      <w:start w:val="1"/>
      <w:numFmt w:val="bullet"/>
      <w:lvlText w:val=""/>
      <w:lvlJc w:val="left"/>
      <w:pPr>
        <w:ind w:left="720" w:hanging="360"/>
      </w:pPr>
      <w:rPr>
        <w:rFonts w:ascii="Symbol" w:hAnsi="Symbol" w:hint="default"/>
      </w:rPr>
    </w:lvl>
    <w:lvl w:ilvl="1" w:tplc="602C0EA2">
      <w:start w:val="1"/>
      <w:numFmt w:val="bullet"/>
      <w:lvlText w:val="o"/>
      <w:lvlJc w:val="left"/>
      <w:pPr>
        <w:ind w:left="1440" w:hanging="360"/>
      </w:pPr>
      <w:rPr>
        <w:rFonts w:ascii="Courier New" w:hAnsi="Courier New" w:hint="default"/>
      </w:rPr>
    </w:lvl>
    <w:lvl w:ilvl="2" w:tplc="DBA60F12">
      <w:start w:val="1"/>
      <w:numFmt w:val="bullet"/>
      <w:lvlText w:val=""/>
      <w:lvlJc w:val="left"/>
      <w:pPr>
        <w:ind w:left="2160" w:hanging="360"/>
      </w:pPr>
      <w:rPr>
        <w:rFonts w:ascii="Wingdings" w:hAnsi="Wingdings" w:hint="default"/>
      </w:rPr>
    </w:lvl>
    <w:lvl w:ilvl="3" w:tplc="933616A2">
      <w:start w:val="1"/>
      <w:numFmt w:val="bullet"/>
      <w:lvlText w:val=""/>
      <w:lvlJc w:val="left"/>
      <w:pPr>
        <w:ind w:left="2880" w:hanging="360"/>
      </w:pPr>
      <w:rPr>
        <w:rFonts w:ascii="Symbol" w:hAnsi="Symbol" w:hint="default"/>
      </w:rPr>
    </w:lvl>
    <w:lvl w:ilvl="4" w:tplc="C06A3A7E">
      <w:start w:val="1"/>
      <w:numFmt w:val="bullet"/>
      <w:lvlText w:val="o"/>
      <w:lvlJc w:val="left"/>
      <w:pPr>
        <w:ind w:left="3600" w:hanging="360"/>
      </w:pPr>
      <w:rPr>
        <w:rFonts w:ascii="Courier New" w:hAnsi="Courier New" w:hint="default"/>
      </w:rPr>
    </w:lvl>
    <w:lvl w:ilvl="5" w:tplc="6A0CD4EC">
      <w:start w:val="1"/>
      <w:numFmt w:val="bullet"/>
      <w:lvlText w:val=""/>
      <w:lvlJc w:val="left"/>
      <w:pPr>
        <w:ind w:left="4320" w:hanging="360"/>
      </w:pPr>
      <w:rPr>
        <w:rFonts w:ascii="Wingdings" w:hAnsi="Wingdings" w:hint="default"/>
      </w:rPr>
    </w:lvl>
    <w:lvl w:ilvl="6" w:tplc="092AF930">
      <w:start w:val="1"/>
      <w:numFmt w:val="bullet"/>
      <w:lvlText w:val=""/>
      <w:lvlJc w:val="left"/>
      <w:pPr>
        <w:ind w:left="5040" w:hanging="360"/>
      </w:pPr>
      <w:rPr>
        <w:rFonts w:ascii="Symbol" w:hAnsi="Symbol" w:hint="default"/>
      </w:rPr>
    </w:lvl>
    <w:lvl w:ilvl="7" w:tplc="70B2F8C0">
      <w:start w:val="1"/>
      <w:numFmt w:val="bullet"/>
      <w:lvlText w:val="o"/>
      <w:lvlJc w:val="left"/>
      <w:pPr>
        <w:ind w:left="5760" w:hanging="360"/>
      </w:pPr>
      <w:rPr>
        <w:rFonts w:ascii="Courier New" w:hAnsi="Courier New" w:hint="default"/>
      </w:rPr>
    </w:lvl>
    <w:lvl w:ilvl="8" w:tplc="63ECBE22">
      <w:start w:val="1"/>
      <w:numFmt w:val="bullet"/>
      <w:lvlText w:val=""/>
      <w:lvlJc w:val="left"/>
      <w:pPr>
        <w:ind w:left="6480" w:hanging="360"/>
      </w:pPr>
      <w:rPr>
        <w:rFonts w:ascii="Wingdings" w:hAnsi="Wingdings" w:hint="default"/>
      </w:rPr>
    </w:lvl>
  </w:abstractNum>
  <w:abstractNum w:abstractNumId="14" w15:restartNumberingAfterBreak="0">
    <w:nsid w:val="5920597A"/>
    <w:multiLevelType w:val="hybridMultilevel"/>
    <w:tmpl w:val="BE901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2615F4"/>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1C4839"/>
    <w:multiLevelType w:val="multilevel"/>
    <w:tmpl w:val="18D27C2E"/>
    <w:lvl w:ilvl="0">
      <w:start w:val="1"/>
      <w:numFmt w:val="decimal"/>
      <w:pStyle w:val="CMR23-heading"/>
      <w:lvlText w:val="%1."/>
      <w:lvlJc w:val="left"/>
      <w:pPr>
        <w:ind w:left="360" w:hanging="360"/>
      </w:pPr>
    </w:lvl>
    <w:lvl w:ilvl="1">
      <w:start w:val="1"/>
      <w:numFmt w:val="decimal"/>
      <w:pStyle w:val="CMR2023-SUBheading"/>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C2E5BE"/>
    <w:multiLevelType w:val="hybridMultilevel"/>
    <w:tmpl w:val="FFFFFFFF"/>
    <w:lvl w:ilvl="0" w:tplc="D452CE48">
      <w:start w:val="2"/>
      <w:numFmt w:val="lowerRoman"/>
      <w:lvlText w:val="%1."/>
      <w:lvlJc w:val="right"/>
      <w:pPr>
        <w:ind w:left="720" w:hanging="360"/>
      </w:pPr>
    </w:lvl>
    <w:lvl w:ilvl="1" w:tplc="5C162C10">
      <w:start w:val="1"/>
      <w:numFmt w:val="lowerLetter"/>
      <w:lvlText w:val="%2."/>
      <w:lvlJc w:val="left"/>
      <w:pPr>
        <w:ind w:left="1440" w:hanging="360"/>
      </w:pPr>
    </w:lvl>
    <w:lvl w:ilvl="2" w:tplc="D4D230CE">
      <w:start w:val="1"/>
      <w:numFmt w:val="lowerRoman"/>
      <w:lvlText w:val="%3."/>
      <w:lvlJc w:val="right"/>
      <w:pPr>
        <w:ind w:left="2160" w:hanging="180"/>
      </w:pPr>
    </w:lvl>
    <w:lvl w:ilvl="3" w:tplc="ADF2A82C">
      <w:start w:val="1"/>
      <w:numFmt w:val="decimal"/>
      <w:lvlText w:val="%4."/>
      <w:lvlJc w:val="left"/>
      <w:pPr>
        <w:ind w:left="2880" w:hanging="360"/>
      </w:pPr>
    </w:lvl>
    <w:lvl w:ilvl="4" w:tplc="3B905E52">
      <w:start w:val="1"/>
      <w:numFmt w:val="lowerLetter"/>
      <w:lvlText w:val="%5."/>
      <w:lvlJc w:val="left"/>
      <w:pPr>
        <w:ind w:left="3600" w:hanging="360"/>
      </w:pPr>
    </w:lvl>
    <w:lvl w:ilvl="5" w:tplc="EF1A6A5C">
      <w:start w:val="1"/>
      <w:numFmt w:val="lowerRoman"/>
      <w:lvlText w:val="%6."/>
      <w:lvlJc w:val="right"/>
      <w:pPr>
        <w:ind w:left="4320" w:hanging="180"/>
      </w:pPr>
    </w:lvl>
    <w:lvl w:ilvl="6" w:tplc="ECF4FF38">
      <w:start w:val="1"/>
      <w:numFmt w:val="decimal"/>
      <w:lvlText w:val="%7."/>
      <w:lvlJc w:val="left"/>
      <w:pPr>
        <w:ind w:left="5040" w:hanging="360"/>
      </w:pPr>
    </w:lvl>
    <w:lvl w:ilvl="7" w:tplc="95BE40CC">
      <w:start w:val="1"/>
      <w:numFmt w:val="lowerLetter"/>
      <w:lvlText w:val="%8."/>
      <w:lvlJc w:val="left"/>
      <w:pPr>
        <w:ind w:left="5760" w:hanging="360"/>
      </w:pPr>
    </w:lvl>
    <w:lvl w:ilvl="8" w:tplc="4BAC9E9A">
      <w:start w:val="1"/>
      <w:numFmt w:val="lowerRoman"/>
      <w:lvlText w:val="%9."/>
      <w:lvlJc w:val="right"/>
      <w:pPr>
        <w:ind w:left="6480" w:hanging="180"/>
      </w:pPr>
    </w:lvl>
  </w:abstractNum>
  <w:abstractNum w:abstractNumId="18" w15:restartNumberingAfterBreak="0">
    <w:nsid w:val="7E68FE28"/>
    <w:multiLevelType w:val="hybridMultilevel"/>
    <w:tmpl w:val="E9061BA2"/>
    <w:lvl w:ilvl="0" w:tplc="68BA3086">
      <w:start w:val="1"/>
      <w:numFmt w:val="bullet"/>
      <w:lvlText w:val=""/>
      <w:lvlJc w:val="left"/>
      <w:pPr>
        <w:ind w:left="720" w:hanging="360"/>
      </w:pPr>
      <w:rPr>
        <w:rFonts w:ascii="Symbol" w:hAnsi="Symbol" w:hint="default"/>
      </w:rPr>
    </w:lvl>
    <w:lvl w:ilvl="1" w:tplc="ED464CC4">
      <w:start w:val="1"/>
      <w:numFmt w:val="bullet"/>
      <w:lvlText w:val="o"/>
      <w:lvlJc w:val="left"/>
      <w:pPr>
        <w:ind w:left="1440" w:hanging="360"/>
      </w:pPr>
      <w:rPr>
        <w:rFonts w:ascii="Courier New" w:hAnsi="Courier New" w:hint="default"/>
      </w:rPr>
    </w:lvl>
    <w:lvl w:ilvl="2" w:tplc="87403D74">
      <w:start w:val="1"/>
      <w:numFmt w:val="bullet"/>
      <w:lvlText w:val=""/>
      <w:lvlJc w:val="left"/>
      <w:pPr>
        <w:ind w:left="2160" w:hanging="360"/>
      </w:pPr>
      <w:rPr>
        <w:rFonts w:ascii="Wingdings" w:hAnsi="Wingdings" w:hint="default"/>
      </w:rPr>
    </w:lvl>
    <w:lvl w:ilvl="3" w:tplc="F42E0A80">
      <w:start w:val="1"/>
      <w:numFmt w:val="bullet"/>
      <w:lvlText w:val=""/>
      <w:lvlJc w:val="left"/>
      <w:pPr>
        <w:ind w:left="2880" w:hanging="360"/>
      </w:pPr>
      <w:rPr>
        <w:rFonts w:ascii="Symbol" w:hAnsi="Symbol" w:hint="default"/>
      </w:rPr>
    </w:lvl>
    <w:lvl w:ilvl="4" w:tplc="13B429B6">
      <w:start w:val="1"/>
      <w:numFmt w:val="bullet"/>
      <w:lvlText w:val="o"/>
      <w:lvlJc w:val="left"/>
      <w:pPr>
        <w:ind w:left="3600" w:hanging="360"/>
      </w:pPr>
      <w:rPr>
        <w:rFonts w:ascii="Courier New" w:hAnsi="Courier New" w:hint="default"/>
      </w:rPr>
    </w:lvl>
    <w:lvl w:ilvl="5" w:tplc="6F8474F0">
      <w:start w:val="1"/>
      <w:numFmt w:val="bullet"/>
      <w:lvlText w:val=""/>
      <w:lvlJc w:val="left"/>
      <w:pPr>
        <w:ind w:left="4320" w:hanging="360"/>
      </w:pPr>
      <w:rPr>
        <w:rFonts w:ascii="Wingdings" w:hAnsi="Wingdings" w:hint="default"/>
      </w:rPr>
    </w:lvl>
    <w:lvl w:ilvl="6" w:tplc="766EE8BA">
      <w:start w:val="1"/>
      <w:numFmt w:val="bullet"/>
      <w:lvlText w:val=""/>
      <w:lvlJc w:val="left"/>
      <w:pPr>
        <w:ind w:left="5040" w:hanging="360"/>
      </w:pPr>
      <w:rPr>
        <w:rFonts w:ascii="Symbol" w:hAnsi="Symbol" w:hint="default"/>
      </w:rPr>
    </w:lvl>
    <w:lvl w:ilvl="7" w:tplc="BC881F94">
      <w:start w:val="1"/>
      <w:numFmt w:val="bullet"/>
      <w:lvlText w:val="o"/>
      <w:lvlJc w:val="left"/>
      <w:pPr>
        <w:ind w:left="5760" w:hanging="360"/>
      </w:pPr>
      <w:rPr>
        <w:rFonts w:ascii="Courier New" w:hAnsi="Courier New" w:hint="default"/>
      </w:rPr>
    </w:lvl>
    <w:lvl w:ilvl="8" w:tplc="F1CA5528">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5"/>
  </w:num>
  <w:num w:numId="14">
    <w:abstractNumId w:val="11"/>
  </w:num>
  <w:num w:numId="15">
    <w:abstractNumId w:val="1"/>
  </w:num>
  <w:num w:numId="16">
    <w:abstractNumId w:val="2"/>
  </w:num>
  <w:num w:numId="17">
    <w:abstractNumId w:val="7"/>
  </w:num>
  <w:num w:numId="18">
    <w:abstractNumId w:val="4"/>
  </w:num>
  <w:num w:numId="19">
    <w:abstractNumId w:val="8"/>
  </w:num>
  <w:num w:numId="20">
    <w:abstractNumId w:val="10"/>
  </w:num>
  <w:num w:numId="21">
    <w:abstractNumId w:val="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9B882D96-072C-4963-A09D-2C14F75A3D2C"/>
    <w:docVar w:name="LW_COVERPAGE_TYPE" w:val="1"/>
    <w:docVar w:name="LW_CROSSREFERENCE" w:val="{SWD(2023) 346 final}"/>
    <w:docVar w:name="LW_DocType" w:val="NORMAL"/>
    <w:docVar w:name="LW_EMISSION" w:val="31.10.2023"/>
    <w:docVar w:name="LW_EMISSION_ISODATE" w:val="2023-10-31"/>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65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functioning of the European carbon market in 2022 pursuant to Articles 10(5) and 21(2) of Directive 2003/87/EC"/>
    <w:docVar w:name="LW_TYPE.DOC.CP" w:val="REPORT FROM THE COMMISSION TO THE EUROPEAN PARLIAMENT AND THE COUNCIL"/>
    <w:docVar w:name="LwApiVersions" w:val="LW4CoDe 1.23.2.0; LW 8.0, Build 20211117"/>
  </w:docVars>
  <w:rsids>
    <w:rsidRoot w:val="00B40A87"/>
    <w:rsid w:val="00000126"/>
    <w:rsid w:val="000001AE"/>
    <w:rsid w:val="00000739"/>
    <w:rsid w:val="00001574"/>
    <w:rsid w:val="0000275A"/>
    <w:rsid w:val="00003464"/>
    <w:rsid w:val="0000397B"/>
    <w:rsid w:val="00004664"/>
    <w:rsid w:val="000046F3"/>
    <w:rsid w:val="00004726"/>
    <w:rsid w:val="0000712D"/>
    <w:rsid w:val="0000724F"/>
    <w:rsid w:val="00010723"/>
    <w:rsid w:val="00010B90"/>
    <w:rsid w:val="00011092"/>
    <w:rsid w:val="00011207"/>
    <w:rsid w:val="00011708"/>
    <w:rsid w:val="00012334"/>
    <w:rsid w:val="000128A8"/>
    <w:rsid w:val="00012B1D"/>
    <w:rsid w:val="00014F4A"/>
    <w:rsid w:val="00015150"/>
    <w:rsid w:val="00015A22"/>
    <w:rsid w:val="0001714F"/>
    <w:rsid w:val="00017BF6"/>
    <w:rsid w:val="000209F9"/>
    <w:rsid w:val="00020F29"/>
    <w:rsid w:val="00022AF0"/>
    <w:rsid w:val="00023E24"/>
    <w:rsid w:val="000241DD"/>
    <w:rsid w:val="0002459E"/>
    <w:rsid w:val="00024606"/>
    <w:rsid w:val="00024A58"/>
    <w:rsid w:val="00025224"/>
    <w:rsid w:val="00025439"/>
    <w:rsid w:val="000256B2"/>
    <w:rsid w:val="000259B1"/>
    <w:rsid w:val="000259C2"/>
    <w:rsid w:val="00026253"/>
    <w:rsid w:val="00026BE4"/>
    <w:rsid w:val="00031BAC"/>
    <w:rsid w:val="000320FD"/>
    <w:rsid w:val="000323E4"/>
    <w:rsid w:val="0003433D"/>
    <w:rsid w:val="00034A7F"/>
    <w:rsid w:val="00034B11"/>
    <w:rsid w:val="00034B3D"/>
    <w:rsid w:val="0003538D"/>
    <w:rsid w:val="0003579D"/>
    <w:rsid w:val="00035A5D"/>
    <w:rsid w:val="00035C79"/>
    <w:rsid w:val="00035C94"/>
    <w:rsid w:val="00035EF1"/>
    <w:rsid w:val="00036963"/>
    <w:rsid w:val="00037C08"/>
    <w:rsid w:val="00040CF8"/>
    <w:rsid w:val="00040F43"/>
    <w:rsid w:val="000413F5"/>
    <w:rsid w:val="00042085"/>
    <w:rsid w:val="00042335"/>
    <w:rsid w:val="00045D8A"/>
    <w:rsid w:val="00046CA0"/>
    <w:rsid w:val="0004715E"/>
    <w:rsid w:val="00047757"/>
    <w:rsid w:val="00051663"/>
    <w:rsid w:val="00051FA8"/>
    <w:rsid w:val="00052289"/>
    <w:rsid w:val="00053DA9"/>
    <w:rsid w:val="00053E98"/>
    <w:rsid w:val="00053FC6"/>
    <w:rsid w:val="00054625"/>
    <w:rsid w:val="00054838"/>
    <w:rsid w:val="000548CE"/>
    <w:rsid w:val="00054F71"/>
    <w:rsid w:val="00056873"/>
    <w:rsid w:val="00056F16"/>
    <w:rsid w:val="000578F1"/>
    <w:rsid w:val="0006022B"/>
    <w:rsid w:val="000629A0"/>
    <w:rsid w:val="0006444B"/>
    <w:rsid w:val="00064EC4"/>
    <w:rsid w:val="000651BB"/>
    <w:rsid w:val="00065439"/>
    <w:rsid w:val="00065B30"/>
    <w:rsid w:val="00065E7A"/>
    <w:rsid w:val="0006611E"/>
    <w:rsid w:val="00067136"/>
    <w:rsid w:val="0007141E"/>
    <w:rsid w:val="00071669"/>
    <w:rsid w:val="00071F37"/>
    <w:rsid w:val="000732A9"/>
    <w:rsid w:val="0007363B"/>
    <w:rsid w:val="000744CF"/>
    <w:rsid w:val="00074A72"/>
    <w:rsid w:val="00074D7A"/>
    <w:rsid w:val="00074EE1"/>
    <w:rsid w:val="00075ABF"/>
    <w:rsid w:val="000761CA"/>
    <w:rsid w:val="000766BE"/>
    <w:rsid w:val="000768C9"/>
    <w:rsid w:val="00076DD4"/>
    <w:rsid w:val="00077E01"/>
    <w:rsid w:val="00077F7C"/>
    <w:rsid w:val="000803A9"/>
    <w:rsid w:val="000811C6"/>
    <w:rsid w:val="00081E9E"/>
    <w:rsid w:val="00082290"/>
    <w:rsid w:val="000822FA"/>
    <w:rsid w:val="0008265E"/>
    <w:rsid w:val="00082E9E"/>
    <w:rsid w:val="00084562"/>
    <w:rsid w:val="00084E08"/>
    <w:rsid w:val="00085809"/>
    <w:rsid w:val="00086DDD"/>
    <w:rsid w:val="000871C5"/>
    <w:rsid w:val="000872BC"/>
    <w:rsid w:val="0008765C"/>
    <w:rsid w:val="00087D70"/>
    <w:rsid w:val="00091A11"/>
    <w:rsid w:val="00091BEE"/>
    <w:rsid w:val="00092714"/>
    <w:rsid w:val="000928C6"/>
    <w:rsid w:val="000928F9"/>
    <w:rsid w:val="00092CDE"/>
    <w:rsid w:val="00092CE7"/>
    <w:rsid w:val="0009356B"/>
    <w:rsid w:val="00093C93"/>
    <w:rsid w:val="00094687"/>
    <w:rsid w:val="000951D7"/>
    <w:rsid w:val="00095435"/>
    <w:rsid w:val="000973FF"/>
    <w:rsid w:val="00097766"/>
    <w:rsid w:val="000A2B21"/>
    <w:rsid w:val="000A3B58"/>
    <w:rsid w:val="000A3DE3"/>
    <w:rsid w:val="000A3EAE"/>
    <w:rsid w:val="000A42BF"/>
    <w:rsid w:val="000A53A1"/>
    <w:rsid w:val="000A780D"/>
    <w:rsid w:val="000B0055"/>
    <w:rsid w:val="000B06A0"/>
    <w:rsid w:val="000B0A1A"/>
    <w:rsid w:val="000B0CE3"/>
    <w:rsid w:val="000B1963"/>
    <w:rsid w:val="000B1E22"/>
    <w:rsid w:val="000B1EDB"/>
    <w:rsid w:val="000B2189"/>
    <w:rsid w:val="000B24A9"/>
    <w:rsid w:val="000B25CA"/>
    <w:rsid w:val="000B261A"/>
    <w:rsid w:val="000B34AF"/>
    <w:rsid w:val="000B5C89"/>
    <w:rsid w:val="000B63A1"/>
    <w:rsid w:val="000B654B"/>
    <w:rsid w:val="000B6ACB"/>
    <w:rsid w:val="000B78FA"/>
    <w:rsid w:val="000B79A0"/>
    <w:rsid w:val="000C036C"/>
    <w:rsid w:val="000C17F5"/>
    <w:rsid w:val="000C1A98"/>
    <w:rsid w:val="000C1B7E"/>
    <w:rsid w:val="000C22D3"/>
    <w:rsid w:val="000C26DD"/>
    <w:rsid w:val="000C329C"/>
    <w:rsid w:val="000C346D"/>
    <w:rsid w:val="000C3C6D"/>
    <w:rsid w:val="000C4186"/>
    <w:rsid w:val="000C4AA7"/>
    <w:rsid w:val="000C55F4"/>
    <w:rsid w:val="000C6282"/>
    <w:rsid w:val="000C68A0"/>
    <w:rsid w:val="000C72DF"/>
    <w:rsid w:val="000C7C8E"/>
    <w:rsid w:val="000D003C"/>
    <w:rsid w:val="000D0202"/>
    <w:rsid w:val="000D0492"/>
    <w:rsid w:val="000D07C6"/>
    <w:rsid w:val="000D122A"/>
    <w:rsid w:val="000D13A3"/>
    <w:rsid w:val="000D1838"/>
    <w:rsid w:val="000D37D6"/>
    <w:rsid w:val="000D49DF"/>
    <w:rsid w:val="000D562F"/>
    <w:rsid w:val="000D5F77"/>
    <w:rsid w:val="000D638F"/>
    <w:rsid w:val="000D71BB"/>
    <w:rsid w:val="000D77E0"/>
    <w:rsid w:val="000D7B3A"/>
    <w:rsid w:val="000E05F7"/>
    <w:rsid w:val="000E0C17"/>
    <w:rsid w:val="000E0F2B"/>
    <w:rsid w:val="000E1220"/>
    <w:rsid w:val="000E1CD4"/>
    <w:rsid w:val="000E32E0"/>
    <w:rsid w:val="000E3ED1"/>
    <w:rsid w:val="000E4841"/>
    <w:rsid w:val="000E4928"/>
    <w:rsid w:val="000E4A0C"/>
    <w:rsid w:val="000E4CC5"/>
    <w:rsid w:val="000E4D3D"/>
    <w:rsid w:val="000E5AF4"/>
    <w:rsid w:val="000F0431"/>
    <w:rsid w:val="000F1CEE"/>
    <w:rsid w:val="000F1E4A"/>
    <w:rsid w:val="000F3876"/>
    <w:rsid w:val="000F4A2C"/>
    <w:rsid w:val="000F4FDC"/>
    <w:rsid w:val="000F545B"/>
    <w:rsid w:val="000F5C10"/>
    <w:rsid w:val="000F6E2C"/>
    <w:rsid w:val="000F7422"/>
    <w:rsid w:val="00100AB6"/>
    <w:rsid w:val="0010150C"/>
    <w:rsid w:val="00101519"/>
    <w:rsid w:val="00101AAA"/>
    <w:rsid w:val="00101D04"/>
    <w:rsid w:val="0010230F"/>
    <w:rsid w:val="001025FB"/>
    <w:rsid w:val="00102912"/>
    <w:rsid w:val="00102ACA"/>
    <w:rsid w:val="00102AF2"/>
    <w:rsid w:val="00103AC8"/>
    <w:rsid w:val="00107583"/>
    <w:rsid w:val="00110745"/>
    <w:rsid w:val="00112112"/>
    <w:rsid w:val="00112341"/>
    <w:rsid w:val="0011317D"/>
    <w:rsid w:val="00113CCC"/>
    <w:rsid w:val="0011426C"/>
    <w:rsid w:val="00120853"/>
    <w:rsid w:val="00120A96"/>
    <w:rsid w:val="001223BF"/>
    <w:rsid w:val="001226F0"/>
    <w:rsid w:val="0012292F"/>
    <w:rsid w:val="00122AC9"/>
    <w:rsid w:val="00123FA0"/>
    <w:rsid w:val="0012514D"/>
    <w:rsid w:val="001257AC"/>
    <w:rsid w:val="00126585"/>
    <w:rsid w:val="00127FB3"/>
    <w:rsid w:val="00132039"/>
    <w:rsid w:val="001322FE"/>
    <w:rsid w:val="00132BCA"/>
    <w:rsid w:val="00133147"/>
    <w:rsid w:val="0013387A"/>
    <w:rsid w:val="00133B24"/>
    <w:rsid w:val="00135DC0"/>
    <w:rsid w:val="001363A0"/>
    <w:rsid w:val="001363DF"/>
    <w:rsid w:val="0013689C"/>
    <w:rsid w:val="0014107C"/>
    <w:rsid w:val="00141B3E"/>
    <w:rsid w:val="00142695"/>
    <w:rsid w:val="0014315E"/>
    <w:rsid w:val="00144E08"/>
    <w:rsid w:val="00145969"/>
    <w:rsid w:val="00145CFF"/>
    <w:rsid w:val="00145DDF"/>
    <w:rsid w:val="00146754"/>
    <w:rsid w:val="00146EC7"/>
    <w:rsid w:val="00150562"/>
    <w:rsid w:val="00151628"/>
    <w:rsid w:val="00151ADB"/>
    <w:rsid w:val="00151FD3"/>
    <w:rsid w:val="00153413"/>
    <w:rsid w:val="001534A3"/>
    <w:rsid w:val="00154CFA"/>
    <w:rsid w:val="001563CE"/>
    <w:rsid w:val="001568B7"/>
    <w:rsid w:val="001569F7"/>
    <w:rsid w:val="00156D23"/>
    <w:rsid w:val="00156D2F"/>
    <w:rsid w:val="00157B0E"/>
    <w:rsid w:val="00157BA1"/>
    <w:rsid w:val="00157E17"/>
    <w:rsid w:val="0016012A"/>
    <w:rsid w:val="00160B01"/>
    <w:rsid w:val="00160FFE"/>
    <w:rsid w:val="00161178"/>
    <w:rsid w:val="00161560"/>
    <w:rsid w:val="00161F28"/>
    <w:rsid w:val="001620BA"/>
    <w:rsid w:val="00162664"/>
    <w:rsid w:val="0016280C"/>
    <w:rsid w:val="00162B0C"/>
    <w:rsid w:val="00162E57"/>
    <w:rsid w:val="001630D7"/>
    <w:rsid w:val="001642A1"/>
    <w:rsid w:val="0016462B"/>
    <w:rsid w:val="00164F18"/>
    <w:rsid w:val="001658CF"/>
    <w:rsid w:val="00167890"/>
    <w:rsid w:val="00171038"/>
    <w:rsid w:val="001713C6"/>
    <w:rsid w:val="00171E50"/>
    <w:rsid w:val="001723DB"/>
    <w:rsid w:val="001729CF"/>
    <w:rsid w:val="00173567"/>
    <w:rsid w:val="00173644"/>
    <w:rsid w:val="00175674"/>
    <w:rsid w:val="00175BA6"/>
    <w:rsid w:val="00177CE5"/>
    <w:rsid w:val="00181496"/>
    <w:rsid w:val="00181E0C"/>
    <w:rsid w:val="00182AF1"/>
    <w:rsid w:val="0018334E"/>
    <w:rsid w:val="00184DB4"/>
    <w:rsid w:val="00185F55"/>
    <w:rsid w:val="001863A5"/>
    <w:rsid w:val="00187C46"/>
    <w:rsid w:val="001902D9"/>
    <w:rsid w:val="00190883"/>
    <w:rsid w:val="00190C3E"/>
    <w:rsid w:val="00192970"/>
    <w:rsid w:val="0019369B"/>
    <w:rsid w:val="001940AC"/>
    <w:rsid w:val="00195986"/>
    <w:rsid w:val="0019629A"/>
    <w:rsid w:val="001968B3"/>
    <w:rsid w:val="00196A88"/>
    <w:rsid w:val="0019765F"/>
    <w:rsid w:val="001A1B55"/>
    <w:rsid w:val="001A350D"/>
    <w:rsid w:val="001A36D8"/>
    <w:rsid w:val="001A3B43"/>
    <w:rsid w:val="001A3D3D"/>
    <w:rsid w:val="001A3DBA"/>
    <w:rsid w:val="001A471C"/>
    <w:rsid w:val="001A59A4"/>
    <w:rsid w:val="001A6756"/>
    <w:rsid w:val="001B0E1E"/>
    <w:rsid w:val="001B13D2"/>
    <w:rsid w:val="001B18D7"/>
    <w:rsid w:val="001B2263"/>
    <w:rsid w:val="001B2E45"/>
    <w:rsid w:val="001B2EC5"/>
    <w:rsid w:val="001B3017"/>
    <w:rsid w:val="001B3FAA"/>
    <w:rsid w:val="001B405D"/>
    <w:rsid w:val="001B4767"/>
    <w:rsid w:val="001B4C3D"/>
    <w:rsid w:val="001B56B1"/>
    <w:rsid w:val="001B5DCE"/>
    <w:rsid w:val="001B5E79"/>
    <w:rsid w:val="001B6047"/>
    <w:rsid w:val="001B6FBD"/>
    <w:rsid w:val="001B7A30"/>
    <w:rsid w:val="001B7A74"/>
    <w:rsid w:val="001C0173"/>
    <w:rsid w:val="001C10B1"/>
    <w:rsid w:val="001C12BB"/>
    <w:rsid w:val="001C1FD7"/>
    <w:rsid w:val="001C2080"/>
    <w:rsid w:val="001C246A"/>
    <w:rsid w:val="001C558C"/>
    <w:rsid w:val="001C6DCF"/>
    <w:rsid w:val="001C71DC"/>
    <w:rsid w:val="001C7378"/>
    <w:rsid w:val="001C7507"/>
    <w:rsid w:val="001C7A8E"/>
    <w:rsid w:val="001C7FB0"/>
    <w:rsid w:val="001D1005"/>
    <w:rsid w:val="001D162F"/>
    <w:rsid w:val="001D1F5F"/>
    <w:rsid w:val="001D1FD7"/>
    <w:rsid w:val="001D2459"/>
    <w:rsid w:val="001D2856"/>
    <w:rsid w:val="001D32C1"/>
    <w:rsid w:val="001D3360"/>
    <w:rsid w:val="001D3891"/>
    <w:rsid w:val="001D3FA7"/>
    <w:rsid w:val="001D45AD"/>
    <w:rsid w:val="001D4AB5"/>
    <w:rsid w:val="001D4D78"/>
    <w:rsid w:val="001D4E5D"/>
    <w:rsid w:val="001D5A45"/>
    <w:rsid w:val="001D6352"/>
    <w:rsid w:val="001D6CAA"/>
    <w:rsid w:val="001D7156"/>
    <w:rsid w:val="001E02F8"/>
    <w:rsid w:val="001E0CD7"/>
    <w:rsid w:val="001E1B5B"/>
    <w:rsid w:val="001E1BB9"/>
    <w:rsid w:val="001E2184"/>
    <w:rsid w:val="001E3725"/>
    <w:rsid w:val="001E38CD"/>
    <w:rsid w:val="001E3DA0"/>
    <w:rsid w:val="001E3EBB"/>
    <w:rsid w:val="001E4256"/>
    <w:rsid w:val="001E4B69"/>
    <w:rsid w:val="001E58DB"/>
    <w:rsid w:val="001E6620"/>
    <w:rsid w:val="001E7394"/>
    <w:rsid w:val="001E7A7E"/>
    <w:rsid w:val="001E7F27"/>
    <w:rsid w:val="001F03B7"/>
    <w:rsid w:val="001F0817"/>
    <w:rsid w:val="001F0A89"/>
    <w:rsid w:val="001F1B4A"/>
    <w:rsid w:val="001F2120"/>
    <w:rsid w:val="001F2B04"/>
    <w:rsid w:val="001F4FE2"/>
    <w:rsid w:val="001F52CF"/>
    <w:rsid w:val="001F6052"/>
    <w:rsid w:val="001F675E"/>
    <w:rsid w:val="001F6C54"/>
    <w:rsid w:val="002006D2"/>
    <w:rsid w:val="00200850"/>
    <w:rsid w:val="00200D13"/>
    <w:rsid w:val="00200FB8"/>
    <w:rsid w:val="0020159D"/>
    <w:rsid w:val="00201D5C"/>
    <w:rsid w:val="00202F76"/>
    <w:rsid w:val="002030C1"/>
    <w:rsid w:val="002030EF"/>
    <w:rsid w:val="002040B6"/>
    <w:rsid w:val="0020466D"/>
    <w:rsid w:val="002053B1"/>
    <w:rsid w:val="0020557D"/>
    <w:rsid w:val="00205D35"/>
    <w:rsid w:val="002064C5"/>
    <w:rsid w:val="002065FE"/>
    <w:rsid w:val="00206DB0"/>
    <w:rsid w:val="00207543"/>
    <w:rsid w:val="0020763B"/>
    <w:rsid w:val="00210173"/>
    <w:rsid w:val="002101DD"/>
    <w:rsid w:val="00210DC3"/>
    <w:rsid w:val="00212144"/>
    <w:rsid w:val="00213343"/>
    <w:rsid w:val="00213D89"/>
    <w:rsid w:val="00213DEE"/>
    <w:rsid w:val="00215683"/>
    <w:rsid w:val="00215C02"/>
    <w:rsid w:val="002163A4"/>
    <w:rsid w:val="00217E81"/>
    <w:rsid w:val="00220231"/>
    <w:rsid w:val="00220430"/>
    <w:rsid w:val="002208B5"/>
    <w:rsid w:val="002208DE"/>
    <w:rsid w:val="00221171"/>
    <w:rsid w:val="002215BC"/>
    <w:rsid w:val="002216E1"/>
    <w:rsid w:val="00221BFA"/>
    <w:rsid w:val="00222C90"/>
    <w:rsid w:val="00223D73"/>
    <w:rsid w:val="002249FC"/>
    <w:rsid w:val="00224B6C"/>
    <w:rsid w:val="00224C44"/>
    <w:rsid w:val="0022538E"/>
    <w:rsid w:val="0022576A"/>
    <w:rsid w:val="00225E3E"/>
    <w:rsid w:val="00226079"/>
    <w:rsid w:val="00226156"/>
    <w:rsid w:val="0022617A"/>
    <w:rsid w:val="002262DB"/>
    <w:rsid w:val="00226815"/>
    <w:rsid w:val="00226E8E"/>
    <w:rsid w:val="00226EE2"/>
    <w:rsid w:val="0023049F"/>
    <w:rsid w:val="00232AEC"/>
    <w:rsid w:val="00232D5A"/>
    <w:rsid w:val="00232F47"/>
    <w:rsid w:val="00233018"/>
    <w:rsid w:val="00233F58"/>
    <w:rsid w:val="00236CE9"/>
    <w:rsid w:val="00236F79"/>
    <w:rsid w:val="0023775A"/>
    <w:rsid w:val="002402F3"/>
    <w:rsid w:val="00240ABF"/>
    <w:rsid w:val="002410F8"/>
    <w:rsid w:val="00241334"/>
    <w:rsid w:val="00242603"/>
    <w:rsid w:val="00243730"/>
    <w:rsid w:val="00243A73"/>
    <w:rsid w:val="00244D6A"/>
    <w:rsid w:val="00246744"/>
    <w:rsid w:val="00246DDB"/>
    <w:rsid w:val="00246E08"/>
    <w:rsid w:val="00250B7A"/>
    <w:rsid w:val="00251652"/>
    <w:rsid w:val="00251E11"/>
    <w:rsid w:val="00251E67"/>
    <w:rsid w:val="00251EF6"/>
    <w:rsid w:val="0025271D"/>
    <w:rsid w:val="00252E7E"/>
    <w:rsid w:val="002531EA"/>
    <w:rsid w:val="0025338B"/>
    <w:rsid w:val="0025340D"/>
    <w:rsid w:val="00253F3A"/>
    <w:rsid w:val="0025576B"/>
    <w:rsid w:val="00256514"/>
    <w:rsid w:val="0025661A"/>
    <w:rsid w:val="0025721B"/>
    <w:rsid w:val="00257ABB"/>
    <w:rsid w:val="0026056F"/>
    <w:rsid w:val="00260BC9"/>
    <w:rsid w:val="0026301D"/>
    <w:rsid w:val="00263185"/>
    <w:rsid w:val="00263EBB"/>
    <w:rsid w:val="002644C7"/>
    <w:rsid w:val="00264B64"/>
    <w:rsid w:val="00264F78"/>
    <w:rsid w:val="00264FDA"/>
    <w:rsid w:val="00266290"/>
    <w:rsid w:val="0026647C"/>
    <w:rsid w:val="00267438"/>
    <w:rsid w:val="00267464"/>
    <w:rsid w:val="0027067E"/>
    <w:rsid w:val="00270E83"/>
    <w:rsid w:val="002713E0"/>
    <w:rsid w:val="002715DB"/>
    <w:rsid w:val="00272054"/>
    <w:rsid w:val="00272649"/>
    <w:rsid w:val="00272F77"/>
    <w:rsid w:val="00273793"/>
    <w:rsid w:val="00273826"/>
    <w:rsid w:val="0027383F"/>
    <w:rsid w:val="002741B5"/>
    <w:rsid w:val="002742F0"/>
    <w:rsid w:val="0027496B"/>
    <w:rsid w:val="002752BC"/>
    <w:rsid w:val="00275F99"/>
    <w:rsid w:val="0027627C"/>
    <w:rsid w:val="00276375"/>
    <w:rsid w:val="0027755F"/>
    <w:rsid w:val="00277E9E"/>
    <w:rsid w:val="00280913"/>
    <w:rsid w:val="0028130B"/>
    <w:rsid w:val="00281954"/>
    <w:rsid w:val="00285E38"/>
    <w:rsid w:val="002865CF"/>
    <w:rsid w:val="00286BA6"/>
    <w:rsid w:val="00286C35"/>
    <w:rsid w:val="0028708A"/>
    <w:rsid w:val="00287AE0"/>
    <w:rsid w:val="00287BE6"/>
    <w:rsid w:val="00287E1B"/>
    <w:rsid w:val="002903D5"/>
    <w:rsid w:val="0029097A"/>
    <w:rsid w:val="0029097D"/>
    <w:rsid w:val="0029120B"/>
    <w:rsid w:val="00291B56"/>
    <w:rsid w:val="00292102"/>
    <w:rsid w:val="00292AA4"/>
    <w:rsid w:val="00292E4F"/>
    <w:rsid w:val="0029342C"/>
    <w:rsid w:val="0029574A"/>
    <w:rsid w:val="002958D3"/>
    <w:rsid w:val="00295FBD"/>
    <w:rsid w:val="00296428"/>
    <w:rsid w:val="002966C4"/>
    <w:rsid w:val="00296B91"/>
    <w:rsid w:val="00297B73"/>
    <w:rsid w:val="00297C21"/>
    <w:rsid w:val="002A1067"/>
    <w:rsid w:val="002A1A51"/>
    <w:rsid w:val="002A1CA1"/>
    <w:rsid w:val="002A1EA5"/>
    <w:rsid w:val="002A2CAC"/>
    <w:rsid w:val="002A2FD3"/>
    <w:rsid w:val="002A3EB1"/>
    <w:rsid w:val="002A436D"/>
    <w:rsid w:val="002A5D50"/>
    <w:rsid w:val="002A6371"/>
    <w:rsid w:val="002A6B05"/>
    <w:rsid w:val="002A7F0F"/>
    <w:rsid w:val="002B0985"/>
    <w:rsid w:val="002B0B3C"/>
    <w:rsid w:val="002B0C71"/>
    <w:rsid w:val="002B128F"/>
    <w:rsid w:val="002B2BC3"/>
    <w:rsid w:val="002B2F29"/>
    <w:rsid w:val="002B4353"/>
    <w:rsid w:val="002B4943"/>
    <w:rsid w:val="002B5395"/>
    <w:rsid w:val="002B62CA"/>
    <w:rsid w:val="002B6BD0"/>
    <w:rsid w:val="002B6CC3"/>
    <w:rsid w:val="002B7305"/>
    <w:rsid w:val="002B78DF"/>
    <w:rsid w:val="002B7912"/>
    <w:rsid w:val="002B7C0C"/>
    <w:rsid w:val="002C0C0E"/>
    <w:rsid w:val="002C121C"/>
    <w:rsid w:val="002C1FD9"/>
    <w:rsid w:val="002C3362"/>
    <w:rsid w:val="002C3A96"/>
    <w:rsid w:val="002C48DF"/>
    <w:rsid w:val="002C7F0C"/>
    <w:rsid w:val="002D00D2"/>
    <w:rsid w:val="002D0EE9"/>
    <w:rsid w:val="002D0FCC"/>
    <w:rsid w:val="002D10B1"/>
    <w:rsid w:val="002D1C4B"/>
    <w:rsid w:val="002D240E"/>
    <w:rsid w:val="002D2D29"/>
    <w:rsid w:val="002D34A5"/>
    <w:rsid w:val="002D3D6B"/>
    <w:rsid w:val="002D4AEA"/>
    <w:rsid w:val="002D4F36"/>
    <w:rsid w:val="002D5A62"/>
    <w:rsid w:val="002D7854"/>
    <w:rsid w:val="002D7D39"/>
    <w:rsid w:val="002E0CC1"/>
    <w:rsid w:val="002E1932"/>
    <w:rsid w:val="002E2BA1"/>
    <w:rsid w:val="002E4BAC"/>
    <w:rsid w:val="002E52D9"/>
    <w:rsid w:val="002E55E5"/>
    <w:rsid w:val="002E5693"/>
    <w:rsid w:val="002E72BC"/>
    <w:rsid w:val="002E74F9"/>
    <w:rsid w:val="002E7C77"/>
    <w:rsid w:val="002E7CFA"/>
    <w:rsid w:val="002F129E"/>
    <w:rsid w:val="002F2047"/>
    <w:rsid w:val="002F32FA"/>
    <w:rsid w:val="002F3AE3"/>
    <w:rsid w:val="002F47C4"/>
    <w:rsid w:val="002F51C2"/>
    <w:rsid w:val="002F5D11"/>
    <w:rsid w:val="002F603B"/>
    <w:rsid w:val="002F6280"/>
    <w:rsid w:val="002F6FBD"/>
    <w:rsid w:val="002F7E8E"/>
    <w:rsid w:val="00300290"/>
    <w:rsid w:val="003004AD"/>
    <w:rsid w:val="00300A13"/>
    <w:rsid w:val="00300C58"/>
    <w:rsid w:val="003034EC"/>
    <w:rsid w:val="00303D68"/>
    <w:rsid w:val="00304F58"/>
    <w:rsid w:val="00305111"/>
    <w:rsid w:val="00305271"/>
    <w:rsid w:val="0030531E"/>
    <w:rsid w:val="003054F9"/>
    <w:rsid w:val="00306732"/>
    <w:rsid w:val="00306A5A"/>
    <w:rsid w:val="003072F3"/>
    <w:rsid w:val="0030740B"/>
    <w:rsid w:val="0030774D"/>
    <w:rsid w:val="00307C24"/>
    <w:rsid w:val="00307CF5"/>
    <w:rsid w:val="00310424"/>
    <w:rsid w:val="0031099B"/>
    <w:rsid w:val="003109CE"/>
    <w:rsid w:val="00310FFD"/>
    <w:rsid w:val="00311674"/>
    <w:rsid w:val="00311AC8"/>
    <w:rsid w:val="00311F2B"/>
    <w:rsid w:val="003125AF"/>
    <w:rsid w:val="00313EFD"/>
    <w:rsid w:val="00314206"/>
    <w:rsid w:val="0031465E"/>
    <w:rsid w:val="00316175"/>
    <w:rsid w:val="00316458"/>
    <w:rsid w:val="0031688B"/>
    <w:rsid w:val="00321A8A"/>
    <w:rsid w:val="00321E74"/>
    <w:rsid w:val="00321E92"/>
    <w:rsid w:val="0032347B"/>
    <w:rsid w:val="00323FE4"/>
    <w:rsid w:val="00324127"/>
    <w:rsid w:val="0032445C"/>
    <w:rsid w:val="003253CE"/>
    <w:rsid w:val="003271FC"/>
    <w:rsid w:val="0032722E"/>
    <w:rsid w:val="003273C0"/>
    <w:rsid w:val="00327472"/>
    <w:rsid w:val="00330090"/>
    <w:rsid w:val="0033071E"/>
    <w:rsid w:val="00330F5C"/>
    <w:rsid w:val="00331914"/>
    <w:rsid w:val="00332DE8"/>
    <w:rsid w:val="00335A13"/>
    <w:rsid w:val="00335AFE"/>
    <w:rsid w:val="00335DF4"/>
    <w:rsid w:val="0033633B"/>
    <w:rsid w:val="00336801"/>
    <w:rsid w:val="00337D99"/>
    <w:rsid w:val="00337DB0"/>
    <w:rsid w:val="00340840"/>
    <w:rsid w:val="00341153"/>
    <w:rsid w:val="00341441"/>
    <w:rsid w:val="0034230C"/>
    <w:rsid w:val="00342414"/>
    <w:rsid w:val="003428E7"/>
    <w:rsid w:val="003454CE"/>
    <w:rsid w:val="00346A61"/>
    <w:rsid w:val="00346BCD"/>
    <w:rsid w:val="00347335"/>
    <w:rsid w:val="00352473"/>
    <w:rsid w:val="00352554"/>
    <w:rsid w:val="00352D77"/>
    <w:rsid w:val="00354113"/>
    <w:rsid w:val="003558CB"/>
    <w:rsid w:val="00355CAA"/>
    <w:rsid w:val="00355FA9"/>
    <w:rsid w:val="003564CE"/>
    <w:rsid w:val="00356EED"/>
    <w:rsid w:val="00356F91"/>
    <w:rsid w:val="00357164"/>
    <w:rsid w:val="00357BD1"/>
    <w:rsid w:val="00357BFA"/>
    <w:rsid w:val="003603FD"/>
    <w:rsid w:val="00360401"/>
    <w:rsid w:val="00360490"/>
    <w:rsid w:val="0036088C"/>
    <w:rsid w:val="0036146D"/>
    <w:rsid w:val="00362DDF"/>
    <w:rsid w:val="00363808"/>
    <w:rsid w:val="0036464C"/>
    <w:rsid w:val="00366B52"/>
    <w:rsid w:val="00366FA6"/>
    <w:rsid w:val="0037017B"/>
    <w:rsid w:val="00370671"/>
    <w:rsid w:val="00370DF8"/>
    <w:rsid w:val="0037193E"/>
    <w:rsid w:val="00371E26"/>
    <w:rsid w:val="00371F88"/>
    <w:rsid w:val="0037206F"/>
    <w:rsid w:val="00372D13"/>
    <w:rsid w:val="00372ED9"/>
    <w:rsid w:val="003730B9"/>
    <w:rsid w:val="00373633"/>
    <w:rsid w:val="003739A4"/>
    <w:rsid w:val="0037444A"/>
    <w:rsid w:val="00374645"/>
    <w:rsid w:val="003749A0"/>
    <w:rsid w:val="00374BE9"/>
    <w:rsid w:val="00374CAD"/>
    <w:rsid w:val="003761B0"/>
    <w:rsid w:val="00376485"/>
    <w:rsid w:val="003764AB"/>
    <w:rsid w:val="00376963"/>
    <w:rsid w:val="003770A9"/>
    <w:rsid w:val="0037733C"/>
    <w:rsid w:val="00377580"/>
    <w:rsid w:val="00377AB4"/>
    <w:rsid w:val="00380202"/>
    <w:rsid w:val="003805AB"/>
    <w:rsid w:val="00380E01"/>
    <w:rsid w:val="00381E76"/>
    <w:rsid w:val="00382A35"/>
    <w:rsid w:val="0038329A"/>
    <w:rsid w:val="0038516C"/>
    <w:rsid w:val="003860F0"/>
    <w:rsid w:val="0038758D"/>
    <w:rsid w:val="00387E3E"/>
    <w:rsid w:val="00387E51"/>
    <w:rsid w:val="00390615"/>
    <w:rsid w:val="003906B3"/>
    <w:rsid w:val="00390D48"/>
    <w:rsid w:val="00390DEE"/>
    <w:rsid w:val="00390E1F"/>
    <w:rsid w:val="003915C8"/>
    <w:rsid w:val="0039161C"/>
    <w:rsid w:val="00391E4D"/>
    <w:rsid w:val="0039355C"/>
    <w:rsid w:val="003936A4"/>
    <w:rsid w:val="00393994"/>
    <w:rsid w:val="00393C24"/>
    <w:rsid w:val="00393E8F"/>
    <w:rsid w:val="0039533D"/>
    <w:rsid w:val="0039571A"/>
    <w:rsid w:val="0039582F"/>
    <w:rsid w:val="00395B0F"/>
    <w:rsid w:val="00396642"/>
    <w:rsid w:val="00396F4C"/>
    <w:rsid w:val="00397103"/>
    <w:rsid w:val="003974E4"/>
    <w:rsid w:val="00397696"/>
    <w:rsid w:val="003A05D4"/>
    <w:rsid w:val="003A130F"/>
    <w:rsid w:val="003A2B00"/>
    <w:rsid w:val="003A3386"/>
    <w:rsid w:val="003A3747"/>
    <w:rsid w:val="003A3FFD"/>
    <w:rsid w:val="003A43A2"/>
    <w:rsid w:val="003A4969"/>
    <w:rsid w:val="003A5A52"/>
    <w:rsid w:val="003A5E55"/>
    <w:rsid w:val="003A6444"/>
    <w:rsid w:val="003A65CF"/>
    <w:rsid w:val="003A69E7"/>
    <w:rsid w:val="003A7AF0"/>
    <w:rsid w:val="003A7E97"/>
    <w:rsid w:val="003B0287"/>
    <w:rsid w:val="003B0C99"/>
    <w:rsid w:val="003B108D"/>
    <w:rsid w:val="003B1724"/>
    <w:rsid w:val="003B2649"/>
    <w:rsid w:val="003B2DA8"/>
    <w:rsid w:val="003B2FF1"/>
    <w:rsid w:val="003B30BD"/>
    <w:rsid w:val="003B320C"/>
    <w:rsid w:val="003B34E6"/>
    <w:rsid w:val="003B36CC"/>
    <w:rsid w:val="003B3CC3"/>
    <w:rsid w:val="003B4C6D"/>
    <w:rsid w:val="003B594E"/>
    <w:rsid w:val="003B5CC0"/>
    <w:rsid w:val="003B5F71"/>
    <w:rsid w:val="003B6889"/>
    <w:rsid w:val="003B69ED"/>
    <w:rsid w:val="003B7769"/>
    <w:rsid w:val="003C0473"/>
    <w:rsid w:val="003C12CA"/>
    <w:rsid w:val="003C175C"/>
    <w:rsid w:val="003C2104"/>
    <w:rsid w:val="003C2588"/>
    <w:rsid w:val="003C27B7"/>
    <w:rsid w:val="003C2960"/>
    <w:rsid w:val="003C2DCE"/>
    <w:rsid w:val="003C3212"/>
    <w:rsid w:val="003C3B01"/>
    <w:rsid w:val="003C3BA7"/>
    <w:rsid w:val="003C48BC"/>
    <w:rsid w:val="003C48EB"/>
    <w:rsid w:val="003C48EC"/>
    <w:rsid w:val="003C4B0B"/>
    <w:rsid w:val="003C4C2C"/>
    <w:rsid w:val="003C70DF"/>
    <w:rsid w:val="003C7475"/>
    <w:rsid w:val="003D0511"/>
    <w:rsid w:val="003D16CA"/>
    <w:rsid w:val="003D1D03"/>
    <w:rsid w:val="003D20EF"/>
    <w:rsid w:val="003D25B5"/>
    <w:rsid w:val="003D3477"/>
    <w:rsid w:val="003D414B"/>
    <w:rsid w:val="003D4A89"/>
    <w:rsid w:val="003D4D54"/>
    <w:rsid w:val="003D4D69"/>
    <w:rsid w:val="003D56A7"/>
    <w:rsid w:val="003D5767"/>
    <w:rsid w:val="003D6E45"/>
    <w:rsid w:val="003D6E95"/>
    <w:rsid w:val="003D7059"/>
    <w:rsid w:val="003E027F"/>
    <w:rsid w:val="003E086A"/>
    <w:rsid w:val="003E1A63"/>
    <w:rsid w:val="003E1C6F"/>
    <w:rsid w:val="003E1E91"/>
    <w:rsid w:val="003E2506"/>
    <w:rsid w:val="003E25FF"/>
    <w:rsid w:val="003E3047"/>
    <w:rsid w:val="003E374C"/>
    <w:rsid w:val="003E3F08"/>
    <w:rsid w:val="003E408B"/>
    <w:rsid w:val="003E422A"/>
    <w:rsid w:val="003E433F"/>
    <w:rsid w:val="003E437B"/>
    <w:rsid w:val="003E4389"/>
    <w:rsid w:val="003E5007"/>
    <w:rsid w:val="003E5511"/>
    <w:rsid w:val="003E576B"/>
    <w:rsid w:val="003E6034"/>
    <w:rsid w:val="003E603F"/>
    <w:rsid w:val="003E6BF1"/>
    <w:rsid w:val="003E6C44"/>
    <w:rsid w:val="003E7286"/>
    <w:rsid w:val="003E79E8"/>
    <w:rsid w:val="003E7B52"/>
    <w:rsid w:val="003F0C03"/>
    <w:rsid w:val="003F0F92"/>
    <w:rsid w:val="003F1897"/>
    <w:rsid w:val="003F18D2"/>
    <w:rsid w:val="003F435E"/>
    <w:rsid w:val="003F443A"/>
    <w:rsid w:val="003F4469"/>
    <w:rsid w:val="003F5D17"/>
    <w:rsid w:val="003F6642"/>
    <w:rsid w:val="003F69BC"/>
    <w:rsid w:val="003F6CE7"/>
    <w:rsid w:val="003F6E41"/>
    <w:rsid w:val="003F6E83"/>
    <w:rsid w:val="003F7DC6"/>
    <w:rsid w:val="004011D7"/>
    <w:rsid w:val="004011F6"/>
    <w:rsid w:val="0040166C"/>
    <w:rsid w:val="00401BD8"/>
    <w:rsid w:val="00401D49"/>
    <w:rsid w:val="00402035"/>
    <w:rsid w:val="004027FA"/>
    <w:rsid w:val="00403431"/>
    <w:rsid w:val="00403B8A"/>
    <w:rsid w:val="00403D50"/>
    <w:rsid w:val="004050E4"/>
    <w:rsid w:val="004051AF"/>
    <w:rsid w:val="0040562F"/>
    <w:rsid w:val="00405639"/>
    <w:rsid w:val="00405B6F"/>
    <w:rsid w:val="00406D38"/>
    <w:rsid w:val="00406E07"/>
    <w:rsid w:val="004075AD"/>
    <w:rsid w:val="004077AB"/>
    <w:rsid w:val="004100E0"/>
    <w:rsid w:val="004108ED"/>
    <w:rsid w:val="00410E45"/>
    <w:rsid w:val="00410E48"/>
    <w:rsid w:val="00410F73"/>
    <w:rsid w:val="004112B3"/>
    <w:rsid w:val="0041189B"/>
    <w:rsid w:val="00411A74"/>
    <w:rsid w:val="004123AE"/>
    <w:rsid w:val="0041391A"/>
    <w:rsid w:val="00414124"/>
    <w:rsid w:val="00414F46"/>
    <w:rsid w:val="00415D20"/>
    <w:rsid w:val="00416855"/>
    <w:rsid w:val="004173B2"/>
    <w:rsid w:val="00420C1E"/>
    <w:rsid w:val="00420F81"/>
    <w:rsid w:val="00421671"/>
    <w:rsid w:val="00423089"/>
    <w:rsid w:val="00423C24"/>
    <w:rsid w:val="004245B6"/>
    <w:rsid w:val="00424F11"/>
    <w:rsid w:val="00425055"/>
    <w:rsid w:val="00425658"/>
    <w:rsid w:val="004258CD"/>
    <w:rsid w:val="004269EA"/>
    <w:rsid w:val="00426CCF"/>
    <w:rsid w:val="00426E8E"/>
    <w:rsid w:val="00427028"/>
    <w:rsid w:val="0042713E"/>
    <w:rsid w:val="004274C0"/>
    <w:rsid w:val="00427E4E"/>
    <w:rsid w:val="00431D6B"/>
    <w:rsid w:val="00433FB9"/>
    <w:rsid w:val="004348BC"/>
    <w:rsid w:val="00434C4D"/>
    <w:rsid w:val="00434DB2"/>
    <w:rsid w:val="00434E7B"/>
    <w:rsid w:val="0043545D"/>
    <w:rsid w:val="00437054"/>
    <w:rsid w:val="00437B6D"/>
    <w:rsid w:val="004407E4"/>
    <w:rsid w:val="004417D1"/>
    <w:rsid w:val="0044246F"/>
    <w:rsid w:val="00442D08"/>
    <w:rsid w:val="00443B84"/>
    <w:rsid w:val="00443F7D"/>
    <w:rsid w:val="00444145"/>
    <w:rsid w:val="00444D33"/>
    <w:rsid w:val="00445F62"/>
    <w:rsid w:val="004463F9"/>
    <w:rsid w:val="00447043"/>
    <w:rsid w:val="0044720C"/>
    <w:rsid w:val="00447C68"/>
    <w:rsid w:val="00450096"/>
    <w:rsid w:val="004500CE"/>
    <w:rsid w:val="004507AE"/>
    <w:rsid w:val="00450943"/>
    <w:rsid w:val="0045157D"/>
    <w:rsid w:val="004516C3"/>
    <w:rsid w:val="0045250F"/>
    <w:rsid w:val="004528F4"/>
    <w:rsid w:val="004536CA"/>
    <w:rsid w:val="00453D9E"/>
    <w:rsid w:val="00453E63"/>
    <w:rsid w:val="00453F52"/>
    <w:rsid w:val="004540DA"/>
    <w:rsid w:val="00454348"/>
    <w:rsid w:val="00456E4A"/>
    <w:rsid w:val="00456FB2"/>
    <w:rsid w:val="00457C59"/>
    <w:rsid w:val="0046004E"/>
    <w:rsid w:val="00460D5F"/>
    <w:rsid w:val="00460FF1"/>
    <w:rsid w:val="00461082"/>
    <w:rsid w:val="004612DE"/>
    <w:rsid w:val="004620F0"/>
    <w:rsid w:val="004624B7"/>
    <w:rsid w:val="00462C52"/>
    <w:rsid w:val="004630D9"/>
    <w:rsid w:val="00464468"/>
    <w:rsid w:val="00464FF8"/>
    <w:rsid w:val="00465F43"/>
    <w:rsid w:val="004661AB"/>
    <w:rsid w:val="0046622A"/>
    <w:rsid w:val="0046636E"/>
    <w:rsid w:val="00470493"/>
    <w:rsid w:val="00470A53"/>
    <w:rsid w:val="00471322"/>
    <w:rsid w:val="004720FC"/>
    <w:rsid w:val="004726A8"/>
    <w:rsid w:val="00472D52"/>
    <w:rsid w:val="00472F18"/>
    <w:rsid w:val="004743C9"/>
    <w:rsid w:val="0047446B"/>
    <w:rsid w:val="00474A6F"/>
    <w:rsid w:val="004752BC"/>
    <w:rsid w:val="0047575D"/>
    <w:rsid w:val="00476E78"/>
    <w:rsid w:val="00476F46"/>
    <w:rsid w:val="004774D3"/>
    <w:rsid w:val="00480120"/>
    <w:rsid w:val="00480487"/>
    <w:rsid w:val="0048111C"/>
    <w:rsid w:val="00481684"/>
    <w:rsid w:val="00481AE1"/>
    <w:rsid w:val="00481DE9"/>
    <w:rsid w:val="004829E3"/>
    <w:rsid w:val="00482D1B"/>
    <w:rsid w:val="004844F8"/>
    <w:rsid w:val="004845D3"/>
    <w:rsid w:val="004848A4"/>
    <w:rsid w:val="00484946"/>
    <w:rsid w:val="004850C8"/>
    <w:rsid w:val="00485B2D"/>
    <w:rsid w:val="00485D63"/>
    <w:rsid w:val="00485FA3"/>
    <w:rsid w:val="0048613E"/>
    <w:rsid w:val="00486144"/>
    <w:rsid w:val="00486DDA"/>
    <w:rsid w:val="004874C3"/>
    <w:rsid w:val="004874C7"/>
    <w:rsid w:val="00487676"/>
    <w:rsid w:val="0049017C"/>
    <w:rsid w:val="00490258"/>
    <w:rsid w:val="00490755"/>
    <w:rsid w:val="00491A26"/>
    <w:rsid w:val="004926F2"/>
    <w:rsid w:val="00492DC5"/>
    <w:rsid w:val="0049361C"/>
    <w:rsid w:val="0049391A"/>
    <w:rsid w:val="00493E5C"/>
    <w:rsid w:val="004941BF"/>
    <w:rsid w:val="00494789"/>
    <w:rsid w:val="00494FC2"/>
    <w:rsid w:val="00495C62"/>
    <w:rsid w:val="00495D3F"/>
    <w:rsid w:val="0049607C"/>
    <w:rsid w:val="004A0060"/>
    <w:rsid w:val="004A0B46"/>
    <w:rsid w:val="004A109A"/>
    <w:rsid w:val="004A1B79"/>
    <w:rsid w:val="004A1F42"/>
    <w:rsid w:val="004A1F6C"/>
    <w:rsid w:val="004A22EB"/>
    <w:rsid w:val="004A2556"/>
    <w:rsid w:val="004A2FBF"/>
    <w:rsid w:val="004A336C"/>
    <w:rsid w:val="004A33F5"/>
    <w:rsid w:val="004A3585"/>
    <w:rsid w:val="004A3C8F"/>
    <w:rsid w:val="004A3FB1"/>
    <w:rsid w:val="004A4465"/>
    <w:rsid w:val="004A4A0E"/>
    <w:rsid w:val="004A4B6D"/>
    <w:rsid w:val="004A4C8A"/>
    <w:rsid w:val="004A5E24"/>
    <w:rsid w:val="004A681E"/>
    <w:rsid w:val="004A71F7"/>
    <w:rsid w:val="004A7A78"/>
    <w:rsid w:val="004B0183"/>
    <w:rsid w:val="004B05E9"/>
    <w:rsid w:val="004B0BC5"/>
    <w:rsid w:val="004B126E"/>
    <w:rsid w:val="004B1B69"/>
    <w:rsid w:val="004B2939"/>
    <w:rsid w:val="004B2AC1"/>
    <w:rsid w:val="004B2D0C"/>
    <w:rsid w:val="004B347B"/>
    <w:rsid w:val="004B4175"/>
    <w:rsid w:val="004B4540"/>
    <w:rsid w:val="004B4617"/>
    <w:rsid w:val="004B4F47"/>
    <w:rsid w:val="004B644D"/>
    <w:rsid w:val="004B6571"/>
    <w:rsid w:val="004B73DA"/>
    <w:rsid w:val="004B76E6"/>
    <w:rsid w:val="004B784D"/>
    <w:rsid w:val="004C0AA1"/>
    <w:rsid w:val="004C0F6A"/>
    <w:rsid w:val="004C1474"/>
    <w:rsid w:val="004C1883"/>
    <w:rsid w:val="004C1B28"/>
    <w:rsid w:val="004C1E00"/>
    <w:rsid w:val="004C2109"/>
    <w:rsid w:val="004C2A6A"/>
    <w:rsid w:val="004C2C31"/>
    <w:rsid w:val="004C2F82"/>
    <w:rsid w:val="004C3B5E"/>
    <w:rsid w:val="004C3F0A"/>
    <w:rsid w:val="004C4D09"/>
    <w:rsid w:val="004C4F12"/>
    <w:rsid w:val="004C594A"/>
    <w:rsid w:val="004C5C71"/>
    <w:rsid w:val="004C5F51"/>
    <w:rsid w:val="004C73F1"/>
    <w:rsid w:val="004C7623"/>
    <w:rsid w:val="004C7AF8"/>
    <w:rsid w:val="004D0834"/>
    <w:rsid w:val="004D0887"/>
    <w:rsid w:val="004D129E"/>
    <w:rsid w:val="004D2CAE"/>
    <w:rsid w:val="004D2FC7"/>
    <w:rsid w:val="004D45C4"/>
    <w:rsid w:val="004D4E6E"/>
    <w:rsid w:val="004D5DCB"/>
    <w:rsid w:val="004D617A"/>
    <w:rsid w:val="004D638D"/>
    <w:rsid w:val="004D7570"/>
    <w:rsid w:val="004D7997"/>
    <w:rsid w:val="004D79F2"/>
    <w:rsid w:val="004D7B1B"/>
    <w:rsid w:val="004D7D47"/>
    <w:rsid w:val="004E02FC"/>
    <w:rsid w:val="004E0457"/>
    <w:rsid w:val="004E053C"/>
    <w:rsid w:val="004E0F24"/>
    <w:rsid w:val="004E15C7"/>
    <w:rsid w:val="004E1975"/>
    <w:rsid w:val="004E197C"/>
    <w:rsid w:val="004E1995"/>
    <w:rsid w:val="004E1ED6"/>
    <w:rsid w:val="004E277F"/>
    <w:rsid w:val="004E2B93"/>
    <w:rsid w:val="004E2ED5"/>
    <w:rsid w:val="004E3204"/>
    <w:rsid w:val="004E3DDF"/>
    <w:rsid w:val="004E3EA8"/>
    <w:rsid w:val="004E402C"/>
    <w:rsid w:val="004E435D"/>
    <w:rsid w:val="004E4411"/>
    <w:rsid w:val="004E4FF1"/>
    <w:rsid w:val="004E59A6"/>
    <w:rsid w:val="004E5F5B"/>
    <w:rsid w:val="004E6100"/>
    <w:rsid w:val="004E6469"/>
    <w:rsid w:val="004E6619"/>
    <w:rsid w:val="004E6699"/>
    <w:rsid w:val="004E79AE"/>
    <w:rsid w:val="004E7C0A"/>
    <w:rsid w:val="004F3BDD"/>
    <w:rsid w:val="004F4AEE"/>
    <w:rsid w:val="004F532A"/>
    <w:rsid w:val="004F5CB4"/>
    <w:rsid w:val="004F69E3"/>
    <w:rsid w:val="004F7F22"/>
    <w:rsid w:val="00500015"/>
    <w:rsid w:val="005001BD"/>
    <w:rsid w:val="005015B0"/>
    <w:rsid w:val="00502304"/>
    <w:rsid w:val="00502C17"/>
    <w:rsid w:val="0050319D"/>
    <w:rsid w:val="0050441E"/>
    <w:rsid w:val="00504805"/>
    <w:rsid w:val="00504FB3"/>
    <w:rsid w:val="00505D90"/>
    <w:rsid w:val="00505E13"/>
    <w:rsid w:val="005065BF"/>
    <w:rsid w:val="005067DE"/>
    <w:rsid w:val="00506861"/>
    <w:rsid w:val="005071F0"/>
    <w:rsid w:val="0050760F"/>
    <w:rsid w:val="00507856"/>
    <w:rsid w:val="00507FA1"/>
    <w:rsid w:val="00510863"/>
    <w:rsid w:val="005120B2"/>
    <w:rsid w:val="00512154"/>
    <w:rsid w:val="00512C25"/>
    <w:rsid w:val="00512D2F"/>
    <w:rsid w:val="005133D5"/>
    <w:rsid w:val="0051362F"/>
    <w:rsid w:val="00513ACC"/>
    <w:rsid w:val="00514222"/>
    <w:rsid w:val="00514522"/>
    <w:rsid w:val="00514857"/>
    <w:rsid w:val="00514B42"/>
    <w:rsid w:val="00514D7D"/>
    <w:rsid w:val="00514E29"/>
    <w:rsid w:val="00515E98"/>
    <w:rsid w:val="00515F3D"/>
    <w:rsid w:val="00516A03"/>
    <w:rsid w:val="00516CF1"/>
    <w:rsid w:val="005173C1"/>
    <w:rsid w:val="00517907"/>
    <w:rsid w:val="00517CB0"/>
    <w:rsid w:val="005200C1"/>
    <w:rsid w:val="00520E06"/>
    <w:rsid w:val="005234BA"/>
    <w:rsid w:val="00523547"/>
    <w:rsid w:val="00525B81"/>
    <w:rsid w:val="00525E21"/>
    <w:rsid w:val="00526645"/>
    <w:rsid w:val="005269F4"/>
    <w:rsid w:val="00526FAF"/>
    <w:rsid w:val="005275B2"/>
    <w:rsid w:val="00527A9E"/>
    <w:rsid w:val="00530171"/>
    <w:rsid w:val="0053271A"/>
    <w:rsid w:val="0053303F"/>
    <w:rsid w:val="0053340A"/>
    <w:rsid w:val="0053418E"/>
    <w:rsid w:val="0053424E"/>
    <w:rsid w:val="00534325"/>
    <w:rsid w:val="00534BDA"/>
    <w:rsid w:val="00535117"/>
    <w:rsid w:val="00535490"/>
    <w:rsid w:val="00536422"/>
    <w:rsid w:val="005370E8"/>
    <w:rsid w:val="0054060E"/>
    <w:rsid w:val="00540625"/>
    <w:rsid w:val="00541FCB"/>
    <w:rsid w:val="005424EE"/>
    <w:rsid w:val="00542B3F"/>
    <w:rsid w:val="005436DD"/>
    <w:rsid w:val="00545057"/>
    <w:rsid w:val="00546080"/>
    <w:rsid w:val="00546403"/>
    <w:rsid w:val="005464B1"/>
    <w:rsid w:val="00546B14"/>
    <w:rsid w:val="0055086C"/>
    <w:rsid w:val="00550879"/>
    <w:rsid w:val="00551C51"/>
    <w:rsid w:val="00551CFD"/>
    <w:rsid w:val="00552286"/>
    <w:rsid w:val="0055245D"/>
    <w:rsid w:val="005524BD"/>
    <w:rsid w:val="005535FD"/>
    <w:rsid w:val="005537B3"/>
    <w:rsid w:val="00554B8F"/>
    <w:rsid w:val="00555E46"/>
    <w:rsid w:val="005561E7"/>
    <w:rsid w:val="00556810"/>
    <w:rsid w:val="00556B16"/>
    <w:rsid w:val="005570EE"/>
    <w:rsid w:val="00557386"/>
    <w:rsid w:val="00557B24"/>
    <w:rsid w:val="00557B32"/>
    <w:rsid w:val="0056043E"/>
    <w:rsid w:val="0056064E"/>
    <w:rsid w:val="00560ABF"/>
    <w:rsid w:val="00560AC7"/>
    <w:rsid w:val="005615EE"/>
    <w:rsid w:val="00562213"/>
    <w:rsid w:val="00562293"/>
    <w:rsid w:val="00562465"/>
    <w:rsid w:val="00563442"/>
    <w:rsid w:val="00563CBB"/>
    <w:rsid w:val="00565637"/>
    <w:rsid w:val="0056581B"/>
    <w:rsid w:val="00565B81"/>
    <w:rsid w:val="00566AEF"/>
    <w:rsid w:val="00566AFF"/>
    <w:rsid w:val="00567B08"/>
    <w:rsid w:val="00567E83"/>
    <w:rsid w:val="00570390"/>
    <w:rsid w:val="005703EA"/>
    <w:rsid w:val="0057081E"/>
    <w:rsid w:val="0057084C"/>
    <w:rsid w:val="00570B45"/>
    <w:rsid w:val="00570C83"/>
    <w:rsid w:val="00570C8E"/>
    <w:rsid w:val="00571A94"/>
    <w:rsid w:val="00571DF8"/>
    <w:rsid w:val="00572339"/>
    <w:rsid w:val="0057364D"/>
    <w:rsid w:val="00574759"/>
    <w:rsid w:val="00575897"/>
    <w:rsid w:val="0057637E"/>
    <w:rsid w:val="005765E6"/>
    <w:rsid w:val="00577EEB"/>
    <w:rsid w:val="005813C1"/>
    <w:rsid w:val="005828E2"/>
    <w:rsid w:val="005833B6"/>
    <w:rsid w:val="0058359F"/>
    <w:rsid w:val="00583FA5"/>
    <w:rsid w:val="0058403B"/>
    <w:rsid w:val="005840C4"/>
    <w:rsid w:val="00584DCD"/>
    <w:rsid w:val="00584FEA"/>
    <w:rsid w:val="0058538B"/>
    <w:rsid w:val="00585B87"/>
    <w:rsid w:val="00586EF2"/>
    <w:rsid w:val="005874DB"/>
    <w:rsid w:val="00587A68"/>
    <w:rsid w:val="0059112F"/>
    <w:rsid w:val="005917E0"/>
    <w:rsid w:val="005918EC"/>
    <w:rsid w:val="00591C08"/>
    <w:rsid w:val="00592251"/>
    <w:rsid w:val="005927B4"/>
    <w:rsid w:val="00593764"/>
    <w:rsid w:val="00594735"/>
    <w:rsid w:val="0059499E"/>
    <w:rsid w:val="005949E3"/>
    <w:rsid w:val="0059518A"/>
    <w:rsid w:val="00595C46"/>
    <w:rsid w:val="00595C4F"/>
    <w:rsid w:val="00595F91"/>
    <w:rsid w:val="005961C7"/>
    <w:rsid w:val="005964A3"/>
    <w:rsid w:val="005968C0"/>
    <w:rsid w:val="0059694C"/>
    <w:rsid w:val="00596C37"/>
    <w:rsid w:val="005972E9"/>
    <w:rsid w:val="005A0502"/>
    <w:rsid w:val="005A31F0"/>
    <w:rsid w:val="005A4591"/>
    <w:rsid w:val="005A5251"/>
    <w:rsid w:val="005A5399"/>
    <w:rsid w:val="005A5D39"/>
    <w:rsid w:val="005A7302"/>
    <w:rsid w:val="005A76DF"/>
    <w:rsid w:val="005A78CF"/>
    <w:rsid w:val="005A7B34"/>
    <w:rsid w:val="005B0159"/>
    <w:rsid w:val="005B10D1"/>
    <w:rsid w:val="005B1CFD"/>
    <w:rsid w:val="005B22EC"/>
    <w:rsid w:val="005B2D3B"/>
    <w:rsid w:val="005B2DD9"/>
    <w:rsid w:val="005B38CF"/>
    <w:rsid w:val="005B4BE8"/>
    <w:rsid w:val="005B56A0"/>
    <w:rsid w:val="005B5773"/>
    <w:rsid w:val="005B58AB"/>
    <w:rsid w:val="005B5A72"/>
    <w:rsid w:val="005B6262"/>
    <w:rsid w:val="005B6A7A"/>
    <w:rsid w:val="005B7514"/>
    <w:rsid w:val="005B7863"/>
    <w:rsid w:val="005B7CC0"/>
    <w:rsid w:val="005B7E64"/>
    <w:rsid w:val="005C13EF"/>
    <w:rsid w:val="005C1749"/>
    <w:rsid w:val="005C23E6"/>
    <w:rsid w:val="005C2FAD"/>
    <w:rsid w:val="005C33FE"/>
    <w:rsid w:val="005C3FD7"/>
    <w:rsid w:val="005C53B3"/>
    <w:rsid w:val="005C53C1"/>
    <w:rsid w:val="005C5753"/>
    <w:rsid w:val="005C6583"/>
    <w:rsid w:val="005C7A6C"/>
    <w:rsid w:val="005D0E82"/>
    <w:rsid w:val="005D1595"/>
    <w:rsid w:val="005D264A"/>
    <w:rsid w:val="005D2714"/>
    <w:rsid w:val="005D39C0"/>
    <w:rsid w:val="005D3C83"/>
    <w:rsid w:val="005D4B4E"/>
    <w:rsid w:val="005D4BA4"/>
    <w:rsid w:val="005D4CE4"/>
    <w:rsid w:val="005D664B"/>
    <w:rsid w:val="005D6F49"/>
    <w:rsid w:val="005D7588"/>
    <w:rsid w:val="005E0CD4"/>
    <w:rsid w:val="005E0D40"/>
    <w:rsid w:val="005E11A6"/>
    <w:rsid w:val="005E33BF"/>
    <w:rsid w:val="005E34D9"/>
    <w:rsid w:val="005E3713"/>
    <w:rsid w:val="005E3AEB"/>
    <w:rsid w:val="005E3C31"/>
    <w:rsid w:val="005E436C"/>
    <w:rsid w:val="005E4B2A"/>
    <w:rsid w:val="005E6947"/>
    <w:rsid w:val="005E6976"/>
    <w:rsid w:val="005E6FC0"/>
    <w:rsid w:val="005E7B7F"/>
    <w:rsid w:val="005F0BED"/>
    <w:rsid w:val="005F1122"/>
    <w:rsid w:val="005F123B"/>
    <w:rsid w:val="005F1739"/>
    <w:rsid w:val="005F188E"/>
    <w:rsid w:val="005F2550"/>
    <w:rsid w:val="005F35EB"/>
    <w:rsid w:val="005F42FC"/>
    <w:rsid w:val="005F47DA"/>
    <w:rsid w:val="005F4815"/>
    <w:rsid w:val="005F4EC8"/>
    <w:rsid w:val="005F55B2"/>
    <w:rsid w:val="005F68F1"/>
    <w:rsid w:val="005F69CF"/>
    <w:rsid w:val="005F6D42"/>
    <w:rsid w:val="005F70A2"/>
    <w:rsid w:val="005F70FF"/>
    <w:rsid w:val="005F722B"/>
    <w:rsid w:val="005F76D8"/>
    <w:rsid w:val="005F770D"/>
    <w:rsid w:val="005F7DDF"/>
    <w:rsid w:val="00600236"/>
    <w:rsid w:val="0060097E"/>
    <w:rsid w:val="00600B54"/>
    <w:rsid w:val="00600EEF"/>
    <w:rsid w:val="006010BC"/>
    <w:rsid w:val="006012CF"/>
    <w:rsid w:val="0060209F"/>
    <w:rsid w:val="006021FD"/>
    <w:rsid w:val="00602BCD"/>
    <w:rsid w:val="00603C56"/>
    <w:rsid w:val="006050D3"/>
    <w:rsid w:val="00606088"/>
    <w:rsid w:val="00606711"/>
    <w:rsid w:val="00607BFD"/>
    <w:rsid w:val="006103D1"/>
    <w:rsid w:val="006103D6"/>
    <w:rsid w:val="00610DC4"/>
    <w:rsid w:val="0061154F"/>
    <w:rsid w:val="00611F9F"/>
    <w:rsid w:val="006124EF"/>
    <w:rsid w:val="00612D9C"/>
    <w:rsid w:val="006142EE"/>
    <w:rsid w:val="006148AD"/>
    <w:rsid w:val="00614B46"/>
    <w:rsid w:val="0061545A"/>
    <w:rsid w:val="00615D9D"/>
    <w:rsid w:val="00616240"/>
    <w:rsid w:val="0061644D"/>
    <w:rsid w:val="00617226"/>
    <w:rsid w:val="006176AE"/>
    <w:rsid w:val="00617718"/>
    <w:rsid w:val="006202CE"/>
    <w:rsid w:val="006206B0"/>
    <w:rsid w:val="00620CB9"/>
    <w:rsid w:val="00621200"/>
    <w:rsid w:val="00622A1A"/>
    <w:rsid w:val="00622DDF"/>
    <w:rsid w:val="0062358D"/>
    <w:rsid w:val="00623744"/>
    <w:rsid w:val="00623C04"/>
    <w:rsid w:val="006245C2"/>
    <w:rsid w:val="00624C6C"/>
    <w:rsid w:val="00624D77"/>
    <w:rsid w:val="00625491"/>
    <w:rsid w:val="00625703"/>
    <w:rsid w:val="00626124"/>
    <w:rsid w:val="0062705C"/>
    <w:rsid w:val="0062742A"/>
    <w:rsid w:val="00627458"/>
    <w:rsid w:val="006277D7"/>
    <w:rsid w:val="0062782F"/>
    <w:rsid w:val="00627844"/>
    <w:rsid w:val="0063014C"/>
    <w:rsid w:val="00630433"/>
    <w:rsid w:val="00630A58"/>
    <w:rsid w:val="00632324"/>
    <w:rsid w:val="00633CDB"/>
    <w:rsid w:val="00634781"/>
    <w:rsid w:val="00634F76"/>
    <w:rsid w:val="00635C1D"/>
    <w:rsid w:val="00635F87"/>
    <w:rsid w:val="00636811"/>
    <w:rsid w:val="00636C93"/>
    <w:rsid w:val="0063725C"/>
    <w:rsid w:val="00637CAD"/>
    <w:rsid w:val="00640265"/>
    <w:rsid w:val="00640511"/>
    <w:rsid w:val="00640738"/>
    <w:rsid w:val="00641EE0"/>
    <w:rsid w:val="006433E6"/>
    <w:rsid w:val="00644F78"/>
    <w:rsid w:val="006453C1"/>
    <w:rsid w:val="0064543C"/>
    <w:rsid w:val="00645617"/>
    <w:rsid w:val="006457F4"/>
    <w:rsid w:val="00646465"/>
    <w:rsid w:val="00646E9F"/>
    <w:rsid w:val="00647812"/>
    <w:rsid w:val="00651A7E"/>
    <w:rsid w:val="006520C1"/>
    <w:rsid w:val="0065349F"/>
    <w:rsid w:val="0065451A"/>
    <w:rsid w:val="006555E4"/>
    <w:rsid w:val="00655D65"/>
    <w:rsid w:val="006561E4"/>
    <w:rsid w:val="00656DF1"/>
    <w:rsid w:val="00657DF9"/>
    <w:rsid w:val="006604F9"/>
    <w:rsid w:val="006629B7"/>
    <w:rsid w:val="00662C12"/>
    <w:rsid w:val="0066301E"/>
    <w:rsid w:val="00663FD9"/>
    <w:rsid w:val="006642B6"/>
    <w:rsid w:val="00664699"/>
    <w:rsid w:val="00664FCA"/>
    <w:rsid w:val="00665FD8"/>
    <w:rsid w:val="006661AA"/>
    <w:rsid w:val="00666353"/>
    <w:rsid w:val="00666BE5"/>
    <w:rsid w:val="00666D04"/>
    <w:rsid w:val="00667AC9"/>
    <w:rsid w:val="00670AF7"/>
    <w:rsid w:val="00670E65"/>
    <w:rsid w:val="0067105C"/>
    <w:rsid w:val="006737E5"/>
    <w:rsid w:val="00673AA3"/>
    <w:rsid w:val="006740D1"/>
    <w:rsid w:val="006743C6"/>
    <w:rsid w:val="00674494"/>
    <w:rsid w:val="00674F07"/>
    <w:rsid w:val="00676203"/>
    <w:rsid w:val="00676553"/>
    <w:rsid w:val="0067658C"/>
    <w:rsid w:val="006768AD"/>
    <w:rsid w:val="00676A83"/>
    <w:rsid w:val="006779A2"/>
    <w:rsid w:val="00680C67"/>
    <w:rsid w:val="00680CF2"/>
    <w:rsid w:val="0068193A"/>
    <w:rsid w:val="00681BEF"/>
    <w:rsid w:val="0068281C"/>
    <w:rsid w:val="00683329"/>
    <w:rsid w:val="00683D31"/>
    <w:rsid w:val="006840E0"/>
    <w:rsid w:val="00684992"/>
    <w:rsid w:val="00684E84"/>
    <w:rsid w:val="006866F9"/>
    <w:rsid w:val="00686C31"/>
    <w:rsid w:val="006877BE"/>
    <w:rsid w:val="00687E54"/>
    <w:rsid w:val="00690D44"/>
    <w:rsid w:val="006912CE"/>
    <w:rsid w:val="00691529"/>
    <w:rsid w:val="006916A8"/>
    <w:rsid w:val="006918DB"/>
    <w:rsid w:val="006921A6"/>
    <w:rsid w:val="00692688"/>
    <w:rsid w:val="006939BD"/>
    <w:rsid w:val="006955D8"/>
    <w:rsid w:val="00695D35"/>
    <w:rsid w:val="006A0021"/>
    <w:rsid w:val="006A0335"/>
    <w:rsid w:val="006A0BFC"/>
    <w:rsid w:val="006A0D67"/>
    <w:rsid w:val="006A1EB9"/>
    <w:rsid w:val="006A1FEB"/>
    <w:rsid w:val="006A2BC4"/>
    <w:rsid w:val="006A3875"/>
    <w:rsid w:val="006A3B02"/>
    <w:rsid w:val="006A48E3"/>
    <w:rsid w:val="006A5458"/>
    <w:rsid w:val="006A5A24"/>
    <w:rsid w:val="006A61B6"/>
    <w:rsid w:val="006A6B90"/>
    <w:rsid w:val="006A7A06"/>
    <w:rsid w:val="006A7FFD"/>
    <w:rsid w:val="006B0858"/>
    <w:rsid w:val="006B0E9A"/>
    <w:rsid w:val="006B16A2"/>
    <w:rsid w:val="006B234F"/>
    <w:rsid w:val="006B2C5A"/>
    <w:rsid w:val="006B40FC"/>
    <w:rsid w:val="006B5225"/>
    <w:rsid w:val="006B754A"/>
    <w:rsid w:val="006B76B7"/>
    <w:rsid w:val="006B7C83"/>
    <w:rsid w:val="006C09A7"/>
    <w:rsid w:val="006C1B77"/>
    <w:rsid w:val="006C1CB1"/>
    <w:rsid w:val="006C443D"/>
    <w:rsid w:val="006C4639"/>
    <w:rsid w:val="006C4FE3"/>
    <w:rsid w:val="006C5744"/>
    <w:rsid w:val="006C5766"/>
    <w:rsid w:val="006C5AF6"/>
    <w:rsid w:val="006C610C"/>
    <w:rsid w:val="006C7584"/>
    <w:rsid w:val="006C7D71"/>
    <w:rsid w:val="006D06AB"/>
    <w:rsid w:val="006D0EE5"/>
    <w:rsid w:val="006D4222"/>
    <w:rsid w:val="006D44DF"/>
    <w:rsid w:val="006D4922"/>
    <w:rsid w:val="006D49FA"/>
    <w:rsid w:val="006D5166"/>
    <w:rsid w:val="006D5C9A"/>
    <w:rsid w:val="006D6576"/>
    <w:rsid w:val="006D6620"/>
    <w:rsid w:val="006D6A55"/>
    <w:rsid w:val="006E0E1E"/>
    <w:rsid w:val="006E1544"/>
    <w:rsid w:val="006E1812"/>
    <w:rsid w:val="006E1BCE"/>
    <w:rsid w:val="006E2280"/>
    <w:rsid w:val="006E23F4"/>
    <w:rsid w:val="006E2469"/>
    <w:rsid w:val="006E334C"/>
    <w:rsid w:val="006E414A"/>
    <w:rsid w:val="006E4E7B"/>
    <w:rsid w:val="006E5DF0"/>
    <w:rsid w:val="006E654E"/>
    <w:rsid w:val="006E7135"/>
    <w:rsid w:val="006E7AA5"/>
    <w:rsid w:val="006F00E7"/>
    <w:rsid w:val="006F06EB"/>
    <w:rsid w:val="006F08A7"/>
    <w:rsid w:val="006F0A37"/>
    <w:rsid w:val="006F0E9D"/>
    <w:rsid w:val="006F16BB"/>
    <w:rsid w:val="006F1A6D"/>
    <w:rsid w:val="006F1C9F"/>
    <w:rsid w:val="006F279C"/>
    <w:rsid w:val="006F38BB"/>
    <w:rsid w:val="006F40F8"/>
    <w:rsid w:val="006F45A4"/>
    <w:rsid w:val="006F480C"/>
    <w:rsid w:val="006F5F3F"/>
    <w:rsid w:val="006F5F74"/>
    <w:rsid w:val="006F6C4B"/>
    <w:rsid w:val="006F79C0"/>
    <w:rsid w:val="006F7C02"/>
    <w:rsid w:val="007006B5"/>
    <w:rsid w:val="0070087E"/>
    <w:rsid w:val="007014E7"/>
    <w:rsid w:val="0070507C"/>
    <w:rsid w:val="007055D6"/>
    <w:rsid w:val="00705C61"/>
    <w:rsid w:val="00705D03"/>
    <w:rsid w:val="00707C71"/>
    <w:rsid w:val="0071087A"/>
    <w:rsid w:val="00710A9E"/>
    <w:rsid w:val="00711047"/>
    <w:rsid w:val="00711291"/>
    <w:rsid w:val="00711653"/>
    <w:rsid w:val="00711657"/>
    <w:rsid w:val="00711E99"/>
    <w:rsid w:val="007121AA"/>
    <w:rsid w:val="0071231C"/>
    <w:rsid w:val="00712E4F"/>
    <w:rsid w:val="007133DE"/>
    <w:rsid w:val="00713F30"/>
    <w:rsid w:val="0071475C"/>
    <w:rsid w:val="0071629A"/>
    <w:rsid w:val="00716E0E"/>
    <w:rsid w:val="00717028"/>
    <w:rsid w:val="007175FD"/>
    <w:rsid w:val="00717BB6"/>
    <w:rsid w:val="00717C21"/>
    <w:rsid w:val="00717E3B"/>
    <w:rsid w:val="00720027"/>
    <w:rsid w:val="0072012F"/>
    <w:rsid w:val="00720648"/>
    <w:rsid w:val="00720F75"/>
    <w:rsid w:val="00721324"/>
    <w:rsid w:val="007215BB"/>
    <w:rsid w:val="00722363"/>
    <w:rsid w:val="00722AC8"/>
    <w:rsid w:val="00723C62"/>
    <w:rsid w:val="007259C1"/>
    <w:rsid w:val="00725D62"/>
    <w:rsid w:val="00725D7A"/>
    <w:rsid w:val="0072637A"/>
    <w:rsid w:val="00726C9F"/>
    <w:rsid w:val="00727C8E"/>
    <w:rsid w:val="00727E36"/>
    <w:rsid w:val="00730678"/>
    <w:rsid w:val="00730838"/>
    <w:rsid w:val="00731465"/>
    <w:rsid w:val="007314C4"/>
    <w:rsid w:val="007314ED"/>
    <w:rsid w:val="00731A3C"/>
    <w:rsid w:val="0073218E"/>
    <w:rsid w:val="00732982"/>
    <w:rsid w:val="007334F2"/>
    <w:rsid w:val="00733A07"/>
    <w:rsid w:val="00735072"/>
    <w:rsid w:val="00735299"/>
    <w:rsid w:val="00735649"/>
    <w:rsid w:val="0073631B"/>
    <w:rsid w:val="00740345"/>
    <w:rsid w:val="0074112F"/>
    <w:rsid w:val="0074316C"/>
    <w:rsid w:val="007436F5"/>
    <w:rsid w:val="00743BEC"/>
    <w:rsid w:val="007443EA"/>
    <w:rsid w:val="00744466"/>
    <w:rsid w:val="00744632"/>
    <w:rsid w:val="00744651"/>
    <w:rsid w:val="007447B9"/>
    <w:rsid w:val="00744CF7"/>
    <w:rsid w:val="00745D2A"/>
    <w:rsid w:val="007475E8"/>
    <w:rsid w:val="00747B29"/>
    <w:rsid w:val="00747B84"/>
    <w:rsid w:val="00747EFE"/>
    <w:rsid w:val="00750601"/>
    <w:rsid w:val="00750922"/>
    <w:rsid w:val="00751023"/>
    <w:rsid w:val="00751570"/>
    <w:rsid w:val="00751767"/>
    <w:rsid w:val="007517E5"/>
    <w:rsid w:val="00751D42"/>
    <w:rsid w:val="007527E8"/>
    <w:rsid w:val="00752E45"/>
    <w:rsid w:val="00753285"/>
    <w:rsid w:val="00753A24"/>
    <w:rsid w:val="00754666"/>
    <w:rsid w:val="00754CE5"/>
    <w:rsid w:val="007550B6"/>
    <w:rsid w:val="00757BFE"/>
    <w:rsid w:val="0076068E"/>
    <w:rsid w:val="00760AD3"/>
    <w:rsid w:val="00761BF9"/>
    <w:rsid w:val="00761E4B"/>
    <w:rsid w:val="00761FCC"/>
    <w:rsid w:val="007621E2"/>
    <w:rsid w:val="0076248D"/>
    <w:rsid w:val="0076305A"/>
    <w:rsid w:val="007635EF"/>
    <w:rsid w:val="00763E0F"/>
    <w:rsid w:val="00763F3E"/>
    <w:rsid w:val="007640F9"/>
    <w:rsid w:val="00764128"/>
    <w:rsid w:val="00764176"/>
    <w:rsid w:val="00764DB7"/>
    <w:rsid w:val="00764F12"/>
    <w:rsid w:val="0076592E"/>
    <w:rsid w:val="0076624D"/>
    <w:rsid w:val="007663CD"/>
    <w:rsid w:val="00767AC3"/>
    <w:rsid w:val="00767BF5"/>
    <w:rsid w:val="007712CF"/>
    <w:rsid w:val="00771550"/>
    <w:rsid w:val="007717FB"/>
    <w:rsid w:val="007727C8"/>
    <w:rsid w:val="00772F40"/>
    <w:rsid w:val="007737FB"/>
    <w:rsid w:val="00775388"/>
    <w:rsid w:val="00775FB6"/>
    <w:rsid w:val="0078012A"/>
    <w:rsid w:val="00781B7D"/>
    <w:rsid w:val="00781B93"/>
    <w:rsid w:val="00781D84"/>
    <w:rsid w:val="00781DA0"/>
    <w:rsid w:val="0078268A"/>
    <w:rsid w:val="00782882"/>
    <w:rsid w:val="007828FD"/>
    <w:rsid w:val="007829C6"/>
    <w:rsid w:val="00782A58"/>
    <w:rsid w:val="00782A5A"/>
    <w:rsid w:val="00783133"/>
    <w:rsid w:val="00783865"/>
    <w:rsid w:val="00783EC5"/>
    <w:rsid w:val="0078445E"/>
    <w:rsid w:val="007849A3"/>
    <w:rsid w:val="00784E4E"/>
    <w:rsid w:val="00785744"/>
    <w:rsid w:val="00786858"/>
    <w:rsid w:val="00787F00"/>
    <w:rsid w:val="00787FF9"/>
    <w:rsid w:val="007905D4"/>
    <w:rsid w:val="00790E53"/>
    <w:rsid w:val="00791A60"/>
    <w:rsid w:val="00791B0E"/>
    <w:rsid w:val="00792D86"/>
    <w:rsid w:val="00793DBB"/>
    <w:rsid w:val="00794B07"/>
    <w:rsid w:val="00794E89"/>
    <w:rsid w:val="00794F83"/>
    <w:rsid w:val="00796E22"/>
    <w:rsid w:val="007971A8"/>
    <w:rsid w:val="00797B64"/>
    <w:rsid w:val="007A0079"/>
    <w:rsid w:val="007A0818"/>
    <w:rsid w:val="007A0E81"/>
    <w:rsid w:val="007A555F"/>
    <w:rsid w:val="007A5927"/>
    <w:rsid w:val="007A6A7C"/>
    <w:rsid w:val="007A6E35"/>
    <w:rsid w:val="007A7310"/>
    <w:rsid w:val="007A7398"/>
    <w:rsid w:val="007A78E6"/>
    <w:rsid w:val="007B03F7"/>
    <w:rsid w:val="007B10A6"/>
    <w:rsid w:val="007B16FE"/>
    <w:rsid w:val="007B2287"/>
    <w:rsid w:val="007B2D0C"/>
    <w:rsid w:val="007B32AF"/>
    <w:rsid w:val="007B3C64"/>
    <w:rsid w:val="007B417A"/>
    <w:rsid w:val="007B4BA0"/>
    <w:rsid w:val="007B4EBB"/>
    <w:rsid w:val="007B69AA"/>
    <w:rsid w:val="007B7640"/>
    <w:rsid w:val="007C151C"/>
    <w:rsid w:val="007C15B7"/>
    <w:rsid w:val="007C17C4"/>
    <w:rsid w:val="007C28D5"/>
    <w:rsid w:val="007C2F23"/>
    <w:rsid w:val="007C3072"/>
    <w:rsid w:val="007C3A40"/>
    <w:rsid w:val="007C3C9D"/>
    <w:rsid w:val="007C3FA2"/>
    <w:rsid w:val="007C461C"/>
    <w:rsid w:val="007C576F"/>
    <w:rsid w:val="007C613F"/>
    <w:rsid w:val="007C7BF0"/>
    <w:rsid w:val="007D050A"/>
    <w:rsid w:val="007D0AC2"/>
    <w:rsid w:val="007D468E"/>
    <w:rsid w:val="007D47AA"/>
    <w:rsid w:val="007D4F15"/>
    <w:rsid w:val="007D5866"/>
    <w:rsid w:val="007D69C5"/>
    <w:rsid w:val="007D7125"/>
    <w:rsid w:val="007D7D40"/>
    <w:rsid w:val="007D7D65"/>
    <w:rsid w:val="007D7DD0"/>
    <w:rsid w:val="007E1E8A"/>
    <w:rsid w:val="007E333D"/>
    <w:rsid w:val="007E51E1"/>
    <w:rsid w:val="007E5CF0"/>
    <w:rsid w:val="007E6220"/>
    <w:rsid w:val="007E6FDC"/>
    <w:rsid w:val="007F05FF"/>
    <w:rsid w:val="007F0EDA"/>
    <w:rsid w:val="007F1042"/>
    <w:rsid w:val="007F1A04"/>
    <w:rsid w:val="007F1A66"/>
    <w:rsid w:val="007F2DA9"/>
    <w:rsid w:val="007F2E43"/>
    <w:rsid w:val="007F2E9D"/>
    <w:rsid w:val="007F2FE9"/>
    <w:rsid w:val="007F3F51"/>
    <w:rsid w:val="007F49D1"/>
    <w:rsid w:val="007F50F7"/>
    <w:rsid w:val="007F5A76"/>
    <w:rsid w:val="007F7392"/>
    <w:rsid w:val="007F79E0"/>
    <w:rsid w:val="007F7FF7"/>
    <w:rsid w:val="0080090C"/>
    <w:rsid w:val="00800C16"/>
    <w:rsid w:val="008010CC"/>
    <w:rsid w:val="008013A1"/>
    <w:rsid w:val="00801468"/>
    <w:rsid w:val="00801847"/>
    <w:rsid w:val="00803C29"/>
    <w:rsid w:val="00803D77"/>
    <w:rsid w:val="00803D9A"/>
    <w:rsid w:val="008059E8"/>
    <w:rsid w:val="00805E11"/>
    <w:rsid w:val="00805FA8"/>
    <w:rsid w:val="00806137"/>
    <w:rsid w:val="008070A8"/>
    <w:rsid w:val="008075ED"/>
    <w:rsid w:val="008078B5"/>
    <w:rsid w:val="00810423"/>
    <w:rsid w:val="00810433"/>
    <w:rsid w:val="00810891"/>
    <w:rsid w:val="0081095E"/>
    <w:rsid w:val="00810A60"/>
    <w:rsid w:val="00810D9F"/>
    <w:rsid w:val="008116B3"/>
    <w:rsid w:val="008117D9"/>
    <w:rsid w:val="00812571"/>
    <w:rsid w:val="0081512A"/>
    <w:rsid w:val="0081681C"/>
    <w:rsid w:val="00817C42"/>
    <w:rsid w:val="00820698"/>
    <w:rsid w:val="00821027"/>
    <w:rsid w:val="00821235"/>
    <w:rsid w:val="008219EB"/>
    <w:rsid w:val="00821E9F"/>
    <w:rsid w:val="00823ADD"/>
    <w:rsid w:val="0082470E"/>
    <w:rsid w:val="00824DA1"/>
    <w:rsid w:val="00826C42"/>
    <w:rsid w:val="00826CD9"/>
    <w:rsid w:val="00827B2B"/>
    <w:rsid w:val="00830CAE"/>
    <w:rsid w:val="008316D9"/>
    <w:rsid w:val="008319F7"/>
    <w:rsid w:val="00831DAE"/>
    <w:rsid w:val="008320BC"/>
    <w:rsid w:val="0083286C"/>
    <w:rsid w:val="008336F5"/>
    <w:rsid w:val="008338BA"/>
    <w:rsid w:val="00833EF0"/>
    <w:rsid w:val="00833F1E"/>
    <w:rsid w:val="008345D1"/>
    <w:rsid w:val="0083541D"/>
    <w:rsid w:val="00836755"/>
    <w:rsid w:val="00836FB5"/>
    <w:rsid w:val="00837283"/>
    <w:rsid w:val="00837421"/>
    <w:rsid w:val="0083773E"/>
    <w:rsid w:val="0083784D"/>
    <w:rsid w:val="0083787B"/>
    <w:rsid w:val="0084038C"/>
    <w:rsid w:val="0084259A"/>
    <w:rsid w:val="00842ABA"/>
    <w:rsid w:val="00843559"/>
    <w:rsid w:val="0084519D"/>
    <w:rsid w:val="008459CF"/>
    <w:rsid w:val="00845C7C"/>
    <w:rsid w:val="008462E8"/>
    <w:rsid w:val="00846350"/>
    <w:rsid w:val="008471E7"/>
    <w:rsid w:val="0085043D"/>
    <w:rsid w:val="008506F3"/>
    <w:rsid w:val="00850B4B"/>
    <w:rsid w:val="008515B4"/>
    <w:rsid w:val="00853D1A"/>
    <w:rsid w:val="008542ED"/>
    <w:rsid w:val="008545CC"/>
    <w:rsid w:val="00854D64"/>
    <w:rsid w:val="008557B7"/>
    <w:rsid w:val="0085599D"/>
    <w:rsid w:val="00856046"/>
    <w:rsid w:val="00856924"/>
    <w:rsid w:val="008606BA"/>
    <w:rsid w:val="00862546"/>
    <w:rsid w:val="00862707"/>
    <w:rsid w:val="00863142"/>
    <w:rsid w:val="00863540"/>
    <w:rsid w:val="00863DC0"/>
    <w:rsid w:val="008640BD"/>
    <w:rsid w:val="00864911"/>
    <w:rsid w:val="00864AE6"/>
    <w:rsid w:val="00864D42"/>
    <w:rsid w:val="00866263"/>
    <w:rsid w:val="008669A3"/>
    <w:rsid w:val="00867275"/>
    <w:rsid w:val="008720C9"/>
    <w:rsid w:val="00872173"/>
    <w:rsid w:val="008724EE"/>
    <w:rsid w:val="00873704"/>
    <w:rsid w:val="008737A5"/>
    <w:rsid w:val="00873974"/>
    <w:rsid w:val="00874754"/>
    <w:rsid w:val="00874EFC"/>
    <w:rsid w:val="008764BD"/>
    <w:rsid w:val="008764FB"/>
    <w:rsid w:val="008768FF"/>
    <w:rsid w:val="00877075"/>
    <w:rsid w:val="0087768B"/>
    <w:rsid w:val="00880664"/>
    <w:rsid w:val="008809A0"/>
    <w:rsid w:val="00880CF0"/>
    <w:rsid w:val="008811EE"/>
    <w:rsid w:val="0088173B"/>
    <w:rsid w:val="00881D29"/>
    <w:rsid w:val="008827AA"/>
    <w:rsid w:val="00882FAE"/>
    <w:rsid w:val="008837B4"/>
    <w:rsid w:val="00884266"/>
    <w:rsid w:val="008845ED"/>
    <w:rsid w:val="00884809"/>
    <w:rsid w:val="008848C7"/>
    <w:rsid w:val="00884D8D"/>
    <w:rsid w:val="00886753"/>
    <w:rsid w:val="00887CCE"/>
    <w:rsid w:val="0089022D"/>
    <w:rsid w:val="00890982"/>
    <w:rsid w:val="00891B41"/>
    <w:rsid w:val="00892A10"/>
    <w:rsid w:val="00892E39"/>
    <w:rsid w:val="00895CDA"/>
    <w:rsid w:val="00895F97"/>
    <w:rsid w:val="008966D3"/>
    <w:rsid w:val="00896C42"/>
    <w:rsid w:val="0089702C"/>
    <w:rsid w:val="008972A6"/>
    <w:rsid w:val="00897CFD"/>
    <w:rsid w:val="00897EF0"/>
    <w:rsid w:val="008A06D2"/>
    <w:rsid w:val="008A0858"/>
    <w:rsid w:val="008A1C54"/>
    <w:rsid w:val="008A3089"/>
    <w:rsid w:val="008A320A"/>
    <w:rsid w:val="008A396D"/>
    <w:rsid w:val="008A3A67"/>
    <w:rsid w:val="008A3BA3"/>
    <w:rsid w:val="008A4E60"/>
    <w:rsid w:val="008A673B"/>
    <w:rsid w:val="008A767B"/>
    <w:rsid w:val="008B093B"/>
    <w:rsid w:val="008B2555"/>
    <w:rsid w:val="008B393B"/>
    <w:rsid w:val="008B4A3C"/>
    <w:rsid w:val="008B5A9C"/>
    <w:rsid w:val="008B5C24"/>
    <w:rsid w:val="008B5E03"/>
    <w:rsid w:val="008B62CF"/>
    <w:rsid w:val="008B6910"/>
    <w:rsid w:val="008B6DA8"/>
    <w:rsid w:val="008B72AB"/>
    <w:rsid w:val="008C020B"/>
    <w:rsid w:val="008C02D5"/>
    <w:rsid w:val="008C107F"/>
    <w:rsid w:val="008C2213"/>
    <w:rsid w:val="008C25C7"/>
    <w:rsid w:val="008C2BE6"/>
    <w:rsid w:val="008C2DE5"/>
    <w:rsid w:val="008C3ACA"/>
    <w:rsid w:val="008C420E"/>
    <w:rsid w:val="008C5B3E"/>
    <w:rsid w:val="008C6674"/>
    <w:rsid w:val="008C7417"/>
    <w:rsid w:val="008C7762"/>
    <w:rsid w:val="008D0AB7"/>
    <w:rsid w:val="008D0C90"/>
    <w:rsid w:val="008D1B14"/>
    <w:rsid w:val="008D1CD9"/>
    <w:rsid w:val="008D1D53"/>
    <w:rsid w:val="008D2037"/>
    <w:rsid w:val="008D20D2"/>
    <w:rsid w:val="008D2DA6"/>
    <w:rsid w:val="008D3561"/>
    <w:rsid w:val="008D3F73"/>
    <w:rsid w:val="008D45B7"/>
    <w:rsid w:val="008D4C06"/>
    <w:rsid w:val="008D53CB"/>
    <w:rsid w:val="008D59B8"/>
    <w:rsid w:val="008D650E"/>
    <w:rsid w:val="008E0556"/>
    <w:rsid w:val="008E0873"/>
    <w:rsid w:val="008E15F6"/>
    <w:rsid w:val="008E4B9D"/>
    <w:rsid w:val="008E5244"/>
    <w:rsid w:val="008E6B1D"/>
    <w:rsid w:val="008E722D"/>
    <w:rsid w:val="008E722F"/>
    <w:rsid w:val="008F0066"/>
    <w:rsid w:val="008F082D"/>
    <w:rsid w:val="008F15A2"/>
    <w:rsid w:val="008F1901"/>
    <w:rsid w:val="008F1B6E"/>
    <w:rsid w:val="008F2486"/>
    <w:rsid w:val="008F26A8"/>
    <w:rsid w:val="008F5897"/>
    <w:rsid w:val="008F71B2"/>
    <w:rsid w:val="008F7A05"/>
    <w:rsid w:val="00900228"/>
    <w:rsid w:val="009002F6"/>
    <w:rsid w:val="00900AB8"/>
    <w:rsid w:val="00900AEC"/>
    <w:rsid w:val="00900B7D"/>
    <w:rsid w:val="009019CC"/>
    <w:rsid w:val="0090381A"/>
    <w:rsid w:val="00903DD0"/>
    <w:rsid w:val="009040C2"/>
    <w:rsid w:val="00904594"/>
    <w:rsid w:val="00904DEB"/>
    <w:rsid w:val="00904EDE"/>
    <w:rsid w:val="00905173"/>
    <w:rsid w:val="00905F5F"/>
    <w:rsid w:val="009068BD"/>
    <w:rsid w:val="00906BEC"/>
    <w:rsid w:val="00906E88"/>
    <w:rsid w:val="00906EC6"/>
    <w:rsid w:val="00906EDC"/>
    <w:rsid w:val="00906FDB"/>
    <w:rsid w:val="00907311"/>
    <w:rsid w:val="00907FEA"/>
    <w:rsid w:val="009118E4"/>
    <w:rsid w:val="009120BF"/>
    <w:rsid w:val="00912120"/>
    <w:rsid w:val="009125F4"/>
    <w:rsid w:val="00912651"/>
    <w:rsid w:val="00912934"/>
    <w:rsid w:val="009131B7"/>
    <w:rsid w:val="00913DA6"/>
    <w:rsid w:val="009144F1"/>
    <w:rsid w:val="00914A00"/>
    <w:rsid w:val="00914F03"/>
    <w:rsid w:val="00915587"/>
    <w:rsid w:val="00915BF6"/>
    <w:rsid w:val="009176AA"/>
    <w:rsid w:val="0091777E"/>
    <w:rsid w:val="00917DBE"/>
    <w:rsid w:val="00917FB3"/>
    <w:rsid w:val="00921AEA"/>
    <w:rsid w:val="00921FB8"/>
    <w:rsid w:val="00922867"/>
    <w:rsid w:val="00922CF2"/>
    <w:rsid w:val="00922EE6"/>
    <w:rsid w:val="00923358"/>
    <w:rsid w:val="0092355F"/>
    <w:rsid w:val="00923912"/>
    <w:rsid w:val="00925CF7"/>
    <w:rsid w:val="0092715B"/>
    <w:rsid w:val="00927452"/>
    <w:rsid w:val="0092796E"/>
    <w:rsid w:val="0093029C"/>
    <w:rsid w:val="0093044A"/>
    <w:rsid w:val="00930D80"/>
    <w:rsid w:val="009310A9"/>
    <w:rsid w:val="00933228"/>
    <w:rsid w:val="009332C0"/>
    <w:rsid w:val="00933B6D"/>
    <w:rsid w:val="00933D25"/>
    <w:rsid w:val="00933EFA"/>
    <w:rsid w:val="0093467E"/>
    <w:rsid w:val="00936393"/>
    <w:rsid w:val="00936BE4"/>
    <w:rsid w:val="009374C2"/>
    <w:rsid w:val="00940369"/>
    <w:rsid w:val="009411A5"/>
    <w:rsid w:val="00941CC0"/>
    <w:rsid w:val="009424AF"/>
    <w:rsid w:val="00942B6A"/>
    <w:rsid w:val="00942CAD"/>
    <w:rsid w:val="00943730"/>
    <w:rsid w:val="00943A4A"/>
    <w:rsid w:val="00947219"/>
    <w:rsid w:val="00947354"/>
    <w:rsid w:val="00947956"/>
    <w:rsid w:val="00949455"/>
    <w:rsid w:val="0095057A"/>
    <w:rsid w:val="00950A8B"/>
    <w:rsid w:val="00950B37"/>
    <w:rsid w:val="00951479"/>
    <w:rsid w:val="00951493"/>
    <w:rsid w:val="0095162C"/>
    <w:rsid w:val="0095361A"/>
    <w:rsid w:val="00953810"/>
    <w:rsid w:val="00954C9F"/>
    <w:rsid w:val="00957D72"/>
    <w:rsid w:val="00961B63"/>
    <w:rsid w:val="00962A88"/>
    <w:rsid w:val="00962F13"/>
    <w:rsid w:val="00963DB1"/>
    <w:rsid w:val="00964186"/>
    <w:rsid w:val="009676C4"/>
    <w:rsid w:val="00971824"/>
    <w:rsid w:val="00972832"/>
    <w:rsid w:val="00972BC7"/>
    <w:rsid w:val="00973D3F"/>
    <w:rsid w:val="00973DCB"/>
    <w:rsid w:val="00974136"/>
    <w:rsid w:val="009755FA"/>
    <w:rsid w:val="00976615"/>
    <w:rsid w:val="0097696A"/>
    <w:rsid w:val="009769EC"/>
    <w:rsid w:val="00976FA9"/>
    <w:rsid w:val="009776F4"/>
    <w:rsid w:val="009800BA"/>
    <w:rsid w:val="0098021A"/>
    <w:rsid w:val="009809F2"/>
    <w:rsid w:val="00980A94"/>
    <w:rsid w:val="009814A4"/>
    <w:rsid w:val="00981AD9"/>
    <w:rsid w:val="00982313"/>
    <w:rsid w:val="0098300F"/>
    <w:rsid w:val="00984684"/>
    <w:rsid w:val="00984C07"/>
    <w:rsid w:val="0098503D"/>
    <w:rsid w:val="0098504C"/>
    <w:rsid w:val="0098549C"/>
    <w:rsid w:val="00986455"/>
    <w:rsid w:val="009866DE"/>
    <w:rsid w:val="009870EC"/>
    <w:rsid w:val="00987F83"/>
    <w:rsid w:val="0099012A"/>
    <w:rsid w:val="00990574"/>
    <w:rsid w:val="0099164B"/>
    <w:rsid w:val="00991EC5"/>
    <w:rsid w:val="0099374E"/>
    <w:rsid w:val="00993971"/>
    <w:rsid w:val="00995B05"/>
    <w:rsid w:val="00996381"/>
    <w:rsid w:val="00996D56"/>
    <w:rsid w:val="009972FE"/>
    <w:rsid w:val="00997A6C"/>
    <w:rsid w:val="00997EB8"/>
    <w:rsid w:val="009A0109"/>
    <w:rsid w:val="009A02D5"/>
    <w:rsid w:val="009A07FA"/>
    <w:rsid w:val="009A0BD4"/>
    <w:rsid w:val="009A141A"/>
    <w:rsid w:val="009A1A24"/>
    <w:rsid w:val="009A1EDC"/>
    <w:rsid w:val="009A2AC2"/>
    <w:rsid w:val="009A36E5"/>
    <w:rsid w:val="009A3BCF"/>
    <w:rsid w:val="009A4201"/>
    <w:rsid w:val="009A49F7"/>
    <w:rsid w:val="009A5438"/>
    <w:rsid w:val="009A60B5"/>
    <w:rsid w:val="009A6793"/>
    <w:rsid w:val="009A702A"/>
    <w:rsid w:val="009A7DCB"/>
    <w:rsid w:val="009B0C15"/>
    <w:rsid w:val="009B1004"/>
    <w:rsid w:val="009B1BEE"/>
    <w:rsid w:val="009B227C"/>
    <w:rsid w:val="009B2458"/>
    <w:rsid w:val="009B3273"/>
    <w:rsid w:val="009B343E"/>
    <w:rsid w:val="009B3753"/>
    <w:rsid w:val="009B39FF"/>
    <w:rsid w:val="009B3A51"/>
    <w:rsid w:val="009B3C32"/>
    <w:rsid w:val="009B4084"/>
    <w:rsid w:val="009B4BF5"/>
    <w:rsid w:val="009B506B"/>
    <w:rsid w:val="009B5536"/>
    <w:rsid w:val="009B56A1"/>
    <w:rsid w:val="009B587B"/>
    <w:rsid w:val="009B6585"/>
    <w:rsid w:val="009B71BE"/>
    <w:rsid w:val="009B73A6"/>
    <w:rsid w:val="009B7477"/>
    <w:rsid w:val="009B7F70"/>
    <w:rsid w:val="009B7FAA"/>
    <w:rsid w:val="009C04A7"/>
    <w:rsid w:val="009C12F7"/>
    <w:rsid w:val="009C2B61"/>
    <w:rsid w:val="009C447F"/>
    <w:rsid w:val="009C483E"/>
    <w:rsid w:val="009C5CA0"/>
    <w:rsid w:val="009C5DD3"/>
    <w:rsid w:val="009C67CA"/>
    <w:rsid w:val="009C6820"/>
    <w:rsid w:val="009D05B5"/>
    <w:rsid w:val="009D0BCE"/>
    <w:rsid w:val="009D11EF"/>
    <w:rsid w:val="009D1B26"/>
    <w:rsid w:val="009D2041"/>
    <w:rsid w:val="009D29EB"/>
    <w:rsid w:val="009D2CBB"/>
    <w:rsid w:val="009D3ABC"/>
    <w:rsid w:val="009D471C"/>
    <w:rsid w:val="009D52D8"/>
    <w:rsid w:val="009D58AC"/>
    <w:rsid w:val="009D5E7D"/>
    <w:rsid w:val="009D6C34"/>
    <w:rsid w:val="009D7CEC"/>
    <w:rsid w:val="009E0551"/>
    <w:rsid w:val="009E0E99"/>
    <w:rsid w:val="009E1B78"/>
    <w:rsid w:val="009E2427"/>
    <w:rsid w:val="009E3642"/>
    <w:rsid w:val="009E41FC"/>
    <w:rsid w:val="009E49AF"/>
    <w:rsid w:val="009E54C5"/>
    <w:rsid w:val="009E5972"/>
    <w:rsid w:val="009E60A3"/>
    <w:rsid w:val="009E6E01"/>
    <w:rsid w:val="009E6FD7"/>
    <w:rsid w:val="009E7466"/>
    <w:rsid w:val="009F0185"/>
    <w:rsid w:val="009F0BD2"/>
    <w:rsid w:val="009F0D77"/>
    <w:rsid w:val="009F1009"/>
    <w:rsid w:val="009F1875"/>
    <w:rsid w:val="009F20B1"/>
    <w:rsid w:val="009F23DC"/>
    <w:rsid w:val="009F271D"/>
    <w:rsid w:val="009F294D"/>
    <w:rsid w:val="009F327F"/>
    <w:rsid w:val="009F3D19"/>
    <w:rsid w:val="009F5508"/>
    <w:rsid w:val="009F5940"/>
    <w:rsid w:val="009F5E41"/>
    <w:rsid w:val="009F6D72"/>
    <w:rsid w:val="009F6EE3"/>
    <w:rsid w:val="009F6F9C"/>
    <w:rsid w:val="009F7267"/>
    <w:rsid w:val="009F78C2"/>
    <w:rsid w:val="00A002E2"/>
    <w:rsid w:val="00A00410"/>
    <w:rsid w:val="00A00B36"/>
    <w:rsid w:val="00A00B7A"/>
    <w:rsid w:val="00A00D07"/>
    <w:rsid w:val="00A0187F"/>
    <w:rsid w:val="00A01AC1"/>
    <w:rsid w:val="00A01F08"/>
    <w:rsid w:val="00A02DEC"/>
    <w:rsid w:val="00A03738"/>
    <w:rsid w:val="00A03F63"/>
    <w:rsid w:val="00A0445A"/>
    <w:rsid w:val="00A05A36"/>
    <w:rsid w:val="00A05B96"/>
    <w:rsid w:val="00A063F7"/>
    <w:rsid w:val="00A07284"/>
    <w:rsid w:val="00A07624"/>
    <w:rsid w:val="00A07D64"/>
    <w:rsid w:val="00A10508"/>
    <w:rsid w:val="00A10A9E"/>
    <w:rsid w:val="00A1208E"/>
    <w:rsid w:val="00A12519"/>
    <w:rsid w:val="00A13305"/>
    <w:rsid w:val="00A13BAF"/>
    <w:rsid w:val="00A13EFC"/>
    <w:rsid w:val="00A1433A"/>
    <w:rsid w:val="00A1577D"/>
    <w:rsid w:val="00A15803"/>
    <w:rsid w:val="00A16BDE"/>
    <w:rsid w:val="00A1712A"/>
    <w:rsid w:val="00A179A3"/>
    <w:rsid w:val="00A17C8A"/>
    <w:rsid w:val="00A17D36"/>
    <w:rsid w:val="00A20437"/>
    <w:rsid w:val="00A204CA"/>
    <w:rsid w:val="00A21B6C"/>
    <w:rsid w:val="00A21D7A"/>
    <w:rsid w:val="00A22B4F"/>
    <w:rsid w:val="00A2354A"/>
    <w:rsid w:val="00A238E5"/>
    <w:rsid w:val="00A239F6"/>
    <w:rsid w:val="00A23B71"/>
    <w:rsid w:val="00A24742"/>
    <w:rsid w:val="00A2478D"/>
    <w:rsid w:val="00A248A8"/>
    <w:rsid w:val="00A25FF4"/>
    <w:rsid w:val="00A26259"/>
    <w:rsid w:val="00A264A4"/>
    <w:rsid w:val="00A268F7"/>
    <w:rsid w:val="00A2761F"/>
    <w:rsid w:val="00A306C6"/>
    <w:rsid w:val="00A309AA"/>
    <w:rsid w:val="00A314D6"/>
    <w:rsid w:val="00A3183D"/>
    <w:rsid w:val="00A31A98"/>
    <w:rsid w:val="00A32261"/>
    <w:rsid w:val="00A32BAD"/>
    <w:rsid w:val="00A3314B"/>
    <w:rsid w:val="00A33302"/>
    <w:rsid w:val="00A33550"/>
    <w:rsid w:val="00A33B00"/>
    <w:rsid w:val="00A33EB8"/>
    <w:rsid w:val="00A34996"/>
    <w:rsid w:val="00A349DD"/>
    <w:rsid w:val="00A34B42"/>
    <w:rsid w:val="00A34D20"/>
    <w:rsid w:val="00A36203"/>
    <w:rsid w:val="00A369F3"/>
    <w:rsid w:val="00A36A57"/>
    <w:rsid w:val="00A36FA1"/>
    <w:rsid w:val="00A36FBC"/>
    <w:rsid w:val="00A3785C"/>
    <w:rsid w:val="00A40413"/>
    <w:rsid w:val="00A407A9"/>
    <w:rsid w:val="00A40811"/>
    <w:rsid w:val="00A40E5E"/>
    <w:rsid w:val="00A41CC3"/>
    <w:rsid w:val="00A41D96"/>
    <w:rsid w:val="00A42022"/>
    <w:rsid w:val="00A425F5"/>
    <w:rsid w:val="00A426C9"/>
    <w:rsid w:val="00A43F07"/>
    <w:rsid w:val="00A44A09"/>
    <w:rsid w:val="00A44C35"/>
    <w:rsid w:val="00A45E5F"/>
    <w:rsid w:val="00A478C2"/>
    <w:rsid w:val="00A51121"/>
    <w:rsid w:val="00A53671"/>
    <w:rsid w:val="00A537D3"/>
    <w:rsid w:val="00A53830"/>
    <w:rsid w:val="00A53B8F"/>
    <w:rsid w:val="00A54166"/>
    <w:rsid w:val="00A54308"/>
    <w:rsid w:val="00A546E5"/>
    <w:rsid w:val="00A548B2"/>
    <w:rsid w:val="00A54D47"/>
    <w:rsid w:val="00A5525D"/>
    <w:rsid w:val="00A55AE7"/>
    <w:rsid w:val="00A5622E"/>
    <w:rsid w:val="00A6008B"/>
    <w:rsid w:val="00A60365"/>
    <w:rsid w:val="00A60FE9"/>
    <w:rsid w:val="00A61649"/>
    <w:rsid w:val="00A61B41"/>
    <w:rsid w:val="00A629EA"/>
    <w:rsid w:val="00A62FDC"/>
    <w:rsid w:val="00A63F36"/>
    <w:rsid w:val="00A641DF"/>
    <w:rsid w:val="00A64C81"/>
    <w:rsid w:val="00A64D48"/>
    <w:rsid w:val="00A65C1C"/>
    <w:rsid w:val="00A66185"/>
    <w:rsid w:val="00A66A80"/>
    <w:rsid w:val="00A66D31"/>
    <w:rsid w:val="00A66DC8"/>
    <w:rsid w:val="00A70312"/>
    <w:rsid w:val="00A716C7"/>
    <w:rsid w:val="00A7183D"/>
    <w:rsid w:val="00A71A40"/>
    <w:rsid w:val="00A71C28"/>
    <w:rsid w:val="00A72B6B"/>
    <w:rsid w:val="00A73EA5"/>
    <w:rsid w:val="00A75B1B"/>
    <w:rsid w:val="00A76F40"/>
    <w:rsid w:val="00A77F33"/>
    <w:rsid w:val="00A77FBE"/>
    <w:rsid w:val="00A80FED"/>
    <w:rsid w:val="00A819D8"/>
    <w:rsid w:val="00A8213F"/>
    <w:rsid w:val="00A821EB"/>
    <w:rsid w:val="00A8358E"/>
    <w:rsid w:val="00A8469C"/>
    <w:rsid w:val="00A85282"/>
    <w:rsid w:val="00A85A20"/>
    <w:rsid w:val="00A85D7A"/>
    <w:rsid w:val="00A85F03"/>
    <w:rsid w:val="00A85FF9"/>
    <w:rsid w:val="00A86151"/>
    <w:rsid w:val="00A8658B"/>
    <w:rsid w:val="00A86FA1"/>
    <w:rsid w:val="00A87273"/>
    <w:rsid w:val="00A873A7"/>
    <w:rsid w:val="00A87692"/>
    <w:rsid w:val="00A87E63"/>
    <w:rsid w:val="00A900A6"/>
    <w:rsid w:val="00A901D9"/>
    <w:rsid w:val="00A90F86"/>
    <w:rsid w:val="00A9106C"/>
    <w:rsid w:val="00A910BF"/>
    <w:rsid w:val="00A91CBE"/>
    <w:rsid w:val="00A92387"/>
    <w:rsid w:val="00A9348E"/>
    <w:rsid w:val="00A93BA8"/>
    <w:rsid w:val="00A94437"/>
    <w:rsid w:val="00A94ADC"/>
    <w:rsid w:val="00A950F6"/>
    <w:rsid w:val="00A95259"/>
    <w:rsid w:val="00A9582B"/>
    <w:rsid w:val="00AA0010"/>
    <w:rsid w:val="00AA070D"/>
    <w:rsid w:val="00AA08B0"/>
    <w:rsid w:val="00AA1CE2"/>
    <w:rsid w:val="00AA2022"/>
    <w:rsid w:val="00AA21F0"/>
    <w:rsid w:val="00AA32FD"/>
    <w:rsid w:val="00AA3DCB"/>
    <w:rsid w:val="00AA3E6B"/>
    <w:rsid w:val="00AA4A07"/>
    <w:rsid w:val="00AA5BAE"/>
    <w:rsid w:val="00AA5D64"/>
    <w:rsid w:val="00AA5F75"/>
    <w:rsid w:val="00AA63DB"/>
    <w:rsid w:val="00AA740D"/>
    <w:rsid w:val="00AA7ED3"/>
    <w:rsid w:val="00AB0357"/>
    <w:rsid w:val="00AB1E9F"/>
    <w:rsid w:val="00AB25B0"/>
    <w:rsid w:val="00AB3070"/>
    <w:rsid w:val="00AB367F"/>
    <w:rsid w:val="00AB4AA9"/>
    <w:rsid w:val="00AB4C20"/>
    <w:rsid w:val="00AB51CB"/>
    <w:rsid w:val="00AB5645"/>
    <w:rsid w:val="00AB5F3D"/>
    <w:rsid w:val="00AB672F"/>
    <w:rsid w:val="00AB6C6C"/>
    <w:rsid w:val="00AB750A"/>
    <w:rsid w:val="00AC1165"/>
    <w:rsid w:val="00AC1AFF"/>
    <w:rsid w:val="00AC3067"/>
    <w:rsid w:val="00AC3974"/>
    <w:rsid w:val="00AC47A3"/>
    <w:rsid w:val="00AC4AC9"/>
    <w:rsid w:val="00AC564F"/>
    <w:rsid w:val="00AC594E"/>
    <w:rsid w:val="00AC70EB"/>
    <w:rsid w:val="00AC78D1"/>
    <w:rsid w:val="00AC7A53"/>
    <w:rsid w:val="00AD00D2"/>
    <w:rsid w:val="00AD0635"/>
    <w:rsid w:val="00AD302C"/>
    <w:rsid w:val="00AD3710"/>
    <w:rsid w:val="00AD39C7"/>
    <w:rsid w:val="00AD3FFC"/>
    <w:rsid w:val="00AD4209"/>
    <w:rsid w:val="00AD47A8"/>
    <w:rsid w:val="00AD58BC"/>
    <w:rsid w:val="00AD5EAA"/>
    <w:rsid w:val="00AD60FC"/>
    <w:rsid w:val="00AD6252"/>
    <w:rsid w:val="00AD6C8D"/>
    <w:rsid w:val="00AE214A"/>
    <w:rsid w:val="00AE25C4"/>
    <w:rsid w:val="00AE292C"/>
    <w:rsid w:val="00AE36DB"/>
    <w:rsid w:val="00AE45DF"/>
    <w:rsid w:val="00AE5112"/>
    <w:rsid w:val="00AE5977"/>
    <w:rsid w:val="00AE6260"/>
    <w:rsid w:val="00AE6705"/>
    <w:rsid w:val="00AE7235"/>
    <w:rsid w:val="00AF0E3F"/>
    <w:rsid w:val="00AF1D18"/>
    <w:rsid w:val="00AF3C99"/>
    <w:rsid w:val="00AF3CC2"/>
    <w:rsid w:val="00AF4137"/>
    <w:rsid w:val="00AF44AE"/>
    <w:rsid w:val="00AF468C"/>
    <w:rsid w:val="00AF4F58"/>
    <w:rsid w:val="00AF50C7"/>
    <w:rsid w:val="00AF5744"/>
    <w:rsid w:val="00AF6152"/>
    <w:rsid w:val="00AF6680"/>
    <w:rsid w:val="00AF6C5A"/>
    <w:rsid w:val="00AF6CFE"/>
    <w:rsid w:val="00AF754F"/>
    <w:rsid w:val="00AF7B8E"/>
    <w:rsid w:val="00B000DB"/>
    <w:rsid w:val="00B003A7"/>
    <w:rsid w:val="00B01B5E"/>
    <w:rsid w:val="00B022B5"/>
    <w:rsid w:val="00B024D7"/>
    <w:rsid w:val="00B0276D"/>
    <w:rsid w:val="00B04E58"/>
    <w:rsid w:val="00B0545C"/>
    <w:rsid w:val="00B0570D"/>
    <w:rsid w:val="00B06146"/>
    <w:rsid w:val="00B06BAE"/>
    <w:rsid w:val="00B071B6"/>
    <w:rsid w:val="00B10C60"/>
    <w:rsid w:val="00B10EA5"/>
    <w:rsid w:val="00B11656"/>
    <w:rsid w:val="00B122E7"/>
    <w:rsid w:val="00B12B5D"/>
    <w:rsid w:val="00B12D97"/>
    <w:rsid w:val="00B13530"/>
    <w:rsid w:val="00B13D01"/>
    <w:rsid w:val="00B14146"/>
    <w:rsid w:val="00B149B6"/>
    <w:rsid w:val="00B14D71"/>
    <w:rsid w:val="00B15C2D"/>
    <w:rsid w:val="00B15C38"/>
    <w:rsid w:val="00B15C98"/>
    <w:rsid w:val="00B16026"/>
    <w:rsid w:val="00B166DB"/>
    <w:rsid w:val="00B16D11"/>
    <w:rsid w:val="00B17294"/>
    <w:rsid w:val="00B17640"/>
    <w:rsid w:val="00B177A8"/>
    <w:rsid w:val="00B1785B"/>
    <w:rsid w:val="00B207C5"/>
    <w:rsid w:val="00B210DE"/>
    <w:rsid w:val="00B2120D"/>
    <w:rsid w:val="00B21C70"/>
    <w:rsid w:val="00B23091"/>
    <w:rsid w:val="00B2359D"/>
    <w:rsid w:val="00B23F35"/>
    <w:rsid w:val="00B24876"/>
    <w:rsid w:val="00B24DB0"/>
    <w:rsid w:val="00B254F8"/>
    <w:rsid w:val="00B25F8C"/>
    <w:rsid w:val="00B26C35"/>
    <w:rsid w:val="00B26CFD"/>
    <w:rsid w:val="00B26E2F"/>
    <w:rsid w:val="00B27F2B"/>
    <w:rsid w:val="00B30574"/>
    <w:rsid w:val="00B3077C"/>
    <w:rsid w:val="00B30AF7"/>
    <w:rsid w:val="00B30B52"/>
    <w:rsid w:val="00B313F8"/>
    <w:rsid w:val="00B3186A"/>
    <w:rsid w:val="00B3318F"/>
    <w:rsid w:val="00B33569"/>
    <w:rsid w:val="00B3369D"/>
    <w:rsid w:val="00B3439D"/>
    <w:rsid w:val="00B349BC"/>
    <w:rsid w:val="00B35223"/>
    <w:rsid w:val="00B354CD"/>
    <w:rsid w:val="00B36576"/>
    <w:rsid w:val="00B36703"/>
    <w:rsid w:val="00B36B2C"/>
    <w:rsid w:val="00B36DC4"/>
    <w:rsid w:val="00B3703A"/>
    <w:rsid w:val="00B370DB"/>
    <w:rsid w:val="00B37401"/>
    <w:rsid w:val="00B37701"/>
    <w:rsid w:val="00B40A87"/>
    <w:rsid w:val="00B417C7"/>
    <w:rsid w:val="00B43A71"/>
    <w:rsid w:val="00B43FC6"/>
    <w:rsid w:val="00B4418B"/>
    <w:rsid w:val="00B45B62"/>
    <w:rsid w:val="00B460E4"/>
    <w:rsid w:val="00B47B36"/>
    <w:rsid w:val="00B509DB"/>
    <w:rsid w:val="00B52058"/>
    <w:rsid w:val="00B52A9F"/>
    <w:rsid w:val="00B52E9A"/>
    <w:rsid w:val="00B531AB"/>
    <w:rsid w:val="00B54417"/>
    <w:rsid w:val="00B546B3"/>
    <w:rsid w:val="00B5547F"/>
    <w:rsid w:val="00B57A88"/>
    <w:rsid w:val="00B6036D"/>
    <w:rsid w:val="00B60840"/>
    <w:rsid w:val="00B60916"/>
    <w:rsid w:val="00B60AA8"/>
    <w:rsid w:val="00B61545"/>
    <w:rsid w:val="00B62DDB"/>
    <w:rsid w:val="00B630A3"/>
    <w:rsid w:val="00B63D6A"/>
    <w:rsid w:val="00B65163"/>
    <w:rsid w:val="00B67737"/>
    <w:rsid w:val="00B677A1"/>
    <w:rsid w:val="00B67C3D"/>
    <w:rsid w:val="00B67FFC"/>
    <w:rsid w:val="00B7197A"/>
    <w:rsid w:val="00B71985"/>
    <w:rsid w:val="00B7269E"/>
    <w:rsid w:val="00B737D5"/>
    <w:rsid w:val="00B746E5"/>
    <w:rsid w:val="00B75CE0"/>
    <w:rsid w:val="00B7655B"/>
    <w:rsid w:val="00B77F7D"/>
    <w:rsid w:val="00B80A0F"/>
    <w:rsid w:val="00B80D60"/>
    <w:rsid w:val="00B8115C"/>
    <w:rsid w:val="00B81A52"/>
    <w:rsid w:val="00B82B8F"/>
    <w:rsid w:val="00B83AD0"/>
    <w:rsid w:val="00B83BFA"/>
    <w:rsid w:val="00B845BA"/>
    <w:rsid w:val="00B86E22"/>
    <w:rsid w:val="00B90552"/>
    <w:rsid w:val="00B905F9"/>
    <w:rsid w:val="00B90AD0"/>
    <w:rsid w:val="00B90D4F"/>
    <w:rsid w:val="00B9110E"/>
    <w:rsid w:val="00B91A3F"/>
    <w:rsid w:val="00B91AFE"/>
    <w:rsid w:val="00B9237C"/>
    <w:rsid w:val="00B934FB"/>
    <w:rsid w:val="00B9375C"/>
    <w:rsid w:val="00B93B1E"/>
    <w:rsid w:val="00B94C78"/>
    <w:rsid w:val="00B9503A"/>
    <w:rsid w:val="00B95598"/>
    <w:rsid w:val="00B955AF"/>
    <w:rsid w:val="00B9571B"/>
    <w:rsid w:val="00B95F42"/>
    <w:rsid w:val="00B96A9D"/>
    <w:rsid w:val="00B97115"/>
    <w:rsid w:val="00B97405"/>
    <w:rsid w:val="00B97874"/>
    <w:rsid w:val="00B97DDC"/>
    <w:rsid w:val="00BA0334"/>
    <w:rsid w:val="00BA04F5"/>
    <w:rsid w:val="00BA1304"/>
    <w:rsid w:val="00BA17AC"/>
    <w:rsid w:val="00BA1CFE"/>
    <w:rsid w:val="00BA270C"/>
    <w:rsid w:val="00BA280E"/>
    <w:rsid w:val="00BA287A"/>
    <w:rsid w:val="00BA4ADF"/>
    <w:rsid w:val="00BA4E2D"/>
    <w:rsid w:val="00BA5E35"/>
    <w:rsid w:val="00BA6915"/>
    <w:rsid w:val="00BA69A9"/>
    <w:rsid w:val="00BA70AF"/>
    <w:rsid w:val="00BA73C1"/>
    <w:rsid w:val="00BA7CB5"/>
    <w:rsid w:val="00BB0D3B"/>
    <w:rsid w:val="00BB1240"/>
    <w:rsid w:val="00BB19EF"/>
    <w:rsid w:val="00BB26DC"/>
    <w:rsid w:val="00BB2D1C"/>
    <w:rsid w:val="00BB39F7"/>
    <w:rsid w:val="00BB3C61"/>
    <w:rsid w:val="00BB5506"/>
    <w:rsid w:val="00BB5542"/>
    <w:rsid w:val="00BB70B0"/>
    <w:rsid w:val="00BB7637"/>
    <w:rsid w:val="00BB78AC"/>
    <w:rsid w:val="00BC0039"/>
    <w:rsid w:val="00BC216C"/>
    <w:rsid w:val="00BC23FF"/>
    <w:rsid w:val="00BC2575"/>
    <w:rsid w:val="00BC25A9"/>
    <w:rsid w:val="00BC25D4"/>
    <w:rsid w:val="00BC269D"/>
    <w:rsid w:val="00BC2B07"/>
    <w:rsid w:val="00BC355A"/>
    <w:rsid w:val="00BC36DB"/>
    <w:rsid w:val="00BC40C5"/>
    <w:rsid w:val="00BC456D"/>
    <w:rsid w:val="00BC49AD"/>
    <w:rsid w:val="00BC508C"/>
    <w:rsid w:val="00BC54AF"/>
    <w:rsid w:val="00BC54D7"/>
    <w:rsid w:val="00BC5A13"/>
    <w:rsid w:val="00BC6091"/>
    <w:rsid w:val="00BC727F"/>
    <w:rsid w:val="00BC7A85"/>
    <w:rsid w:val="00BD02DF"/>
    <w:rsid w:val="00BD1EA6"/>
    <w:rsid w:val="00BD2262"/>
    <w:rsid w:val="00BD252C"/>
    <w:rsid w:val="00BD4349"/>
    <w:rsid w:val="00BD457D"/>
    <w:rsid w:val="00BD4D61"/>
    <w:rsid w:val="00BD4EE7"/>
    <w:rsid w:val="00BD4F76"/>
    <w:rsid w:val="00BD544F"/>
    <w:rsid w:val="00BD5566"/>
    <w:rsid w:val="00BD57FA"/>
    <w:rsid w:val="00BD647A"/>
    <w:rsid w:val="00BD6869"/>
    <w:rsid w:val="00BD6BB2"/>
    <w:rsid w:val="00BD723B"/>
    <w:rsid w:val="00BD74A8"/>
    <w:rsid w:val="00BE03F7"/>
    <w:rsid w:val="00BE05B4"/>
    <w:rsid w:val="00BE06EB"/>
    <w:rsid w:val="00BE174F"/>
    <w:rsid w:val="00BE2D17"/>
    <w:rsid w:val="00BE2D20"/>
    <w:rsid w:val="00BE2E55"/>
    <w:rsid w:val="00BE37A0"/>
    <w:rsid w:val="00BE3ADB"/>
    <w:rsid w:val="00BE4D6E"/>
    <w:rsid w:val="00BE5297"/>
    <w:rsid w:val="00BE5729"/>
    <w:rsid w:val="00BE6E7C"/>
    <w:rsid w:val="00BE7ABE"/>
    <w:rsid w:val="00BF0214"/>
    <w:rsid w:val="00BF03B4"/>
    <w:rsid w:val="00BF09CD"/>
    <w:rsid w:val="00BF0C59"/>
    <w:rsid w:val="00BF27BB"/>
    <w:rsid w:val="00BF2CA3"/>
    <w:rsid w:val="00BF363F"/>
    <w:rsid w:val="00BF3A1B"/>
    <w:rsid w:val="00BF3C04"/>
    <w:rsid w:val="00BF4259"/>
    <w:rsid w:val="00BF48CB"/>
    <w:rsid w:val="00BF512A"/>
    <w:rsid w:val="00C0022E"/>
    <w:rsid w:val="00C007E2"/>
    <w:rsid w:val="00C015D2"/>
    <w:rsid w:val="00C01B27"/>
    <w:rsid w:val="00C0280D"/>
    <w:rsid w:val="00C02A79"/>
    <w:rsid w:val="00C03472"/>
    <w:rsid w:val="00C03753"/>
    <w:rsid w:val="00C03769"/>
    <w:rsid w:val="00C03A2B"/>
    <w:rsid w:val="00C03A8C"/>
    <w:rsid w:val="00C05F10"/>
    <w:rsid w:val="00C0676A"/>
    <w:rsid w:val="00C06C02"/>
    <w:rsid w:val="00C0764E"/>
    <w:rsid w:val="00C100F5"/>
    <w:rsid w:val="00C10379"/>
    <w:rsid w:val="00C1064F"/>
    <w:rsid w:val="00C10D2E"/>
    <w:rsid w:val="00C114AE"/>
    <w:rsid w:val="00C114F6"/>
    <w:rsid w:val="00C11DD6"/>
    <w:rsid w:val="00C11EDF"/>
    <w:rsid w:val="00C11F1B"/>
    <w:rsid w:val="00C1232E"/>
    <w:rsid w:val="00C12493"/>
    <w:rsid w:val="00C1448C"/>
    <w:rsid w:val="00C146E7"/>
    <w:rsid w:val="00C150B4"/>
    <w:rsid w:val="00C1564C"/>
    <w:rsid w:val="00C15A89"/>
    <w:rsid w:val="00C15C97"/>
    <w:rsid w:val="00C1642A"/>
    <w:rsid w:val="00C17395"/>
    <w:rsid w:val="00C17963"/>
    <w:rsid w:val="00C17C09"/>
    <w:rsid w:val="00C20261"/>
    <w:rsid w:val="00C2059B"/>
    <w:rsid w:val="00C20FB1"/>
    <w:rsid w:val="00C2150E"/>
    <w:rsid w:val="00C2182D"/>
    <w:rsid w:val="00C21CF4"/>
    <w:rsid w:val="00C2339D"/>
    <w:rsid w:val="00C233D7"/>
    <w:rsid w:val="00C23951"/>
    <w:rsid w:val="00C245B3"/>
    <w:rsid w:val="00C2591A"/>
    <w:rsid w:val="00C25F01"/>
    <w:rsid w:val="00C26583"/>
    <w:rsid w:val="00C265A5"/>
    <w:rsid w:val="00C271E6"/>
    <w:rsid w:val="00C27A64"/>
    <w:rsid w:val="00C3075F"/>
    <w:rsid w:val="00C31ED5"/>
    <w:rsid w:val="00C31EEF"/>
    <w:rsid w:val="00C31F8A"/>
    <w:rsid w:val="00C321A4"/>
    <w:rsid w:val="00C32D12"/>
    <w:rsid w:val="00C3561A"/>
    <w:rsid w:val="00C36496"/>
    <w:rsid w:val="00C3650A"/>
    <w:rsid w:val="00C3697F"/>
    <w:rsid w:val="00C36C8E"/>
    <w:rsid w:val="00C36CCE"/>
    <w:rsid w:val="00C36D32"/>
    <w:rsid w:val="00C36DB6"/>
    <w:rsid w:val="00C371F7"/>
    <w:rsid w:val="00C373FC"/>
    <w:rsid w:val="00C3775C"/>
    <w:rsid w:val="00C37AB9"/>
    <w:rsid w:val="00C402BB"/>
    <w:rsid w:val="00C40D5B"/>
    <w:rsid w:val="00C41EA5"/>
    <w:rsid w:val="00C42163"/>
    <w:rsid w:val="00C421D8"/>
    <w:rsid w:val="00C423EF"/>
    <w:rsid w:val="00C4392A"/>
    <w:rsid w:val="00C43E05"/>
    <w:rsid w:val="00C43EFC"/>
    <w:rsid w:val="00C46615"/>
    <w:rsid w:val="00C4683B"/>
    <w:rsid w:val="00C47E4D"/>
    <w:rsid w:val="00C51416"/>
    <w:rsid w:val="00C5248D"/>
    <w:rsid w:val="00C53425"/>
    <w:rsid w:val="00C542D6"/>
    <w:rsid w:val="00C54D35"/>
    <w:rsid w:val="00C550F7"/>
    <w:rsid w:val="00C572B3"/>
    <w:rsid w:val="00C576E8"/>
    <w:rsid w:val="00C600C6"/>
    <w:rsid w:val="00C610D4"/>
    <w:rsid w:val="00C6134C"/>
    <w:rsid w:val="00C61DC5"/>
    <w:rsid w:val="00C6255F"/>
    <w:rsid w:val="00C62A7B"/>
    <w:rsid w:val="00C63367"/>
    <w:rsid w:val="00C64152"/>
    <w:rsid w:val="00C64596"/>
    <w:rsid w:val="00C655BF"/>
    <w:rsid w:val="00C65C8F"/>
    <w:rsid w:val="00C66A99"/>
    <w:rsid w:val="00C66E72"/>
    <w:rsid w:val="00C70B9E"/>
    <w:rsid w:val="00C71661"/>
    <w:rsid w:val="00C73186"/>
    <w:rsid w:val="00C73B34"/>
    <w:rsid w:val="00C75601"/>
    <w:rsid w:val="00C75A73"/>
    <w:rsid w:val="00C75FAC"/>
    <w:rsid w:val="00C76475"/>
    <w:rsid w:val="00C77253"/>
    <w:rsid w:val="00C77F5C"/>
    <w:rsid w:val="00C77F80"/>
    <w:rsid w:val="00C80833"/>
    <w:rsid w:val="00C808B2"/>
    <w:rsid w:val="00C80C5E"/>
    <w:rsid w:val="00C80FC7"/>
    <w:rsid w:val="00C8203E"/>
    <w:rsid w:val="00C83D8D"/>
    <w:rsid w:val="00C8415E"/>
    <w:rsid w:val="00C84DBA"/>
    <w:rsid w:val="00C85493"/>
    <w:rsid w:val="00C87175"/>
    <w:rsid w:val="00C8749C"/>
    <w:rsid w:val="00C878C2"/>
    <w:rsid w:val="00C87C35"/>
    <w:rsid w:val="00C90964"/>
    <w:rsid w:val="00C924C1"/>
    <w:rsid w:val="00C9419B"/>
    <w:rsid w:val="00C945B7"/>
    <w:rsid w:val="00C94CF3"/>
    <w:rsid w:val="00C94FA0"/>
    <w:rsid w:val="00C95670"/>
    <w:rsid w:val="00C95FB2"/>
    <w:rsid w:val="00C96387"/>
    <w:rsid w:val="00C965A9"/>
    <w:rsid w:val="00C96CAA"/>
    <w:rsid w:val="00C96D63"/>
    <w:rsid w:val="00C97E3F"/>
    <w:rsid w:val="00CA1029"/>
    <w:rsid w:val="00CA1134"/>
    <w:rsid w:val="00CA21DD"/>
    <w:rsid w:val="00CA23F4"/>
    <w:rsid w:val="00CA34CC"/>
    <w:rsid w:val="00CA43C0"/>
    <w:rsid w:val="00CA4529"/>
    <w:rsid w:val="00CA51F1"/>
    <w:rsid w:val="00CA55F6"/>
    <w:rsid w:val="00CA674B"/>
    <w:rsid w:val="00CA6EAD"/>
    <w:rsid w:val="00CA70A4"/>
    <w:rsid w:val="00CA7270"/>
    <w:rsid w:val="00CA797C"/>
    <w:rsid w:val="00CB0295"/>
    <w:rsid w:val="00CB039E"/>
    <w:rsid w:val="00CB10F9"/>
    <w:rsid w:val="00CB11A4"/>
    <w:rsid w:val="00CB1374"/>
    <w:rsid w:val="00CB23BE"/>
    <w:rsid w:val="00CB2695"/>
    <w:rsid w:val="00CB2AF6"/>
    <w:rsid w:val="00CB2D0A"/>
    <w:rsid w:val="00CB361F"/>
    <w:rsid w:val="00CB392F"/>
    <w:rsid w:val="00CB42EF"/>
    <w:rsid w:val="00CB5C36"/>
    <w:rsid w:val="00CB6274"/>
    <w:rsid w:val="00CB6BE0"/>
    <w:rsid w:val="00CB6DE9"/>
    <w:rsid w:val="00CB6FF1"/>
    <w:rsid w:val="00CB71D8"/>
    <w:rsid w:val="00CB74FD"/>
    <w:rsid w:val="00CB7B01"/>
    <w:rsid w:val="00CC0ACF"/>
    <w:rsid w:val="00CC2A21"/>
    <w:rsid w:val="00CC503F"/>
    <w:rsid w:val="00CC5532"/>
    <w:rsid w:val="00CC5639"/>
    <w:rsid w:val="00CC7B5C"/>
    <w:rsid w:val="00CC7EF5"/>
    <w:rsid w:val="00CD0ACB"/>
    <w:rsid w:val="00CD1944"/>
    <w:rsid w:val="00CD1B27"/>
    <w:rsid w:val="00CD2987"/>
    <w:rsid w:val="00CD3D91"/>
    <w:rsid w:val="00CD4043"/>
    <w:rsid w:val="00CD5333"/>
    <w:rsid w:val="00CD5D93"/>
    <w:rsid w:val="00CD5E52"/>
    <w:rsid w:val="00CD7297"/>
    <w:rsid w:val="00CD77AA"/>
    <w:rsid w:val="00CE1360"/>
    <w:rsid w:val="00CE2CDA"/>
    <w:rsid w:val="00CE3B90"/>
    <w:rsid w:val="00CE4655"/>
    <w:rsid w:val="00CE4686"/>
    <w:rsid w:val="00CE4CF3"/>
    <w:rsid w:val="00CE5873"/>
    <w:rsid w:val="00CE68DC"/>
    <w:rsid w:val="00CE7721"/>
    <w:rsid w:val="00CE79E5"/>
    <w:rsid w:val="00CF079E"/>
    <w:rsid w:val="00CF07F5"/>
    <w:rsid w:val="00CF0932"/>
    <w:rsid w:val="00CF1255"/>
    <w:rsid w:val="00CF1364"/>
    <w:rsid w:val="00CF1A48"/>
    <w:rsid w:val="00CF225F"/>
    <w:rsid w:val="00CF2B67"/>
    <w:rsid w:val="00CF3DB8"/>
    <w:rsid w:val="00CF4ECF"/>
    <w:rsid w:val="00CF5189"/>
    <w:rsid w:val="00CF6236"/>
    <w:rsid w:val="00CF78DA"/>
    <w:rsid w:val="00CF796A"/>
    <w:rsid w:val="00CF7C64"/>
    <w:rsid w:val="00D00359"/>
    <w:rsid w:val="00D009A4"/>
    <w:rsid w:val="00D00F74"/>
    <w:rsid w:val="00D01A5F"/>
    <w:rsid w:val="00D04A1C"/>
    <w:rsid w:val="00D04D8D"/>
    <w:rsid w:val="00D053C7"/>
    <w:rsid w:val="00D06686"/>
    <w:rsid w:val="00D066B1"/>
    <w:rsid w:val="00D0673B"/>
    <w:rsid w:val="00D06954"/>
    <w:rsid w:val="00D070B3"/>
    <w:rsid w:val="00D07CB4"/>
    <w:rsid w:val="00D10A96"/>
    <w:rsid w:val="00D1171F"/>
    <w:rsid w:val="00D11D39"/>
    <w:rsid w:val="00D11E22"/>
    <w:rsid w:val="00D1299B"/>
    <w:rsid w:val="00D12A0F"/>
    <w:rsid w:val="00D12B7F"/>
    <w:rsid w:val="00D1353A"/>
    <w:rsid w:val="00D13900"/>
    <w:rsid w:val="00D1422D"/>
    <w:rsid w:val="00D1441E"/>
    <w:rsid w:val="00D146DA"/>
    <w:rsid w:val="00D14980"/>
    <w:rsid w:val="00D14F11"/>
    <w:rsid w:val="00D15395"/>
    <w:rsid w:val="00D15DCA"/>
    <w:rsid w:val="00D15E05"/>
    <w:rsid w:val="00D1653B"/>
    <w:rsid w:val="00D16A0A"/>
    <w:rsid w:val="00D16C54"/>
    <w:rsid w:val="00D17201"/>
    <w:rsid w:val="00D175FE"/>
    <w:rsid w:val="00D17F59"/>
    <w:rsid w:val="00D207B2"/>
    <w:rsid w:val="00D2127F"/>
    <w:rsid w:val="00D212F2"/>
    <w:rsid w:val="00D21E28"/>
    <w:rsid w:val="00D222DA"/>
    <w:rsid w:val="00D24121"/>
    <w:rsid w:val="00D25A31"/>
    <w:rsid w:val="00D262AB"/>
    <w:rsid w:val="00D26E05"/>
    <w:rsid w:val="00D275DF"/>
    <w:rsid w:val="00D308A2"/>
    <w:rsid w:val="00D31638"/>
    <w:rsid w:val="00D322FF"/>
    <w:rsid w:val="00D32838"/>
    <w:rsid w:val="00D33510"/>
    <w:rsid w:val="00D33C89"/>
    <w:rsid w:val="00D34EC2"/>
    <w:rsid w:val="00D3640C"/>
    <w:rsid w:val="00D37040"/>
    <w:rsid w:val="00D37637"/>
    <w:rsid w:val="00D37958"/>
    <w:rsid w:val="00D379D1"/>
    <w:rsid w:val="00D37A45"/>
    <w:rsid w:val="00D40BC6"/>
    <w:rsid w:val="00D410F0"/>
    <w:rsid w:val="00D41506"/>
    <w:rsid w:val="00D42254"/>
    <w:rsid w:val="00D42276"/>
    <w:rsid w:val="00D43ADA"/>
    <w:rsid w:val="00D4410E"/>
    <w:rsid w:val="00D44416"/>
    <w:rsid w:val="00D44560"/>
    <w:rsid w:val="00D4475F"/>
    <w:rsid w:val="00D44B54"/>
    <w:rsid w:val="00D453A3"/>
    <w:rsid w:val="00D45443"/>
    <w:rsid w:val="00D456B5"/>
    <w:rsid w:val="00D465A6"/>
    <w:rsid w:val="00D467F0"/>
    <w:rsid w:val="00D47DB1"/>
    <w:rsid w:val="00D50941"/>
    <w:rsid w:val="00D51018"/>
    <w:rsid w:val="00D52B18"/>
    <w:rsid w:val="00D537FC"/>
    <w:rsid w:val="00D53A00"/>
    <w:rsid w:val="00D53AD8"/>
    <w:rsid w:val="00D54526"/>
    <w:rsid w:val="00D54AAC"/>
    <w:rsid w:val="00D54CDC"/>
    <w:rsid w:val="00D558E6"/>
    <w:rsid w:val="00D56180"/>
    <w:rsid w:val="00D56464"/>
    <w:rsid w:val="00D5679D"/>
    <w:rsid w:val="00D569D4"/>
    <w:rsid w:val="00D57128"/>
    <w:rsid w:val="00D600E6"/>
    <w:rsid w:val="00D60F27"/>
    <w:rsid w:val="00D63052"/>
    <w:rsid w:val="00D63FE3"/>
    <w:rsid w:val="00D640E9"/>
    <w:rsid w:val="00D64D42"/>
    <w:rsid w:val="00D64F4A"/>
    <w:rsid w:val="00D64FFA"/>
    <w:rsid w:val="00D65672"/>
    <w:rsid w:val="00D65D44"/>
    <w:rsid w:val="00D667FA"/>
    <w:rsid w:val="00D66A75"/>
    <w:rsid w:val="00D671A9"/>
    <w:rsid w:val="00D67D91"/>
    <w:rsid w:val="00D67FF1"/>
    <w:rsid w:val="00D70989"/>
    <w:rsid w:val="00D709F7"/>
    <w:rsid w:val="00D70F68"/>
    <w:rsid w:val="00D7112C"/>
    <w:rsid w:val="00D724E6"/>
    <w:rsid w:val="00D73E60"/>
    <w:rsid w:val="00D7468E"/>
    <w:rsid w:val="00D7475B"/>
    <w:rsid w:val="00D74B79"/>
    <w:rsid w:val="00D74F7C"/>
    <w:rsid w:val="00D75EAA"/>
    <w:rsid w:val="00D762E5"/>
    <w:rsid w:val="00D76468"/>
    <w:rsid w:val="00D769BC"/>
    <w:rsid w:val="00D77154"/>
    <w:rsid w:val="00D77FF7"/>
    <w:rsid w:val="00D80176"/>
    <w:rsid w:val="00D808D8"/>
    <w:rsid w:val="00D8122A"/>
    <w:rsid w:val="00D81345"/>
    <w:rsid w:val="00D813AB"/>
    <w:rsid w:val="00D81630"/>
    <w:rsid w:val="00D81E5E"/>
    <w:rsid w:val="00D81F68"/>
    <w:rsid w:val="00D8204C"/>
    <w:rsid w:val="00D8226C"/>
    <w:rsid w:val="00D8242F"/>
    <w:rsid w:val="00D829A6"/>
    <w:rsid w:val="00D82E76"/>
    <w:rsid w:val="00D82E8F"/>
    <w:rsid w:val="00D83906"/>
    <w:rsid w:val="00D85514"/>
    <w:rsid w:val="00D8584B"/>
    <w:rsid w:val="00D85ABC"/>
    <w:rsid w:val="00D86FB9"/>
    <w:rsid w:val="00D87004"/>
    <w:rsid w:val="00D90165"/>
    <w:rsid w:val="00D90471"/>
    <w:rsid w:val="00D9186A"/>
    <w:rsid w:val="00D9259C"/>
    <w:rsid w:val="00D93960"/>
    <w:rsid w:val="00D93BF9"/>
    <w:rsid w:val="00D94F3C"/>
    <w:rsid w:val="00D95B68"/>
    <w:rsid w:val="00D96540"/>
    <w:rsid w:val="00D970B9"/>
    <w:rsid w:val="00D97256"/>
    <w:rsid w:val="00D975DE"/>
    <w:rsid w:val="00D97A3F"/>
    <w:rsid w:val="00D97B78"/>
    <w:rsid w:val="00D97E2B"/>
    <w:rsid w:val="00DA034E"/>
    <w:rsid w:val="00DA04B8"/>
    <w:rsid w:val="00DA0A47"/>
    <w:rsid w:val="00DA142D"/>
    <w:rsid w:val="00DA1714"/>
    <w:rsid w:val="00DA1A3C"/>
    <w:rsid w:val="00DA4887"/>
    <w:rsid w:val="00DA4B52"/>
    <w:rsid w:val="00DA5C9B"/>
    <w:rsid w:val="00DA68A8"/>
    <w:rsid w:val="00DA6918"/>
    <w:rsid w:val="00DA7408"/>
    <w:rsid w:val="00DA7682"/>
    <w:rsid w:val="00DB047F"/>
    <w:rsid w:val="00DB0659"/>
    <w:rsid w:val="00DB0D0B"/>
    <w:rsid w:val="00DB13D8"/>
    <w:rsid w:val="00DB42B0"/>
    <w:rsid w:val="00DB4B53"/>
    <w:rsid w:val="00DB7046"/>
    <w:rsid w:val="00DB719D"/>
    <w:rsid w:val="00DB7DA7"/>
    <w:rsid w:val="00DC0B6C"/>
    <w:rsid w:val="00DC2102"/>
    <w:rsid w:val="00DC23BC"/>
    <w:rsid w:val="00DC3D6F"/>
    <w:rsid w:val="00DC464B"/>
    <w:rsid w:val="00DC47A1"/>
    <w:rsid w:val="00DC51B3"/>
    <w:rsid w:val="00DC537C"/>
    <w:rsid w:val="00DC584B"/>
    <w:rsid w:val="00DC6257"/>
    <w:rsid w:val="00DC626C"/>
    <w:rsid w:val="00DC78E4"/>
    <w:rsid w:val="00DC7EC2"/>
    <w:rsid w:val="00DD19E1"/>
    <w:rsid w:val="00DD1C6D"/>
    <w:rsid w:val="00DD1EDB"/>
    <w:rsid w:val="00DD1F20"/>
    <w:rsid w:val="00DD2506"/>
    <w:rsid w:val="00DD2898"/>
    <w:rsid w:val="00DD466B"/>
    <w:rsid w:val="00DD47F5"/>
    <w:rsid w:val="00DD485E"/>
    <w:rsid w:val="00DD4877"/>
    <w:rsid w:val="00DD5A28"/>
    <w:rsid w:val="00DD5DF2"/>
    <w:rsid w:val="00DD6203"/>
    <w:rsid w:val="00DD6836"/>
    <w:rsid w:val="00DD7AC8"/>
    <w:rsid w:val="00DE00A2"/>
    <w:rsid w:val="00DE027F"/>
    <w:rsid w:val="00DE0345"/>
    <w:rsid w:val="00DE046F"/>
    <w:rsid w:val="00DE04C7"/>
    <w:rsid w:val="00DE060D"/>
    <w:rsid w:val="00DE2DBB"/>
    <w:rsid w:val="00DE4237"/>
    <w:rsid w:val="00DE4D75"/>
    <w:rsid w:val="00DE5221"/>
    <w:rsid w:val="00DE66B9"/>
    <w:rsid w:val="00DE70D3"/>
    <w:rsid w:val="00DE714F"/>
    <w:rsid w:val="00DE7ABB"/>
    <w:rsid w:val="00DF0682"/>
    <w:rsid w:val="00DF11A4"/>
    <w:rsid w:val="00DF1271"/>
    <w:rsid w:val="00DF16F4"/>
    <w:rsid w:val="00DF1EA6"/>
    <w:rsid w:val="00DF24DA"/>
    <w:rsid w:val="00DF2900"/>
    <w:rsid w:val="00DF3CFE"/>
    <w:rsid w:val="00DF4A4F"/>
    <w:rsid w:val="00DF4CC5"/>
    <w:rsid w:val="00DF50BA"/>
    <w:rsid w:val="00DF51FA"/>
    <w:rsid w:val="00DF52B7"/>
    <w:rsid w:val="00DF52C6"/>
    <w:rsid w:val="00DF5CE1"/>
    <w:rsid w:val="00DF6498"/>
    <w:rsid w:val="00DF700D"/>
    <w:rsid w:val="00DF7FC5"/>
    <w:rsid w:val="00E00A67"/>
    <w:rsid w:val="00E02C66"/>
    <w:rsid w:val="00E02CFF"/>
    <w:rsid w:val="00E02E2F"/>
    <w:rsid w:val="00E048CD"/>
    <w:rsid w:val="00E04920"/>
    <w:rsid w:val="00E05B4C"/>
    <w:rsid w:val="00E06267"/>
    <w:rsid w:val="00E06FEE"/>
    <w:rsid w:val="00E07724"/>
    <w:rsid w:val="00E10DEF"/>
    <w:rsid w:val="00E1122B"/>
    <w:rsid w:val="00E116F2"/>
    <w:rsid w:val="00E12E6D"/>
    <w:rsid w:val="00E13728"/>
    <w:rsid w:val="00E13895"/>
    <w:rsid w:val="00E13E5C"/>
    <w:rsid w:val="00E145CF"/>
    <w:rsid w:val="00E14AEF"/>
    <w:rsid w:val="00E15C9A"/>
    <w:rsid w:val="00E16404"/>
    <w:rsid w:val="00E1690F"/>
    <w:rsid w:val="00E1773E"/>
    <w:rsid w:val="00E17C77"/>
    <w:rsid w:val="00E20234"/>
    <w:rsid w:val="00E210E3"/>
    <w:rsid w:val="00E2112F"/>
    <w:rsid w:val="00E21832"/>
    <w:rsid w:val="00E22ECC"/>
    <w:rsid w:val="00E233B8"/>
    <w:rsid w:val="00E23E13"/>
    <w:rsid w:val="00E246CF"/>
    <w:rsid w:val="00E24C9E"/>
    <w:rsid w:val="00E2538A"/>
    <w:rsid w:val="00E25B98"/>
    <w:rsid w:val="00E25BC0"/>
    <w:rsid w:val="00E25E2F"/>
    <w:rsid w:val="00E268E3"/>
    <w:rsid w:val="00E3015B"/>
    <w:rsid w:val="00E3029B"/>
    <w:rsid w:val="00E30BEA"/>
    <w:rsid w:val="00E313E3"/>
    <w:rsid w:val="00E32397"/>
    <w:rsid w:val="00E32D87"/>
    <w:rsid w:val="00E32E6A"/>
    <w:rsid w:val="00E33530"/>
    <w:rsid w:val="00E339D9"/>
    <w:rsid w:val="00E344C3"/>
    <w:rsid w:val="00E3484A"/>
    <w:rsid w:val="00E3502C"/>
    <w:rsid w:val="00E3567B"/>
    <w:rsid w:val="00E361BA"/>
    <w:rsid w:val="00E36CBD"/>
    <w:rsid w:val="00E37905"/>
    <w:rsid w:val="00E406B1"/>
    <w:rsid w:val="00E40AF5"/>
    <w:rsid w:val="00E40E5A"/>
    <w:rsid w:val="00E41187"/>
    <w:rsid w:val="00E412CD"/>
    <w:rsid w:val="00E42A6C"/>
    <w:rsid w:val="00E43254"/>
    <w:rsid w:val="00E43425"/>
    <w:rsid w:val="00E44C0D"/>
    <w:rsid w:val="00E44C98"/>
    <w:rsid w:val="00E467B7"/>
    <w:rsid w:val="00E468B1"/>
    <w:rsid w:val="00E47DA0"/>
    <w:rsid w:val="00E50A89"/>
    <w:rsid w:val="00E51185"/>
    <w:rsid w:val="00E52021"/>
    <w:rsid w:val="00E52715"/>
    <w:rsid w:val="00E527FA"/>
    <w:rsid w:val="00E528CF"/>
    <w:rsid w:val="00E52BAD"/>
    <w:rsid w:val="00E534A4"/>
    <w:rsid w:val="00E534E1"/>
    <w:rsid w:val="00E53BEF"/>
    <w:rsid w:val="00E54CF4"/>
    <w:rsid w:val="00E5561F"/>
    <w:rsid w:val="00E558A4"/>
    <w:rsid w:val="00E55A54"/>
    <w:rsid w:val="00E55E3A"/>
    <w:rsid w:val="00E563D8"/>
    <w:rsid w:val="00E5656B"/>
    <w:rsid w:val="00E566F7"/>
    <w:rsid w:val="00E56DA8"/>
    <w:rsid w:val="00E57C3B"/>
    <w:rsid w:val="00E57DEB"/>
    <w:rsid w:val="00E61AEA"/>
    <w:rsid w:val="00E63CF7"/>
    <w:rsid w:val="00E6451C"/>
    <w:rsid w:val="00E64BEA"/>
    <w:rsid w:val="00E650A6"/>
    <w:rsid w:val="00E6650F"/>
    <w:rsid w:val="00E672D8"/>
    <w:rsid w:val="00E67F17"/>
    <w:rsid w:val="00E70A8E"/>
    <w:rsid w:val="00E70D0A"/>
    <w:rsid w:val="00E7207F"/>
    <w:rsid w:val="00E7250E"/>
    <w:rsid w:val="00E7268C"/>
    <w:rsid w:val="00E729B4"/>
    <w:rsid w:val="00E72E59"/>
    <w:rsid w:val="00E74E2A"/>
    <w:rsid w:val="00E75BE2"/>
    <w:rsid w:val="00E75D42"/>
    <w:rsid w:val="00E76A89"/>
    <w:rsid w:val="00E7787C"/>
    <w:rsid w:val="00E77C65"/>
    <w:rsid w:val="00E77D22"/>
    <w:rsid w:val="00E8083F"/>
    <w:rsid w:val="00E80924"/>
    <w:rsid w:val="00E80D09"/>
    <w:rsid w:val="00E80D71"/>
    <w:rsid w:val="00E81D13"/>
    <w:rsid w:val="00E81D5F"/>
    <w:rsid w:val="00E82339"/>
    <w:rsid w:val="00E831B7"/>
    <w:rsid w:val="00E857FF"/>
    <w:rsid w:val="00E866C8"/>
    <w:rsid w:val="00E87C91"/>
    <w:rsid w:val="00E905BE"/>
    <w:rsid w:val="00E905DA"/>
    <w:rsid w:val="00E906AB"/>
    <w:rsid w:val="00E90D05"/>
    <w:rsid w:val="00E91546"/>
    <w:rsid w:val="00E918A6"/>
    <w:rsid w:val="00E922AF"/>
    <w:rsid w:val="00E92EBE"/>
    <w:rsid w:val="00E9494A"/>
    <w:rsid w:val="00E95010"/>
    <w:rsid w:val="00E951A0"/>
    <w:rsid w:val="00E961B3"/>
    <w:rsid w:val="00E966DA"/>
    <w:rsid w:val="00E96ACB"/>
    <w:rsid w:val="00E96D73"/>
    <w:rsid w:val="00EA02A0"/>
    <w:rsid w:val="00EA05D5"/>
    <w:rsid w:val="00EA33CB"/>
    <w:rsid w:val="00EA37B4"/>
    <w:rsid w:val="00EA390B"/>
    <w:rsid w:val="00EA40EC"/>
    <w:rsid w:val="00EA4502"/>
    <w:rsid w:val="00EA4A1B"/>
    <w:rsid w:val="00EA5305"/>
    <w:rsid w:val="00EA6404"/>
    <w:rsid w:val="00EA73DF"/>
    <w:rsid w:val="00EA7506"/>
    <w:rsid w:val="00EB1354"/>
    <w:rsid w:val="00EB137D"/>
    <w:rsid w:val="00EB1FE3"/>
    <w:rsid w:val="00EB3389"/>
    <w:rsid w:val="00EB511A"/>
    <w:rsid w:val="00EB590F"/>
    <w:rsid w:val="00EB6427"/>
    <w:rsid w:val="00EB6DF1"/>
    <w:rsid w:val="00EB6FAB"/>
    <w:rsid w:val="00EB7601"/>
    <w:rsid w:val="00EB7D50"/>
    <w:rsid w:val="00EB7D51"/>
    <w:rsid w:val="00EC2DDF"/>
    <w:rsid w:val="00EC2E28"/>
    <w:rsid w:val="00EC3F96"/>
    <w:rsid w:val="00EC4470"/>
    <w:rsid w:val="00EC4786"/>
    <w:rsid w:val="00EC4F25"/>
    <w:rsid w:val="00EC52A2"/>
    <w:rsid w:val="00EC586E"/>
    <w:rsid w:val="00EC5EFB"/>
    <w:rsid w:val="00EC5F71"/>
    <w:rsid w:val="00EC660B"/>
    <w:rsid w:val="00EC66EB"/>
    <w:rsid w:val="00EC7D7A"/>
    <w:rsid w:val="00ED1AB8"/>
    <w:rsid w:val="00ED1D90"/>
    <w:rsid w:val="00ED24C8"/>
    <w:rsid w:val="00ED39F6"/>
    <w:rsid w:val="00ED3D89"/>
    <w:rsid w:val="00ED4AF9"/>
    <w:rsid w:val="00ED5571"/>
    <w:rsid w:val="00ED5825"/>
    <w:rsid w:val="00ED5A57"/>
    <w:rsid w:val="00ED5E89"/>
    <w:rsid w:val="00ED7556"/>
    <w:rsid w:val="00ED7CB2"/>
    <w:rsid w:val="00EE006D"/>
    <w:rsid w:val="00EE0374"/>
    <w:rsid w:val="00EE0AC7"/>
    <w:rsid w:val="00EE1840"/>
    <w:rsid w:val="00EE1C93"/>
    <w:rsid w:val="00EE29A7"/>
    <w:rsid w:val="00EE355C"/>
    <w:rsid w:val="00EE3A65"/>
    <w:rsid w:val="00EE42EA"/>
    <w:rsid w:val="00EE46D0"/>
    <w:rsid w:val="00EE4B7F"/>
    <w:rsid w:val="00EE57F7"/>
    <w:rsid w:val="00EE6E28"/>
    <w:rsid w:val="00EE7114"/>
    <w:rsid w:val="00EE7F1B"/>
    <w:rsid w:val="00EF05D1"/>
    <w:rsid w:val="00EF0A96"/>
    <w:rsid w:val="00EF18D4"/>
    <w:rsid w:val="00EF23BD"/>
    <w:rsid w:val="00EF36B8"/>
    <w:rsid w:val="00EF36D0"/>
    <w:rsid w:val="00EF3736"/>
    <w:rsid w:val="00EF3B29"/>
    <w:rsid w:val="00EF463E"/>
    <w:rsid w:val="00EF65BD"/>
    <w:rsid w:val="00EF67EC"/>
    <w:rsid w:val="00EF7D04"/>
    <w:rsid w:val="00EF7EAC"/>
    <w:rsid w:val="00F00FBC"/>
    <w:rsid w:val="00F0105C"/>
    <w:rsid w:val="00F01589"/>
    <w:rsid w:val="00F018D0"/>
    <w:rsid w:val="00F02631"/>
    <w:rsid w:val="00F026FF"/>
    <w:rsid w:val="00F02CA3"/>
    <w:rsid w:val="00F032ED"/>
    <w:rsid w:val="00F03B61"/>
    <w:rsid w:val="00F0412F"/>
    <w:rsid w:val="00F04C22"/>
    <w:rsid w:val="00F0525B"/>
    <w:rsid w:val="00F05F7D"/>
    <w:rsid w:val="00F0609B"/>
    <w:rsid w:val="00F06371"/>
    <w:rsid w:val="00F066AC"/>
    <w:rsid w:val="00F066E3"/>
    <w:rsid w:val="00F06AA7"/>
    <w:rsid w:val="00F06BA3"/>
    <w:rsid w:val="00F06DF3"/>
    <w:rsid w:val="00F06F6B"/>
    <w:rsid w:val="00F0734B"/>
    <w:rsid w:val="00F07B91"/>
    <w:rsid w:val="00F101D0"/>
    <w:rsid w:val="00F111B4"/>
    <w:rsid w:val="00F11288"/>
    <w:rsid w:val="00F11BEA"/>
    <w:rsid w:val="00F11F4F"/>
    <w:rsid w:val="00F1204D"/>
    <w:rsid w:val="00F12082"/>
    <w:rsid w:val="00F12F95"/>
    <w:rsid w:val="00F13B2B"/>
    <w:rsid w:val="00F142E5"/>
    <w:rsid w:val="00F145DE"/>
    <w:rsid w:val="00F14BD4"/>
    <w:rsid w:val="00F16532"/>
    <w:rsid w:val="00F173E1"/>
    <w:rsid w:val="00F204D0"/>
    <w:rsid w:val="00F20DD6"/>
    <w:rsid w:val="00F214A4"/>
    <w:rsid w:val="00F21784"/>
    <w:rsid w:val="00F21BD0"/>
    <w:rsid w:val="00F2257B"/>
    <w:rsid w:val="00F2309D"/>
    <w:rsid w:val="00F2367E"/>
    <w:rsid w:val="00F24836"/>
    <w:rsid w:val="00F25EB5"/>
    <w:rsid w:val="00F26A25"/>
    <w:rsid w:val="00F26B26"/>
    <w:rsid w:val="00F27292"/>
    <w:rsid w:val="00F313DA"/>
    <w:rsid w:val="00F31762"/>
    <w:rsid w:val="00F31B4D"/>
    <w:rsid w:val="00F31BA4"/>
    <w:rsid w:val="00F3310F"/>
    <w:rsid w:val="00F336D2"/>
    <w:rsid w:val="00F34486"/>
    <w:rsid w:val="00F34C18"/>
    <w:rsid w:val="00F350DC"/>
    <w:rsid w:val="00F3628E"/>
    <w:rsid w:val="00F363C2"/>
    <w:rsid w:val="00F36418"/>
    <w:rsid w:val="00F37804"/>
    <w:rsid w:val="00F37B5A"/>
    <w:rsid w:val="00F40155"/>
    <w:rsid w:val="00F408B0"/>
    <w:rsid w:val="00F41083"/>
    <w:rsid w:val="00F416C8"/>
    <w:rsid w:val="00F41E49"/>
    <w:rsid w:val="00F42E02"/>
    <w:rsid w:val="00F434D2"/>
    <w:rsid w:val="00F43AA2"/>
    <w:rsid w:val="00F446F0"/>
    <w:rsid w:val="00F447AA"/>
    <w:rsid w:val="00F450BB"/>
    <w:rsid w:val="00F450E5"/>
    <w:rsid w:val="00F453DF"/>
    <w:rsid w:val="00F45CFD"/>
    <w:rsid w:val="00F47075"/>
    <w:rsid w:val="00F47513"/>
    <w:rsid w:val="00F47E4B"/>
    <w:rsid w:val="00F506AD"/>
    <w:rsid w:val="00F51669"/>
    <w:rsid w:val="00F52757"/>
    <w:rsid w:val="00F52956"/>
    <w:rsid w:val="00F52BB1"/>
    <w:rsid w:val="00F53B78"/>
    <w:rsid w:val="00F53C58"/>
    <w:rsid w:val="00F54BBD"/>
    <w:rsid w:val="00F558ED"/>
    <w:rsid w:val="00F559E6"/>
    <w:rsid w:val="00F5603C"/>
    <w:rsid w:val="00F56286"/>
    <w:rsid w:val="00F566D8"/>
    <w:rsid w:val="00F56C0D"/>
    <w:rsid w:val="00F57563"/>
    <w:rsid w:val="00F5760F"/>
    <w:rsid w:val="00F57C5D"/>
    <w:rsid w:val="00F60B63"/>
    <w:rsid w:val="00F61100"/>
    <w:rsid w:val="00F619A2"/>
    <w:rsid w:val="00F627A1"/>
    <w:rsid w:val="00F63FE3"/>
    <w:rsid w:val="00F64DCA"/>
    <w:rsid w:val="00F650E9"/>
    <w:rsid w:val="00F651F1"/>
    <w:rsid w:val="00F65D98"/>
    <w:rsid w:val="00F6603F"/>
    <w:rsid w:val="00F664C5"/>
    <w:rsid w:val="00F665A7"/>
    <w:rsid w:val="00F6706B"/>
    <w:rsid w:val="00F6733F"/>
    <w:rsid w:val="00F67C1E"/>
    <w:rsid w:val="00F7049B"/>
    <w:rsid w:val="00F70A7C"/>
    <w:rsid w:val="00F7170F"/>
    <w:rsid w:val="00F71C63"/>
    <w:rsid w:val="00F72228"/>
    <w:rsid w:val="00F7226C"/>
    <w:rsid w:val="00F72D64"/>
    <w:rsid w:val="00F732A4"/>
    <w:rsid w:val="00F73E58"/>
    <w:rsid w:val="00F73ED1"/>
    <w:rsid w:val="00F74877"/>
    <w:rsid w:val="00F74B3A"/>
    <w:rsid w:val="00F75DDB"/>
    <w:rsid w:val="00F76E10"/>
    <w:rsid w:val="00F76F69"/>
    <w:rsid w:val="00F77188"/>
    <w:rsid w:val="00F77E40"/>
    <w:rsid w:val="00F808A6"/>
    <w:rsid w:val="00F81ADD"/>
    <w:rsid w:val="00F822F9"/>
    <w:rsid w:val="00F82F63"/>
    <w:rsid w:val="00F831D9"/>
    <w:rsid w:val="00F83472"/>
    <w:rsid w:val="00F8435E"/>
    <w:rsid w:val="00F84ECB"/>
    <w:rsid w:val="00F86824"/>
    <w:rsid w:val="00F8686C"/>
    <w:rsid w:val="00F87A22"/>
    <w:rsid w:val="00F90175"/>
    <w:rsid w:val="00F90D26"/>
    <w:rsid w:val="00F9151A"/>
    <w:rsid w:val="00F93158"/>
    <w:rsid w:val="00F934A5"/>
    <w:rsid w:val="00F94310"/>
    <w:rsid w:val="00F9437B"/>
    <w:rsid w:val="00F94891"/>
    <w:rsid w:val="00F951FD"/>
    <w:rsid w:val="00F96BF5"/>
    <w:rsid w:val="00F97218"/>
    <w:rsid w:val="00F97306"/>
    <w:rsid w:val="00F97D0F"/>
    <w:rsid w:val="00FA0EE6"/>
    <w:rsid w:val="00FA0F7A"/>
    <w:rsid w:val="00FA169C"/>
    <w:rsid w:val="00FA19A8"/>
    <w:rsid w:val="00FA1F03"/>
    <w:rsid w:val="00FA205A"/>
    <w:rsid w:val="00FA26BC"/>
    <w:rsid w:val="00FA2FF8"/>
    <w:rsid w:val="00FA4E05"/>
    <w:rsid w:val="00FA5132"/>
    <w:rsid w:val="00FA5B26"/>
    <w:rsid w:val="00FA5D40"/>
    <w:rsid w:val="00FA6A9B"/>
    <w:rsid w:val="00FA6BE7"/>
    <w:rsid w:val="00FA7854"/>
    <w:rsid w:val="00FB0EA6"/>
    <w:rsid w:val="00FB1ECA"/>
    <w:rsid w:val="00FB2067"/>
    <w:rsid w:val="00FB29CC"/>
    <w:rsid w:val="00FB2BB8"/>
    <w:rsid w:val="00FB355E"/>
    <w:rsid w:val="00FB379B"/>
    <w:rsid w:val="00FB42F1"/>
    <w:rsid w:val="00FB5333"/>
    <w:rsid w:val="00FB564B"/>
    <w:rsid w:val="00FB7907"/>
    <w:rsid w:val="00FC02CC"/>
    <w:rsid w:val="00FC06AD"/>
    <w:rsid w:val="00FC0E86"/>
    <w:rsid w:val="00FC16A3"/>
    <w:rsid w:val="00FC23B5"/>
    <w:rsid w:val="00FC307E"/>
    <w:rsid w:val="00FC381D"/>
    <w:rsid w:val="00FC480B"/>
    <w:rsid w:val="00FC4BBB"/>
    <w:rsid w:val="00FC5405"/>
    <w:rsid w:val="00FC5B89"/>
    <w:rsid w:val="00FC6043"/>
    <w:rsid w:val="00FC66E0"/>
    <w:rsid w:val="00FC712F"/>
    <w:rsid w:val="00FC76D0"/>
    <w:rsid w:val="00FD2C71"/>
    <w:rsid w:val="00FD2E79"/>
    <w:rsid w:val="00FD31B2"/>
    <w:rsid w:val="00FD38B1"/>
    <w:rsid w:val="00FD3A96"/>
    <w:rsid w:val="00FD4CA8"/>
    <w:rsid w:val="00FD5084"/>
    <w:rsid w:val="00FD5185"/>
    <w:rsid w:val="00FD5597"/>
    <w:rsid w:val="00FD5E3E"/>
    <w:rsid w:val="00FD6128"/>
    <w:rsid w:val="00FD64C2"/>
    <w:rsid w:val="00FD660E"/>
    <w:rsid w:val="00FD6CC3"/>
    <w:rsid w:val="00FD6E02"/>
    <w:rsid w:val="00FD6F86"/>
    <w:rsid w:val="00FD790D"/>
    <w:rsid w:val="00FE0074"/>
    <w:rsid w:val="00FE0A8C"/>
    <w:rsid w:val="00FE194F"/>
    <w:rsid w:val="00FE1F9C"/>
    <w:rsid w:val="00FE21B9"/>
    <w:rsid w:val="00FE2ABF"/>
    <w:rsid w:val="00FE36D1"/>
    <w:rsid w:val="00FE3A57"/>
    <w:rsid w:val="00FE3D25"/>
    <w:rsid w:val="00FE3E8F"/>
    <w:rsid w:val="00FE437A"/>
    <w:rsid w:val="00FE45F6"/>
    <w:rsid w:val="00FE5D09"/>
    <w:rsid w:val="00FE6240"/>
    <w:rsid w:val="00FE6B47"/>
    <w:rsid w:val="00FE6BD3"/>
    <w:rsid w:val="00FE7781"/>
    <w:rsid w:val="00FF0219"/>
    <w:rsid w:val="00FF03E0"/>
    <w:rsid w:val="00FF04BF"/>
    <w:rsid w:val="00FF0A78"/>
    <w:rsid w:val="00FF1D84"/>
    <w:rsid w:val="00FF208C"/>
    <w:rsid w:val="00FF23CF"/>
    <w:rsid w:val="00FF5346"/>
    <w:rsid w:val="00FF696C"/>
    <w:rsid w:val="00FF7738"/>
    <w:rsid w:val="00FF7E31"/>
    <w:rsid w:val="014278F0"/>
    <w:rsid w:val="0221AFDD"/>
    <w:rsid w:val="0267AFF2"/>
    <w:rsid w:val="03341473"/>
    <w:rsid w:val="04553330"/>
    <w:rsid w:val="048C9BB3"/>
    <w:rsid w:val="04B58FD7"/>
    <w:rsid w:val="0511184E"/>
    <w:rsid w:val="052003FD"/>
    <w:rsid w:val="063A2D21"/>
    <w:rsid w:val="06D19364"/>
    <w:rsid w:val="071D3965"/>
    <w:rsid w:val="074651C3"/>
    <w:rsid w:val="07E6A3BA"/>
    <w:rsid w:val="08053606"/>
    <w:rsid w:val="08450244"/>
    <w:rsid w:val="086F5B13"/>
    <w:rsid w:val="08FF0315"/>
    <w:rsid w:val="0916DDE3"/>
    <w:rsid w:val="09534318"/>
    <w:rsid w:val="095DF985"/>
    <w:rsid w:val="0A90AB7D"/>
    <w:rsid w:val="0BE814AC"/>
    <w:rsid w:val="0C5AFF6B"/>
    <w:rsid w:val="0C85AD61"/>
    <w:rsid w:val="0CABF784"/>
    <w:rsid w:val="0D35634C"/>
    <w:rsid w:val="0E201CB6"/>
    <w:rsid w:val="0E481500"/>
    <w:rsid w:val="0E911831"/>
    <w:rsid w:val="0ED133AD"/>
    <w:rsid w:val="0EE45218"/>
    <w:rsid w:val="0F49A09C"/>
    <w:rsid w:val="0FEADB86"/>
    <w:rsid w:val="1046E35F"/>
    <w:rsid w:val="10588F5E"/>
    <w:rsid w:val="105DA3D9"/>
    <w:rsid w:val="10FD7DB1"/>
    <w:rsid w:val="117443A5"/>
    <w:rsid w:val="11785092"/>
    <w:rsid w:val="12324F60"/>
    <w:rsid w:val="12CDB096"/>
    <w:rsid w:val="1306EF1C"/>
    <w:rsid w:val="1381C560"/>
    <w:rsid w:val="13A4A4D0"/>
    <w:rsid w:val="13CB71A8"/>
    <w:rsid w:val="141F3440"/>
    <w:rsid w:val="14A168C3"/>
    <w:rsid w:val="14A2BF7D"/>
    <w:rsid w:val="155622F6"/>
    <w:rsid w:val="15C9E271"/>
    <w:rsid w:val="16DC4592"/>
    <w:rsid w:val="170F7C6A"/>
    <w:rsid w:val="17D038B5"/>
    <w:rsid w:val="1875D79D"/>
    <w:rsid w:val="189C7C2B"/>
    <w:rsid w:val="18B83683"/>
    <w:rsid w:val="1980323C"/>
    <w:rsid w:val="19827679"/>
    <w:rsid w:val="19EFC175"/>
    <w:rsid w:val="1A710886"/>
    <w:rsid w:val="1ACC78C7"/>
    <w:rsid w:val="1B3A15D6"/>
    <w:rsid w:val="1BA0561E"/>
    <w:rsid w:val="1BDF6459"/>
    <w:rsid w:val="1BFF7A3B"/>
    <w:rsid w:val="1C0CD8E7"/>
    <w:rsid w:val="1D1BD945"/>
    <w:rsid w:val="1D4DFEE0"/>
    <w:rsid w:val="1D56EB25"/>
    <w:rsid w:val="1D6BFE3A"/>
    <w:rsid w:val="1D7F50D9"/>
    <w:rsid w:val="1E292453"/>
    <w:rsid w:val="1E9497F8"/>
    <w:rsid w:val="1EC33298"/>
    <w:rsid w:val="1EF2BB86"/>
    <w:rsid w:val="1F0B13FC"/>
    <w:rsid w:val="1F293970"/>
    <w:rsid w:val="1F6B5D13"/>
    <w:rsid w:val="1F93E525"/>
    <w:rsid w:val="1FC56896"/>
    <w:rsid w:val="1FE31404"/>
    <w:rsid w:val="204BFF75"/>
    <w:rsid w:val="205F02F9"/>
    <w:rsid w:val="20D820F5"/>
    <w:rsid w:val="21BA3ADC"/>
    <w:rsid w:val="2207646E"/>
    <w:rsid w:val="220C7B2B"/>
    <w:rsid w:val="22520992"/>
    <w:rsid w:val="229F427A"/>
    <w:rsid w:val="22F90561"/>
    <w:rsid w:val="2303F541"/>
    <w:rsid w:val="237F1FF7"/>
    <w:rsid w:val="23EEB7B5"/>
    <w:rsid w:val="23F886A7"/>
    <w:rsid w:val="2403D2CF"/>
    <w:rsid w:val="2444A658"/>
    <w:rsid w:val="251AF058"/>
    <w:rsid w:val="2536A0D1"/>
    <w:rsid w:val="2561FD0A"/>
    <w:rsid w:val="259EC318"/>
    <w:rsid w:val="25ABF1C4"/>
    <w:rsid w:val="25D55287"/>
    <w:rsid w:val="263DE5C9"/>
    <w:rsid w:val="288AE485"/>
    <w:rsid w:val="28963CEB"/>
    <w:rsid w:val="2968D453"/>
    <w:rsid w:val="296D7E4F"/>
    <w:rsid w:val="297501B0"/>
    <w:rsid w:val="2A23D974"/>
    <w:rsid w:val="2A71F945"/>
    <w:rsid w:val="2AB018BD"/>
    <w:rsid w:val="2AB323D3"/>
    <w:rsid w:val="2AF3AE8A"/>
    <w:rsid w:val="2B200DCF"/>
    <w:rsid w:val="2BDF21AE"/>
    <w:rsid w:val="2C320783"/>
    <w:rsid w:val="2CE90571"/>
    <w:rsid w:val="2D14072F"/>
    <w:rsid w:val="2D226321"/>
    <w:rsid w:val="2D67466D"/>
    <w:rsid w:val="2DBBC3AF"/>
    <w:rsid w:val="2DCDF67C"/>
    <w:rsid w:val="2E37438F"/>
    <w:rsid w:val="2E726BBA"/>
    <w:rsid w:val="2E7A2FC8"/>
    <w:rsid w:val="2EDEA2CC"/>
    <w:rsid w:val="2FD878D8"/>
    <w:rsid w:val="2FE121F6"/>
    <w:rsid w:val="3014FAB9"/>
    <w:rsid w:val="302E2316"/>
    <w:rsid w:val="30B5B314"/>
    <w:rsid w:val="3191F37C"/>
    <w:rsid w:val="31BF8876"/>
    <w:rsid w:val="31FB5907"/>
    <w:rsid w:val="31FE8645"/>
    <w:rsid w:val="3285839E"/>
    <w:rsid w:val="330AD86B"/>
    <w:rsid w:val="339F78E0"/>
    <w:rsid w:val="3435FC1C"/>
    <w:rsid w:val="3487621B"/>
    <w:rsid w:val="34CAA162"/>
    <w:rsid w:val="34FB2635"/>
    <w:rsid w:val="358709FB"/>
    <w:rsid w:val="35A0DE63"/>
    <w:rsid w:val="35D1CC7D"/>
    <w:rsid w:val="3614985D"/>
    <w:rsid w:val="37EB1542"/>
    <w:rsid w:val="3938ACD6"/>
    <w:rsid w:val="3A9C6778"/>
    <w:rsid w:val="3ABE2706"/>
    <w:rsid w:val="3ACE56CB"/>
    <w:rsid w:val="3B204942"/>
    <w:rsid w:val="3B262C8D"/>
    <w:rsid w:val="3B267AE2"/>
    <w:rsid w:val="3B2EE361"/>
    <w:rsid w:val="3B90AAB3"/>
    <w:rsid w:val="3C4B864F"/>
    <w:rsid w:val="3C5C9E56"/>
    <w:rsid w:val="3C85DF6E"/>
    <w:rsid w:val="3CCAB3C2"/>
    <w:rsid w:val="3DE0F0AD"/>
    <w:rsid w:val="3E9252B5"/>
    <w:rsid w:val="3FBBB985"/>
    <w:rsid w:val="3FC06869"/>
    <w:rsid w:val="3FF24CE7"/>
    <w:rsid w:val="40025484"/>
    <w:rsid w:val="400BE23E"/>
    <w:rsid w:val="407C74EE"/>
    <w:rsid w:val="40BB0597"/>
    <w:rsid w:val="416E0994"/>
    <w:rsid w:val="41B1CBF4"/>
    <w:rsid w:val="42921039"/>
    <w:rsid w:val="4307CAB7"/>
    <w:rsid w:val="4490EE9C"/>
    <w:rsid w:val="44B06FED"/>
    <w:rsid w:val="44D25C84"/>
    <w:rsid w:val="45B2C6F2"/>
    <w:rsid w:val="4678FE86"/>
    <w:rsid w:val="46A930AA"/>
    <w:rsid w:val="46DF63AC"/>
    <w:rsid w:val="47484227"/>
    <w:rsid w:val="47AFBB0A"/>
    <w:rsid w:val="48157C50"/>
    <w:rsid w:val="48190B93"/>
    <w:rsid w:val="4847B343"/>
    <w:rsid w:val="48763EAA"/>
    <w:rsid w:val="492F3423"/>
    <w:rsid w:val="49315468"/>
    <w:rsid w:val="496E4E8E"/>
    <w:rsid w:val="4A33C9F6"/>
    <w:rsid w:val="4A56DC12"/>
    <w:rsid w:val="4AE22EB2"/>
    <w:rsid w:val="4AFF78C4"/>
    <w:rsid w:val="4B564248"/>
    <w:rsid w:val="4BC38D07"/>
    <w:rsid w:val="4C002056"/>
    <w:rsid w:val="4C101B7D"/>
    <w:rsid w:val="4CE1B52F"/>
    <w:rsid w:val="4CFE6FC4"/>
    <w:rsid w:val="4D767FF6"/>
    <w:rsid w:val="4DA72343"/>
    <w:rsid w:val="4EDDE062"/>
    <w:rsid w:val="4FD2E9E7"/>
    <w:rsid w:val="502AA964"/>
    <w:rsid w:val="504639A0"/>
    <w:rsid w:val="50C4B3A1"/>
    <w:rsid w:val="516771D2"/>
    <w:rsid w:val="516EBA48"/>
    <w:rsid w:val="517FD6B8"/>
    <w:rsid w:val="51DF7F53"/>
    <w:rsid w:val="521DF1A4"/>
    <w:rsid w:val="528B1A8F"/>
    <w:rsid w:val="5291EDFA"/>
    <w:rsid w:val="52AF65FA"/>
    <w:rsid w:val="52D374D8"/>
    <w:rsid w:val="53D0FCCC"/>
    <w:rsid w:val="54086093"/>
    <w:rsid w:val="549B7176"/>
    <w:rsid w:val="555F71BF"/>
    <w:rsid w:val="559859DD"/>
    <w:rsid w:val="55DBF0F0"/>
    <w:rsid w:val="563E3F39"/>
    <w:rsid w:val="563FE3D2"/>
    <w:rsid w:val="56A5D9A8"/>
    <w:rsid w:val="57DBB433"/>
    <w:rsid w:val="57E4DCBA"/>
    <w:rsid w:val="58297BEF"/>
    <w:rsid w:val="5834C0F1"/>
    <w:rsid w:val="5894BF46"/>
    <w:rsid w:val="58F1B0F3"/>
    <w:rsid w:val="58F56DF5"/>
    <w:rsid w:val="58FF68A2"/>
    <w:rsid w:val="59057D8F"/>
    <w:rsid w:val="5980AD1B"/>
    <w:rsid w:val="5A913E56"/>
    <w:rsid w:val="5AC5C2BD"/>
    <w:rsid w:val="5B49F4DF"/>
    <w:rsid w:val="5B739348"/>
    <w:rsid w:val="5B881F02"/>
    <w:rsid w:val="5CBB82C1"/>
    <w:rsid w:val="5E261A59"/>
    <w:rsid w:val="5EAB340A"/>
    <w:rsid w:val="5EC2301B"/>
    <w:rsid w:val="5FB41ADB"/>
    <w:rsid w:val="5FC0FAE7"/>
    <w:rsid w:val="60FF2281"/>
    <w:rsid w:val="612AAB9A"/>
    <w:rsid w:val="6131FCC6"/>
    <w:rsid w:val="620556B6"/>
    <w:rsid w:val="623C3E95"/>
    <w:rsid w:val="63458324"/>
    <w:rsid w:val="63784B6B"/>
    <w:rsid w:val="64092E85"/>
    <w:rsid w:val="64A4945D"/>
    <w:rsid w:val="66BA69D7"/>
    <w:rsid w:val="67268BED"/>
    <w:rsid w:val="67532278"/>
    <w:rsid w:val="677655AF"/>
    <w:rsid w:val="68F3DE54"/>
    <w:rsid w:val="699D2BBD"/>
    <w:rsid w:val="6A1BDBF5"/>
    <w:rsid w:val="6A6AC9FB"/>
    <w:rsid w:val="6AC679CB"/>
    <w:rsid w:val="6AE0D079"/>
    <w:rsid w:val="6B24BF4A"/>
    <w:rsid w:val="6B396D88"/>
    <w:rsid w:val="6B81FCB6"/>
    <w:rsid w:val="6BFE26D9"/>
    <w:rsid w:val="6C26939B"/>
    <w:rsid w:val="6C6612FB"/>
    <w:rsid w:val="6DFDED01"/>
    <w:rsid w:val="6F44DC9E"/>
    <w:rsid w:val="6F4C4472"/>
    <w:rsid w:val="706EA2D3"/>
    <w:rsid w:val="706F929B"/>
    <w:rsid w:val="7087F773"/>
    <w:rsid w:val="70A03E38"/>
    <w:rsid w:val="71BDF461"/>
    <w:rsid w:val="72125853"/>
    <w:rsid w:val="7336511D"/>
    <w:rsid w:val="7338A7F6"/>
    <w:rsid w:val="73959399"/>
    <w:rsid w:val="73C179BA"/>
    <w:rsid w:val="744F0E99"/>
    <w:rsid w:val="7522F3F1"/>
    <w:rsid w:val="75A95102"/>
    <w:rsid w:val="75EB1306"/>
    <w:rsid w:val="766A81CE"/>
    <w:rsid w:val="767585F2"/>
    <w:rsid w:val="767F644B"/>
    <w:rsid w:val="769A72E0"/>
    <w:rsid w:val="76B405B0"/>
    <w:rsid w:val="77180D98"/>
    <w:rsid w:val="77452163"/>
    <w:rsid w:val="7763EB2D"/>
    <w:rsid w:val="77A62B24"/>
    <w:rsid w:val="77EA6BF7"/>
    <w:rsid w:val="781AA190"/>
    <w:rsid w:val="784D0297"/>
    <w:rsid w:val="78C96E00"/>
    <w:rsid w:val="7941FB85"/>
    <w:rsid w:val="7947F4BB"/>
    <w:rsid w:val="79834EB8"/>
    <w:rsid w:val="7A2DF06E"/>
    <w:rsid w:val="7A35BE78"/>
    <w:rsid w:val="7ADDCBE6"/>
    <w:rsid w:val="7B61EAF9"/>
    <w:rsid w:val="7BF2D760"/>
    <w:rsid w:val="7BF43331"/>
    <w:rsid w:val="7BF78246"/>
    <w:rsid w:val="7C0FADF6"/>
    <w:rsid w:val="7C246C3E"/>
    <w:rsid w:val="7D6D3CE5"/>
    <w:rsid w:val="7E37BEDB"/>
    <w:rsid w:val="7E391807"/>
    <w:rsid w:val="7EBF4A45"/>
    <w:rsid w:val="7F2D2BDE"/>
    <w:rsid w:val="7F506A4F"/>
    <w:rsid w:val="7F7C45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9336C6"/>
  <w15:chartTrackingRefBased/>
  <w15:docId w15:val="{AD0DA502-1302-4595-8E73-5FF2A500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20B"/>
  </w:style>
  <w:style w:type="paragraph" w:styleId="Heading1">
    <w:name w:val="heading 1"/>
    <w:basedOn w:val="Normal"/>
    <w:next w:val="Normal"/>
    <w:link w:val="Heading1Char"/>
    <w:uiPriority w:val="9"/>
    <w:qFormat/>
    <w:rsid w:val="00B061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56B2"/>
    <w:pPr>
      <w:keepNext/>
      <w:keepLines/>
      <w:spacing w:before="120" w:after="120" w:line="256" w:lineRule="auto"/>
      <w:outlineLvl w:val="2"/>
    </w:pPr>
    <w:rPr>
      <w:rFonts w:ascii="Times New Roman" w:eastAsiaTheme="majorEastAsia" w:hAnsi="Times New Roman" w:cstheme="majorBidi"/>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5E03"/>
    <w:pPr>
      <w:ind w:left="720"/>
      <w:contextualSpacing/>
    </w:pPr>
  </w:style>
  <w:style w:type="paragraph" w:customStyle="1" w:styleId="CMR23-heading">
    <w:name w:val="CMR 23 - heading"/>
    <w:basedOn w:val="Heading1"/>
    <w:next w:val="CMR23-text"/>
    <w:link w:val="CMR23-headingChar"/>
    <w:qFormat/>
    <w:rsid w:val="00B36B2C"/>
    <w:pPr>
      <w:keepNext w:val="0"/>
      <w:keepLines w:val="0"/>
      <w:numPr>
        <w:numId w:val="3"/>
      </w:numPr>
      <w:spacing w:before="120" w:after="240" w:line="276" w:lineRule="auto"/>
    </w:pPr>
    <w:rPr>
      <w:rFonts w:ascii="Times New Roman" w:hAnsi="Times New Roman"/>
      <w:b/>
      <w:color w:val="auto"/>
      <w:sz w:val="28"/>
      <w:lang w:val="en-IE"/>
    </w:rPr>
  </w:style>
  <w:style w:type="paragraph" w:customStyle="1" w:styleId="CMR23-text">
    <w:name w:val="CMR 23 - text"/>
    <w:basedOn w:val="Normal"/>
    <w:link w:val="CMR23-textChar"/>
    <w:qFormat/>
    <w:rsid w:val="00D52B18"/>
    <w:pPr>
      <w:spacing w:before="120" w:after="120" w:line="276" w:lineRule="auto"/>
      <w:jc w:val="both"/>
    </w:pPr>
    <w:rPr>
      <w:rFonts w:ascii="Times New Roman" w:hAnsi="Times New Roman"/>
      <w:sz w:val="24"/>
    </w:rPr>
  </w:style>
  <w:style w:type="character" w:customStyle="1" w:styleId="CMR23-headingChar">
    <w:name w:val="CMR 23 - heading Char"/>
    <w:basedOn w:val="DefaultParagraphFont"/>
    <w:link w:val="CMR23-heading"/>
    <w:rsid w:val="00B36B2C"/>
    <w:rPr>
      <w:rFonts w:ascii="Times New Roman" w:eastAsiaTheme="majorEastAsia" w:hAnsi="Times New Roman" w:cstheme="majorBidi"/>
      <w:b/>
      <w:sz w:val="28"/>
      <w:szCs w:val="32"/>
      <w:lang w:val="en-IE"/>
    </w:rPr>
  </w:style>
  <w:style w:type="character" w:customStyle="1" w:styleId="Heading1Char">
    <w:name w:val="Heading 1 Char"/>
    <w:basedOn w:val="DefaultParagraphFont"/>
    <w:link w:val="Heading1"/>
    <w:uiPriority w:val="9"/>
    <w:rsid w:val="00B06146"/>
    <w:rPr>
      <w:rFonts w:asciiTheme="majorHAnsi" w:eastAsiaTheme="majorEastAsia" w:hAnsiTheme="majorHAnsi" w:cstheme="majorBidi"/>
      <w:color w:val="2F5496" w:themeColor="accent1" w:themeShade="BF"/>
      <w:sz w:val="32"/>
      <w:szCs w:val="32"/>
    </w:rPr>
  </w:style>
  <w:style w:type="character" w:customStyle="1" w:styleId="CMR23-textChar">
    <w:name w:val="CMR 23 - text Char"/>
    <w:basedOn w:val="DefaultParagraphFont"/>
    <w:link w:val="CMR23-text"/>
    <w:rsid w:val="00D52B18"/>
    <w:rPr>
      <w:rFonts w:ascii="Times New Roman" w:hAnsi="Times New Roman"/>
      <w:sz w:val="24"/>
    </w:rPr>
  </w:style>
  <w:style w:type="character" w:styleId="CommentReference">
    <w:name w:val="annotation reference"/>
    <w:basedOn w:val="DefaultParagraphFont"/>
    <w:uiPriority w:val="99"/>
    <w:semiHidden/>
    <w:unhideWhenUsed/>
    <w:rsid w:val="000E32E0"/>
    <w:rPr>
      <w:sz w:val="16"/>
      <w:szCs w:val="16"/>
    </w:rPr>
  </w:style>
  <w:style w:type="paragraph" w:styleId="CommentText">
    <w:name w:val="annotation text"/>
    <w:basedOn w:val="Normal"/>
    <w:link w:val="CommentTextChar"/>
    <w:uiPriority w:val="99"/>
    <w:unhideWhenUsed/>
    <w:rsid w:val="000E32E0"/>
    <w:pPr>
      <w:spacing w:line="240" w:lineRule="auto"/>
    </w:pPr>
    <w:rPr>
      <w:sz w:val="20"/>
      <w:szCs w:val="20"/>
    </w:rPr>
  </w:style>
  <w:style w:type="character" w:customStyle="1" w:styleId="CommentTextChar">
    <w:name w:val="Comment Text Char"/>
    <w:basedOn w:val="DefaultParagraphFont"/>
    <w:link w:val="CommentText"/>
    <w:uiPriority w:val="99"/>
    <w:rsid w:val="000E32E0"/>
    <w:rPr>
      <w:sz w:val="20"/>
      <w:szCs w:val="20"/>
    </w:rPr>
  </w:style>
  <w:style w:type="paragraph" w:styleId="CommentSubject">
    <w:name w:val="annotation subject"/>
    <w:basedOn w:val="CommentText"/>
    <w:next w:val="CommentText"/>
    <w:link w:val="CommentSubjectChar"/>
    <w:uiPriority w:val="99"/>
    <w:semiHidden/>
    <w:unhideWhenUsed/>
    <w:rsid w:val="000E32E0"/>
    <w:rPr>
      <w:b/>
      <w:bCs/>
    </w:rPr>
  </w:style>
  <w:style w:type="character" w:customStyle="1" w:styleId="CommentSubjectChar">
    <w:name w:val="Comment Subject Char"/>
    <w:basedOn w:val="CommentTextChar"/>
    <w:link w:val="CommentSubject"/>
    <w:uiPriority w:val="99"/>
    <w:semiHidden/>
    <w:rsid w:val="000E32E0"/>
    <w:rPr>
      <w:b/>
      <w:bCs/>
      <w:sz w:val="20"/>
      <w:szCs w:val="20"/>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4_G, BVI fnr"/>
    <w:basedOn w:val="DefaultParagraphFont"/>
    <w:link w:val="FootnotesymbolCarZchn"/>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aliases w:val="Footnote main Char,Fußnotentextf Char,RSK-FT Char,RSK-FT1 Char,RSK-FT2 Char,5_G Char,Footnote text Char,Testo nota a piè di pagina_Rientro Char,stile 1 Char,Footnote1 Char,Footnote2 Char,Footnote3 Char,Footnote4 Char,Footnote5 Char"/>
    <w:basedOn w:val="DefaultParagraphFont"/>
    <w:link w:val="FootnoteText"/>
    <w:rPr>
      <w:sz w:val="20"/>
      <w:szCs w:val="20"/>
    </w:rPr>
  </w:style>
  <w:style w:type="paragraph" w:styleId="FootnoteText">
    <w:name w:val="footnote text"/>
    <w:aliases w:val="Footnote main,Fußnotentextf,RSK-FT,RSK-FT1,RSK-FT2,5_G,Footnote text,Testo nota a piè di pagina_Rientro,stile 1,Footnote1,Footnote2,Footnote3,Footnote4,Footnote5,Footnote6,Footnote7,Footnote8,Footnote9,Footnote10,Footnote11,Footnote21,Char"/>
    <w:basedOn w:val="Normal"/>
    <w:link w:val="FootnoteTextChar"/>
    <w:unhideWhenUsed/>
    <w:qFormat/>
    <w:pPr>
      <w:spacing w:after="0" w:line="240" w:lineRule="auto"/>
    </w:pPr>
    <w:rPr>
      <w:sz w:val="20"/>
      <w:szCs w:val="20"/>
    </w:rPr>
  </w:style>
  <w:style w:type="paragraph" w:styleId="Revision">
    <w:name w:val="Revision"/>
    <w:hidden/>
    <w:uiPriority w:val="99"/>
    <w:semiHidden/>
    <w:rsid w:val="008078B5"/>
    <w:pPr>
      <w:spacing w:after="0" w:line="240" w:lineRule="auto"/>
    </w:pPr>
  </w:style>
  <w:style w:type="character" w:styleId="FollowedHyperlink">
    <w:name w:val="FollowedHyperlink"/>
    <w:basedOn w:val="DefaultParagraphFont"/>
    <w:uiPriority w:val="99"/>
    <w:semiHidden/>
    <w:unhideWhenUsed/>
    <w:rsid w:val="00457C59"/>
    <w:rPr>
      <w:color w:val="954F72" w:themeColor="followedHyperlink"/>
      <w:u w:val="single"/>
    </w:rPr>
  </w:style>
  <w:style w:type="character" w:customStyle="1" w:styleId="tab">
    <w:name w:val="tab"/>
    <w:basedOn w:val="DefaultParagraphFont"/>
    <w:rsid w:val="003C3212"/>
  </w:style>
  <w:style w:type="paragraph" w:styleId="Header">
    <w:name w:val="header"/>
    <w:basedOn w:val="Normal"/>
    <w:link w:val="HeaderChar"/>
    <w:uiPriority w:val="99"/>
    <w:unhideWhenUsed/>
    <w:rsid w:val="002A5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D50"/>
  </w:style>
  <w:style w:type="paragraph" w:styleId="Footer">
    <w:name w:val="footer"/>
    <w:basedOn w:val="Normal"/>
    <w:link w:val="FooterChar"/>
    <w:uiPriority w:val="99"/>
    <w:unhideWhenUsed/>
    <w:rsid w:val="002A5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D50"/>
  </w:style>
  <w:style w:type="character" w:customStyle="1" w:styleId="markedcontent">
    <w:name w:val="markedcontent"/>
    <w:basedOn w:val="DefaultParagraphFont"/>
    <w:rsid w:val="003C48EC"/>
  </w:style>
  <w:style w:type="character" w:customStyle="1" w:styleId="UnresolvedMention">
    <w:name w:val="Unresolved Mention"/>
    <w:basedOn w:val="DefaultParagraphFont"/>
    <w:uiPriority w:val="99"/>
    <w:semiHidden/>
    <w:unhideWhenUsed/>
    <w:rsid w:val="00C610D4"/>
    <w:rPr>
      <w:color w:val="605E5C"/>
      <w:shd w:val="clear" w:color="auto" w:fill="E1DFDD"/>
    </w:rPr>
  </w:style>
  <w:style w:type="table" w:styleId="TableGrid">
    <w:name w:val="Table Grid"/>
    <w:basedOn w:val="TableNormal"/>
    <w:uiPriority w:val="39"/>
    <w:rsid w:val="00750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256B2"/>
    <w:rPr>
      <w:rFonts w:ascii="Times New Roman" w:eastAsiaTheme="majorEastAsia" w:hAnsi="Times New Roman" w:cstheme="majorBidi"/>
      <w:i/>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0256B2"/>
    <w:pPr>
      <w:spacing w:line="240" w:lineRule="exact"/>
      <w:jc w:val="both"/>
    </w:pPr>
    <w:rPr>
      <w:vertAlign w:val="superscript"/>
    </w:rPr>
  </w:style>
  <w:style w:type="paragraph" w:styleId="BodyText">
    <w:name w:val="Body Text"/>
    <w:basedOn w:val="Normal"/>
    <w:link w:val="BodyTextChar"/>
    <w:uiPriority w:val="1"/>
    <w:qFormat/>
    <w:rsid w:val="00E9494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9494A"/>
    <w:rPr>
      <w:rFonts w:ascii="Times New Roman" w:eastAsia="Times New Roman" w:hAnsi="Times New Roman" w:cs="Times New Roman"/>
      <w:sz w:val="24"/>
      <w:szCs w:val="24"/>
      <w:lang w:val="en-US"/>
    </w:rPr>
  </w:style>
  <w:style w:type="table" w:styleId="GridTable1Light-Accent1">
    <w:name w:val="Grid Table 1 Light Accent 1"/>
    <w:basedOn w:val="TableNormal"/>
    <w:uiPriority w:val="46"/>
    <w:rsid w:val="00C0764E"/>
    <w:pPr>
      <w:spacing w:after="0" w:line="240" w:lineRule="auto"/>
    </w:pPr>
    <w:rPr>
      <w:lang w:val="en-I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FF208C"/>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TNAC-footnote">
    <w:name w:val="TNAC - footnote"/>
    <w:basedOn w:val="FootnoteText"/>
    <w:qFormat/>
    <w:rsid w:val="00DD1C6D"/>
    <w:pPr>
      <w:spacing w:before="120" w:after="120"/>
    </w:pPr>
    <w:rPr>
      <w:rFonts w:ascii="Times New Roman" w:hAnsi="Times New Roman"/>
    </w:rPr>
  </w:style>
  <w:style w:type="paragraph" w:customStyle="1" w:styleId="TNAC-text">
    <w:name w:val="TNAC - text"/>
    <w:basedOn w:val="Normal"/>
    <w:link w:val="TNAC-textChar"/>
    <w:qFormat/>
    <w:rsid w:val="00372D13"/>
    <w:pPr>
      <w:spacing w:before="120" w:after="120" w:line="276" w:lineRule="auto"/>
      <w:jc w:val="both"/>
    </w:pPr>
    <w:rPr>
      <w:rFonts w:ascii="Times New Roman" w:hAnsi="Times New Roman"/>
      <w:sz w:val="24"/>
    </w:rPr>
  </w:style>
  <w:style w:type="character" w:customStyle="1" w:styleId="TNAC-textChar">
    <w:name w:val="TNAC - text Char"/>
    <w:basedOn w:val="DefaultParagraphFont"/>
    <w:link w:val="TNAC-text"/>
    <w:rsid w:val="00372D13"/>
    <w:rPr>
      <w:rFonts w:ascii="Times New Roman" w:hAnsi="Times New Roman"/>
      <w:sz w:val="24"/>
    </w:rPr>
  </w:style>
  <w:style w:type="paragraph" w:customStyle="1" w:styleId="Bodytext-tables">
    <w:name w:val="Body text - tables"/>
    <w:basedOn w:val="BodyText"/>
    <w:link w:val="Bodytext-tablesChar"/>
    <w:qFormat/>
    <w:rsid w:val="003C2DCE"/>
    <w:pPr>
      <w:spacing w:before="60" w:after="60" w:line="259" w:lineRule="auto"/>
      <w:jc w:val="both"/>
    </w:pPr>
    <w:rPr>
      <w:lang w:val="en-IE"/>
    </w:rPr>
  </w:style>
  <w:style w:type="character" w:customStyle="1" w:styleId="Bodytext-tablesChar">
    <w:name w:val="Body text - tables Char"/>
    <w:basedOn w:val="BodyTextChar"/>
    <w:link w:val="Bodytext-tables"/>
    <w:rsid w:val="003C2DCE"/>
    <w:rPr>
      <w:rFonts w:ascii="Times New Roman" w:eastAsia="Times New Roman" w:hAnsi="Times New Roman" w:cs="Times New Roman"/>
      <w:sz w:val="24"/>
      <w:szCs w:val="24"/>
      <w:lang w:val="en-IE"/>
    </w:rPr>
  </w:style>
  <w:style w:type="character" w:customStyle="1" w:styleId="Mention">
    <w:name w:val="Mention"/>
    <w:basedOn w:val="DefaultParagraphFont"/>
    <w:uiPriority w:val="99"/>
    <w:unhideWhenUsed/>
    <w:rsid w:val="004B0BC5"/>
    <w:rPr>
      <w:color w:val="2B579A"/>
      <w:shd w:val="clear" w:color="auto" w:fill="E1DFDD"/>
    </w:rPr>
  </w:style>
  <w:style w:type="paragraph" w:customStyle="1" w:styleId="CMR2023-footnote">
    <w:name w:val="CMR 2023 - footnote"/>
    <w:basedOn w:val="FootnoteText"/>
    <w:link w:val="CMR2023-footnoteChar"/>
    <w:qFormat/>
    <w:rsid w:val="00097766"/>
    <w:pPr>
      <w:keepLines/>
      <w:spacing w:after="120"/>
    </w:pPr>
    <w:rPr>
      <w:rFonts w:ascii="Times New Roman" w:hAnsi="Times New Roman"/>
    </w:rPr>
  </w:style>
  <w:style w:type="table" w:styleId="PlainTable2">
    <w:name w:val="Plain Table 2"/>
    <w:basedOn w:val="TableNormal"/>
    <w:uiPriority w:val="42"/>
    <w:rsid w:val="002F32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MR2023-footnoteChar">
    <w:name w:val="CMR 2023 - footnote Char"/>
    <w:basedOn w:val="FootnoteTextChar"/>
    <w:link w:val="CMR2023-footnote"/>
    <w:rsid w:val="00097766"/>
    <w:rPr>
      <w:rFonts w:ascii="Times New Roman" w:hAnsi="Times New Roman"/>
      <w:sz w:val="20"/>
      <w:szCs w:val="20"/>
    </w:rPr>
  </w:style>
  <w:style w:type="paragraph" w:customStyle="1" w:styleId="CMR2023-tablesheadings">
    <w:name w:val="CMR 2023 - tables (headings)"/>
    <w:link w:val="CMR2023-tablesheadingsChar"/>
    <w:rsid w:val="00470A53"/>
    <w:pPr>
      <w:spacing w:before="120" w:after="120" w:line="240" w:lineRule="auto"/>
      <w:jc w:val="center"/>
    </w:pPr>
    <w:rPr>
      <w:rFonts w:ascii="Times New Roman" w:eastAsia="Times New Roman" w:hAnsi="Times New Roman" w:cs="Times New Roman"/>
      <w:b/>
      <w:bCs/>
      <w:color w:val="000000"/>
      <w:sz w:val="24"/>
      <w:szCs w:val="20"/>
      <w:lang w:val="en-IE" w:eastAsia="en-IE"/>
    </w:rPr>
  </w:style>
  <w:style w:type="paragraph" w:customStyle="1" w:styleId="CMR2023-tablesbody">
    <w:name w:val="CMR 2023 - tables (body)"/>
    <w:basedOn w:val="CMR2023-tablesheadings"/>
    <w:rsid w:val="00DA7682"/>
    <w:pPr>
      <w:spacing w:before="60" w:after="60"/>
    </w:pPr>
    <w:rPr>
      <w:b w:val="0"/>
    </w:rPr>
  </w:style>
  <w:style w:type="character" w:customStyle="1" w:styleId="CMR2023-tablesheadingsChar">
    <w:name w:val="CMR 2023 - tables (headings) Char"/>
    <w:basedOn w:val="Bodytext-tablesChar"/>
    <w:link w:val="CMR2023-tablesheadings"/>
    <w:rsid w:val="00DA7682"/>
    <w:rPr>
      <w:rFonts w:ascii="Times New Roman" w:eastAsia="Times New Roman" w:hAnsi="Times New Roman" w:cs="Times New Roman"/>
      <w:b/>
      <w:bCs/>
      <w:color w:val="000000"/>
      <w:sz w:val="24"/>
      <w:szCs w:val="20"/>
      <w:lang w:val="en-IE" w:eastAsia="en-IE"/>
    </w:rPr>
  </w:style>
  <w:style w:type="paragraph" w:styleId="Caption">
    <w:name w:val="caption"/>
    <w:basedOn w:val="Normal"/>
    <w:next w:val="Normal"/>
    <w:uiPriority w:val="35"/>
    <w:unhideWhenUsed/>
    <w:qFormat/>
    <w:rsid w:val="00E87C91"/>
    <w:pPr>
      <w:spacing w:before="120" w:after="120" w:line="256" w:lineRule="auto"/>
      <w:jc w:val="both"/>
    </w:pPr>
    <w:rPr>
      <w:rFonts w:ascii="Times New Roman" w:eastAsia="Calibri" w:hAnsi="Times New Roman" w:cs="Times New Roman"/>
      <w:bCs/>
      <w:i/>
      <w:szCs w:val="20"/>
    </w:rPr>
  </w:style>
  <w:style w:type="character" w:customStyle="1" w:styleId="Footnote1">
    <w:name w:val="Footnote|1_"/>
    <w:basedOn w:val="DefaultParagraphFont"/>
    <w:link w:val="Footnote10"/>
    <w:rsid w:val="00C71661"/>
    <w:rPr>
      <w:sz w:val="20"/>
      <w:szCs w:val="20"/>
    </w:rPr>
  </w:style>
  <w:style w:type="character" w:customStyle="1" w:styleId="Bodytext1">
    <w:name w:val="Body text|1_"/>
    <w:basedOn w:val="DefaultParagraphFont"/>
    <w:link w:val="Bodytext10"/>
    <w:rsid w:val="00C71661"/>
  </w:style>
  <w:style w:type="paragraph" w:customStyle="1" w:styleId="Footnote10">
    <w:name w:val="Footnote|1"/>
    <w:basedOn w:val="Normal"/>
    <w:link w:val="Footnote1"/>
    <w:rsid w:val="00C71661"/>
    <w:pPr>
      <w:widowControl w:val="0"/>
      <w:spacing w:after="0" w:line="240" w:lineRule="auto"/>
    </w:pPr>
    <w:rPr>
      <w:sz w:val="20"/>
      <w:szCs w:val="20"/>
    </w:rPr>
  </w:style>
  <w:style w:type="paragraph" w:customStyle="1" w:styleId="Bodytext10">
    <w:name w:val="Body text|1"/>
    <w:basedOn w:val="Normal"/>
    <w:link w:val="Bodytext1"/>
    <w:rsid w:val="00C71661"/>
    <w:pPr>
      <w:widowControl w:val="0"/>
      <w:spacing w:after="240"/>
    </w:pPr>
  </w:style>
  <w:style w:type="character" w:styleId="Emphasis">
    <w:name w:val="Emphasis"/>
    <w:basedOn w:val="DefaultParagraphFont"/>
    <w:uiPriority w:val="20"/>
    <w:qFormat/>
    <w:rsid w:val="00C71661"/>
    <w:rPr>
      <w:i/>
      <w:iCs/>
    </w:rPr>
  </w:style>
  <w:style w:type="character" w:customStyle="1" w:styleId="Other1">
    <w:name w:val="Other|1_"/>
    <w:basedOn w:val="DefaultParagraphFont"/>
    <w:link w:val="Other10"/>
    <w:rsid w:val="00C71661"/>
  </w:style>
  <w:style w:type="paragraph" w:customStyle="1" w:styleId="Other10">
    <w:name w:val="Other|1"/>
    <w:basedOn w:val="Normal"/>
    <w:link w:val="Other1"/>
    <w:rsid w:val="00C71661"/>
    <w:pPr>
      <w:widowControl w:val="0"/>
      <w:spacing w:after="240"/>
    </w:pPr>
  </w:style>
  <w:style w:type="paragraph" w:customStyle="1" w:styleId="CMR2023-tabletext">
    <w:name w:val="CMR 2023 - table text"/>
    <w:basedOn w:val="CMR23-text"/>
    <w:link w:val="CMR2023-tabletextChar"/>
    <w:qFormat/>
    <w:rsid w:val="00C71661"/>
    <w:pPr>
      <w:spacing w:line="240" w:lineRule="auto"/>
    </w:pPr>
    <w:rPr>
      <w:bCs/>
    </w:rPr>
  </w:style>
  <w:style w:type="character" w:customStyle="1" w:styleId="CMR2023-tabletextChar">
    <w:name w:val="CMR 2023 - table text Char"/>
    <w:basedOn w:val="CMR23-textChar"/>
    <w:link w:val="CMR2023-tabletext"/>
    <w:rsid w:val="00C71661"/>
    <w:rPr>
      <w:rFonts w:ascii="Times New Roman" w:hAnsi="Times New Roman"/>
      <w:bCs/>
      <w:sz w:val="24"/>
    </w:rPr>
  </w:style>
  <w:style w:type="paragraph" w:styleId="TOCHeading">
    <w:name w:val="TOC Heading"/>
    <w:basedOn w:val="Heading1"/>
    <w:next w:val="Normal"/>
    <w:uiPriority w:val="39"/>
    <w:unhideWhenUsed/>
    <w:qFormat/>
    <w:rsid w:val="00B36B2C"/>
    <w:pPr>
      <w:outlineLvl w:val="9"/>
    </w:pPr>
    <w:rPr>
      <w:lang w:val="en-US"/>
    </w:rPr>
  </w:style>
  <w:style w:type="paragraph" w:styleId="TOC1">
    <w:name w:val="toc 1"/>
    <w:basedOn w:val="Normal"/>
    <w:next w:val="Normal"/>
    <w:autoRedefine/>
    <w:uiPriority w:val="39"/>
    <w:unhideWhenUsed/>
    <w:rsid w:val="00645617"/>
    <w:pPr>
      <w:tabs>
        <w:tab w:val="left" w:pos="660"/>
        <w:tab w:val="right" w:leader="dot" w:pos="9016"/>
      </w:tabs>
      <w:spacing w:after="100"/>
      <w:outlineLvl w:val="0"/>
    </w:pPr>
  </w:style>
  <w:style w:type="paragraph" w:styleId="TOC2">
    <w:name w:val="toc 2"/>
    <w:basedOn w:val="Normal"/>
    <w:next w:val="Normal"/>
    <w:autoRedefine/>
    <w:uiPriority w:val="39"/>
    <w:unhideWhenUsed/>
    <w:rsid w:val="00B36B2C"/>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B36B2C"/>
    <w:pPr>
      <w:spacing w:after="100"/>
      <w:ind w:left="440"/>
    </w:pPr>
    <w:rPr>
      <w:rFonts w:eastAsiaTheme="minorEastAsia" w:cs="Times New Roman"/>
      <w:lang w:val="en-US"/>
    </w:rPr>
  </w:style>
  <w:style w:type="paragraph" w:customStyle="1" w:styleId="CMR2023-SUBheading">
    <w:name w:val="CMR 2023 - SUBheading"/>
    <w:basedOn w:val="CMR23-heading"/>
    <w:link w:val="CMR2023-SUBheadingChar"/>
    <w:qFormat/>
    <w:rsid w:val="00B36B2C"/>
    <w:pPr>
      <w:numPr>
        <w:ilvl w:val="1"/>
      </w:numPr>
    </w:pPr>
    <w:rPr>
      <w:sz w:val="24"/>
      <w:lang w:val="en-GB"/>
    </w:rPr>
  </w:style>
  <w:style w:type="character" w:customStyle="1" w:styleId="CMR2023-SUBheadingChar">
    <w:name w:val="CMR 2023 - SUBheading Char"/>
    <w:basedOn w:val="CMR23-headingChar"/>
    <w:link w:val="CMR2023-SUBheading"/>
    <w:rsid w:val="00B36B2C"/>
    <w:rPr>
      <w:rFonts w:ascii="Times New Roman" w:eastAsiaTheme="majorEastAsia" w:hAnsi="Times New Roman" w:cstheme="majorBidi"/>
      <w:b/>
      <w:sz w:val="24"/>
      <w:szCs w:val="32"/>
      <w:lang w:val="en-IE"/>
    </w:rPr>
  </w:style>
  <w:style w:type="character" w:customStyle="1" w:styleId="Marker">
    <w:name w:val="Marker"/>
    <w:basedOn w:val="DefaultParagraphFont"/>
    <w:rsid w:val="00F97218"/>
    <w:rPr>
      <w:color w:val="0000FF"/>
      <w:shd w:val="clear" w:color="auto" w:fill="auto"/>
    </w:rPr>
  </w:style>
  <w:style w:type="paragraph" w:customStyle="1" w:styleId="Pagedecouverture">
    <w:name w:val="Page de couverture"/>
    <w:basedOn w:val="Normal"/>
    <w:next w:val="Normal"/>
    <w:rsid w:val="00F97218"/>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F9721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97218"/>
    <w:rPr>
      <w:rFonts w:ascii="Times New Roman" w:hAnsi="Times New Roman" w:cs="Times New Roman"/>
      <w:sz w:val="24"/>
    </w:rPr>
  </w:style>
  <w:style w:type="paragraph" w:customStyle="1" w:styleId="FooterSensitivity">
    <w:name w:val="Footer Sensitivity"/>
    <w:basedOn w:val="Normal"/>
    <w:link w:val="FooterSensitivityChar"/>
    <w:rsid w:val="00F9721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97218"/>
    <w:rPr>
      <w:rFonts w:ascii="Times New Roman" w:hAnsi="Times New Roman" w:cs="Times New Roman"/>
      <w:b/>
      <w:sz w:val="32"/>
    </w:rPr>
  </w:style>
  <w:style w:type="paragraph" w:customStyle="1" w:styleId="HeaderCoverPage">
    <w:name w:val="Header Cover Page"/>
    <w:basedOn w:val="Normal"/>
    <w:link w:val="HeaderCoverPageChar"/>
    <w:rsid w:val="00F9721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97218"/>
    <w:rPr>
      <w:rFonts w:ascii="Times New Roman" w:hAnsi="Times New Roman" w:cs="Times New Roman"/>
      <w:sz w:val="24"/>
    </w:rPr>
  </w:style>
  <w:style w:type="paragraph" w:customStyle="1" w:styleId="HeaderSensitivity">
    <w:name w:val="Header Sensitivity"/>
    <w:basedOn w:val="Normal"/>
    <w:link w:val="HeaderSensitivityChar"/>
    <w:rsid w:val="00F9721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97218"/>
    <w:rPr>
      <w:rFonts w:ascii="Times New Roman" w:hAnsi="Times New Roman" w:cs="Times New Roman"/>
      <w:b/>
      <w:sz w:val="32"/>
    </w:rPr>
  </w:style>
  <w:style w:type="paragraph" w:customStyle="1" w:styleId="HeaderSensitivityRight">
    <w:name w:val="Header Sensitivity Right"/>
    <w:basedOn w:val="Normal"/>
    <w:link w:val="HeaderSensitivityRightChar"/>
    <w:rsid w:val="00F97218"/>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97218"/>
    <w:rPr>
      <w:rFonts w:ascii="Times New Roman" w:hAnsi="Times New Roman" w:cs="Times New Roman"/>
      <w:sz w:val="28"/>
    </w:rPr>
  </w:style>
  <w:style w:type="character" w:customStyle="1" w:styleId="cf01">
    <w:name w:val="cf01"/>
    <w:basedOn w:val="DefaultParagraphFont"/>
    <w:rsid w:val="00154CFA"/>
    <w:rPr>
      <w:rFonts w:ascii="Segoe UI" w:hAnsi="Segoe UI" w:cs="Segoe UI" w:hint="default"/>
      <w:sz w:val="18"/>
      <w:szCs w:val="18"/>
    </w:rPr>
  </w:style>
  <w:style w:type="table" w:styleId="PlainTable4">
    <w:name w:val="Plain Table 4"/>
    <w:basedOn w:val="TableNormal"/>
    <w:uiPriority w:val="44"/>
    <w:rsid w:val="00505E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66A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7389">
      <w:bodyDiv w:val="1"/>
      <w:marLeft w:val="0"/>
      <w:marRight w:val="0"/>
      <w:marTop w:val="0"/>
      <w:marBottom w:val="0"/>
      <w:divBdr>
        <w:top w:val="none" w:sz="0" w:space="0" w:color="auto"/>
        <w:left w:val="none" w:sz="0" w:space="0" w:color="auto"/>
        <w:bottom w:val="none" w:sz="0" w:space="0" w:color="auto"/>
        <w:right w:val="none" w:sz="0" w:space="0" w:color="auto"/>
      </w:divBdr>
    </w:div>
    <w:div w:id="67115131">
      <w:bodyDiv w:val="1"/>
      <w:marLeft w:val="0"/>
      <w:marRight w:val="0"/>
      <w:marTop w:val="0"/>
      <w:marBottom w:val="0"/>
      <w:divBdr>
        <w:top w:val="none" w:sz="0" w:space="0" w:color="auto"/>
        <w:left w:val="none" w:sz="0" w:space="0" w:color="auto"/>
        <w:bottom w:val="none" w:sz="0" w:space="0" w:color="auto"/>
        <w:right w:val="none" w:sz="0" w:space="0" w:color="auto"/>
      </w:divBdr>
    </w:div>
    <w:div w:id="223879886">
      <w:bodyDiv w:val="1"/>
      <w:marLeft w:val="0"/>
      <w:marRight w:val="0"/>
      <w:marTop w:val="0"/>
      <w:marBottom w:val="0"/>
      <w:divBdr>
        <w:top w:val="none" w:sz="0" w:space="0" w:color="auto"/>
        <w:left w:val="none" w:sz="0" w:space="0" w:color="auto"/>
        <w:bottom w:val="none" w:sz="0" w:space="0" w:color="auto"/>
        <w:right w:val="none" w:sz="0" w:space="0" w:color="auto"/>
      </w:divBdr>
    </w:div>
    <w:div w:id="236135554">
      <w:bodyDiv w:val="1"/>
      <w:marLeft w:val="0"/>
      <w:marRight w:val="0"/>
      <w:marTop w:val="0"/>
      <w:marBottom w:val="0"/>
      <w:divBdr>
        <w:top w:val="none" w:sz="0" w:space="0" w:color="auto"/>
        <w:left w:val="none" w:sz="0" w:space="0" w:color="auto"/>
        <w:bottom w:val="none" w:sz="0" w:space="0" w:color="auto"/>
        <w:right w:val="none" w:sz="0" w:space="0" w:color="auto"/>
      </w:divBdr>
    </w:div>
    <w:div w:id="505438310">
      <w:bodyDiv w:val="1"/>
      <w:marLeft w:val="0"/>
      <w:marRight w:val="0"/>
      <w:marTop w:val="0"/>
      <w:marBottom w:val="0"/>
      <w:divBdr>
        <w:top w:val="none" w:sz="0" w:space="0" w:color="auto"/>
        <w:left w:val="none" w:sz="0" w:space="0" w:color="auto"/>
        <w:bottom w:val="none" w:sz="0" w:space="0" w:color="auto"/>
        <w:right w:val="none" w:sz="0" w:space="0" w:color="auto"/>
      </w:divBdr>
    </w:div>
    <w:div w:id="528570369">
      <w:bodyDiv w:val="1"/>
      <w:marLeft w:val="0"/>
      <w:marRight w:val="0"/>
      <w:marTop w:val="0"/>
      <w:marBottom w:val="0"/>
      <w:divBdr>
        <w:top w:val="none" w:sz="0" w:space="0" w:color="auto"/>
        <w:left w:val="none" w:sz="0" w:space="0" w:color="auto"/>
        <w:bottom w:val="none" w:sz="0" w:space="0" w:color="auto"/>
        <w:right w:val="none" w:sz="0" w:space="0" w:color="auto"/>
      </w:divBdr>
    </w:div>
    <w:div w:id="683553567">
      <w:bodyDiv w:val="1"/>
      <w:marLeft w:val="0"/>
      <w:marRight w:val="0"/>
      <w:marTop w:val="0"/>
      <w:marBottom w:val="0"/>
      <w:divBdr>
        <w:top w:val="none" w:sz="0" w:space="0" w:color="auto"/>
        <w:left w:val="none" w:sz="0" w:space="0" w:color="auto"/>
        <w:bottom w:val="none" w:sz="0" w:space="0" w:color="auto"/>
        <w:right w:val="none" w:sz="0" w:space="0" w:color="auto"/>
      </w:divBdr>
    </w:div>
    <w:div w:id="725027791">
      <w:bodyDiv w:val="1"/>
      <w:marLeft w:val="0"/>
      <w:marRight w:val="0"/>
      <w:marTop w:val="0"/>
      <w:marBottom w:val="0"/>
      <w:divBdr>
        <w:top w:val="none" w:sz="0" w:space="0" w:color="auto"/>
        <w:left w:val="none" w:sz="0" w:space="0" w:color="auto"/>
        <w:bottom w:val="none" w:sz="0" w:space="0" w:color="auto"/>
        <w:right w:val="none" w:sz="0" w:space="0" w:color="auto"/>
      </w:divBdr>
    </w:div>
    <w:div w:id="1116827280">
      <w:bodyDiv w:val="1"/>
      <w:marLeft w:val="0"/>
      <w:marRight w:val="0"/>
      <w:marTop w:val="0"/>
      <w:marBottom w:val="0"/>
      <w:divBdr>
        <w:top w:val="none" w:sz="0" w:space="0" w:color="auto"/>
        <w:left w:val="none" w:sz="0" w:space="0" w:color="auto"/>
        <w:bottom w:val="none" w:sz="0" w:space="0" w:color="auto"/>
        <w:right w:val="none" w:sz="0" w:space="0" w:color="auto"/>
      </w:divBdr>
    </w:div>
    <w:div w:id="1133477523">
      <w:bodyDiv w:val="1"/>
      <w:marLeft w:val="0"/>
      <w:marRight w:val="0"/>
      <w:marTop w:val="0"/>
      <w:marBottom w:val="0"/>
      <w:divBdr>
        <w:top w:val="none" w:sz="0" w:space="0" w:color="auto"/>
        <w:left w:val="none" w:sz="0" w:space="0" w:color="auto"/>
        <w:bottom w:val="none" w:sz="0" w:space="0" w:color="auto"/>
        <w:right w:val="none" w:sz="0" w:space="0" w:color="auto"/>
      </w:divBdr>
    </w:div>
    <w:div w:id="1213226322">
      <w:bodyDiv w:val="1"/>
      <w:marLeft w:val="0"/>
      <w:marRight w:val="0"/>
      <w:marTop w:val="0"/>
      <w:marBottom w:val="0"/>
      <w:divBdr>
        <w:top w:val="none" w:sz="0" w:space="0" w:color="auto"/>
        <w:left w:val="none" w:sz="0" w:space="0" w:color="auto"/>
        <w:bottom w:val="none" w:sz="0" w:space="0" w:color="auto"/>
        <w:right w:val="none" w:sz="0" w:space="0" w:color="auto"/>
      </w:divBdr>
    </w:div>
    <w:div w:id="1240360887">
      <w:bodyDiv w:val="1"/>
      <w:marLeft w:val="0"/>
      <w:marRight w:val="0"/>
      <w:marTop w:val="0"/>
      <w:marBottom w:val="0"/>
      <w:divBdr>
        <w:top w:val="none" w:sz="0" w:space="0" w:color="auto"/>
        <w:left w:val="none" w:sz="0" w:space="0" w:color="auto"/>
        <w:bottom w:val="none" w:sz="0" w:space="0" w:color="auto"/>
        <w:right w:val="none" w:sz="0" w:space="0" w:color="auto"/>
      </w:divBdr>
    </w:div>
    <w:div w:id="1500197869">
      <w:bodyDiv w:val="1"/>
      <w:marLeft w:val="0"/>
      <w:marRight w:val="0"/>
      <w:marTop w:val="0"/>
      <w:marBottom w:val="0"/>
      <w:divBdr>
        <w:top w:val="none" w:sz="0" w:space="0" w:color="auto"/>
        <w:left w:val="none" w:sz="0" w:space="0" w:color="auto"/>
        <w:bottom w:val="none" w:sz="0" w:space="0" w:color="auto"/>
        <w:right w:val="none" w:sz="0" w:space="0" w:color="auto"/>
      </w:divBdr>
    </w:div>
    <w:div w:id="20071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chart" Target="charts/chart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chart" Target="charts/chart4.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chart" Target="charts/chart3.xm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webSettings" Target="webSettings.xml"/><Relationship Id="rId15" Type="http://schemas.microsoft.com/office/2014/relationships/chartEx" Target="charts/chartEx1.xml"/><Relationship Id="rId23" Type="http://schemas.openxmlformats.org/officeDocument/2006/relationships/image" Target="media/image3.png"/><Relationship Id="rId28" Type="http://schemas.openxmlformats.org/officeDocument/2006/relationships/header" Target="header9.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chart" Target="charts/chart1.xml"/><Relationship Id="rId35" Type="http://schemas.openxmlformats.org/officeDocument/2006/relationships/header" Target="header10.xml"/><Relationship Id="rId43"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EN/TXT/?uri=CELEX%3A32023R0956&amp;qid=1692623128952" TargetMode="External"/><Relationship Id="rId18" Type="http://schemas.openxmlformats.org/officeDocument/2006/relationships/hyperlink" Target="https://eur-lex.europa.eu/legal-content/EN/TXT/?uri=CELEX%3A32023D1575&amp;qid=1693214641229" TargetMode="External"/><Relationship Id="rId26" Type="http://schemas.openxmlformats.org/officeDocument/2006/relationships/hyperlink" Target="https://taxation-customs.ec.europa.eu/news/commission-adopts-detailed-reporting-rules-carbon-border-adjustment-mechanisms-transitional-phase-2023-08-17_en" TargetMode="External"/><Relationship Id="rId39" Type="http://schemas.openxmlformats.org/officeDocument/2006/relationships/hyperlink" Target="https://eur-lex.europa.eu/legal-content/EN/TXT/?uri=uriserv%3AOJ.C_.2023.172.01.0001.01.ENG&amp;toc=OJ%3AC%3A2023%3A172%3ATOC" TargetMode="External"/><Relationship Id="rId21" Type="http://schemas.openxmlformats.org/officeDocument/2006/relationships/hyperlink" Target="https://www.eex.com/en/market-data/environmentals/eu-ets-auctions" TargetMode="External"/><Relationship Id="rId34" Type="http://schemas.openxmlformats.org/officeDocument/2006/relationships/hyperlink" Target="https://eur-lex.europa.eu/legal-content/EN/ALL/?uri=COM%3A2023%3A156%3AFIN" TargetMode="External"/><Relationship Id="rId42" Type="http://schemas.openxmlformats.org/officeDocument/2006/relationships/hyperlink" Target="https://eur-lex.europa.eu/legal-content/EN/ALL/?uri=CELEX:52021SC0603" TargetMode="External"/><Relationship Id="rId47" Type="http://schemas.openxmlformats.org/officeDocument/2006/relationships/hyperlink" Target="https://www.iosco.org/library/pubdocs/pdf/IOSCOPD740.pdf" TargetMode="External"/><Relationship Id="rId50" Type="http://schemas.openxmlformats.org/officeDocument/2006/relationships/hyperlink" Target="https://eur-lex.europa.eu/legal-content/EN/TXT/PDF/?uri=CELEX:02018R2067-20210101&amp;from=EN" TargetMode="External"/><Relationship Id="rId55" Type="http://schemas.openxmlformats.org/officeDocument/2006/relationships/hyperlink" Target="https://eur-lex.europa.eu/legal-content/EN/TXT/?uri=OJ%3AJOL_2023_231_R_0001&amp;qid=1695186598766" TargetMode="External"/><Relationship Id="rId7" Type="http://schemas.openxmlformats.org/officeDocument/2006/relationships/hyperlink" Target="https://eur-lex.europa.eu/legal-content/EN/TXT/?uri=celex%3A32023D0852" TargetMode="External"/><Relationship Id="rId12" Type="http://schemas.openxmlformats.org/officeDocument/2006/relationships/hyperlink" Target="https://eur-lex.europa.eu/legal-content/EN/TXT/?uri=CELEX%3A32023R0955&amp;qid=1692622985398" TargetMode="External"/><Relationship Id="rId17" Type="http://schemas.openxmlformats.org/officeDocument/2006/relationships/hyperlink" Target="https://eur-lex.europa.eu/legal-content/EN/TXT/?uri=celex%3A32015R0757" TargetMode="External"/><Relationship Id="rId25" Type="http://schemas.openxmlformats.org/officeDocument/2006/relationships/hyperlink" Target="https://eur-lex.europa.eu/eli/reg_impl/2019/1842/oj" TargetMode="External"/><Relationship Id="rId33" Type="http://schemas.openxmlformats.org/officeDocument/2006/relationships/hyperlink" Target="https://eur-lex.europa.eu/legal-content/en/TXT/?uri=CELEX:32019R0856" TargetMode="External"/><Relationship Id="rId38" Type="http://schemas.openxmlformats.org/officeDocument/2006/relationships/hyperlink" Target="https://eur-lex.europa.eu/legal-content/EN/TXT/?uri=CELEX%3A02018L2001-20220607" TargetMode="External"/><Relationship Id="rId46" Type="http://schemas.openxmlformats.org/officeDocument/2006/relationships/hyperlink" Target="https://www.esma.europa.eu/document/final-report-emission-allowances-and-associated-derivatives" TargetMode="External"/><Relationship Id="rId2" Type="http://schemas.openxmlformats.org/officeDocument/2006/relationships/hyperlink" Target="https://eur-lex.europa.eu/legal-content/EN/TXT/?uri=CELEX:32021R1119" TargetMode="External"/><Relationship Id="rId16" Type="http://schemas.openxmlformats.org/officeDocument/2006/relationships/hyperlink" Target="https://climate.ec.europa.eu/system/files/2023-03/swd_2023_54_en.pdf" TargetMode="External"/><Relationship Id="rId20" Type="http://schemas.openxmlformats.org/officeDocument/2006/relationships/hyperlink" Target="https://climate.ec.europa.eu/news-your-voice/news/revised-2023-auction-calendar-published-2023-06-21_en" TargetMode="External"/><Relationship Id="rId29" Type="http://schemas.openxmlformats.org/officeDocument/2006/relationships/hyperlink" Target="https://eur-lex.europa.eu/legal-content/EN/TXT/?uri=CELEX%3A52022DC0416" TargetMode="External"/><Relationship Id="rId41" Type="http://schemas.openxmlformats.org/officeDocument/2006/relationships/hyperlink" Target="https://www.eurocontrol.int/sites/default/files/2023-06/eurocontrol-european-aviation-overview-20230602.pdf" TargetMode="External"/><Relationship Id="rId54" Type="http://schemas.openxmlformats.org/officeDocument/2006/relationships/hyperlink" Target="https://eur-lex.europa.eu/legal-content/EN/TXT/?uri=CELEX%3A22017A1207%2801%29" TargetMode="External"/><Relationship Id="rId1" Type="http://schemas.openxmlformats.org/officeDocument/2006/relationships/hyperlink" Target="https://www.eea.europa.eu/data-and-maps/dashboards/emissions-trading-viewer-1" TargetMode="External"/><Relationship Id="rId6" Type="http://schemas.openxmlformats.org/officeDocument/2006/relationships/hyperlink" Target="https://eur-lex.europa.eu/legal-content/EN/TXT/?uri=CELEX%3A02003L0087-20230605" TargetMode="External"/><Relationship Id="rId11" Type="http://schemas.openxmlformats.org/officeDocument/2006/relationships/hyperlink" Target="https://eur-lex.europa.eu/eli/reg/2023/957" TargetMode="External"/><Relationship Id="rId24" Type="http://schemas.openxmlformats.org/officeDocument/2006/relationships/hyperlink" Target="https://eur-lex.europa.eu/eli/reg_impl/2021/447" TargetMode="External"/><Relationship Id="rId32" Type="http://schemas.openxmlformats.org/officeDocument/2006/relationships/hyperlink" Target="https://ec.europa.eu/commission/presscorner/detail/en/ip_23_3787" TargetMode="External"/><Relationship Id="rId37" Type="http://schemas.openxmlformats.org/officeDocument/2006/relationships/hyperlink" Target="https://eur-lex.europa.eu/legal-content/EN/TXT/?uri=uriserv:OJ.L_.2018.328.01.0082.01.ENG" TargetMode="External"/><Relationship Id="rId40" Type="http://schemas.openxmlformats.org/officeDocument/2006/relationships/hyperlink" Target="https://eur-lex.europa.eu/legal-content/EN/TXT/?uri=CELEX:32013D0377" TargetMode="External"/><Relationship Id="rId45" Type="http://schemas.openxmlformats.org/officeDocument/2006/relationships/hyperlink" Target="https://eur-lex.europa.eu/legal-content/EN/TXT/?uri=celex%3A32014R0596" TargetMode="External"/><Relationship Id="rId53" Type="http://schemas.openxmlformats.org/officeDocument/2006/relationships/hyperlink" Target="https://eur-lex.europa.eu/legal-content/EN/TXT/?uri=OJ:L_202302122" TargetMode="External"/><Relationship Id="rId5" Type="http://schemas.openxmlformats.org/officeDocument/2006/relationships/hyperlink" Target="https://eur-lex.europa.eu/legal-content/EN/TXT/?uri=celex%3A32023L0959" TargetMode="External"/><Relationship Id="rId15" Type="http://schemas.openxmlformats.org/officeDocument/2006/relationships/hyperlink" Target="https://eur-lex.europa.eu/eli/reg/2023/435/oj" TargetMode="External"/><Relationship Id="rId23" Type="http://schemas.openxmlformats.org/officeDocument/2006/relationships/hyperlink" Target="https://eur-lex.europa.eu/legal-content/EN/TXT/?uri=uriserv%3AOJ.L_.2019.120.01.0020.01.ENG&amp;toc=OJ%3AL%3A2019%3A120%3AFULL" TargetMode="External"/><Relationship Id="rId28" Type="http://schemas.openxmlformats.org/officeDocument/2006/relationships/hyperlink" Target="https://eur-lex.europa.eu/legal-content/EN/TXT/?uri=CELEX%3A52020XC0925%2801%29" TargetMode="External"/><Relationship Id="rId36" Type="http://schemas.openxmlformats.org/officeDocument/2006/relationships/hyperlink" Target="https://eur-lex.europa.eu/legal-content/EN/TXT/PDF/?uri=CELEX:02018R2066-20220101&amp;from=EN" TargetMode="External"/><Relationship Id="rId49" Type="http://schemas.openxmlformats.org/officeDocument/2006/relationships/hyperlink" Target="https://eur-lex.europa.eu/legal-content/EN/TXT/?toc=OJ:L:2018:334:TOC&amp;uri=uriserv:OJ.L_.2018.334.01.0094.01.ENG" TargetMode="External"/><Relationship Id="rId10" Type="http://schemas.openxmlformats.org/officeDocument/2006/relationships/hyperlink" Target="https://eur-lex.europa.eu/legal-content/EN/TXT/?uri=celex%3A32023L0958" TargetMode="External"/><Relationship Id="rId19" Type="http://schemas.openxmlformats.org/officeDocument/2006/relationships/hyperlink" Target="https://eur-lex.europa.eu/legal-content/EN/TXT/?uri=celex%3A32010R1031" TargetMode="External"/><Relationship Id="rId31" Type="http://schemas.openxmlformats.org/officeDocument/2006/relationships/hyperlink" Target="https://dashboard.tech.ec.europa.eu/qs_digit_dashboard_mt/public/sense/app/6e4815c8-1f4c-4664-b9ca-8454f77d758d/sheet/bac47ac8-b5c7-4cd1-87ad-9f8d6d238eae/state/analysis" TargetMode="External"/><Relationship Id="rId44" Type="http://schemas.openxmlformats.org/officeDocument/2006/relationships/hyperlink" Target="https://www.esma.europa.eu/sites/default/files/mar.pdf" TargetMode="External"/><Relationship Id="rId52" Type="http://schemas.openxmlformats.org/officeDocument/2006/relationships/hyperlink" Target="https://eur-lex.europa.eu/legal-content/EN/TXT/PDF/?uri=CELEX:02018R2066-20220101&amp;from=EN" TargetMode="External"/><Relationship Id="rId4" Type="http://schemas.openxmlformats.org/officeDocument/2006/relationships/hyperlink" Target="https://eur-lex.europa.eu/legal-content/EN/TXT/?uri=celex%3A32003L0087" TargetMode="External"/><Relationship Id="rId9" Type="http://schemas.openxmlformats.org/officeDocument/2006/relationships/hyperlink" Target="https://eur-lex.europa.eu/legal-content/EN/TXT/?uri=celex%3A32023D0136" TargetMode="External"/><Relationship Id="rId14" Type="http://schemas.openxmlformats.org/officeDocument/2006/relationships/hyperlink" Target="https://eur-lex.europa.eu/legal-content/EN/TXT/?uri=COM%3A2022%3A230%3AFIN" TargetMode="External"/><Relationship Id="rId22" Type="http://schemas.openxmlformats.org/officeDocument/2006/relationships/hyperlink" Target="https://climate.ec.europa.eu/eu-action/eu-emissions-trading-system-eu-ets/auctioning_en" TargetMode="External"/><Relationship Id="rId27" Type="http://schemas.openxmlformats.org/officeDocument/2006/relationships/hyperlink" Target="https://eur-lex.europa.eu/legal-content/EN/ALL/?uri=CELEX%3A52012XC0605%2801%29" TargetMode="External"/><Relationship Id="rId30" Type="http://schemas.openxmlformats.org/officeDocument/2006/relationships/hyperlink" Target="https://cinea.ec.europa.eu/news-events/news/16-grants-eus-innovation-fund-awarded-projects-across-europe-2023-06-06_en" TargetMode="External"/><Relationship Id="rId35" Type="http://schemas.openxmlformats.org/officeDocument/2006/relationships/hyperlink" Target="https://eur-lex.europa.eu/legal-content/EN/ALL/?uri=CELEX%3A32020R1001" TargetMode="External"/><Relationship Id="rId43" Type="http://schemas.openxmlformats.org/officeDocument/2006/relationships/hyperlink" Target="https://eur-lex.europa.eu/legal-content/EN/TXT/?uri=celex%3A32014L0065" TargetMode="External"/><Relationship Id="rId48" Type="http://schemas.openxmlformats.org/officeDocument/2006/relationships/hyperlink" Target="https://eur-lex.europa.eu/legal-content/EN/TXT/PDF/?uri=CELEX:02018R2066-20220101&amp;from=EN" TargetMode="External"/><Relationship Id="rId56" Type="http://schemas.openxmlformats.org/officeDocument/2006/relationships/hyperlink" Target="https://eur-lex.europa.eu/legal-content/EN/TXT/?uri=uriserv%3AOJ.L_.2018.328.01.0001.01.ENG" TargetMode="External"/><Relationship Id="rId8" Type="http://schemas.openxmlformats.org/officeDocument/2006/relationships/hyperlink" Target="https://eur-lex.europa.eu/legal-content/EN/TXT/?uri=CELEX%3A02015D1814-20230515&amp;qid=1692646293120" TargetMode="External"/><Relationship Id="rId51" Type="http://schemas.openxmlformats.org/officeDocument/2006/relationships/hyperlink" Target="https://eur-lex.europa.eu/legal-content/EN/TXT/?uri=uriserv:OJ.L_.2018.334.01.0001.01.ENG" TargetMode="External"/><Relationship Id="rId3" Type="http://schemas.openxmlformats.org/officeDocument/2006/relationships/hyperlink" Target="https://climate.ec.europa.eu/news-your-voice/news/delivering-european-green-deal-2021-07-14_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eceuropaeu-my.sharepoint.com/personal/julia_ziemann_ec_europa_eu/Documents/CMR%202023/CMR%202023_Source%20files/CMR%202023%20-%20source%20file%20Auctioning.xlsx" TargetMode="External"/><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3" Type="http://schemas.openxmlformats.org/officeDocument/2006/relationships/oleObject" Target="file:///\\net1.cec.eu.int\CLIMA\B\1\NEW%20UNIT%20B1%202023\02%20-%20ETS%201%20and%20ETS%202%20Issues\203%20-%20Carbon%20Market%20Report\CMR%202023\2%20-%20ISC\From%20Sjors\CMR%20figure%20sources%20for%20section%203%20and%20section%208.xlsx" TargetMode="External"/><Relationship Id="rId2" Type="http://schemas.microsoft.com/office/2011/relationships/chartColorStyle" Target="colors3.xml"/><Relationship Id="rId1" Type="http://schemas.microsoft.com/office/2011/relationships/chartStyle" Target="style3.xml"/></Relationships>
</file>

<file path=word/charts/_rels/chart3.xml.rels><?xml version="1.0" encoding="UTF-8" standalone="yes"?>
<Relationships xmlns="http://schemas.openxmlformats.org/package/2006/relationships"><Relationship Id="rId3" Type="http://schemas.openxmlformats.org/officeDocument/2006/relationships/oleObject" Target="file:///\\net1.cec.eu.int\CLIMA\B\1\NEW%20UNIT%20B1%202023\02%20-%20ETS%201%20and%20ETS%202%20Issues\203%20-%20Carbon%20Market%20Report\CMR%202023\2%20-%20ISC\From%20Sjors\CMR%20figure%20sources%20for%20section%203%20and%20section%208.xlsx" TargetMode="External"/><Relationship Id="rId2" Type="http://schemas.microsoft.com/office/2011/relationships/chartColorStyle" Target="colors4.xml"/><Relationship Id="rId1" Type="http://schemas.microsoft.com/office/2011/relationships/chartStyle" Target="style4.xm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CLIMA\B\1\NEW%20UNIT%20B1%202023\02%20-%20ETS%201%20and%20ETS%202%20Issues\203%20-%20Carbon%20Market%20Report\CMR%202023\2%20-%20ISC\From%20Sjors\CMR%20figure%20sources%20for%20section%203%20and%20section%208.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net1.cec.eu.int\CLIMA\B\1\NEW%20UNIT%20B1%202023\02%20-%20ETS%201%20and%20ETS%202%20Issues\203%20-%20Carbon%20Market%20Report\CMR%202023\5%20-%20Source%20files\CMR%202022%20-%20Figure%206.xlsx" TargetMode="External"/><Relationship Id="rId2" Type="http://schemas.microsoft.com/office/2011/relationships/chartColorStyle" Target="colors5.xml"/><Relationship Id="rId1" Type="http://schemas.microsoft.com/office/2011/relationships/chartStyle" Target="style5.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net1.cec.eu.int\CLIMA\B\1\NEW%20UNIT%20B1%202023\02%20-%20ETS%201%20and%20ETS%202%20Issues\203%20-%20Carbon%20Market%20Report\CMR%202023\2%20-%20ISC\From%20Sjors\CMR%20figure%20sources%20for%20section%203%20and%20section%2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'Auction price 2022-2023'!$B$1</c:f>
              <c:strCache>
                <c:ptCount val="1"/>
                <c:pt idx="0">
                  <c:v>Auction Price €/tCO2</c:v>
                </c:pt>
              </c:strCache>
            </c:strRef>
          </c:tx>
          <c:spPr>
            <a:ln w="28575" cap="rnd">
              <a:solidFill>
                <a:schemeClr val="accent1"/>
              </a:solidFill>
              <a:round/>
            </a:ln>
            <a:effectLst/>
          </c:spPr>
          <c:marker>
            <c:symbol val="none"/>
          </c:marker>
          <c:cat>
            <c:numRef>
              <c:f>'Auction price 2022-2023'!$A$2:$A$330</c:f>
              <c:numCache>
                <c:formatCode>dd\.mm\.yyyy</c:formatCode>
                <c:ptCount val="329"/>
                <c:pt idx="0">
                  <c:v>44571</c:v>
                </c:pt>
                <c:pt idx="1">
                  <c:v>44572</c:v>
                </c:pt>
                <c:pt idx="2">
                  <c:v>44574</c:v>
                </c:pt>
                <c:pt idx="3">
                  <c:v>44575</c:v>
                </c:pt>
                <c:pt idx="4">
                  <c:v>44578</c:v>
                </c:pt>
                <c:pt idx="5">
                  <c:v>44579</c:v>
                </c:pt>
                <c:pt idx="6">
                  <c:v>44580</c:v>
                </c:pt>
                <c:pt idx="7">
                  <c:v>44581</c:v>
                </c:pt>
                <c:pt idx="8">
                  <c:v>44582</c:v>
                </c:pt>
                <c:pt idx="9">
                  <c:v>44585</c:v>
                </c:pt>
                <c:pt idx="10">
                  <c:v>44586</c:v>
                </c:pt>
                <c:pt idx="11">
                  <c:v>44588</c:v>
                </c:pt>
                <c:pt idx="12">
                  <c:v>44589</c:v>
                </c:pt>
                <c:pt idx="13">
                  <c:v>44592</c:v>
                </c:pt>
                <c:pt idx="14">
                  <c:v>44594</c:v>
                </c:pt>
                <c:pt idx="15">
                  <c:v>44595</c:v>
                </c:pt>
                <c:pt idx="16">
                  <c:v>44596</c:v>
                </c:pt>
                <c:pt idx="17">
                  <c:v>44599</c:v>
                </c:pt>
                <c:pt idx="18">
                  <c:v>44600</c:v>
                </c:pt>
                <c:pt idx="19">
                  <c:v>44601</c:v>
                </c:pt>
                <c:pt idx="20">
                  <c:v>44602</c:v>
                </c:pt>
                <c:pt idx="21">
                  <c:v>44603</c:v>
                </c:pt>
                <c:pt idx="22">
                  <c:v>44606</c:v>
                </c:pt>
                <c:pt idx="23">
                  <c:v>44607</c:v>
                </c:pt>
                <c:pt idx="24">
                  <c:v>44608</c:v>
                </c:pt>
                <c:pt idx="25">
                  <c:v>44609</c:v>
                </c:pt>
                <c:pt idx="26">
                  <c:v>44610</c:v>
                </c:pt>
                <c:pt idx="27">
                  <c:v>44613</c:v>
                </c:pt>
                <c:pt idx="28">
                  <c:v>44614</c:v>
                </c:pt>
                <c:pt idx="29">
                  <c:v>44615</c:v>
                </c:pt>
                <c:pt idx="30">
                  <c:v>44616</c:v>
                </c:pt>
                <c:pt idx="31">
                  <c:v>44617</c:v>
                </c:pt>
                <c:pt idx="32">
                  <c:v>44620</c:v>
                </c:pt>
                <c:pt idx="33">
                  <c:v>44621</c:v>
                </c:pt>
                <c:pt idx="34">
                  <c:v>44623</c:v>
                </c:pt>
                <c:pt idx="35">
                  <c:v>44624</c:v>
                </c:pt>
                <c:pt idx="36">
                  <c:v>44627</c:v>
                </c:pt>
                <c:pt idx="37">
                  <c:v>44628</c:v>
                </c:pt>
                <c:pt idx="38">
                  <c:v>44630</c:v>
                </c:pt>
                <c:pt idx="39">
                  <c:v>44631</c:v>
                </c:pt>
                <c:pt idx="40">
                  <c:v>44634</c:v>
                </c:pt>
                <c:pt idx="41">
                  <c:v>44635</c:v>
                </c:pt>
                <c:pt idx="42">
                  <c:v>44636</c:v>
                </c:pt>
                <c:pt idx="43">
                  <c:v>44637</c:v>
                </c:pt>
                <c:pt idx="44">
                  <c:v>44638</c:v>
                </c:pt>
                <c:pt idx="45">
                  <c:v>44641</c:v>
                </c:pt>
                <c:pt idx="46">
                  <c:v>44642</c:v>
                </c:pt>
                <c:pt idx="47">
                  <c:v>44644</c:v>
                </c:pt>
                <c:pt idx="48">
                  <c:v>44645</c:v>
                </c:pt>
                <c:pt idx="49">
                  <c:v>44648</c:v>
                </c:pt>
                <c:pt idx="50">
                  <c:v>44649</c:v>
                </c:pt>
                <c:pt idx="51">
                  <c:v>44650</c:v>
                </c:pt>
                <c:pt idx="52">
                  <c:v>44651</c:v>
                </c:pt>
                <c:pt idx="53">
                  <c:v>44652</c:v>
                </c:pt>
                <c:pt idx="54">
                  <c:v>44655</c:v>
                </c:pt>
                <c:pt idx="55">
                  <c:v>44656</c:v>
                </c:pt>
                <c:pt idx="56">
                  <c:v>44657</c:v>
                </c:pt>
                <c:pt idx="57">
                  <c:v>44658</c:v>
                </c:pt>
                <c:pt idx="58">
                  <c:v>44659</c:v>
                </c:pt>
                <c:pt idx="59">
                  <c:v>44662</c:v>
                </c:pt>
                <c:pt idx="60">
                  <c:v>44663</c:v>
                </c:pt>
                <c:pt idx="61">
                  <c:v>44664</c:v>
                </c:pt>
                <c:pt idx="62">
                  <c:v>44665</c:v>
                </c:pt>
                <c:pt idx="63">
                  <c:v>44670</c:v>
                </c:pt>
                <c:pt idx="64">
                  <c:v>44672</c:v>
                </c:pt>
                <c:pt idx="65">
                  <c:v>44673</c:v>
                </c:pt>
                <c:pt idx="66">
                  <c:v>44676</c:v>
                </c:pt>
                <c:pt idx="67">
                  <c:v>44677</c:v>
                </c:pt>
                <c:pt idx="68">
                  <c:v>44678</c:v>
                </c:pt>
                <c:pt idx="69">
                  <c:v>44679</c:v>
                </c:pt>
                <c:pt idx="70">
                  <c:v>44680</c:v>
                </c:pt>
                <c:pt idx="71">
                  <c:v>44683</c:v>
                </c:pt>
                <c:pt idx="72">
                  <c:v>44684</c:v>
                </c:pt>
                <c:pt idx="73">
                  <c:v>44686</c:v>
                </c:pt>
                <c:pt idx="74">
                  <c:v>44687</c:v>
                </c:pt>
                <c:pt idx="75">
                  <c:v>44690</c:v>
                </c:pt>
                <c:pt idx="76">
                  <c:v>44691</c:v>
                </c:pt>
                <c:pt idx="77">
                  <c:v>44692</c:v>
                </c:pt>
                <c:pt idx="78">
                  <c:v>44693</c:v>
                </c:pt>
                <c:pt idx="79">
                  <c:v>44694</c:v>
                </c:pt>
                <c:pt idx="80">
                  <c:v>44697</c:v>
                </c:pt>
                <c:pt idx="81">
                  <c:v>44698</c:v>
                </c:pt>
                <c:pt idx="82">
                  <c:v>44699</c:v>
                </c:pt>
                <c:pt idx="83">
                  <c:v>44700</c:v>
                </c:pt>
                <c:pt idx="84">
                  <c:v>44701</c:v>
                </c:pt>
                <c:pt idx="85">
                  <c:v>44704</c:v>
                </c:pt>
                <c:pt idx="86">
                  <c:v>44705</c:v>
                </c:pt>
                <c:pt idx="87">
                  <c:v>44706</c:v>
                </c:pt>
                <c:pt idx="88">
                  <c:v>44711</c:v>
                </c:pt>
                <c:pt idx="89">
                  <c:v>44712</c:v>
                </c:pt>
                <c:pt idx="90">
                  <c:v>44719</c:v>
                </c:pt>
                <c:pt idx="91">
                  <c:v>44720</c:v>
                </c:pt>
                <c:pt idx="92">
                  <c:v>44721</c:v>
                </c:pt>
                <c:pt idx="93">
                  <c:v>44722</c:v>
                </c:pt>
                <c:pt idx="94">
                  <c:v>44725</c:v>
                </c:pt>
                <c:pt idx="95">
                  <c:v>44726</c:v>
                </c:pt>
                <c:pt idx="96">
                  <c:v>44727</c:v>
                </c:pt>
                <c:pt idx="97">
                  <c:v>44728</c:v>
                </c:pt>
                <c:pt idx="98">
                  <c:v>44729</c:v>
                </c:pt>
                <c:pt idx="99">
                  <c:v>44732</c:v>
                </c:pt>
                <c:pt idx="100">
                  <c:v>44733</c:v>
                </c:pt>
                <c:pt idx="101">
                  <c:v>44734</c:v>
                </c:pt>
                <c:pt idx="102">
                  <c:v>44735</c:v>
                </c:pt>
                <c:pt idx="103">
                  <c:v>44736</c:v>
                </c:pt>
                <c:pt idx="104">
                  <c:v>44739</c:v>
                </c:pt>
                <c:pt idx="105">
                  <c:v>44740</c:v>
                </c:pt>
                <c:pt idx="106">
                  <c:v>44742</c:v>
                </c:pt>
                <c:pt idx="107">
                  <c:v>44743</c:v>
                </c:pt>
                <c:pt idx="108">
                  <c:v>44746</c:v>
                </c:pt>
                <c:pt idx="109">
                  <c:v>44747</c:v>
                </c:pt>
                <c:pt idx="110">
                  <c:v>44748</c:v>
                </c:pt>
                <c:pt idx="111">
                  <c:v>44749</c:v>
                </c:pt>
                <c:pt idx="112">
                  <c:v>44750</c:v>
                </c:pt>
                <c:pt idx="113">
                  <c:v>44753</c:v>
                </c:pt>
                <c:pt idx="114">
                  <c:v>44754</c:v>
                </c:pt>
                <c:pt idx="115">
                  <c:v>44756</c:v>
                </c:pt>
                <c:pt idx="116">
                  <c:v>44757</c:v>
                </c:pt>
                <c:pt idx="117">
                  <c:v>44760</c:v>
                </c:pt>
                <c:pt idx="118">
                  <c:v>44761</c:v>
                </c:pt>
                <c:pt idx="119">
                  <c:v>44762</c:v>
                </c:pt>
                <c:pt idx="120">
                  <c:v>44763</c:v>
                </c:pt>
                <c:pt idx="121">
                  <c:v>44764</c:v>
                </c:pt>
                <c:pt idx="122">
                  <c:v>44767</c:v>
                </c:pt>
                <c:pt idx="123">
                  <c:v>44768</c:v>
                </c:pt>
                <c:pt idx="124">
                  <c:v>44770</c:v>
                </c:pt>
                <c:pt idx="125">
                  <c:v>44771</c:v>
                </c:pt>
                <c:pt idx="126">
                  <c:v>44774</c:v>
                </c:pt>
                <c:pt idx="127">
                  <c:v>44775</c:v>
                </c:pt>
                <c:pt idx="128">
                  <c:v>44776</c:v>
                </c:pt>
                <c:pt idx="129">
                  <c:v>44777</c:v>
                </c:pt>
                <c:pt idx="130">
                  <c:v>44778</c:v>
                </c:pt>
                <c:pt idx="131">
                  <c:v>44781</c:v>
                </c:pt>
                <c:pt idx="132">
                  <c:v>44782</c:v>
                </c:pt>
                <c:pt idx="133">
                  <c:v>44784</c:v>
                </c:pt>
                <c:pt idx="134">
                  <c:v>44785</c:v>
                </c:pt>
                <c:pt idx="135">
                  <c:v>44788</c:v>
                </c:pt>
                <c:pt idx="136">
                  <c:v>44789</c:v>
                </c:pt>
                <c:pt idx="137">
                  <c:v>44790</c:v>
                </c:pt>
                <c:pt idx="138">
                  <c:v>44791</c:v>
                </c:pt>
                <c:pt idx="139">
                  <c:v>44792</c:v>
                </c:pt>
                <c:pt idx="140">
                  <c:v>44795</c:v>
                </c:pt>
                <c:pt idx="141">
                  <c:v>44796</c:v>
                </c:pt>
                <c:pt idx="142">
                  <c:v>44798</c:v>
                </c:pt>
                <c:pt idx="143">
                  <c:v>44799</c:v>
                </c:pt>
                <c:pt idx="144">
                  <c:v>44802</c:v>
                </c:pt>
                <c:pt idx="145">
                  <c:v>44803</c:v>
                </c:pt>
                <c:pt idx="146">
                  <c:v>44804</c:v>
                </c:pt>
                <c:pt idx="147">
                  <c:v>44805</c:v>
                </c:pt>
                <c:pt idx="148">
                  <c:v>44806</c:v>
                </c:pt>
                <c:pt idx="149">
                  <c:v>44809</c:v>
                </c:pt>
                <c:pt idx="150">
                  <c:v>44810</c:v>
                </c:pt>
                <c:pt idx="151">
                  <c:v>44811</c:v>
                </c:pt>
                <c:pt idx="152">
                  <c:v>44813</c:v>
                </c:pt>
                <c:pt idx="153">
                  <c:v>44816</c:v>
                </c:pt>
                <c:pt idx="154">
                  <c:v>44817</c:v>
                </c:pt>
                <c:pt idx="155">
                  <c:v>44818</c:v>
                </c:pt>
                <c:pt idx="156">
                  <c:v>44819</c:v>
                </c:pt>
                <c:pt idx="157">
                  <c:v>44820</c:v>
                </c:pt>
                <c:pt idx="158">
                  <c:v>44823</c:v>
                </c:pt>
                <c:pt idx="159">
                  <c:v>44824</c:v>
                </c:pt>
                <c:pt idx="160">
                  <c:v>44825</c:v>
                </c:pt>
                <c:pt idx="161">
                  <c:v>44826</c:v>
                </c:pt>
                <c:pt idx="162">
                  <c:v>44827</c:v>
                </c:pt>
                <c:pt idx="163">
                  <c:v>44830</c:v>
                </c:pt>
                <c:pt idx="164">
                  <c:v>44831</c:v>
                </c:pt>
                <c:pt idx="165">
                  <c:v>44832</c:v>
                </c:pt>
                <c:pt idx="166">
                  <c:v>44833</c:v>
                </c:pt>
                <c:pt idx="167">
                  <c:v>44834</c:v>
                </c:pt>
                <c:pt idx="168">
                  <c:v>44837</c:v>
                </c:pt>
                <c:pt idx="169">
                  <c:v>44838</c:v>
                </c:pt>
                <c:pt idx="170">
                  <c:v>44840</c:v>
                </c:pt>
                <c:pt idx="171">
                  <c:v>44841</c:v>
                </c:pt>
                <c:pt idx="172">
                  <c:v>44844</c:v>
                </c:pt>
                <c:pt idx="173">
                  <c:v>44845</c:v>
                </c:pt>
                <c:pt idx="174">
                  <c:v>44846</c:v>
                </c:pt>
                <c:pt idx="175">
                  <c:v>44847</c:v>
                </c:pt>
                <c:pt idx="176">
                  <c:v>44848</c:v>
                </c:pt>
                <c:pt idx="177">
                  <c:v>44851</c:v>
                </c:pt>
                <c:pt idx="178">
                  <c:v>44852</c:v>
                </c:pt>
                <c:pt idx="179">
                  <c:v>44853</c:v>
                </c:pt>
                <c:pt idx="180">
                  <c:v>44854</c:v>
                </c:pt>
                <c:pt idx="181">
                  <c:v>44855</c:v>
                </c:pt>
                <c:pt idx="182">
                  <c:v>44858</c:v>
                </c:pt>
                <c:pt idx="183">
                  <c:v>44859</c:v>
                </c:pt>
                <c:pt idx="184">
                  <c:v>44860</c:v>
                </c:pt>
                <c:pt idx="185">
                  <c:v>44861</c:v>
                </c:pt>
                <c:pt idx="186">
                  <c:v>44862</c:v>
                </c:pt>
                <c:pt idx="187">
                  <c:v>44865</c:v>
                </c:pt>
                <c:pt idx="188">
                  <c:v>44866</c:v>
                </c:pt>
                <c:pt idx="189">
                  <c:v>44868</c:v>
                </c:pt>
                <c:pt idx="190">
                  <c:v>44869</c:v>
                </c:pt>
                <c:pt idx="191">
                  <c:v>44872</c:v>
                </c:pt>
                <c:pt idx="192">
                  <c:v>44873</c:v>
                </c:pt>
                <c:pt idx="193">
                  <c:v>44874</c:v>
                </c:pt>
                <c:pt idx="194">
                  <c:v>44875</c:v>
                </c:pt>
                <c:pt idx="195">
                  <c:v>44876</c:v>
                </c:pt>
                <c:pt idx="196">
                  <c:v>44879</c:v>
                </c:pt>
                <c:pt idx="197">
                  <c:v>44880</c:v>
                </c:pt>
                <c:pt idx="198">
                  <c:v>44881</c:v>
                </c:pt>
                <c:pt idx="199">
                  <c:v>44882</c:v>
                </c:pt>
                <c:pt idx="200">
                  <c:v>44883</c:v>
                </c:pt>
                <c:pt idx="201">
                  <c:v>44886</c:v>
                </c:pt>
                <c:pt idx="202">
                  <c:v>44887</c:v>
                </c:pt>
                <c:pt idx="203">
                  <c:v>44888</c:v>
                </c:pt>
                <c:pt idx="204">
                  <c:v>44889</c:v>
                </c:pt>
                <c:pt idx="205">
                  <c:v>44890</c:v>
                </c:pt>
                <c:pt idx="206">
                  <c:v>44893</c:v>
                </c:pt>
                <c:pt idx="207">
                  <c:v>44894</c:v>
                </c:pt>
                <c:pt idx="208">
                  <c:v>44896</c:v>
                </c:pt>
                <c:pt idx="209">
                  <c:v>44897</c:v>
                </c:pt>
                <c:pt idx="210">
                  <c:v>44900</c:v>
                </c:pt>
                <c:pt idx="211">
                  <c:v>44901</c:v>
                </c:pt>
                <c:pt idx="212">
                  <c:v>44902</c:v>
                </c:pt>
                <c:pt idx="213">
                  <c:v>44903</c:v>
                </c:pt>
                <c:pt idx="214">
                  <c:v>44904</c:v>
                </c:pt>
                <c:pt idx="215">
                  <c:v>44907</c:v>
                </c:pt>
                <c:pt idx="216">
                  <c:v>44908</c:v>
                </c:pt>
                <c:pt idx="217">
                  <c:v>44910</c:v>
                </c:pt>
                <c:pt idx="218">
                  <c:v>44911</c:v>
                </c:pt>
                <c:pt idx="219">
                  <c:v>44914</c:v>
                </c:pt>
                <c:pt idx="220">
                  <c:v>44935</c:v>
                </c:pt>
                <c:pt idx="221">
                  <c:v>44936</c:v>
                </c:pt>
                <c:pt idx="222">
                  <c:v>44938</c:v>
                </c:pt>
                <c:pt idx="223">
                  <c:v>44939</c:v>
                </c:pt>
                <c:pt idx="224">
                  <c:v>44942</c:v>
                </c:pt>
                <c:pt idx="225">
                  <c:v>44943</c:v>
                </c:pt>
                <c:pt idx="226">
                  <c:v>44944</c:v>
                </c:pt>
                <c:pt idx="227">
                  <c:v>44945</c:v>
                </c:pt>
                <c:pt idx="228">
                  <c:v>44946</c:v>
                </c:pt>
                <c:pt idx="229">
                  <c:v>44949</c:v>
                </c:pt>
                <c:pt idx="230">
                  <c:v>44950</c:v>
                </c:pt>
                <c:pt idx="231">
                  <c:v>44951</c:v>
                </c:pt>
                <c:pt idx="232">
                  <c:v>44952</c:v>
                </c:pt>
                <c:pt idx="233">
                  <c:v>44953</c:v>
                </c:pt>
                <c:pt idx="234">
                  <c:v>44956</c:v>
                </c:pt>
                <c:pt idx="235">
                  <c:v>44957</c:v>
                </c:pt>
                <c:pt idx="236">
                  <c:v>44958</c:v>
                </c:pt>
                <c:pt idx="237">
                  <c:v>44959</c:v>
                </c:pt>
                <c:pt idx="238">
                  <c:v>44960</c:v>
                </c:pt>
                <c:pt idx="239">
                  <c:v>44963</c:v>
                </c:pt>
                <c:pt idx="240">
                  <c:v>44964</c:v>
                </c:pt>
                <c:pt idx="241">
                  <c:v>44966</c:v>
                </c:pt>
                <c:pt idx="242">
                  <c:v>44967</c:v>
                </c:pt>
                <c:pt idx="243">
                  <c:v>44970</c:v>
                </c:pt>
                <c:pt idx="244">
                  <c:v>44971</c:v>
                </c:pt>
                <c:pt idx="245">
                  <c:v>44972</c:v>
                </c:pt>
                <c:pt idx="246">
                  <c:v>44973</c:v>
                </c:pt>
                <c:pt idx="247">
                  <c:v>44974</c:v>
                </c:pt>
                <c:pt idx="248">
                  <c:v>44977</c:v>
                </c:pt>
                <c:pt idx="249">
                  <c:v>44978</c:v>
                </c:pt>
                <c:pt idx="250">
                  <c:v>44980</c:v>
                </c:pt>
                <c:pt idx="251">
                  <c:v>44981</c:v>
                </c:pt>
                <c:pt idx="252">
                  <c:v>44984</c:v>
                </c:pt>
                <c:pt idx="253">
                  <c:v>44985</c:v>
                </c:pt>
                <c:pt idx="254">
                  <c:v>44986</c:v>
                </c:pt>
                <c:pt idx="255">
                  <c:v>44987</c:v>
                </c:pt>
                <c:pt idx="256">
                  <c:v>44988</c:v>
                </c:pt>
                <c:pt idx="257">
                  <c:v>44991</c:v>
                </c:pt>
                <c:pt idx="258">
                  <c:v>44992</c:v>
                </c:pt>
                <c:pt idx="259">
                  <c:v>44994</c:v>
                </c:pt>
                <c:pt idx="260">
                  <c:v>44995</c:v>
                </c:pt>
                <c:pt idx="261">
                  <c:v>44998</c:v>
                </c:pt>
                <c:pt idx="262">
                  <c:v>44999</c:v>
                </c:pt>
                <c:pt idx="263">
                  <c:v>45000</c:v>
                </c:pt>
                <c:pt idx="264">
                  <c:v>45001</c:v>
                </c:pt>
                <c:pt idx="265">
                  <c:v>45002</c:v>
                </c:pt>
                <c:pt idx="266">
                  <c:v>45005</c:v>
                </c:pt>
                <c:pt idx="267">
                  <c:v>45006</c:v>
                </c:pt>
                <c:pt idx="268">
                  <c:v>45007</c:v>
                </c:pt>
                <c:pt idx="269">
                  <c:v>45008</c:v>
                </c:pt>
                <c:pt idx="270">
                  <c:v>45009</c:v>
                </c:pt>
                <c:pt idx="271">
                  <c:v>45012</c:v>
                </c:pt>
                <c:pt idx="272">
                  <c:v>45013</c:v>
                </c:pt>
                <c:pt idx="273">
                  <c:v>45014</c:v>
                </c:pt>
                <c:pt idx="274">
                  <c:v>45015</c:v>
                </c:pt>
                <c:pt idx="275">
                  <c:v>45016</c:v>
                </c:pt>
                <c:pt idx="276">
                  <c:v>45019</c:v>
                </c:pt>
                <c:pt idx="277">
                  <c:v>45020</c:v>
                </c:pt>
                <c:pt idx="278">
                  <c:v>45022</c:v>
                </c:pt>
                <c:pt idx="279">
                  <c:v>45027</c:v>
                </c:pt>
                <c:pt idx="280">
                  <c:v>45028</c:v>
                </c:pt>
                <c:pt idx="281">
                  <c:v>45029</c:v>
                </c:pt>
                <c:pt idx="282">
                  <c:v>45030</c:v>
                </c:pt>
                <c:pt idx="283">
                  <c:v>45033</c:v>
                </c:pt>
                <c:pt idx="284">
                  <c:v>45034</c:v>
                </c:pt>
                <c:pt idx="285">
                  <c:v>45036</c:v>
                </c:pt>
                <c:pt idx="286">
                  <c:v>45037</c:v>
                </c:pt>
                <c:pt idx="287">
                  <c:v>45040</c:v>
                </c:pt>
                <c:pt idx="288">
                  <c:v>45041</c:v>
                </c:pt>
                <c:pt idx="289">
                  <c:v>45042</c:v>
                </c:pt>
                <c:pt idx="290">
                  <c:v>45043</c:v>
                </c:pt>
                <c:pt idx="291">
                  <c:v>45044</c:v>
                </c:pt>
                <c:pt idx="292">
                  <c:v>45048</c:v>
                </c:pt>
                <c:pt idx="293">
                  <c:v>45050</c:v>
                </c:pt>
                <c:pt idx="294">
                  <c:v>45051</c:v>
                </c:pt>
                <c:pt idx="295">
                  <c:v>45054</c:v>
                </c:pt>
                <c:pt idx="296">
                  <c:v>45055</c:v>
                </c:pt>
                <c:pt idx="297">
                  <c:v>45056</c:v>
                </c:pt>
                <c:pt idx="298">
                  <c:v>45057</c:v>
                </c:pt>
                <c:pt idx="299">
                  <c:v>45058</c:v>
                </c:pt>
                <c:pt idx="300">
                  <c:v>45061</c:v>
                </c:pt>
                <c:pt idx="301">
                  <c:v>45062</c:v>
                </c:pt>
                <c:pt idx="302">
                  <c:v>45063</c:v>
                </c:pt>
                <c:pt idx="303">
                  <c:v>45068</c:v>
                </c:pt>
                <c:pt idx="304">
                  <c:v>45069</c:v>
                </c:pt>
                <c:pt idx="305">
                  <c:v>45070</c:v>
                </c:pt>
                <c:pt idx="306">
                  <c:v>45071</c:v>
                </c:pt>
                <c:pt idx="307">
                  <c:v>45072</c:v>
                </c:pt>
                <c:pt idx="308">
                  <c:v>45076</c:v>
                </c:pt>
                <c:pt idx="309">
                  <c:v>45078</c:v>
                </c:pt>
                <c:pt idx="310">
                  <c:v>45079</c:v>
                </c:pt>
                <c:pt idx="311">
                  <c:v>45082</c:v>
                </c:pt>
                <c:pt idx="312">
                  <c:v>45083</c:v>
                </c:pt>
                <c:pt idx="313">
                  <c:v>45084</c:v>
                </c:pt>
                <c:pt idx="314">
                  <c:v>45085</c:v>
                </c:pt>
                <c:pt idx="315">
                  <c:v>45086</c:v>
                </c:pt>
                <c:pt idx="316">
                  <c:v>45089</c:v>
                </c:pt>
                <c:pt idx="317">
                  <c:v>45090</c:v>
                </c:pt>
                <c:pt idx="318">
                  <c:v>45092</c:v>
                </c:pt>
                <c:pt idx="319">
                  <c:v>45093</c:v>
                </c:pt>
                <c:pt idx="320">
                  <c:v>45096</c:v>
                </c:pt>
                <c:pt idx="321">
                  <c:v>45097</c:v>
                </c:pt>
                <c:pt idx="322">
                  <c:v>45098</c:v>
                </c:pt>
                <c:pt idx="323">
                  <c:v>45099</c:v>
                </c:pt>
                <c:pt idx="324">
                  <c:v>45100</c:v>
                </c:pt>
                <c:pt idx="325">
                  <c:v>45103</c:v>
                </c:pt>
                <c:pt idx="326">
                  <c:v>45104</c:v>
                </c:pt>
                <c:pt idx="327">
                  <c:v>45106</c:v>
                </c:pt>
                <c:pt idx="328">
                  <c:v>45107</c:v>
                </c:pt>
              </c:numCache>
            </c:numRef>
          </c:cat>
          <c:val>
            <c:numRef>
              <c:f>'Auction price 2022-2023'!$B$2:$B$330</c:f>
              <c:numCache>
                <c:formatCode>0.00</c:formatCode>
                <c:ptCount val="329"/>
                <c:pt idx="0">
                  <c:v>82.71</c:v>
                </c:pt>
                <c:pt idx="1">
                  <c:v>81.900000000000006</c:v>
                </c:pt>
                <c:pt idx="2">
                  <c:v>79.05</c:v>
                </c:pt>
                <c:pt idx="3">
                  <c:v>81.52</c:v>
                </c:pt>
                <c:pt idx="4">
                  <c:v>80.209999999999994</c:v>
                </c:pt>
                <c:pt idx="5">
                  <c:v>79.22</c:v>
                </c:pt>
                <c:pt idx="6">
                  <c:v>80.7</c:v>
                </c:pt>
                <c:pt idx="7">
                  <c:v>80.8</c:v>
                </c:pt>
                <c:pt idx="8">
                  <c:v>84.03</c:v>
                </c:pt>
                <c:pt idx="9">
                  <c:v>85.75</c:v>
                </c:pt>
                <c:pt idx="10">
                  <c:v>84.48</c:v>
                </c:pt>
                <c:pt idx="11">
                  <c:v>88.51</c:v>
                </c:pt>
                <c:pt idx="12">
                  <c:v>89.25</c:v>
                </c:pt>
                <c:pt idx="13">
                  <c:v>88.03</c:v>
                </c:pt>
                <c:pt idx="14">
                  <c:v>91.61</c:v>
                </c:pt>
                <c:pt idx="15">
                  <c:v>92.65</c:v>
                </c:pt>
                <c:pt idx="16">
                  <c:v>94.65</c:v>
                </c:pt>
                <c:pt idx="17">
                  <c:v>93.5</c:v>
                </c:pt>
                <c:pt idx="18">
                  <c:v>97.51</c:v>
                </c:pt>
                <c:pt idx="19">
                  <c:v>96.53</c:v>
                </c:pt>
                <c:pt idx="20">
                  <c:v>90.6</c:v>
                </c:pt>
                <c:pt idx="21">
                  <c:v>89.98</c:v>
                </c:pt>
                <c:pt idx="22">
                  <c:v>90.73</c:v>
                </c:pt>
                <c:pt idx="23">
                  <c:v>90.35</c:v>
                </c:pt>
                <c:pt idx="24">
                  <c:v>88.05</c:v>
                </c:pt>
                <c:pt idx="25">
                  <c:v>87.5</c:v>
                </c:pt>
                <c:pt idx="26">
                  <c:v>87.65</c:v>
                </c:pt>
                <c:pt idx="27">
                  <c:v>87.99</c:v>
                </c:pt>
                <c:pt idx="28">
                  <c:v>88.4</c:v>
                </c:pt>
                <c:pt idx="29">
                  <c:v>92.8</c:v>
                </c:pt>
                <c:pt idx="30">
                  <c:v>88</c:v>
                </c:pt>
                <c:pt idx="31">
                  <c:v>86.9</c:v>
                </c:pt>
                <c:pt idx="32">
                  <c:v>80.92</c:v>
                </c:pt>
                <c:pt idx="33">
                  <c:v>79.959999999999994</c:v>
                </c:pt>
                <c:pt idx="34">
                  <c:v>63.87</c:v>
                </c:pt>
                <c:pt idx="35">
                  <c:v>67.22</c:v>
                </c:pt>
                <c:pt idx="36">
                  <c:v>57.91</c:v>
                </c:pt>
                <c:pt idx="37">
                  <c:v>62.01</c:v>
                </c:pt>
                <c:pt idx="38">
                  <c:v>70.040000000000006</c:v>
                </c:pt>
                <c:pt idx="39">
                  <c:v>76.5</c:v>
                </c:pt>
                <c:pt idx="40">
                  <c:v>78.599999999999994</c:v>
                </c:pt>
                <c:pt idx="41">
                  <c:v>75.55</c:v>
                </c:pt>
                <c:pt idx="42">
                  <c:v>75.25</c:v>
                </c:pt>
                <c:pt idx="43">
                  <c:v>76.87</c:v>
                </c:pt>
                <c:pt idx="44">
                  <c:v>79.209999999999994</c:v>
                </c:pt>
                <c:pt idx="45">
                  <c:v>77.760000000000005</c:v>
                </c:pt>
                <c:pt idx="46">
                  <c:v>79.05</c:v>
                </c:pt>
                <c:pt idx="47">
                  <c:v>76.150000000000006</c:v>
                </c:pt>
                <c:pt idx="48">
                  <c:v>78.5</c:v>
                </c:pt>
                <c:pt idx="49">
                  <c:v>80.760000000000005</c:v>
                </c:pt>
                <c:pt idx="50">
                  <c:v>80.510000000000005</c:v>
                </c:pt>
                <c:pt idx="51">
                  <c:v>77.22</c:v>
                </c:pt>
                <c:pt idx="52">
                  <c:v>79.25</c:v>
                </c:pt>
                <c:pt idx="53">
                  <c:v>78</c:v>
                </c:pt>
                <c:pt idx="54">
                  <c:v>77.5</c:v>
                </c:pt>
                <c:pt idx="55">
                  <c:v>78.33</c:v>
                </c:pt>
                <c:pt idx="56">
                  <c:v>78.34</c:v>
                </c:pt>
                <c:pt idx="57">
                  <c:v>77.13</c:v>
                </c:pt>
                <c:pt idx="58">
                  <c:v>80.209999999999994</c:v>
                </c:pt>
                <c:pt idx="59">
                  <c:v>79.02</c:v>
                </c:pt>
                <c:pt idx="60">
                  <c:v>77.36</c:v>
                </c:pt>
                <c:pt idx="61">
                  <c:v>77.27</c:v>
                </c:pt>
                <c:pt idx="62">
                  <c:v>78.8</c:v>
                </c:pt>
                <c:pt idx="63">
                  <c:v>79.400000000000006</c:v>
                </c:pt>
                <c:pt idx="64">
                  <c:v>85.9</c:v>
                </c:pt>
                <c:pt idx="65">
                  <c:v>87.4</c:v>
                </c:pt>
                <c:pt idx="66">
                  <c:v>85.81</c:v>
                </c:pt>
                <c:pt idx="67">
                  <c:v>83.43</c:v>
                </c:pt>
                <c:pt idx="68">
                  <c:v>79.989999999999995</c:v>
                </c:pt>
                <c:pt idx="69">
                  <c:v>80.55</c:v>
                </c:pt>
                <c:pt idx="70">
                  <c:v>82.86</c:v>
                </c:pt>
                <c:pt idx="71">
                  <c:v>82.84</c:v>
                </c:pt>
                <c:pt idx="72">
                  <c:v>84.25</c:v>
                </c:pt>
                <c:pt idx="73">
                  <c:v>87.8</c:v>
                </c:pt>
                <c:pt idx="74">
                  <c:v>90.77</c:v>
                </c:pt>
                <c:pt idx="75">
                  <c:v>90.11</c:v>
                </c:pt>
                <c:pt idx="76">
                  <c:v>86.5</c:v>
                </c:pt>
                <c:pt idx="77">
                  <c:v>89</c:v>
                </c:pt>
                <c:pt idx="78">
                  <c:v>86.95</c:v>
                </c:pt>
                <c:pt idx="79">
                  <c:v>88.75</c:v>
                </c:pt>
                <c:pt idx="80">
                  <c:v>88.81</c:v>
                </c:pt>
                <c:pt idx="81">
                  <c:v>90.33</c:v>
                </c:pt>
                <c:pt idx="82">
                  <c:v>87.25</c:v>
                </c:pt>
                <c:pt idx="83">
                  <c:v>82.28</c:v>
                </c:pt>
                <c:pt idx="84">
                  <c:v>81.150000000000006</c:v>
                </c:pt>
                <c:pt idx="85">
                  <c:v>78.959999999999994</c:v>
                </c:pt>
                <c:pt idx="86">
                  <c:v>78.88</c:v>
                </c:pt>
                <c:pt idx="87">
                  <c:v>80.430000000000007</c:v>
                </c:pt>
                <c:pt idx="88">
                  <c:v>83.75</c:v>
                </c:pt>
                <c:pt idx="89">
                  <c:v>83.63</c:v>
                </c:pt>
                <c:pt idx="90">
                  <c:v>81.69</c:v>
                </c:pt>
                <c:pt idx="91">
                  <c:v>79.11</c:v>
                </c:pt>
                <c:pt idx="92">
                  <c:v>80.209999999999994</c:v>
                </c:pt>
                <c:pt idx="93">
                  <c:v>80.73</c:v>
                </c:pt>
                <c:pt idx="94">
                  <c:v>80.099999999999994</c:v>
                </c:pt>
                <c:pt idx="95">
                  <c:v>82.31</c:v>
                </c:pt>
                <c:pt idx="96">
                  <c:v>84.45</c:v>
                </c:pt>
                <c:pt idx="97">
                  <c:v>85.95</c:v>
                </c:pt>
                <c:pt idx="98">
                  <c:v>83</c:v>
                </c:pt>
                <c:pt idx="99">
                  <c:v>83.51</c:v>
                </c:pt>
                <c:pt idx="100">
                  <c:v>84.26</c:v>
                </c:pt>
                <c:pt idx="101">
                  <c:v>83.06</c:v>
                </c:pt>
                <c:pt idx="102">
                  <c:v>81.069999999999993</c:v>
                </c:pt>
                <c:pt idx="103">
                  <c:v>82.9</c:v>
                </c:pt>
                <c:pt idx="104">
                  <c:v>83.01</c:v>
                </c:pt>
                <c:pt idx="105">
                  <c:v>84.54</c:v>
                </c:pt>
                <c:pt idx="106">
                  <c:v>88.02</c:v>
                </c:pt>
                <c:pt idx="107">
                  <c:v>88.22</c:v>
                </c:pt>
                <c:pt idx="108">
                  <c:v>84.34</c:v>
                </c:pt>
                <c:pt idx="109">
                  <c:v>83.38</c:v>
                </c:pt>
                <c:pt idx="110">
                  <c:v>82.63</c:v>
                </c:pt>
                <c:pt idx="111">
                  <c:v>83.36</c:v>
                </c:pt>
                <c:pt idx="112">
                  <c:v>82.63</c:v>
                </c:pt>
                <c:pt idx="113">
                  <c:v>83.4</c:v>
                </c:pt>
                <c:pt idx="114">
                  <c:v>83.89</c:v>
                </c:pt>
                <c:pt idx="115">
                  <c:v>83</c:v>
                </c:pt>
                <c:pt idx="116">
                  <c:v>83.71</c:v>
                </c:pt>
                <c:pt idx="117">
                  <c:v>83.33</c:v>
                </c:pt>
                <c:pt idx="118">
                  <c:v>83.61</c:v>
                </c:pt>
                <c:pt idx="119">
                  <c:v>81.22</c:v>
                </c:pt>
                <c:pt idx="120">
                  <c:v>77.599999999999994</c:v>
                </c:pt>
                <c:pt idx="121">
                  <c:v>78.06</c:v>
                </c:pt>
                <c:pt idx="122">
                  <c:v>76.09</c:v>
                </c:pt>
                <c:pt idx="123">
                  <c:v>76.510000000000005</c:v>
                </c:pt>
                <c:pt idx="124">
                  <c:v>77.08</c:v>
                </c:pt>
                <c:pt idx="125">
                  <c:v>77.959999999999994</c:v>
                </c:pt>
                <c:pt idx="126">
                  <c:v>79.5</c:v>
                </c:pt>
                <c:pt idx="127">
                  <c:v>80.510000000000005</c:v>
                </c:pt>
                <c:pt idx="128">
                  <c:v>83.45</c:v>
                </c:pt>
                <c:pt idx="129">
                  <c:v>83.81</c:v>
                </c:pt>
                <c:pt idx="130">
                  <c:v>84.5</c:v>
                </c:pt>
                <c:pt idx="131">
                  <c:v>84.6</c:v>
                </c:pt>
                <c:pt idx="132">
                  <c:v>84.06</c:v>
                </c:pt>
                <c:pt idx="133">
                  <c:v>86.35</c:v>
                </c:pt>
                <c:pt idx="134">
                  <c:v>87.3</c:v>
                </c:pt>
                <c:pt idx="135">
                  <c:v>89.5</c:v>
                </c:pt>
                <c:pt idx="136">
                  <c:v>90.64</c:v>
                </c:pt>
                <c:pt idx="137">
                  <c:v>94.07</c:v>
                </c:pt>
                <c:pt idx="138">
                  <c:v>94</c:v>
                </c:pt>
                <c:pt idx="139">
                  <c:v>96.87</c:v>
                </c:pt>
                <c:pt idx="140">
                  <c:v>97.5</c:v>
                </c:pt>
                <c:pt idx="141">
                  <c:v>92.52</c:v>
                </c:pt>
                <c:pt idx="142">
                  <c:v>89.3</c:v>
                </c:pt>
                <c:pt idx="143">
                  <c:v>89.56</c:v>
                </c:pt>
                <c:pt idx="144">
                  <c:v>88.81</c:v>
                </c:pt>
                <c:pt idx="145">
                  <c:v>85.13</c:v>
                </c:pt>
                <c:pt idx="146">
                  <c:v>78.959999999999994</c:v>
                </c:pt>
                <c:pt idx="147">
                  <c:v>77.010000000000005</c:v>
                </c:pt>
                <c:pt idx="148">
                  <c:v>78.41</c:v>
                </c:pt>
                <c:pt idx="149">
                  <c:v>73.75</c:v>
                </c:pt>
                <c:pt idx="150">
                  <c:v>71.05</c:v>
                </c:pt>
                <c:pt idx="151">
                  <c:v>69.06</c:v>
                </c:pt>
                <c:pt idx="152">
                  <c:v>65.209999999999994</c:v>
                </c:pt>
                <c:pt idx="153">
                  <c:v>65.959999999999994</c:v>
                </c:pt>
                <c:pt idx="154">
                  <c:v>70.48</c:v>
                </c:pt>
                <c:pt idx="155">
                  <c:v>68.290000000000006</c:v>
                </c:pt>
                <c:pt idx="156">
                  <c:v>70.84</c:v>
                </c:pt>
                <c:pt idx="157">
                  <c:v>71</c:v>
                </c:pt>
                <c:pt idx="158">
                  <c:v>71.11</c:v>
                </c:pt>
                <c:pt idx="159">
                  <c:v>70.38</c:v>
                </c:pt>
                <c:pt idx="160">
                  <c:v>70.39</c:v>
                </c:pt>
                <c:pt idx="161">
                  <c:v>69.88</c:v>
                </c:pt>
                <c:pt idx="162">
                  <c:v>67.56</c:v>
                </c:pt>
                <c:pt idx="163">
                  <c:v>66.02</c:v>
                </c:pt>
                <c:pt idx="164">
                  <c:v>67.7</c:v>
                </c:pt>
                <c:pt idx="165">
                  <c:v>64.709999999999994</c:v>
                </c:pt>
                <c:pt idx="166">
                  <c:v>64.7</c:v>
                </c:pt>
                <c:pt idx="167">
                  <c:v>66.87</c:v>
                </c:pt>
                <c:pt idx="168">
                  <c:v>64.45</c:v>
                </c:pt>
                <c:pt idx="169">
                  <c:v>66.17</c:v>
                </c:pt>
                <c:pt idx="170">
                  <c:v>65.760000000000005</c:v>
                </c:pt>
                <c:pt idx="171">
                  <c:v>67.52</c:v>
                </c:pt>
                <c:pt idx="172">
                  <c:v>67.010000000000005</c:v>
                </c:pt>
                <c:pt idx="173">
                  <c:v>66.34</c:v>
                </c:pt>
                <c:pt idx="174">
                  <c:v>65.760000000000005</c:v>
                </c:pt>
                <c:pt idx="175">
                  <c:v>66.650000000000006</c:v>
                </c:pt>
                <c:pt idx="176">
                  <c:v>67.7</c:v>
                </c:pt>
                <c:pt idx="177">
                  <c:v>66.25</c:v>
                </c:pt>
                <c:pt idx="178">
                  <c:v>67.11</c:v>
                </c:pt>
                <c:pt idx="179">
                  <c:v>68.62</c:v>
                </c:pt>
                <c:pt idx="180">
                  <c:v>67.010000000000005</c:v>
                </c:pt>
                <c:pt idx="181">
                  <c:v>67.900000000000006</c:v>
                </c:pt>
                <c:pt idx="182">
                  <c:v>68.02</c:v>
                </c:pt>
                <c:pt idx="183">
                  <c:v>74.17</c:v>
                </c:pt>
                <c:pt idx="184">
                  <c:v>76.510000000000005</c:v>
                </c:pt>
                <c:pt idx="185">
                  <c:v>77.099999999999994</c:v>
                </c:pt>
                <c:pt idx="186">
                  <c:v>80.760000000000005</c:v>
                </c:pt>
                <c:pt idx="187">
                  <c:v>78.69</c:v>
                </c:pt>
                <c:pt idx="188">
                  <c:v>78.760000000000005</c:v>
                </c:pt>
                <c:pt idx="189">
                  <c:v>76.63</c:v>
                </c:pt>
                <c:pt idx="190">
                  <c:v>78.14</c:v>
                </c:pt>
                <c:pt idx="191">
                  <c:v>76.75</c:v>
                </c:pt>
                <c:pt idx="192">
                  <c:v>76.02</c:v>
                </c:pt>
                <c:pt idx="193">
                  <c:v>75.349999999999994</c:v>
                </c:pt>
                <c:pt idx="194">
                  <c:v>71.62</c:v>
                </c:pt>
                <c:pt idx="195">
                  <c:v>73.33</c:v>
                </c:pt>
                <c:pt idx="196">
                  <c:v>74.849999999999994</c:v>
                </c:pt>
                <c:pt idx="197">
                  <c:v>74.930000000000007</c:v>
                </c:pt>
                <c:pt idx="198">
                  <c:v>74.25</c:v>
                </c:pt>
                <c:pt idx="199">
                  <c:v>73.31</c:v>
                </c:pt>
                <c:pt idx="200">
                  <c:v>72.22</c:v>
                </c:pt>
                <c:pt idx="201">
                  <c:v>73.36</c:v>
                </c:pt>
                <c:pt idx="202">
                  <c:v>73.540000000000006</c:v>
                </c:pt>
                <c:pt idx="203">
                  <c:v>74.08</c:v>
                </c:pt>
                <c:pt idx="204">
                  <c:v>76.64</c:v>
                </c:pt>
                <c:pt idx="205">
                  <c:v>79.36</c:v>
                </c:pt>
                <c:pt idx="206">
                  <c:v>77.61</c:v>
                </c:pt>
                <c:pt idx="207">
                  <c:v>78.88</c:v>
                </c:pt>
                <c:pt idx="208">
                  <c:v>86.11</c:v>
                </c:pt>
                <c:pt idx="209">
                  <c:v>85.21</c:v>
                </c:pt>
                <c:pt idx="210">
                  <c:v>85.69</c:v>
                </c:pt>
                <c:pt idx="211">
                  <c:v>86.48</c:v>
                </c:pt>
                <c:pt idx="212">
                  <c:v>87</c:v>
                </c:pt>
                <c:pt idx="213">
                  <c:v>87.91</c:v>
                </c:pt>
                <c:pt idx="214">
                  <c:v>88.26</c:v>
                </c:pt>
                <c:pt idx="215">
                  <c:v>88.35</c:v>
                </c:pt>
                <c:pt idx="216">
                  <c:v>89.01</c:v>
                </c:pt>
                <c:pt idx="217">
                  <c:v>86.16</c:v>
                </c:pt>
                <c:pt idx="218">
                  <c:v>83.41</c:v>
                </c:pt>
                <c:pt idx="219">
                  <c:v>84.1</c:v>
                </c:pt>
                <c:pt idx="220">
                  <c:v>75.27</c:v>
                </c:pt>
                <c:pt idx="221">
                  <c:v>78.61</c:v>
                </c:pt>
                <c:pt idx="222">
                  <c:v>76.8</c:v>
                </c:pt>
                <c:pt idx="223">
                  <c:v>76.42</c:v>
                </c:pt>
                <c:pt idx="224">
                  <c:v>75.05</c:v>
                </c:pt>
                <c:pt idx="225">
                  <c:v>75.040000000000006</c:v>
                </c:pt>
                <c:pt idx="226">
                  <c:v>76.25</c:v>
                </c:pt>
                <c:pt idx="227">
                  <c:v>82.06</c:v>
                </c:pt>
                <c:pt idx="228">
                  <c:v>81.010000000000005</c:v>
                </c:pt>
                <c:pt idx="229">
                  <c:v>81.52</c:v>
                </c:pt>
                <c:pt idx="230">
                  <c:v>80.88</c:v>
                </c:pt>
                <c:pt idx="231">
                  <c:v>78.290000000000006</c:v>
                </c:pt>
                <c:pt idx="232">
                  <c:v>83.51</c:v>
                </c:pt>
                <c:pt idx="233">
                  <c:v>86.71</c:v>
                </c:pt>
                <c:pt idx="234">
                  <c:v>85.2</c:v>
                </c:pt>
                <c:pt idx="235">
                  <c:v>86.68</c:v>
                </c:pt>
                <c:pt idx="236">
                  <c:v>91.91</c:v>
                </c:pt>
                <c:pt idx="237">
                  <c:v>93.5</c:v>
                </c:pt>
                <c:pt idx="238">
                  <c:v>91.15</c:v>
                </c:pt>
                <c:pt idx="239">
                  <c:v>91.78</c:v>
                </c:pt>
                <c:pt idx="240">
                  <c:v>87.52</c:v>
                </c:pt>
                <c:pt idx="241">
                  <c:v>87.36</c:v>
                </c:pt>
                <c:pt idx="242">
                  <c:v>89.7</c:v>
                </c:pt>
                <c:pt idx="243">
                  <c:v>88.86</c:v>
                </c:pt>
                <c:pt idx="244">
                  <c:v>89.96</c:v>
                </c:pt>
                <c:pt idx="245">
                  <c:v>87.75</c:v>
                </c:pt>
                <c:pt idx="246">
                  <c:v>92.85</c:v>
                </c:pt>
                <c:pt idx="247">
                  <c:v>93.69</c:v>
                </c:pt>
                <c:pt idx="248">
                  <c:v>93.73</c:v>
                </c:pt>
                <c:pt idx="249">
                  <c:v>95.35</c:v>
                </c:pt>
                <c:pt idx="250">
                  <c:v>93.26</c:v>
                </c:pt>
                <c:pt idx="251">
                  <c:v>95.83</c:v>
                </c:pt>
                <c:pt idx="252">
                  <c:v>95.12</c:v>
                </c:pt>
                <c:pt idx="253">
                  <c:v>96.33</c:v>
                </c:pt>
                <c:pt idx="254">
                  <c:v>95.89</c:v>
                </c:pt>
                <c:pt idx="255">
                  <c:v>93.25</c:v>
                </c:pt>
                <c:pt idx="256">
                  <c:v>88.81</c:v>
                </c:pt>
                <c:pt idx="257">
                  <c:v>91.01</c:v>
                </c:pt>
                <c:pt idx="258">
                  <c:v>91.56</c:v>
                </c:pt>
                <c:pt idx="259">
                  <c:v>95.43</c:v>
                </c:pt>
                <c:pt idx="260">
                  <c:v>95.16</c:v>
                </c:pt>
                <c:pt idx="261">
                  <c:v>94.36</c:v>
                </c:pt>
                <c:pt idx="262">
                  <c:v>92.34</c:v>
                </c:pt>
                <c:pt idx="263">
                  <c:v>90.31</c:v>
                </c:pt>
                <c:pt idx="264">
                  <c:v>83.25</c:v>
                </c:pt>
                <c:pt idx="265">
                  <c:v>86.5</c:v>
                </c:pt>
                <c:pt idx="266">
                  <c:v>82.46</c:v>
                </c:pt>
                <c:pt idx="267">
                  <c:v>87.14</c:v>
                </c:pt>
                <c:pt idx="268">
                  <c:v>86.14</c:v>
                </c:pt>
                <c:pt idx="269">
                  <c:v>88.27</c:v>
                </c:pt>
                <c:pt idx="270">
                  <c:v>88.09</c:v>
                </c:pt>
                <c:pt idx="271">
                  <c:v>85.18</c:v>
                </c:pt>
                <c:pt idx="272">
                  <c:v>86.54</c:v>
                </c:pt>
                <c:pt idx="273">
                  <c:v>87.16</c:v>
                </c:pt>
                <c:pt idx="274">
                  <c:v>87.42</c:v>
                </c:pt>
                <c:pt idx="275">
                  <c:v>88.61</c:v>
                </c:pt>
                <c:pt idx="276">
                  <c:v>89.82</c:v>
                </c:pt>
                <c:pt idx="277">
                  <c:v>94.12</c:v>
                </c:pt>
                <c:pt idx="278">
                  <c:v>94.3</c:v>
                </c:pt>
                <c:pt idx="279">
                  <c:v>95.52</c:v>
                </c:pt>
                <c:pt idx="280">
                  <c:v>93.9</c:v>
                </c:pt>
                <c:pt idx="281">
                  <c:v>90.51</c:v>
                </c:pt>
                <c:pt idx="282">
                  <c:v>92.3</c:v>
                </c:pt>
                <c:pt idx="283">
                  <c:v>90.55</c:v>
                </c:pt>
                <c:pt idx="284">
                  <c:v>90.55</c:v>
                </c:pt>
                <c:pt idx="285">
                  <c:v>90.68</c:v>
                </c:pt>
                <c:pt idx="286">
                  <c:v>88.6</c:v>
                </c:pt>
                <c:pt idx="287">
                  <c:v>85.7</c:v>
                </c:pt>
                <c:pt idx="288">
                  <c:v>84.73</c:v>
                </c:pt>
                <c:pt idx="289">
                  <c:v>83.31</c:v>
                </c:pt>
                <c:pt idx="290">
                  <c:v>85</c:v>
                </c:pt>
                <c:pt idx="291">
                  <c:v>84</c:v>
                </c:pt>
                <c:pt idx="292">
                  <c:v>83.24</c:v>
                </c:pt>
                <c:pt idx="293">
                  <c:v>82.23</c:v>
                </c:pt>
                <c:pt idx="294">
                  <c:v>84.38</c:v>
                </c:pt>
                <c:pt idx="295">
                  <c:v>82.99</c:v>
                </c:pt>
                <c:pt idx="296">
                  <c:v>83.84</c:v>
                </c:pt>
                <c:pt idx="297">
                  <c:v>85.85</c:v>
                </c:pt>
                <c:pt idx="298">
                  <c:v>86.75</c:v>
                </c:pt>
                <c:pt idx="299">
                  <c:v>86.67</c:v>
                </c:pt>
                <c:pt idx="300">
                  <c:v>85.7</c:v>
                </c:pt>
                <c:pt idx="301">
                  <c:v>85.05</c:v>
                </c:pt>
                <c:pt idx="302">
                  <c:v>85.58</c:v>
                </c:pt>
                <c:pt idx="303">
                  <c:v>85.2</c:v>
                </c:pt>
                <c:pt idx="304">
                  <c:v>84.32</c:v>
                </c:pt>
                <c:pt idx="305">
                  <c:v>83</c:v>
                </c:pt>
                <c:pt idx="306">
                  <c:v>81.12</c:v>
                </c:pt>
                <c:pt idx="307">
                  <c:v>81.11</c:v>
                </c:pt>
                <c:pt idx="308">
                  <c:v>79.790000000000006</c:v>
                </c:pt>
                <c:pt idx="309">
                  <c:v>78.62</c:v>
                </c:pt>
                <c:pt idx="310">
                  <c:v>78.2</c:v>
                </c:pt>
                <c:pt idx="311">
                  <c:v>78.55</c:v>
                </c:pt>
                <c:pt idx="312">
                  <c:v>80.069999999999993</c:v>
                </c:pt>
                <c:pt idx="313">
                  <c:v>78.25</c:v>
                </c:pt>
                <c:pt idx="314">
                  <c:v>81.540000000000006</c:v>
                </c:pt>
                <c:pt idx="315">
                  <c:v>83.11</c:v>
                </c:pt>
                <c:pt idx="316">
                  <c:v>83.45</c:v>
                </c:pt>
                <c:pt idx="317">
                  <c:v>86.44</c:v>
                </c:pt>
                <c:pt idx="318">
                  <c:v>91.67</c:v>
                </c:pt>
                <c:pt idx="319">
                  <c:v>89.3</c:v>
                </c:pt>
                <c:pt idx="320">
                  <c:v>90.16</c:v>
                </c:pt>
                <c:pt idx="321">
                  <c:v>91.55</c:v>
                </c:pt>
                <c:pt idx="322">
                  <c:v>90.35</c:v>
                </c:pt>
                <c:pt idx="323">
                  <c:v>87.11</c:v>
                </c:pt>
                <c:pt idx="324">
                  <c:v>88.9</c:v>
                </c:pt>
                <c:pt idx="325">
                  <c:v>86.01</c:v>
                </c:pt>
                <c:pt idx="326">
                  <c:v>85.35</c:v>
                </c:pt>
                <c:pt idx="327">
                  <c:v>86.6</c:v>
                </c:pt>
                <c:pt idx="328">
                  <c:v>85.31</c:v>
                </c:pt>
              </c:numCache>
            </c:numRef>
          </c:val>
          <c:smooth val="0"/>
          <c:extLst>
            <c:ext xmlns:c16="http://schemas.microsoft.com/office/drawing/2014/chart" uri="{C3380CC4-5D6E-409C-BE32-E72D297353CC}">
              <c16:uniqueId val="{00000000-8B8A-43C3-ADDC-5A66E08D1604}"/>
            </c:ext>
          </c:extLst>
        </c:ser>
        <c:dLbls>
          <c:showLegendKey val="0"/>
          <c:showVal val="0"/>
          <c:showCatName val="0"/>
          <c:showSerName val="0"/>
          <c:showPercent val="0"/>
          <c:showBubbleSize val="0"/>
        </c:dLbls>
        <c:smooth val="0"/>
        <c:axId val="1276859151"/>
        <c:axId val="479287071"/>
      </c:lineChart>
      <c:dateAx>
        <c:axId val="1276859151"/>
        <c:scaling>
          <c:orientation val="minMax"/>
        </c:scaling>
        <c:delete val="0"/>
        <c:axPos val="b"/>
        <c:numFmt formatCode="dd\.mm\.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9287071"/>
        <c:crosses val="autoZero"/>
        <c:auto val="1"/>
        <c:lblOffset val="100"/>
        <c:baseTimeUnit val="days"/>
      </c:dateAx>
      <c:valAx>
        <c:axId val="4792870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0" i="0" baseline="0">
                    <a:effectLst/>
                    <a:latin typeface="Times New Roman" panose="02020603050405020304" pitchFamily="18" charset="0"/>
                    <a:cs typeface="Times New Roman" panose="02020603050405020304" pitchFamily="18" charset="0"/>
                  </a:rPr>
                  <a:t>Auction Price €/tCO</a:t>
                </a:r>
                <a:r>
                  <a:rPr lang="en-US" sz="1100" b="0" i="0" baseline="-25000">
                    <a:effectLst/>
                    <a:latin typeface="Times New Roman" panose="02020603050405020304" pitchFamily="18" charset="0"/>
                    <a:cs typeface="Times New Roman" panose="02020603050405020304" pitchFamily="18" charset="0"/>
                  </a:rPr>
                  <a:t>2</a:t>
                </a:r>
                <a:endParaRPr lang="en-IE" sz="1100" baseline="-25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7685915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'Figures 4 and 5'!$K$113</c:f>
              <c:strCache>
                <c:ptCount val="1"/>
                <c:pt idx="0">
                  <c:v>Total emissions from fossil fuel combustion</c:v>
                </c:pt>
              </c:strCache>
            </c:strRef>
          </c:tx>
          <c:spPr>
            <a:solidFill>
              <a:schemeClr val="accent6">
                <a:lumMod val="50000"/>
              </a:schemeClr>
            </a:solidFill>
            <a:ln>
              <a:noFill/>
            </a:ln>
            <a:effectLst/>
          </c:spPr>
          <c:invertIfNegative val="0"/>
          <c:cat>
            <c:numRef>
              <c:f>'Figures 4 and 5'!$N$100:$W$100</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'Figures 4 and 5'!$N$113:$W$113</c:f>
              <c:numCache>
                <c:formatCode>_-* #.##0_-;\-* #.##0_-;_-* "-"??_-;_-@_-</c:formatCode>
                <c:ptCount val="10"/>
                <c:pt idx="0">
                  <c:v>1465.1596217420004</c:v>
                </c:pt>
                <c:pt idx="1">
                  <c:v>1369.9604189701281</c:v>
                </c:pt>
                <c:pt idx="2">
                  <c:v>1390.3820860482974</c:v>
                </c:pt>
                <c:pt idx="3">
                  <c:v>1362.449932452326</c:v>
                </c:pt>
                <c:pt idx="4">
                  <c:v>1374.2935107444453</c:v>
                </c:pt>
                <c:pt idx="5">
                  <c:v>1315.2279745237258</c:v>
                </c:pt>
                <c:pt idx="6">
                  <c:v>1164.1997691959959</c:v>
                </c:pt>
                <c:pt idx="7">
                  <c:v>1033.4146584767084</c:v>
                </c:pt>
                <c:pt idx="8">
                  <c:v>1106.2056100978305</c:v>
                </c:pt>
                <c:pt idx="9">
                  <c:v>1102.3457217412931</c:v>
                </c:pt>
              </c:numCache>
            </c:numRef>
          </c:val>
          <c:extLst>
            <c:ext xmlns:c16="http://schemas.microsoft.com/office/drawing/2014/chart" uri="{C3380CC4-5D6E-409C-BE32-E72D297353CC}">
              <c16:uniqueId val="{00000000-1477-4AB1-BDFB-61E6245897E7}"/>
            </c:ext>
          </c:extLst>
        </c:ser>
        <c:dLbls>
          <c:showLegendKey val="0"/>
          <c:showVal val="0"/>
          <c:showCatName val="0"/>
          <c:showSerName val="0"/>
          <c:showPercent val="0"/>
          <c:showBubbleSize val="0"/>
        </c:dLbls>
        <c:gapWidth val="219"/>
        <c:overlap val="-27"/>
        <c:axId val="1698695632"/>
        <c:axId val="1733699280"/>
      </c:barChart>
      <c:catAx>
        <c:axId val="169869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33699280"/>
        <c:crosses val="autoZero"/>
        <c:auto val="1"/>
        <c:lblAlgn val="ctr"/>
        <c:lblOffset val="100"/>
        <c:noMultiLvlLbl val="0"/>
      </c:catAx>
      <c:valAx>
        <c:axId val="1733699280"/>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98695632"/>
        <c:crosses val="autoZero"/>
        <c:crossBetween val="between"/>
        <c:dispUnits>
          <c:builtInUnit val="thousand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Emissions</a:t>
                  </a:r>
                  <a:r>
                    <a:rPr lang="en-US" baseline="0">
                      <a:latin typeface="Times New Roman" panose="02020603050405020304" pitchFamily="18" charset="0"/>
                      <a:cs typeface="Times New Roman" panose="02020603050405020304" pitchFamily="18" charset="0"/>
                    </a:rPr>
                    <a:t> </a:t>
                  </a:r>
                  <a:r>
                    <a:rPr lang="fr-FR" sz="1000" b="0" i="0" u="none" strike="noStrike" baseline="0">
                      <a:effectLst/>
                    </a:rPr>
                    <a:t>(Mt CO</a:t>
                  </a:r>
                  <a:r>
                    <a:rPr lang="fr-FR" sz="1000" b="0" i="0" u="none" strike="noStrike" baseline="-25000">
                      <a:effectLst/>
                    </a:rPr>
                    <a:t>2</a:t>
                  </a:r>
                  <a:r>
                    <a:rPr lang="fr-FR" sz="1000" b="0" i="0" u="none" strike="noStrike" baseline="0">
                      <a:effectLst/>
                    </a:rPr>
                    <a:t>)</a:t>
                  </a:r>
                  <a:endParaRPr lang="en-US">
                    <a:latin typeface="Times New Roman" panose="02020603050405020304" pitchFamily="18" charset="0"/>
                    <a:cs typeface="Times New Roman" panose="02020603050405020304" pitchFamily="18" charset="0"/>
                  </a:endParaRP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ispUnitsLbl>
        </c:dispUnits>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'Figures 4 and 5'!$M$116</c:f>
              <c:strCache>
                <c:ptCount val="1"/>
                <c:pt idx="0">
                  <c:v>Hard coal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'Figures 4 and 5'!$N$100:$W$100</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'Figures 4 and 5'!$N$116:$W$116</c:f>
              <c:numCache>
                <c:formatCode>0.0%</c:formatCode>
                <c:ptCount val="10"/>
                <c:pt idx="0">
                  <c:v>0.24698446443586325</c:v>
                </c:pt>
                <c:pt idx="1">
                  <c:v>0.24217168809132877</c:v>
                </c:pt>
                <c:pt idx="2">
                  <c:v>0.24932400537776939</c:v>
                </c:pt>
                <c:pt idx="3">
                  <c:v>0.24086644226501372</c:v>
                </c:pt>
                <c:pt idx="4">
                  <c:v>0.21349642709297492</c:v>
                </c:pt>
                <c:pt idx="5">
                  <c:v>0.20556670087518944</c:v>
                </c:pt>
                <c:pt idx="6">
                  <c:v>0.16983588121525631</c:v>
                </c:pt>
                <c:pt idx="7">
                  <c:v>0.156357171416726</c:v>
                </c:pt>
                <c:pt idx="8">
                  <c:v>0.17288204680275202</c:v>
                </c:pt>
                <c:pt idx="9">
                  <c:v>0.20260040824451458</c:v>
                </c:pt>
              </c:numCache>
            </c:numRef>
          </c:val>
          <c:extLst>
            <c:ext xmlns:c16="http://schemas.microsoft.com/office/drawing/2014/chart" uri="{C3380CC4-5D6E-409C-BE32-E72D297353CC}">
              <c16:uniqueId val="{00000000-CF52-480E-B78D-173C957B55E4}"/>
            </c:ext>
          </c:extLst>
        </c:ser>
        <c:ser>
          <c:idx val="2"/>
          <c:order val="1"/>
          <c:tx>
            <c:strRef>
              <c:f>'Figures 4 and 5'!$M$117</c:f>
              <c:strCache>
                <c:ptCount val="1"/>
                <c:pt idx="0">
                  <c:v>Natural gas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'Figures 4 and 5'!$N$100:$W$100</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'Figures 4 and 5'!$N$117:$W$117</c:f>
              <c:numCache>
                <c:formatCode>0.0%</c:formatCode>
                <c:ptCount val="10"/>
                <c:pt idx="0">
                  <c:v>0.22685923220762197</c:v>
                </c:pt>
                <c:pt idx="1">
                  <c:v>0.21408848749840798</c:v>
                </c:pt>
                <c:pt idx="2">
                  <c:v>0.21587241927581477</c:v>
                </c:pt>
                <c:pt idx="3">
                  <c:v>0.23977497468181713</c:v>
                </c:pt>
                <c:pt idx="4">
                  <c:v>0.25495262687677372</c:v>
                </c:pt>
                <c:pt idx="5">
                  <c:v>0.25573160769394249</c:v>
                </c:pt>
                <c:pt idx="6">
                  <c:v>0.31306747027506071</c:v>
                </c:pt>
                <c:pt idx="7">
                  <c:v>0.3483470559461912</c:v>
                </c:pt>
                <c:pt idx="8">
                  <c:v>0.32936305583830677</c:v>
                </c:pt>
                <c:pt idx="9">
                  <c:v>0.29926359784858991</c:v>
                </c:pt>
              </c:numCache>
            </c:numRef>
          </c:val>
          <c:extLst>
            <c:ext xmlns:c16="http://schemas.microsoft.com/office/drawing/2014/chart" uri="{C3380CC4-5D6E-409C-BE32-E72D297353CC}">
              <c16:uniqueId val="{00000001-CF52-480E-B78D-173C957B55E4}"/>
            </c:ext>
          </c:extLst>
        </c:ser>
        <c:ser>
          <c:idx val="1"/>
          <c:order val="2"/>
          <c:tx>
            <c:strRef>
              <c:f>'Figures 4 and 5'!$M$118</c:f>
              <c:strCache>
                <c:ptCount val="1"/>
                <c:pt idx="0">
                  <c:v>Lignite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'Figures 4 and 5'!$N$100:$W$100</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'Figures 4 and 5'!$N$118:$W$118</c:f>
              <c:numCache>
                <c:formatCode>0.0%</c:formatCode>
                <c:ptCount val="10"/>
                <c:pt idx="0">
                  <c:v>0.26560941161981266</c:v>
                </c:pt>
                <c:pt idx="1">
                  <c:v>0.30853790165438105</c:v>
                </c:pt>
                <c:pt idx="2">
                  <c:v>0.30478382290814382</c:v>
                </c:pt>
                <c:pt idx="3">
                  <c:v>0.28578135315722825</c:v>
                </c:pt>
                <c:pt idx="4">
                  <c:v>0.28854148651833239</c:v>
                </c:pt>
                <c:pt idx="5">
                  <c:v>0.287088634924476</c:v>
                </c:pt>
                <c:pt idx="6">
                  <c:v>0.26259777042743249</c:v>
                </c:pt>
                <c:pt idx="7">
                  <c:v>0.23334335530855543</c:v>
                </c:pt>
                <c:pt idx="8">
                  <c:v>0.24468313708781442</c:v>
                </c:pt>
                <c:pt idx="9">
                  <c:v>0.24186027362445819</c:v>
                </c:pt>
              </c:numCache>
            </c:numRef>
          </c:val>
          <c:extLst>
            <c:ext xmlns:c16="http://schemas.microsoft.com/office/drawing/2014/chart" uri="{C3380CC4-5D6E-409C-BE32-E72D297353CC}">
              <c16:uniqueId val="{00000002-CF52-480E-B78D-173C957B55E4}"/>
            </c:ext>
          </c:extLst>
        </c:ser>
        <c:ser>
          <c:idx val="3"/>
          <c:order val="3"/>
          <c:tx>
            <c:strRef>
              <c:f>'Figures 4 and 5'!$M$119</c:f>
              <c:strCache>
                <c:ptCount val="1"/>
                <c:pt idx="0">
                  <c:v>Refinery gas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'Figures 4 and 5'!$N$100:$W$100</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'Figures 4 and 5'!$N$119:$W$119</c:f>
              <c:numCache>
                <c:formatCode>0.0%</c:formatCode>
                <c:ptCount val="10"/>
                <c:pt idx="0">
                  <c:v>5.800066003659235E-2</c:v>
                </c:pt>
                <c:pt idx="1">
                  <c:v>6.4471444169458075E-2</c:v>
                </c:pt>
                <c:pt idx="2">
                  <c:v>6.6051342794566106E-2</c:v>
                </c:pt>
                <c:pt idx="3">
                  <c:v>6.5194110925693091E-2</c:v>
                </c:pt>
                <c:pt idx="4">
                  <c:v>6.7753996059081181E-2</c:v>
                </c:pt>
                <c:pt idx="5">
                  <c:v>7.2006590225770467E-2</c:v>
                </c:pt>
                <c:pt idx="6">
                  <c:v>7.7423142840209042E-2</c:v>
                </c:pt>
                <c:pt idx="7">
                  <c:v>8.3694911992531387E-2</c:v>
                </c:pt>
                <c:pt idx="8">
                  <c:v>7.4847198012924263E-2</c:v>
                </c:pt>
                <c:pt idx="9">
                  <c:v>8.2256617933316886E-2</c:v>
                </c:pt>
              </c:numCache>
            </c:numRef>
          </c:val>
          <c:extLst>
            <c:ext xmlns:c16="http://schemas.microsoft.com/office/drawing/2014/chart" uri="{C3380CC4-5D6E-409C-BE32-E72D297353CC}">
              <c16:uniqueId val="{00000003-CF52-480E-B78D-173C957B55E4}"/>
            </c:ext>
          </c:extLst>
        </c:ser>
        <c:ser>
          <c:idx val="4"/>
          <c:order val="4"/>
          <c:tx>
            <c:strRef>
              <c:f>'Figures 4 and 5'!$M$120</c:f>
              <c:strCache>
                <c:ptCount val="1"/>
                <c:pt idx="0">
                  <c:v>Blast furnace gas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'Figures 4 and 5'!$N$100:$W$100</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'Figures 4 and 5'!$N$120:$W$120</c:f>
              <c:numCache>
                <c:formatCode>0.0%</c:formatCode>
                <c:ptCount val="10"/>
                <c:pt idx="0">
                  <c:v>3.5877171142282747E-2</c:v>
                </c:pt>
                <c:pt idx="1">
                  <c:v>4.0427506446963739E-2</c:v>
                </c:pt>
                <c:pt idx="2">
                  <c:v>3.6450382825372184E-2</c:v>
                </c:pt>
                <c:pt idx="3">
                  <c:v>3.8103209480555747E-2</c:v>
                </c:pt>
                <c:pt idx="4">
                  <c:v>4.0471537357308157E-2</c:v>
                </c:pt>
                <c:pt idx="5">
                  <c:v>4.1176324842019288E-2</c:v>
                </c:pt>
                <c:pt idx="6">
                  <c:v>4.2838704249565776E-2</c:v>
                </c:pt>
                <c:pt idx="7">
                  <c:v>3.883256821531187E-2</c:v>
                </c:pt>
                <c:pt idx="8">
                  <c:v>4.3162280311566499E-2</c:v>
                </c:pt>
                <c:pt idx="9">
                  <c:v>4.0097595228604122E-2</c:v>
                </c:pt>
              </c:numCache>
            </c:numRef>
          </c:val>
          <c:extLst>
            <c:ext xmlns:c16="http://schemas.microsoft.com/office/drawing/2014/chart" uri="{C3380CC4-5D6E-409C-BE32-E72D297353CC}">
              <c16:uniqueId val="{00000004-CF52-480E-B78D-173C957B55E4}"/>
            </c:ext>
          </c:extLst>
        </c:ser>
        <c:ser>
          <c:idx val="5"/>
          <c:order val="5"/>
          <c:tx>
            <c:strRef>
              <c:f>'Figures 4 and 5'!$M$121</c:f>
              <c:strCache>
                <c:ptCount val="1"/>
                <c:pt idx="0">
                  <c:v>Fuel oil</c:v>
                </c:pt>
              </c:strCache>
            </c:strRef>
          </c:tx>
          <c:spPr>
            <a:solidFill>
              <a:schemeClr val="accent6"/>
            </a:solidFill>
            <a:ln>
              <a:noFill/>
            </a:ln>
            <a:effectLst/>
          </c:spPr>
          <c:invertIfNegative val="0"/>
          <c:dLbls>
            <c:delete val="1"/>
          </c:dLbls>
          <c:cat>
            <c:numRef>
              <c:f>'Figures 4 and 5'!$N$100:$W$100</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'Figures 4 and 5'!$N$121:$W$121</c:f>
              <c:numCache>
                <c:formatCode>0.0%</c:formatCode>
                <c:ptCount val="10"/>
                <c:pt idx="0">
                  <c:v>3.6181685078088284E-2</c:v>
                </c:pt>
                <c:pt idx="1">
                  <c:v>2.9716776304388681E-2</c:v>
                </c:pt>
                <c:pt idx="2">
                  <c:v>3.1118325049749724E-2</c:v>
                </c:pt>
                <c:pt idx="3">
                  <c:v>2.7968758488182741E-2</c:v>
                </c:pt>
                <c:pt idx="4">
                  <c:v>2.7586345005415527E-2</c:v>
                </c:pt>
                <c:pt idx="5">
                  <c:v>2.6329962686081308E-2</c:v>
                </c:pt>
                <c:pt idx="6">
                  <c:v>2.5568692130189412E-2</c:v>
                </c:pt>
                <c:pt idx="7">
                  <c:v>2.6603790899894272E-2</c:v>
                </c:pt>
                <c:pt idx="8">
                  <c:v>2.7890575235626814E-2</c:v>
                </c:pt>
                <c:pt idx="9">
                  <c:v>3.2006387823012093E-2</c:v>
                </c:pt>
              </c:numCache>
            </c:numRef>
          </c:val>
          <c:extLst>
            <c:ext xmlns:c16="http://schemas.microsoft.com/office/drawing/2014/chart" uri="{C3380CC4-5D6E-409C-BE32-E72D297353CC}">
              <c16:uniqueId val="{00000005-CF52-480E-B78D-173C957B55E4}"/>
            </c:ext>
          </c:extLst>
        </c:ser>
        <c:ser>
          <c:idx val="6"/>
          <c:order val="6"/>
          <c:tx>
            <c:strRef>
              <c:f>'Figures 4 and 5'!$M$122</c:f>
              <c:strCache>
                <c:ptCount val="1"/>
                <c:pt idx="0">
                  <c:v>Coke</c:v>
                </c:pt>
              </c:strCache>
            </c:strRef>
          </c:tx>
          <c:spPr>
            <a:solidFill>
              <a:schemeClr val="accent1">
                <a:lumMod val="60000"/>
              </a:schemeClr>
            </a:solidFill>
            <a:ln>
              <a:noFill/>
            </a:ln>
            <a:effectLst/>
          </c:spPr>
          <c:invertIfNegative val="0"/>
          <c:dLbls>
            <c:delete val="1"/>
          </c:dLbls>
          <c:cat>
            <c:numRef>
              <c:f>'Figures 4 and 5'!$N$100:$W$100</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'Figures 4 and 5'!$N$122:$W$122</c:f>
              <c:numCache>
                <c:formatCode>0.0%</c:formatCode>
                <c:ptCount val="10"/>
                <c:pt idx="0">
                  <c:v>1.3107203020765238E-2</c:v>
                </c:pt>
                <c:pt idx="1">
                  <c:v>1.0186377671473649E-2</c:v>
                </c:pt>
                <c:pt idx="2">
                  <c:v>1.0284257464824167E-2</c:v>
                </c:pt>
                <c:pt idx="3">
                  <c:v>1.0258654769091172E-2</c:v>
                </c:pt>
                <c:pt idx="4">
                  <c:v>8.145383684767752E-3</c:v>
                </c:pt>
                <c:pt idx="5">
                  <c:v>8.7317901727711703E-3</c:v>
                </c:pt>
                <c:pt idx="6">
                  <c:v>1.3942687638230656E-2</c:v>
                </c:pt>
                <c:pt idx="7">
                  <c:v>1.405329218061147E-2</c:v>
                </c:pt>
                <c:pt idx="8">
                  <c:v>1.3322467941693637E-2</c:v>
                </c:pt>
                <c:pt idx="9">
                  <c:v>1.28676393016373E-2</c:v>
                </c:pt>
              </c:numCache>
            </c:numRef>
          </c:val>
          <c:extLst>
            <c:ext xmlns:c16="http://schemas.microsoft.com/office/drawing/2014/chart" uri="{C3380CC4-5D6E-409C-BE32-E72D297353CC}">
              <c16:uniqueId val="{00000006-CF52-480E-B78D-173C957B55E4}"/>
            </c:ext>
          </c:extLst>
        </c:ser>
        <c:ser>
          <c:idx val="7"/>
          <c:order val="7"/>
          <c:tx>
            <c:strRef>
              <c:f>'Figures 4 and 5'!$M$123</c:f>
              <c:strCache>
                <c:ptCount val="1"/>
                <c:pt idx="0">
                  <c:v>Petroleum coke</c:v>
                </c:pt>
              </c:strCache>
            </c:strRef>
          </c:tx>
          <c:spPr>
            <a:solidFill>
              <a:schemeClr val="accent2">
                <a:lumMod val="60000"/>
              </a:schemeClr>
            </a:solidFill>
            <a:ln>
              <a:noFill/>
            </a:ln>
            <a:effectLst/>
          </c:spPr>
          <c:invertIfNegative val="0"/>
          <c:dLbls>
            <c:delete val="1"/>
          </c:dLbls>
          <c:cat>
            <c:numRef>
              <c:f>'Figures 4 and 5'!$N$100:$W$100</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'Figures 4 and 5'!$N$123:$W$123</c:f>
              <c:numCache>
                <c:formatCode>0.0%</c:formatCode>
                <c:ptCount val="10"/>
                <c:pt idx="0">
                  <c:v>1.5864871625634474E-2</c:v>
                </c:pt>
                <c:pt idx="1">
                  <c:v>1.7972942362239803E-2</c:v>
                </c:pt>
                <c:pt idx="2">
                  <c:v>1.673918307509864E-2</c:v>
                </c:pt>
                <c:pt idx="3">
                  <c:v>1.702717752552111E-2</c:v>
                </c:pt>
                <c:pt idx="4">
                  <c:v>1.835285792336842E-2</c:v>
                </c:pt>
                <c:pt idx="5">
                  <c:v>1.8662901071419699E-2</c:v>
                </c:pt>
                <c:pt idx="6">
                  <c:v>2.0482730411266272E-2</c:v>
                </c:pt>
                <c:pt idx="7">
                  <c:v>1.90867307027381E-2</c:v>
                </c:pt>
                <c:pt idx="8">
                  <c:v>1.9544228209544139E-2</c:v>
                </c:pt>
                <c:pt idx="9">
                  <c:v>1.7621317536948497E-2</c:v>
                </c:pt>
              </c:numCache>
            </c:numRef>
          </c:val>
          <c:extLst>
            <c:ext xmlns:c16="http://schemas.microsoft.com/office/drawing/2014/chart" uri="{C3380CC4-5D6E-409C-BE32-E72D297353CC}">
              <c16:uniqueId val="{00000007-CF52-480E-B78D-173C957B55E4}"/>
            </c:ext>
          </c:extLst>
        </c:ser>
        <c:ser>
          <c:idx val="8"/>
          <c:order val="8"/>
          <c:tx>
            <c:strRef>
              <c:f>'Figures 4 and 5'!$M$124</c:f>
              <c:strCache>
                <c:ptCount val="1"/>
                <c:pt idx="0">
                  <c:v>Coke oven gas</c:v>
                </c:pt>
              </c:strCache>
            </c:strRef>
          </c:tx>
          <c:spPr>
            <a:solidFill>
              <a:schemeClr val="accent3">
                <a:lumMod val="60000"/>
              </a:schemeClr>
            </a:solidFill>
            <a:ln>
              <a:noFill/>
            </a:ln>
            <a:effectLst/>
          </c:spPr>
          <c:invertIfNegative val="0"/>
          <c:dLbls>
            <c:delete val="1"/>
          </c:dLbls>
          <c:cat>
            <c:numRef>
              <c:f>'Figures 4 and 5'!$N$100:$W$100</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'Figures 4 and 5'!$N$124:$W$124</c:f>
              <c:numCache>
                <c:formatCode>0.0%</c:formatCode>
                <c:ptCount val="10"/>
                <c:pt idx="0">
                  <c:v>4.5488694208456739E-3</c:v>
                </c:pt>
                <c:pt idx="1">
                  <c:v>4.7897976397689498E-3</c:v>
                </c:pt>
                <c:pt idx="2">
                  <c:v>4.4725132317218223E-3</c:v>
                </c:pt>
                <c:pt idx="3">
                  <c:v>4.2365783795889874E-3</c:v>
                </c:pt>
                <c:pt idx="4">
                  <c:v>4.8316063583121582E-3</c:v>
                </c:pt>
                <c:pt idx="5">
                  <c:v>5.0864715392193172E-3</c:v>
                </c:pt>
                <c:pt idx="6">
                  <c:v>4.6861033925196926E-3</c:v>
                </c:pt>
                <c:pt idx="7">
                  <c:v>5.3377229979792518E-3</c:v>
                </c:pt>
                <c:pt idx="8">
                  <c:v>6.1269526153909107E-3</c:v>
                </c:pt>
                <c:pt idx="9">
                  <c:v>5.7474114337669607E-3</c:v>
                </c:pt>
              </c:numCache>
            </c:numRef>
          </c:val>
          <c:extLst>
            <c:ext xmlns:c16="http://schemas.microsoft.com/office/drawing/2014/chart" uri="{C3380CC4-5D6E-409C-BE32-E72D297353CC}">
              <c16:uniqueId val="{00000008-CF52-480E-B78D-173C957B55E4}"/>
            </c:ext>
          </c:extLst>
        </c:ser>
        <c:ser>
          <c:idx val="9"/>
          <c:order val="9"/>
          <c:tx>
            <c:strRef>
              <c:f>'Figures 4 and 5'!$M$125</c:f>
              <c:strCache>
                <c:ptCount val="1"/>
                <c:pt idx="0">
                  <c:v>Peat</c:v>
                </c:pt>
              </c:strCache>
            </c:strRef>
          </c:tx>
          <c:spPr>
            <a:solidFill>
              <a:schemeClr val="accent4">
                <a:lumMod val="60000"/>
              </a:schemeClr>
            </a:solidFill>
            <a:ln>
              <a:noFill/>
            </a:ln>
            <a:effectLst/>
          </c:spPr>
          <c:invertIfNegative val="0"/>
          <c:dLbls>
            <c:delete val="1"/>
          </c:dLbls>
          <c:cat>
            <c:numRef>
              <c:f>'Figures 4 and 5'!$N$100:$W$100</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'Figures 4 and 5'!$N$125:$W$125</c:f>
              <c:numCache>
                <c:formatCode>0.0%</c:formatCode>
                <c:ptCount val="10"/>
                <c:pt idx="0">
                  <c:v>6.2143605822105458E-3</c:v>
                </c:pt>
                <c:pt idx="1">
                  <c:v>6.7868473455354149E-3</c:v>
                </c:pt>
                <c:pt idx="2">
                  <c:v>6.3146417805954227E-3</c:v>
                </c:pt>
                <c:pt idx="3">
                  <c:v>6.2651082558578229E-3</c:v>
                </c:pt>
                <c:pt idx="4">
                  <c:v>5.8786801006836184E-3</c:v>
                </c:pt>
                <c:pt idx="5">
                  <c:v>6.5520789877257478E-3</c:v>
                </c:pt>
                <c:pt idx="6">
                  <c:v>6.7192356448198248E-3</c:v>
                </c:pt>
                <c:pt idx="7">
                  <c:v>5.0775111623110516E-3</c:v>
                </c:pt>
                <c:pt idx="8">
                  <c:v>3.6302034332571821E-3</c:v>
                </c:pt>
                <c:pt idx="9">
                  <c:v>3.2940962329929603E-3</c:v>
                </c:pt>
              </c:numCache>
            </c:numRef>
          </c:val>
          <c:extLst>
            <c:ext xmlns:c16="http://schemas.microsoft.com/office/drawing/2014/chart" uri="{C3380CC4-5D6E-409C-BE32-E72D297353CC}">
              <c16:uniqueId val="{00000009-CF52-480E-B78D-173C957B55E4}"/>
            </c:ext>
          </c:extLst>
        </c:ser>
        <c:ser>
          <c:idx val="10"/>
          <c:order val="10"/>
          <c:tx>
            <c:strRef>
              <c:f>'Figures 4 and 5'!$M$126</c:f>
              <c:strCache>
                <c:ptCount val="1"/>
                <c:pt idx="0">
                  <c:v>LPG</c:v>
                </c:pt>
              </c:strCache>
            </c:strRef>
          </c:tx>
          <c:spPr>
            <a:solidFill>
              <a:schemeClr val="accent5">
                <a:lumMod val="60000"/>
              </a:schemeClr>
            </a:solidFill>
            <a:ln>
              <a:noFill/>
            </a:ln>
            <a:effectLst/>
          </c:spPr>
          <c:invertIfNegative val="0"/>
          <c:dLbls>
            <c:delete val="1"/>
          </c:dLbls>
          <c:cat>
            <c:numRef>
              <c:f>'Figures 4 and 5'!$N$100:$W$100</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'Figures 4 and 5'!$N$126:$W$126</c:f>
              <c:numCache>
                <c:formatCode>0.0%</c:formatCode>
                <c:ptCount val="10"/>
                <c:pt idx="0">
                  <c:v>1.0466009144975078E-3</c:v>
                </c:pt>
                <c:pt idx="1">
                  <c:v>1.1885995620034813E-3</c:v>
                </c:pt>
                <c:pt idx="2">
                  <c:v>1.4960388592228633E-3</c:v>
                </c:pt>
                <c:pt idx="3">
                  <c:v>1.274781769191415E-3</c:v>
                </c:pt>
                <c:pt idx="4">
                  <c:v>1.1860280008529377E-3</c:v>
                </c:pt>
                <c:pt idx="5">
                  <c:v>1.2261345079464083E-3</c:v>
                </c:pt>
                <c:pt idx="6">
                  <c:v>1.1837107790918179E-3</c:v>
                </c:pt>
                <c:pt idx="7">
                  <c:v>1.2547874664381163E-3</c:v>
                </c:pt>
                <c:pt idx="8">
                  <c:v>1.3419613514360519E-3</c:v>
                </c:pt>
                <c:pt idx="9">
                  <c:v>2.6418545979141526E-3</c:v>
                </c:pt>
              </c:numCache>
            </c:numRef>
          </c:val>
          <c:extLst>
            <c:ext xmlns:c16="http://schemas.microsoft.com/office/drawing/2014/chart" uri="{C3380CC4-5D6E-409C-BE32-E72D297353CC}">
              <c16:uniqueId val="{0000000A-CF52-480E-B78D-173C957B55E4}"/>
            </c:ext>
          </c:extLst>
        </c:ser>
        <c:ser>
          <c:idx val="11"/>
          <c:order val="11"/>
          <c:tx>
            <c:strRef>
              <c:f>'Figures 4 and 5'!$M$127</c:f>
              <c:strCache>
                <c:ptCount val="1"/>
                <c:pt idx="0">
                  <c:v>Other fossil fuels˟</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'Figures 4 and 5'!$N$100:$W$100</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'Figures 4 and 5'!$N$127:$W$127</c:f>
              <c:numCache>
                <c:formatCode>0.0%</c:formatCode>
                <c:ptCount val="10"/>
                <c:pt idx="0">
                  <c:v>8.9705469915785041E-2</c:v>
                </c:pt>
                <c:pt idx="1">
                  <c:v>5.9661631254050274E-2</c:v>
                </c:pt>
                <c:pt idx="2">
                  <c:v>5.7093067357121122E-2</c:v>
                </c:pt>
                <c:pt idx="3">
                  <c:v>6.3248850302258963E-2</c:v>
                </c:pt>
                <c:pt idx="4">
                  <c:v>6.8803025022129302E-2</c:v>
                </c:pt>
                <c:pt idx="5">
                  <c:v>7.1840802473438811E-2</c:v>
                </c:pt>
                <c:pt idx="6">
                  <c:v>6.1653870996358266E-2</c:v>
                </c:pt>
                <c:pt idx="7">
                  <c:v>6.8011101710711883E-2</c:v>
                </c:pt>
                <c:pt idx="8">
                  <c:v>6.3205893159687249E-2</c:v>
                </c:pt>
                <c:pt idx="9">
                  <c:v>5.9742800194244196E-2</c:v>
                </c:pt>
              </c:numCache>
            </c:numRef>
          </c:val>
          <c:extLst>
            <c:ext xmlns:c16="http://schemas.microsoft.com/office/drawing/2014/chart" uri="{C3380CC4-5D6E-409C-BE32-E72D297353CC}">
              <c16:uniqueId val="{0000000B-CF52-480E-B78D-173C957B55E4}"/>
            </c:ext>
          </c:extLst>
        </c:ser>
        <c:ser>
          <c:idx val="12"/>
          <c:order val="12"/>
          <c:tx>
            <c:strRef>
              <c:f>'Figures 4 and 5'!$M$128</c:f>
              <c:strCache>
                <c:ptCount val="1"/>
                <c:pt idx="0">
                  <c:v>Zero rated biomass</c:v>
                </c:pt>
              </c:strCache>
            </c:strRef>
          </c:tx>
          <c:spPr>
            <a:noFill/>
            <a:ln>
              <a:solidFill>
                <a:srgbClr val="00B05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B05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'Figures 4 and 5'!$N$100:$W$100</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'Figures 4 and 5'!$N$128:$W$128</c:f>
              <c:numCache>
                <c:formatCode>0.0%</c:formatCode>
                <c:ptCount val="10"/>
                <c:pt idx="0">
                  <c:v>8.1880234502507407E-2</c:v>
                </c:pt>
                <c:pt idx="1">
                  <c:v>8.9326257150173879E-2</c:v>
                </c:pt>
                <c:pt idx="2">
                  <c:v>8.8129792909958163E-2</c:v>
                </c:pt>
                <c:pt idx="3">
                  <c:v>9.0614834760102903E-2</c:v>
                </c:pt>
                <c:pt idx="4">
                  <c:v>9.285538053633767E-2</c:v>
                </c:pt>
                <c:pt idx="5">
                  <c:v>0.1088766370643857</c:v>
                </c:pt>
                <c:pt idx="6">
                  <c:v>0.12912602668840609</c:v>
                </c:pt>
                <c:pt idx="7">
                  <c:v>0.13741675642807871</c:v>
                </c:pt>
                <c:pt idx="8">
                  <c:v>0.15580778545164467</c:v>
                </c:pt>
                <c:pt idx="9">
                  <c:v>0.15724849890840606</c:v>
                </c:pt>
              </c:numCache>
            </c:numRef>
          </c:val>
          <c:extLst>
            <c:ext xmlns:c16="http://schemas.microsoft.com/office/drawing/2014/chart" uri="{C3380CC4-5D6E-409C-BE32-E72D297353CC}">
              <c16:uniqueId val="{0000000C-CF52-480E-B78D-173C957B55E4}"/>
            </c:ext>
          </c:extLst>
        </c:ser>
        <c:dLbls>
          <c:dLblPos val="ctr"/>
          <c:showLegendKey val="0"/>
          <c:showVal val="1"/>
          <c:showCatName val="0"/>
          <c:showSerName val="0"/>
          <c:showPercent val="0"/>
          <c:showBubbleSize val="0"/>
        </c:dLbls>
        <c:gapWidth val="10"/>
        <c:overlap val="100"/>
        <c:axId val="292917679"/>
        <c:axId val="292915599"/>
      </c:barChart>
      <c:catAx>
        <c:axId val="292917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2915599"/>
        <c:crosses val="autoZero"/>
        <c:auto val="1"/>
        <c:lblAlgn val="ctr"/>
        <c:lblOffset val="100"/>
        <c:noMultiLvlLbl val="0"/>
      </c:catAx>
      <c:valAx>
        <c:axId val="292915599"/>
        <c:scaling>
          <c:orientation val="minMax"/>
          <c:max val="1.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2917679"/>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rgbClr val="00B050"/>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80918198780246331"/>
          <c:y val="0.10733012576507947"/>
          <c:w val="0.18484642094152245"/>
          <c:h val="0.773816444254220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'Figure 6'!$C$3</c:f>
              <c:strCache>
                <c:ptCount val="1"/>
                <c:pt idx="0">
                  <c:v>Category 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'Figure 6'!$D$2:$M$2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'Figure 6'!$D$3:$M$3</c:f>
              <c:numCache>
                <c:formatCode>_(* #,##0.00_);_(* \(#,##0.00\);_(* "-"??_);_(@_)</c:formatCode>
                <c:ptCount val="10"/>
                <c:pt idx="0">
                  <c:v>52.913859244539999</c:v>
                </c:pt>
                <c:pt idx="1">
                  <c:v>57.850946286076692</c:v>
                </c:pt>
                <c:pt idx="2">
                  <c:v>60.729671098749904</c:v>
                </c:pt>
                <c:pt idx="3">
                  <c:v>63.4735924873209</c:v>
                </c:pt>
                <c:pt idx="4">
                  <c:v>62.651032726873602</c:v>
                </c:pt>
                <c:pt idx="5">
                  <c:v>73.254425165001393</c:v>
                </c:pt>
                <c:pt idx="6">
                  <c:v>79.363851184686041</c:v>
                </c:pt>
                <c:pt idx="7">
                  <c:v>71.868746884307441</c:v>
                </c:pt>
                <c:pt idx="8">
                  <c:v>89.422316791609362</c:v>
                </c:pt>
                <c:pt idx="9">
                  <c:v>88.442574635788205</c:v>
                </c:pt>
              </c:numCache>
            </c:numRef>
          </c:val>
          <c:extLst>
            <c:ext xmlns:c16="http://schemas.microsoft.com/office/drawing/2014/chart" uri="{C3380CC4-5D6E-409C-BE32-E72D297353CC}">
              <c16:uniqueId val="{00000000-5879-41AE-86BC-94C64FDA8320}"/>
            </c:ext>
          </c:extLst>
        </c:ser>
        <c:ser>
          <c:idx val="1"/>
          <c:order val="1"/>
          <c:tx>
            <c:strRef>
              <c:f>'Figure 6'!$C$4</c:f>
              <c:strCache>
                <c:ptCount val="1"/>
                <c:pt idx="0">
                  <c:v>Category B</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'Figure 6'!$D$2:$M$2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'Figure 6'!$D$4:$M$4</c:f>
              <c:numCache>
                <c:formatCode>_(* #,##0.00_);_(* \(#,##0.00\);_(* "-"??_);_(@_)</c:formatCode>
                <c:ptCount val="10"/>
                <c:pt idx="0">
                  <c:v>48.097999751799989</c:v>
                </c:pt>
                <c:pt idx="1">
                  <c:v>45.286862825432998</c:v>
                </c:pt>
                <c:pt idx="2">
                  <c:v>44.188521689239003</c:v>
                </c:pt>
                <c:pt idx="3">
                  <c:v>46.429010534396994</c:v>
                </c:pt>
                <c:pt idx="4">
                  <c:v>50.8868976536764</c:v>
                </c:pt>
                <c:pt idx="5">
                  <c:v>52.7830766178799</c:v>
                </c:pt>
                <c:pt idx="6">
                  <c:v>51.376651804605892</c:v>
                </c:pt>
                <c:pt idx="7">
                  <c:v>48.478637786862159</c:v>
                </c:pt>
                <c:pt idx="8">
                  <c:v>58.337728746874689</c:v>
                </c:pt>
                <c:pt idx="9">
                  <c:v>58.498117849494697</c:v>
                </c:pt>
              </c:numCache>
            </c:numRef>
          </c:val>
          <c:extLst>
            <c:ext xmlns:c16="http://schemas.microsoft.com/office/drawing/2014/chart" uri="{C3380CC4-5D6E-409C-BE32-E72D297353CC}">
              <c16:uniqueId val="{00000001-5879-41AE-86BC-94C64FDA8320}"/>
            </c:ext>
          </c:extLst>
        </c:ser>
        <c:ser>
          <c:idx val="2"/>
          <c:order val="2"/>
          <c:tx>
            <c:strRef>
              <c:f>'Figure 6'!$C$5</c:f>
              <c:strCache>
                <c:ptCount val="1"/>
                <c:pt idx="0">
                  <c:v>Category C</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'Figure 6'!$D$2:$M$2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'Figure 6'!$D$5:$M$5</c:f>
              <c:numCache>
                <c:formatCode>_(* #,##0.00_);_(* \(#,##0.00\);_(* "-"??_);_(@_)</c:formatCode>
                <c:ptCount val="10"/>
                <c:pt idx="0">
                  <c:v>18.955754415499996</c:v>
                </c:pt>
                <c:pt idx="1">
                  <c:v>19.235627558975903</c:v>
                </c:pt>
                <c:pt idx="2">
                  <c:v>17.6158925211632</c:v>
                </c:pt>
                <c:pt idx="3">
                  <c:v>13.555572476363</c:v>
                </c:pt>
                <c:pt idx="4">
                  <c:v>14.072616528245</c:v>
                </c:pt>
                <c:pt idx="5">
                  <c:v>17.160097056265503</c:v>
                </c:pt>
                <c:pt idx="6">
                  <c:v>19.587987478546395</c:v>
                </c:pt>
                <c:pt idx="7">
                  <c:v>21.661105741930403</c:v>
                </c:pt>
                <c:pt idx="8">
                  <c:v>24.595400825044397</c:v>
                </c:pt>
                <c:pt idx="9">
                  <c:v>26.401517536639002</c:v>
                </c:pt>
              </c:numCache>
            </c:numRef>
          </c:val>
          <c:extLst>
            <c:ext xmlns:c16="http://schemas.microsoft.com/office/drawing/2014/chart" uri="{C3380CC4-5D6E-409C-BE32-E72D297353CC}">
              <c16:uniqueId val="{00000002-5879-41AE-86BC-94C64FDA8320}"/>
            </c:ext>
          </c:extLst>
        </c:ser>
        <c:ser>
          <c:idx val="3"/>
          <c:order val="3"/>
          <c:spPr>
            <a:noFill/>
            <a:effectLst/>
          </c:spPr>
          <c:invertIfNegative val="0"/>
          <c:cat>
            <c:numRef>
              <c:f>'Figure 6'!$D$2:$M$2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'Figure 6'!$D$7:$M$7</c:f>
              <c:numCache>
                <c:formatCode>#.##0.0\ "Mt"</c:formatCode>
                <c:ptCount val="10"/>
                <c:pt idx="0">
                  <c:v>25</c:v>
                </c:pt>
                <c:pt idx="1">
                  <c:v>25</c:v>
                </c:pt>
                <c:pt idx="2">
                  <c:v>25</c:v>
                </c:pt>
                <c:pt idx="3">
                  <c:v>25</c:v>
                </c:pt>
                <c:pt idx="4">
                  <c:v>25</c:v>
                </c:pt>
                <c:pt idx="5">
                  <c:v>25</c:v>
                </c:pt>
                <c:pt idx="6">
                  <c:v>25</c:v>
                </c:pt>
                <c:pt idx="7">
                  <c:v>25</c:v>
                </c:pt>
                <c:pt idx="8">
                  <c:v>25</c:v>
                </c:pt>
                <c:pt idx="9">
                  <c:v>25</c:v>
                </c:pt>
              </c:numCache>
            </c:numRef>
          </c:val>
          <c:extLst>
            <c:ext xmlns:c16="http://schemas.microsoft.com/office/drawing/2014/chart" uri="{C3380CC4-5D6E-409C-BE32-E72D297353CC}">
              <c16:uniqueId val="{00000003-5879-41AE-86BC-94C64FDA8320}"/>
            </c:ext>
          </c:extLst>
        </c:ser>
        <c:dLbls>
          <c:showLegendKey val="0"/>
          <c:showVal val="0"/>
          <c:showCatName val="0"/>
          <c:showSerName val="0"/>
          <c:showPercent val="0"/>
          <c:showBubbleSize val="0"/>
        </c:dLbls>
        <c:gapWidth val="50"/>
        <c:overlap val="100"/>
        <c:axId val="1931677055"/>
        <c:axId val="1931669567"/>
      </c:barChart>
      <c:lineChart>
        <c:grouping val="standard"/>
        <c:varyColors val="0"/>
        <c:ser>
          <c:idx val="4"/>
          <c:order val="4"/>
          <c:tx>
            <c:strRef>
              <c:f>'Figure 6'!$C$11</c:f>
              <c:strCache>
                <c:ptCount val="1"/>
              </c:strCache>
            </c:strRef>
          </c:tx>
          <c:spPr>
            <a:ln w="25400">
              <a:noFill/>
            </a:ln>
            <a:effectLst/>
          </c:spPr>
          <c:marker>
            <c:symbol val="none"/>
          </c:marker>
          <c:dLbls>
            <c:dLbl>
              <c:idx val="0"/>
              <c:tx>
                <c:rich>
                  <a:bodyPr/>
                  <a:lstStyle/>
                  <a:p>
                    <a:fld id="{A331E038-BD7C-4AB1-9320-47EE0CD8D43A}" type="CELLRANGE">
                      <a:rPr lang="en-US"/>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5879-41AE-86BC-94C64FDA8320}"/>
                </c:ext>
              </c:extLst>
            </c:dLbl>
            <c:dLbl>
              <c:idx val="1"/>
              <c:tx>
                <c:rich>
                  <a:bodyPr/>
                  <a:lstStyle/>
                  <a:p>
                    <a:fld id="{24B5E237-14A4-4809-B322-E33B54221487}"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5879-41AE-86BC-94C64FDA8320}"/>
                </c:ext>
              </c:extLst>
            </c:dLbl>
            <c:dLbl>
              <c:idx val="2"/>
              <c:tx>
                <c:rich>
                  <a:bodyPr/>
                  <a:lstStyle/>
                  <a:p>
                    <a:fld id="{9AB508AE-76E5-4508-9AB3-993C9CE66F93}"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5879-41AE-86BC-94C64FDA8320}"/>
                </c:ext>
              </c:extLst>
            </c:dLbl>
            <c:dLbl>
              <c:idx val="3"/>
              <c:tx>
                <c:rich>
                  <a:bodyPr/>
                  <a:lstStyle/>
                  <a:p>
                    <a:fld id="{B4A417AA-08AD-4A4C-BD35-AECF56E93EE5}"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5879-41AE-86BC-94C64FDA8320}"/>
                </c:ext>
              </c:extLst>
            </c:dLbl>
            <c:dLbl>
              <c:idx val="4"/>
              <c:tx>
                <c:rich>
                  <a:bodyPr/>
                  <a:lstStyle/>
                  <a:p>
                    <a:fld id="{76373520-CA62-454E-90AC-E8ECF1485439}"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5879-41AE-86BC-94C64FDA8320}"/>
                </c:ext>
              </c:extLst>
            </c:dLbl>
            <c:dLbl>
              <c:idx val="5"/>
              <c:tx>
                <c:rich>
                  <a:bodyPr/>
                  <a:lstStyle/>
                  <a:p>
                    <a:fld id="{CAD72890-11EA-4369-869B-E3EEE5BFED5B}"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5879-41AE-86BC-94C64FDA8320}"/>
                </c:ext>
              </c:extLst>
            </c:dLbl>
            <c:dLbl>
              <c:idx val="6"/>
              <c:tx>
                <c:rich>
                  <a:bodyPr/>
                  <a:lstStyle/>
                  <a:p>
                    <a:fld id="{DB5A9CDC-32FB-4C93-AEBB-AB494FDFF57D}"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5879-41AE-86BC-94C64FDA8320}"/>
                </c:ext>
              </c:extLst>
            </c:dLbl>
            <c:dLbl>
              <c:idx val="7"/>
              <c:tx>
                <c:rich>
                  <a:bodyPr/>
                  <a:lstStyle/>
                  <a:p>
                    <a:fld id="{58EDC1BD-8DBE-4C85-9BBD-A55E03E61868}"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5879-41AE-86BC-94C64FDA8320}"/>
                </c:ext>
              </c:extLst>
            </c:dLbl>
            <c:dLbl>
              <c:idx val="8"/>
              <c:tx>
                <c:rich>
                  <a:bodyPr/>
                  <a:lstStyle/>
                  <a:p>
                    <a:fld id="{0FC2FFC1-B10C-40CD-B46B-E5AAF88B106A}"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5879-41AE-86BC-94C64FDA8320}"/>
                </c:ext>
              </c:extLst>
            </c:dLbl>
            <c:dLbl>
              <c:idx val="9"/>
              <c:tx>
                <c:rich>
                  <a:bodyPr/>
                  <a:lstStyle/>
                  <a:p>
                    <a:fld id="{8ED55B5F-D6FC-4BD3-850F-5054B5B129F8}" type="CELLRANGE">
                      <a:rPr lang="en-GB"/>
                      <a:pPr/>
                      <a:t>[CELLRANGE]</a:t>
                    </a:fld>
                    <a:endParaRPr lang="en-GB"/>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5879-41AE-86BC-94C64FDA8320}"/>
                </c:ext>
              </c:extLst>
            </c:dLbl>
            <c:numFmt formatCode="#.##0.0\ &quot;Mt&quot;" sourceLinked="0"/>
            <c:spPr>
              <a:noFill/>
              <a:ln>
                <a:noFill/>
              </a:ln>
              <a:effectLst/>
            </c:spPr>
            <c:txPr>
              <a:bodyPr wrap="square" lIns="38100" tIns="19050" rIns="38100" bIns="19050" anchor="ctr">
                <a:spAutoFit/>
              </a:bodyPr>
              <a:lstStyle/>
              <a:p>
                <a:pPr>
                  <a:defRPr sz="800" b="1">
                    <a:latin typeface="Times New Roman" panose="02020603050405020304" pitchFamily="18" charset="0"/>
                    <a:cs typeface="Times New Roman" panose="02020603050405020304" pitchFamily="18" charset="0"/>
                  </a:defRPr>
                </a:pPr>
                <a:endParaRPr lang="en-US"/>
              </a:p>
            </c:txPr>
            <c:dLblPos val="t"/>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ext>
            </c:extLst>
          </c:dLbls>
          <c:cat>
            <c:numRef>
              <c:f>'Figure 6'!$D$2:$M$2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'Figure 6'!$D$8:$M$8</c:f>
              <c:numCache>
                <c:formatCode>#.##0.0\ "Mt"</c:formatCode>
                <c:ptCount val="10"/>
                <c:pt idx="0">
                  <c:v>119.96761341183998</c:v>
                </c:pt>
                <c:pt idx="1">
                  <c:v>122.37343667048559</c:v>
                </c:pt>
                <c:pt idx="2">
                  <c:v>122.53408530915212</c:v>
                </c:pt>
                <c:pt idx="3">
                  <c:v>123.45817549808089</c:v>
                </c:pt>
                <c:pt idx="4">
                  <c:v>127.61054690879499</c:v>
                </c:pt>
                <c:pt idx="5">
                  <c:v>143.19759883914679</c:v>
                </c:pt>
                <c:pt idx="6">
                  <c:v>150.32849046783832</c:v>
                </c:pt>
                <c:pt idx="7">
                  <c:v>142.00849041310002</c:v>
                </c:pt>
                <c:pt idx="8">
                  <c:v>172.35544636352847</c:v>
                </c:pt>
                <c:pt idx="9">
                  <c:v>173.34221002192191</c:v>
                </c:pt>
              </c:numCache>
            </c:numRef>
          </c:val>
          <c:smooth val="0"/>
          <c:extLst>
            <c:ext xmlns:c15="http://schemas.microsoft.com/office/drawing/2012/chart" uri="{02D57815-91ED-43cb-92C2-25804820EDAC}">
              <c15:datalabelsRange>
                <c15:f>'Figure 6'!$D$8:$M$8</c15:f>
                <c15:dlblRangeCache>
                  <c:ptCount val="10"/>
                  <c:pt idx="0">
                    <c:v>120.0 Mt</c:v>
                  </c:pt>
                  <c:pt idx="1">
                    <c:v>122.4 Mt</c:v>
                  </c:pt>
                  <c:pt idx="2">
                    <c:v>122.5 Mt</c:v>
                  </c:pt>
                  <c:pt idx="3">
                    <c:v>123.5 Mt</c:v>
                  </c:pt>
                  <c:pt idx="4">
                    <c:v>127.6 Mt</c:v>
                  </c:pt>
                  <c:pt idx="5">
                    <c:v>143.2 Mt</c:v>
                  </c:pt>
                  <c:pt idx="6">
                    <c:v>150.3 Mt</c:v>
                  </c:pt>
                  <c:pt idx="7">
                    <c:v>142.0 Mt</c:v>
                  </c:pt>
                  <c:pt idx="8">
                    <c:v>172.4 Mt</c:v>
                  </c:pt>
                  <c:pt idx="9">
                    <c:v>173.3 Mt</c:v>
                  </c:pt>
                </c15:dlblRangeCache>
              </c15:datalabelsRange>
            </c:ext>
            <c:ext xmlns:c16="http://schemas.microsoft.com/office/drawing/2014/chart" uri="{C3380CC4-5D6E-409C-BE32-E72D297353CC}">
              <c16:uniqueId val="{0000000E-5879-41AE-86BC-94C64FDA8320}"/>
            </c:ext>
          </c:extLst>
        </c:ser>
        <c:dLbls>
          <c:showLegendKey val="0"/>
          <c:showVal val="0"/>
          <c:showCatName val="0"/>
          <c:showSerName val="0"/>
          <c:showPercent val="0"/>
          <c:showBubbleSize val="0"/>
        </c:dLbls>
        <c:marker val="1"/>
        <c:smooth val="0"/>
        <c:axId val="1931677055"/>
        <c:axId val="1931669567"/>
      </c:lineChart>
      <c:catAx>
        <c:axId val="19316770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31669567"/>
        <c:crosses val="autoZero"/>
        <c:auto val="1"/>
        <c:lblAlgn val="ctr"/>
        <c:lblOffset val="100"/>
        <c:noMultiLvlLbl val="0"/>
      </c:catAx>
      <c:valAx>
        <c:axId val="1931669567"/>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cap="none">
                    <a:latin typeface="Times New Roman" panose="02020603050405020304" pitchFamily="18" charset="0"/>
                    <a:cs typeface="Times New Roman" panose="02020603050405020304" pitchFamily="18" charset="0"/>
                  </a:rPr>
                  <a:t>Biomass</a:t>
                </a:r>
                <a:r>
                  <a:rPr lang="fr-FR" cap="none" baseline="0">
                    <a:latin typeface="Times New Roman" panose="02020603050405020304" pitchFamily="18" charset="0"/>
                    <a:cs typeface="Times New Roman" panose="02020603050405020304" pitchFamily="18" charset="0"/>
                  </a:rPr>
                  <a:t> emissions (Mt CO</a:t>
                </a:r>
                <a:r>
                  <a:rPr lang="fr-FR" cap="none" baseline="-25000">
                    <a:latin typeface="Times New Roman" panose="02020603050405020304" pitchFamily="18" charset="0"/>
                    <a:cs typeface="Times New Roman" panose="02020603050405020304" pitchFamily="18" charset="0"/>
                  </a:rPr>
                  <a:t>2</a:t>
                </a:r>
                <a:r>
                  <a:rPr lang="fr-FR" cap="none" baseline="0">
                    <a:latin typeface="Times New Roman" panose="02020603050405020304" pitchFamily="18" charset="0"/>
                    <a:cs typeface="Times New Roman" panose="02020603050405020304" pitchFamily="18" charset="0"/>
                  </a:rPr>
                  <a:t>)</a:t>
                </a:r>
              </a:p>
            </c:rich>
          </c:tx>
          <c:overlay val="0"/>
          <c:spPr>
            <a:noFill/>
            <a:ln>
              <a:noFill/>
            </a:ln>
            <a:effectLst/>
          </c:spPr>
        </c:title>
        <c:numFmt formatCode="#,##0" sourceLinked="0"/>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31677055"/>
        <c:crosses val="autoZero"/>
        <c:crossBetween val="between"/>
      </c:valAx>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5 - For CMR'!$A$2</c:f>
              <c:strCache>
                <c:ptCount val="1"/>
                <c:pt idx="0">
                  <c:v>Surplus</c:v>
                </c:pt>
              </c:strCache>
            </c:strRef>
          </c:tx>
          <c:spPr>
            <a:solidFill>
              <a:schemeClr val="accent5">
                <a:lumMod val="50000"/>
              </a:schemeClr>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5 - For CMR'!$B$1:$K$1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'Figure 5 - For CMR'!$B$2:$K$2</c:f>
              <c:numCache>
                <c:formatCode>#,##0</c:formatCode>
                <c:ptCount val="10"/>
                <c:pt idx="0">
                  <c:v>2084787900</c:v>
                </c:pt>
                <c:pt idx="1">
                  <c:v>2093383593</c:v>
                </c:pt>
                <c:pt idx="2">
                  <c:v>1818041895</c:v>
                </c:pt>
                <c:pt idx="3">
                  <c:v>1684569981</c:v>
                </c:pt>
                <c:pt idx="4">
                  <c:v>1654574598</c:v>
                </c:pt>
                <c:pt idx="5">
                  <c:v>1654909824</c:v>
                </c:pt>
                <c:pt idx="6">
                  <c:v>1385496166</c:v>
                </c:pt>
                <c:pt idx="7">
                  <c:v>1578772426</c:v>
                </c:pt>
                <c:pt idx="8">
                  <c:v>1449214182</c:v>
                </c:pt>
                <c:pt idx="9">
                  <c:v>1134794738</c:v>
                </c:pt>
              </c:numCache>
            </c:numRef>
          </c:val>
          <c:extLst>
            <c:ext xmlns:c16="http://schemas.microsoft.com/office/drawing/2014/chart" uri="{C3380CC4-5D6E-409C-BE32-E72D297353CC}">
              <c16:uniqueId val="{00000000-1735-4FF3-AF38-14D095490F2E}"/>
            </c:ext>
          </c:extLst>
        </c:ser>
        <c:dLbls>
          <c:showLegendKey val="0"/>
          <c:showVal val="0"/>
          <c:showCatName val="0"/>
          <c:showSerName val="0"/>
          <c:showPercent val="0"/>
          <c:showBubbleSize val="0"/>
        </c:dLbls>
        <c:gapWidth val="219"/>
        <c:overlap val="-27"/>
        <c:axId val="402840344"/>
        <c:axId val="402841656"/>
      </c:barChart>
      <c:catAx>
        <c:axId val="402840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2841656"/>
        <c:crosses val="autoZero"/>
        <c:auto val="1"/>
        <c:lblAlgn val="ctr"/>
        <c:lblOffset val="100"/>
        <c:noMultiLvlLbl val="0"/>
      </c:catAx>
      <c:valAx>
        <c:axId val="402841656"/>
        <c:scaling>
          <c:orientation val="minMax"/>
        </c:scaling>
        <c:delete val="0"/>
        <c:axPos val="l"/>
        <c:majorGridlines>
          <c:spPr>
            <a:ln w="9525" cap="flat" cmpd="sng" algn="ctr">
              <a:solidFill>
                <a:schemeClr val="bg2"/>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E" sz="1000"/>
                  <a:t>Allowances [billions]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2840344"/>
        <c:crosses val="autoZero"/>
        <c:crossBetween val="between"/>
        <c:dispUnits>
          <c:builtInUnit val="billions"/>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'Installations per category'!$E$6:$G$128</cx:f>
        <cx:lvl ptCount="123">
          <cx:pt idx="0">other</cx:pt>
          <cx:pt idx="1">BE</cx:pt>
          <cx:pt idx="4">CZ</cx:pt>
          <cx:pt idx="5">DE</cx:pt>
          <cx:pt idx="6">DK</cx:pt>
          <cx:pt idx="8">ES</cx:pt>
          <cx:pt idx="9">FI</cx:pt>
          <cx:pt idx="10">FR</cx:pt>
          <cx:pt idx="16">IT</cx:pt>
          <cx:pt idx="17">LI</cx:pt>
          <cx:pt idx="22">NL</cx:pt>
          <cx:pt idx="24">PL</cx:pt>
          <cx:pt idx="27">SE</cx:pt>
          <cx:pt idx="31">other</cx:pt>
          <cx:pt idx="36">DE</cx:pt>
          <cx:pt idx="39">ES</cx:pt>
          <cx:pt idx="41">FR</cx:pt>
          <cx:pt idx="47">IT</cx:pt>
          <cx:pt idx="48">LI</cx:pt>
          <cx:pt idx="55">PL</cx:pt>
          <cx:pt idx="62">other</cx:pt>
          <cx:pt idx="67">DE</cx:pt>
          <cx:pt idx="70">ES</cx:pt>
          <cx:pt idx="72">FR</cx:pt>
          <cx:pt idx="78">IT</cx:pt>
          <cx:pt idx="79">LI</cx:pt>
          <cx:pt idx="86">PL</cx:pt>
          <cx:pt idx="93">other</cx:pt>
          <cx:pt idx="98">DE</cx:pt>
          <cx:pt idx="110">LI</cx:pt>
        </cx:lvl>
        <cx:lvl ptCount="123">
          <cx:pt idx="0">4793 with Low Emissions : &lt;25 kt CO2/year</cx:pt>
          <cx:pt idx="31">1318 not Low Emissions: 25 to 50 kt CO2/year</cx:pt>
          <cx:pt idx="62">1893</cx:pt>
          <cx:pt idx="93">633</cx:pt>
        </cx:lvl>
        <cx:lvl ptCount="123">
          <cx:pt idx="0">Cat A: &lt;50 kt CO2/year</cx:pt>
          <cx:pt idx="62">Cat B: 50 to 500 kt CO2/year</cx:pt>
          <cx:pt idx="93">Cat C: &gt;500 kt CO2/year</cx:pt>
        </cx:lvl>
      </cx:strDim>
      <cx:numDim type="size">
        <cx:f>'Installations per category'!$H$6:$H$128</cx:f>
        <cx:lvl ptCount="123" formatCode="General">
          <cx:pt idx="0">743</cx:pt>
          <cx:pt idx="1">124</cx:pt>
          <cx:pt idx="2">0</cx:pt>
          <cx:pt idx="3">0</cx:pt>
          <cx:pt idx="4">129</cx:pt>
          <cx:pt idx="5">974</cx:pt>
          <cx:pt idx="6">248</cx:pt>
          <cx:pt idx="7">0</cx:pt>
          <cx:pt idx="8">182</cx:pt>
          <cx:pt idx="9">410</cx:pt>
          <cx:pt idx="10">624</cx:pt>
          <cx:pt idx="11">0</cx:pt>
          <cx:pt idx="12">0</cx:pt>
          <cx:pt idx="13">0</cx:pt>
          <cx:pt idx="14">0</cx:pt>
          <cx:pt idx="15">0</cx:pt>
          <cx:pt idx="16">351</cx:pt>
          <cx:pt idx="17">0</cx:pt>
          <cx:pt idx="18">0</cx:pt>
          <cx:pt idx="19">0</cx:pt>
          <cx:pt idx="20">0</cx:pt>
          <cx:pt idx="21">0</cx:pt>
          <cx:pt idx="22">171</cx:pt>
          <cx:pt idx="23">0</cx:pt>
          <cx:pt idx="24">187</cx:pt>
          <cx:pt idx="25">0</cx:pt>
          <cx:pt idx="26">0</cx:pt>
          <cx:pt idx="27">650</cx:pt>
          <cx:pt idx="28">0</cx:pt>
          <cx:pt idx="29">0</cx:pt>
          <cx:pt idx="30">0</cx:pt>
          <cx:pt idx="31">446</cx:pt>
          <cx:pt idx="32">0</cx:pt>
          <cx:pt idx="33">0</cx:pt>
          <cx:pt idx="34">0</cx:pt>
          <cx:pt idx="35">0</cx:pt>
          <cx:pt idx="36">236</cx:pt>
          <cx:pt idx="37">0</cx:pt>
          <cx:pt idx="38">0</cx:pt>
          <cx:pt idx="39">133</cx:pt>
          <cx:pt idx="40">0</cx:pt>
          <cx:pt idx="41">167</cx:pt>
          <cx:pt idx="42">0</cx:pt>
          <cx:pt idx="43">0</cx:pt>
          <cx:pt idx="44">0</cx:pt>
          <cx:pt idx="45">0</cx:pt>
          <cx:pt idx="46">0</cx:pt>
          <cx:pt idx="47">183</cx:pt>
          <cx:pt idx="48">0</cx:pt>
          <cx:pt idx="49">0</cx:pt>
          <cx:pt idx="50">0</cx:pt>
          <cx:pt idx="51">0</cx:pt>
          <cx:pt idx="52">0</cx:pt>
          <cx:pt idx="53">0</cx:pt>
          <cx:pt idx="54">0</cx:pt>
          <cx:pt idx="55">153</cx:pt>
          <cx:pt idx="56">0</cx:pt>
          <cx:pt idx="57">0</cx:pt>
          <cx:pt idx="58">0</cx:pt>
          <cx:pt idx="59">0</cx:pt>
          <cx:pt idx="60">0</cx:pt>
          <cx:pt idx="61">0</cx:pt>
          <cx:pt idx="62">692</cx:pt>
          <cx:pt idx="63">0</cx:pt>
          <cx:pt idx="64">0</cx:pt>
          <cx:pt idx="65">0</cx:pt>
          <cx:pt idx="66">0</cx:pt>
          <cx:pt idx="67">396</cx:pt>
          <cx:pt idx="68">0</cx:pt>
          <cx:pt idx="69">0</cx:pt>
          <cx:pt idx="70">241</cx:pt>
          <cx:pt idx="71">0</cx:pt>
          <cx:pt idx="72">184</cx:pt>
          <cx:pt idx="73">0</cx:pt>
          <cx:pt idx="74">0</cx:pt>
          <cx:pt idx="75">0</cx:pt>
          <cx:pt idx="76">0</cx:pt>
          <cx:pt idx="77">0</cx:pt>
          <cx:pt idx="78">206</cx:pt>
          <cx:pt idx="79">0</cx:pt>
          <cx:pt idx="80">0</cx:pt>
          <cx:pt idx="81">0</cx:pt>
          <cx:pt idx="82">0</cx:pt>
          <cx:pt idx="83">0</cx:pt>
          <cx:pt idx="84">0</cx:pt>
          <cx:pt idx="85">0</cx:pt>
          <cx:pt idx="86">174</cx:pt>
          <cx:pt idx="87">0</cx:pt>
          <cx:pt idx="88">0</cx:pt>
          <cx:pt idx="89">0</cx:pt>
          <cx:pt idx="90">0</cx:pt>
          <cx:pt idx="91">0</cx:pt>
          <cx:pt idx="92">0</cx:pt>
          <cx:pt idx="93">511</cx:pt>
          <cx:pt idx="94">0</cx:pt>
          <cx:pt idx="95">0</cx:pt>
          <cx:pt idx="96">0</cx:pt>
          <cx:pt idx="97">0</cx:pt>
          <cx:pt idx="98">125</cx:pt>
          <cx:pt idx="99">0</cx:pt>
          <cx:pt idx="100">0</cx:pt>
          <cx:pt idx="101">0</cx:pt>
          <cx:pt idx="102">0</cx:pt>
          <cx:pt idx="103">0</cx:pt>
          <cx:pt idx="104">0</cx:pt>
          <cx:pt idx="105">0</cx:pt>
          <cx:pt idx="106">0</cx:pt>
          <cx:pt idx="107">0</cx:pt>
          <cx:pt idx="108">0</cx:pt>
          <cx:pt idx="109">0</cx:pt>
          <cx:pt idx="110">0</cx:pt>
          <cx:pt idx="111">0</cx:pt>
          <cx:pt idx="112">0</cx:pt>
          <cx:pt idx="113">0</cx:pt>
          <cx:pt idx="114">0</cx:pt>
          <cx:pt idx="115">0</cx:pt>
          <cx:pt idx="116">0</cx:pt>
          <cx:pt idx="117">0</cx:pt>
          <cx:pt idx="118">0</cx:pt>
          <cx:pt idx="119">0</cx:pt>
          <cx:pt idx="120">0</cx:pt>
          <cx:pt idx="121">0</cx:pt>
          <cx:pt idx="122">0</cx:pt>
        </cx:lvl>
      </cx:numDim>
    </cx:data>
  </cx:chartData>
  <cx:chart>
    <cx:title pos="t" align="ctr" overlay="0">
      <cx:tx>
        <cx:txData>
          <cx:v>2022: 8 640 installations</cx:v>
        </cx:txData>
      </cx:tx>
      <cx:spPr>
        <a:solidFill>
          <a:schemeClr val="lt1"/>
        </a:solidFill>
        <a:ln w="9525" cap="flat" cmpd="sng" algn="ctr">
          <a:noFill/>
          <a:prstDash val="solid"/>
          <a:miter lim="800000"/>
        </a:ln>
        <a:effectLst/>
      </cx:spPr>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r>
            <a:rPr>
              <a:solidFill>
                <a:sysClr val="windowText" lastClr="000000"/>
              </a:solidFill>
              <a:latin typeface="Times New Roman" panose="02020603050405020304" pitchFamily="18" charset="0"/>
              <a:cs typeface="Times New Roman" panose="02020603050405020304" pitchFamily="18" charset="0"/>
            </a:rPr>
            <a:t>2022: 8 640 installations</a:t>
          </a:r>
        </a:p>
      </cx:txPr>
    </cx:title>
    <cx:plotArea>
      <cx:plotAreaRegion>
        <cx:series layoutId="sunburst" uniqueId="{863D98B4-ACF3-4EEA-BFDA-465874C0CF54}">
          <cx:tx>
            <cx:txData>
              <cx:f/>
              <cx:v>number of installations per size category</cx:v>
            </cx:txData>
          </cx:tx>
          <cx:dataLabels pos="ctr">
            <cx:txPr>
              <a:bodyPr spcFirstLastPara="1" vertOverflow="ellipsis" horzOverflow="overflow" wrap="square" lIns="0" tIns="0" rIns="0" bIns="0" anchor="ctr" anchorCtr="1"/>
              <a:lstStyle/>
              <a:p>
                <a:pPr algn="ctr" rtl="0">
                  <a:defRPr>
                    <a:solidFill>
                      <a:schemeClr val="bg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900" b="0" i="0" u="none" strike="noStrike" baseline="0">
                  <a:solidFill>
                    <a:schemeClr val="bg1"/>
                  </a:solidFill>
                  <a:latin typeface="Times New Roman" panose="02020603050405020304" pitchFamily="18" charset="0"/>
                  <a:cs typeface="Times New Roman" panose="02020603050405020304" pitchFamily="18" charset="0"/>
                </a:endParaRPr>
              </a:p>
            </cx:txPr>
            <cx:visibility seriesName="0" categoryName="1" value="1"/>
            <cx:separator>, </cx:separator>
          </cx:dataLabels>
          <cx:dataId val="0"/>
        </cx:series>
      </cx:plotAreaRegion>
    </cx:plotArea>
    <cx:legend pos="b" align="ctr" overlay="0">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en-US" sz="900" b="0"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81">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53F3D2B9-067D-4452-B352-65365FEA8373}">
    <t:Anchor>
      <t:Comment id="677565997"/>
    </t:Anchor>
    <t:History>
      <t:Event id="{9012A0BF-1DA5-4FEB-82C6-E74BE9FDDF4F}" time="2023-09-06T10:05:50.594Z">
        <t:Attribution userId="S::madalina.radulescu@ec.europa.eu::8fc66966-d5ae-47a8-97ee-26dc402fdd2d" userProvider="AD" userName="RADULESCU Madalina (CLIMA)"/>
        <t:Anchor>
          <t:Comment id="293199681"/>
        </t:Anchor>
        <t:Create/>
      </t:Event>
      <t:Event id="{FD24885E-AA34-41BC-8DD7-2D126E802B63}" time="2023-09-06T10:05:50.594Z">
        <t:Attribution userId="S::madalina.radulescu@ec.europa.eu::8fc66966-d5ae-47a8-97ee-26dc402fdd2d" userProvider="AD" userName="RADULESCU Madalina (CLIMA)"/>
        <t:Anchor>
          <t:Comment id="293199681"/>
        </t:Anchor>
        <t:Assign userId="S::Dimitar.NIKOV@ec.europa.eu::3d5159fd-7833-4f8d-a015-3d629ca56bcf" userProvider="AD" userName="NIKOV Dimitar (CLIMA)"/>
      </t:Event>
      <t:Event id="{93F2EBDA-6CFF-46AD-8D06-2876E207D973}" time="2023-09-06T10:05:50.594Z">
        <t:Attribution userId="S::madalina.radulescu@ec.europa.eu::8fc66966-d5ae-47a8-97ee-26dc402fdd2d" userProvider="AD" userName="RADULESCU Madalina (CLIMA)"/>
        <t:Anchor>
          <t:Comment id="293199681"/>
        </t:Anchor>
        <t:SetTitle title="@NIKOV Dimitar (CLIMA) Could you please provide all the aviation cap and emissions data since the beginning so I can properly update the graph? Also, please note that this would entail yet another scope change from the time of the introduction of …"/>
      </t:Event>
    </t:History>
  </t:Task>
  <t:Task id="{DCAC0BE0-717B-4176-A0CA-40BCAAC682DB}">
    <t:Anchor>
      <t:Comment id="682196166"/>
    </t:Anchor>
    <t:History>
      <t:Event id="{C2C4F9C0-2A3B-4BA4-82E0-653D06B8464D}" time="2023-09-13T07:54:40.271Z">
        <t:Attribution userId="S::ralph.wischermann@ec.europa.eu::e1ae4549-6b16-43a2-a00e-cad6a53f213d" userProvider="AD" userName="WISCHERMANN Ralph (CLIMA)"/>
        <t:Anchor>
          <t:Comment id="1348119350"/>
        </t:Anchor>
        <t:Create/>
      </t:Event>
      <t:Event id="{2AD43A63-2B60-46AB-8E19-D4B29F184184}" time="2023-09-13T07:54:40.271Z">
        <t:Attribution userId="S::ralph.wischermann@ec.europa.eu::e1ae4549-6b16-43a2-a00e-cad6a53f213d" userProvider="AD" userName="WISCHERMANN Ralph (CLIMA)"/>
        <t:Anchor>
          <t:Comment id="1348119350"/>
        </t:Anchor>
        <t:Assign userId="S::Julia.ZIEMANN@ec.europa.eu::215d765f-67d7-4650-95d8-e1cfe224d724" userProvider="AD" userName="ZIEMANN Julia (CLIMA)"/>
      </t:Event>
      <t:Event id="{6A982E04-11B3-4412-9D8D-208776D19762}" time="2023-09-13T07:54:40.271Z">
        <t:Attribution userId="S::ralph.wischermann@ec.europa.eu::e1ae4549-6b16-43a2-a00e-cad6a53f213d" userProvider="AD" userName="WISCHERMANN Ralph (CLIMA)"/>
        <t:Anchor>
          <t:Comment id="1348119350"/>
        </t:Anchor>
        <t:SetTitle title="@ZIEMANN Julia (CLIMA) 1.337 + 27,9 (relying on chapter 10) = 1364,9"/>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FCDBE-7A5A-4690-93E2-0C73B368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38</Pages>
  <Words>12729</Words>
  <Characters>67723</Characters>
  <Application>Microsoft Office Word</Application>
  <DocSecurity>0</DocSecurity>
  <Lines>1302</Lines>
  <Paragraphs>587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79865</CharactersWithSpaces>
  <SharedDoc>false</SharedDoc>
  <HLinks>
    <vt:vector size="558" baseType="variant">
      <vt:variant>
        <vt:i4>1245237</vt:i4>
      </vt:variant>
      <vt:variant>
        <vt:i4>146</vt:i4>
      </vt:variant>
      <vt:variant>
        <vt:i4>0</vt:i4>
      </vt:variant>
      <vt:variant>
        <vt:i4>5</vt:i4>
      </vt:variant>
      <vt:variant>
        <vt:lpwstr/>
      </vt:variant>
      <vt:variant>
        <vt:lpwstr>_Toc148555902</vt:lpwstr>
      </vt:variant>
      <vt:variant>
        <vt:i4>1245237</vt:i4>
      </vt:variant>
      <vt:variant>
        <vt:i4>140</vt:i4>
      </vt:variant>
      <vt:variant>
        <vt:i4>0</vt:i4>
      </vt:variant>
      <vt:variant>
        <vt:i4>5</vt:i4>
      </vt:variant>
      <vt:variant>
        <vt:lpwstr/>
      </vt:variant>
      <vt:variant>
        <vt:lpwstr>_Toc148555901</vt:lpwstr>
      </vt:variant>
      <vt:variant>
        <vt:i4>1245237</vt:i4>
      </vt:variant>
      <vt:variant>
        <vt:i4>134</vt:i4>
      </vt:variant>
      <vt:variant>
        <vt:i4>0</vt:i4>
      </vt:variant>
      <vt:variant>
        <vt:i4>5</vt:i4>
      </vt:variant>
      <vt:variant>
        <vt:lpwstr/>
      </vt:variant>
      <vt:variant>
        <vt:lpwstr>_Toc148555900</vt:lpwstr>
      </vt:variant>
      <vt:variant>
        <vt:i4>1703988</vt:i4>
      </vt:variant>
      <vt:variant>
        <vt:i4>128</vt:i4>
      </vt:variant>
      <vt:variant>
        <vt:i4>0</vt:i4>
      </vt:variant>
      <vt:variant>
        <vt:i4>5</vt:i4>
      </vt:variant>
      <vt:variant>
        <vt:lpwstr/>
      </vt:variant>
      <vt:variant>
        <vt:lpwstr>_Toc148555899</vt:lpwstr>
      </vt:variant>
      <vt:variant>
        <vt:i4>1703988</vt:i4>
      </vt:variant>
      <vt:variant>
        <vt:i4>122</vt:i4>
      </vt:variant>
      <vt:variant>
        <vt:i4>0</vt:i4>
      </vt:variant>
      <vt:variant>
        <vt:i4>5</vt:i4>
      </vt:variant>
      <vt:variant>
        <vt:lpwstr/>
      </vt:variant>
      <vt:variant>
        <vt:lpwstr>_Toc148555898</vt:lpwstr>
      </vt:variant>
      <vt:variant>
        <vt:i4>1703988</vt:i4>
      </vt:variant>
      <vt:variant>
        <vt:i4>116</vt:i4>
      </vt:variant>
      <vt:variant>
        <vt:i4>0</vt:i4>
      </vt:variant>
      <vt:variant>
        <vt:i4>5</vt:i4>
      </vt:variant>
      <vt:variant>
        <vt:lpwstr/>
      </vt:variant>
      <vt:variant>
        <vt:lpwstr>_Toc148555897</vt:lpwstr>
      </vt:variant>
      <vt:variant>
        <vt:i4>1703988</vt:i4>
      </vt:variant>
      <vt:variant>
        <vt:i4>110</vt:i4>
      </vt:variant>
      <vt:variant>
        <vt:i4>0</vt:i4>
      </vt:variant>
      <vt:variant>
        <vt:i4>5</vt:i4>
      </vt:variant>
      <vt:variant>
        <vt:lpwstr/>
      </vt:variant>
      <vt:variant>
        <vt:lpwstr>_Toc148555896</vt:lpwstr>
      </vt:variant>
      <vt:variant>
        <vt:i4>1703988</vt:i4>
      </vt:variant>
      <vt:variant>
        <vt:i4>104</vt:i4>
      </vt:variant>
      <vt:variant>
        <vt:i4>0</vt:i4>
      </vt:variant>
      <vt:variant>
        <vt:i4>5</vt:i4>
      </vt:variant>
      <vt:variant>
        <vt:lpwstr/>
      </vt:variant>
      <vt:variant>
        <vt:lpwstr>_Toc148555895</vt:lpwstr>
      </vt:variant>
      <vt:variant>
        <vt:i4>1703988</vt:i4>
      </vt:variant>
      <vt:variant>
        <vt:i4>98</vt:i4>
      </vt:variant>
      <vt:variant>
        <vt:i4>0</vt:i4>
      </vt:variant>
      <vt:variant>
        <vt:i4>5</vt:i4>
      </vt:variant>
      <vt:variant>
        <vt:lpwstr/>
      </vt:variant>
      <vt:variant>
        <vt:lpwstr>_Toc148555894</vt:lpwstr>
      </vt:variant>
      <vt:variant>
        <vt:i4>1703988</vt:i4>
      </vt:variant>
      <vt:variant>
        <vt:i4>92</vt:i4>
      </vt:variant>
      <vt:variant>
        <vt:i4>0</vt:i4>
      </vt:variant>
      <vt:variant>
        <vt:i4>5</vt:i4>
      </vt:variant>
      <vt:variant>
        <vt:lpwstr/>
      </vt:variant>
      <vt:variant>
        <vt:lpwstr>_Toc148555893</vt:lpwstr>
      </vt:variant>
      <vt:variant>
        <vt:i4>1703988</vt:i4>
      </vt:variant>
      <vt:variant>
        <vt:i4>86</vt:i4>
      </vt:variant>
      <vt:variant>
        <vt:i4>0</vt:i4>
      </vt:variant>
      <vt:variant>
        <vt:i4>5</vt:i4>
      </vt:variant>
      <vt:variant>
        <vt:lpwstr/>
      </vt:variant>
      <vt:variant>
        <vt:lpwstr>_Toc148555892</vt:lpwstr>
      </vt:variant>
      <vt:variant>
        <vt:i4>1703988</vt:i4>
      </vt:variant>
      <vt:variant>
        <vt:i4>80</vt:i4>
      </vt:variant>
      <vt:variant>
        <vt:i4>0</vt:i4>
      </vt:variant>
      <vt:variant>
        <vt:i4>5</vt:i4>
      </vt:variant>
      <vt:variant>
        <vt:lpwstr/>
      </vt:variant>
      <vt:variant>
        <vt:lpwstr>_Toc148555891</vt:lpwstr>
      </vt:variant>
      <vt:variant>
        <vt:i4>1703988</vt:i4>
      </vt:variant>
      <vt:variant>
        <vt:i4>74</vt:i4>
      </vt:variant>
      <vt:variant>
        <vt:i4>0</vt:i4>
      </vt:variant>
      <vt:variant>
        <vt:i4>5</vt:i4>
      </vt:variant>
      <vt:variant>
        <vt:lpwstr/>
      </vt:variant>
      <vt:variant>
        <vt:lpwstr>_Toc148555890</vt:lpwstr>
      </vt:variant>
      <vt:variant>
        <vt:i4>1769524</vt:i4>
      </vt:variant>
      <vt:variant>
        <vt:i4>68</vt:i4>
      </vt:variant>
      <vt:variant>
        <vt:i4>0</vt:i4>
      </vt:variant>
      <vt:variant>
        <vt:i4>5</vt:i4>
      </vt:variant>
      <vt:variant>
        <vt:lpwstr/>
      </vt:variant>
      <vt:variant>
        <vt:lpwstr>_Toc148555889</vt:lpwstr>
      </vt:variant>
      <vt:variant>
        <vt:i4>1769524</vt:i4>
      </vt:variant>
      <vt:variant>
        <vt:i4>62</vt:i4>
      </vt:variant>
      <vt:variant>
        <vt:i4>0</vt:i4>
      </vt:variant>
      <vt:variant>
        <vt:i4>5</vt:i4>
      </vt:variant>
      <vt:variant>
        <vt:lpwstr/>
      </vt:variant>
      <vt:variant>
        <vt:lpwstr>_Toc148555882</vt:lpwstr>
      </vt:variant>
      <vt:variant>
        <vt:i4>1769524</vt:i4>
      </vt:variant>
      <vt:variant>
        <vt:i4>56</vt:i4>
      </vt:variant>
      <vt:variant>
        <vt:i4>0</vt:i4>
      </vt:variant>
      <vt:variant>
        <vt:i4>5</vt:i4>
      </vt:variant>
      <vt:variant>
        <vt:lpwstr/>
      </vt:variant>
      <vt:variant>
        <vt:lpwstr>_Toc148555881</vt:lpwstr>
      </vt:variant>
      <vt:variant>
        <vt:i4>1769524</vt:i4>
      </vt:variant>
      <vt:variant>
        <vt:i4>50</vt:i4>
      </vt:variant>
      <vt:variant>
        <vt:i4>0</vt:i4>
      </vt:variant>
      <vt:variant>
        <vt:i4>5</vt:i4>
      </vt:variant>
      <vt:variant>
        <vt:lpwstr/>
      </vt:variant>
      <vt:variant>
        <vt:lpwstr>_Toc148555880</vt:lpwstr>
      </vt:variant>
      <vt:variant>
        <vt:i4>1310772</vt:i4>
      </vt:variant>
      <vt:variant>
        <vt:i4>44</vt:i4>
      </vt:variant>
      <vt:variant>
        <vt:i4>0</vt:i4>
      </vt:variant>
      <vt:variant>
        <vt:i4>5</vt:i4>
      </vt:variant>
      <vt:variant>
        <vt:lpwstr/>
      </vt:variant>
      <vt:variant>
        <vt:lpwstr>_Toc148555879</vt:lpwstr>
      </vt:variant>
      <vt:variant>
        <vt:i4>1310772</vt:i4>
      </vt:variant>
      <vt:variant>
        <vt:i4>38</vt:i4>
      </vt:variant>
      <vt:variant>
        <vt:i4>0</vt:i4>
      </vt:variant>
      <vt:variant>
        <vt:i4>5</vt:i4>
      </vt:variant>
      <vt:variant>
        <vt:lpwstr/>
      </vt:variant>
      <vt:variant>
        <vt:lpwstr>_Toc148555878</vt:lpwstr>
      </vt:variant>
      <vt:variant>
        <vt:i4>1310772</vt:i4>
      </vt:variant>
      <vt:variant>
        <vt:i4>32</vt:i4>
      </vt:variant>
      <vt:variant>
        <vt:i4>0</vt:i4>
      </vt:variant>
      <vt:variant>
        <vt:i4>5</vt:i4>
      </vt:variant>
      <vt:variant>
        <vt:lpwstr/>
      </vt:variant>
      <vt:variant>
        <vt:lpwstr>_Toc148555877</vt:lpwstr>
      </vt:variant>
      <vt:variant>
        <vt:i4>1310772</vt:i4>
      </vt:variant>
      <vt:variant>
        <vt:i4>26</vt:i4>
      </vt:variant>
      <vt:variant>
        <vt:i4>0</vt:i4>
      </vt:variant>
      <vt:variant>
        <vt:i4>5</vt:i4>
      </vt:variant>
      <vt:variant>
        <vt:lpwstr/>
      </vt:variant>
      <vt:variant>
        <vt:lpwstr>_Toc148555876</vt:lpwstr>
      </vt:variant>
      <vt:variant>
        <vt:i4>1310772</vt:i4>
      </vt:variant>
      <vt:variant>
        <vt:i4>20</vt:i4>
      </vt:variant>
      <vt:variant>
        <vt:i4>0</vt:i4>
      </vt:variant>
      <vt:variant>
        <vt:i4>5</vt:i4>
      </vt:variant>
      <vt:variant>
        <vt:lpwstr/>
      </vt:variant>
      <vt:variant>
        <vt:lpwstr>_Toc148555875</vt:lpwstr>
      </vt:variant>
      <vt:variant>
        <vt:i4>1310772</vt:i4>
      </vt:variant>
      <vt:variant>
        <vt:i4>14</vt:i4>
      </vt:variant>
      <vt:variant>
        <vt:i4>0</vt:i4>
      </vt:variant>
      <vt:variant>
        <vt:i4>5</vt:i4>
      </vt:variant>
      <vt:variant>
        <vt:lpwstr/>
      </vt:variant>
      <vt:variant>
        <vt:lpwstr>_Toc148555874</vt:lpwstr>
      </vt:variant>
      <vt:variant>
        <vt:i4>1310772</vt:i4>
      </vt:variant>
      <vt:variant>
        <vt:i4>8</vt:i4>
      </vt:variant>
      <vt:variant>
        <vt:i4>0</vt:i4>
      </vt:variant>
      <vt:variant>
        <vt:i4>5</vt:i4>
      </vt:variant>
      <vt:variant>
        <vt:lpwstr/>
      </vt:variant>
      <vt:variant>
        <vt:lpwstr>_Toc148555873</vt:lpwstr>
      </vt:variant>
      <vt:variant>
        <vt:i4>1310772</vt:i4>
      </vt:variant>
      <vt:variant>
        <vt:i4>2</vt:i4>
      </vt:variant>
      <vt:variant>
        <vt:i4>0</vt:i4>
      </vt:variant>
      <vt:variant>
        <vt:i4>5</vt:i4>
      </vt:variant>
      <vt:variant>
        <vt:lpwstr/>
      </vt:variant>
      <vt:variant>
        <vt:lpwstr>_Toc148555872</vt:lpwstr>
      </vt:variant>
      <vt:variant>
        <vt:i4>2949213</vt:i4>
      </vt:variant>
      <vt:variant>
        <vt:i4>189</vt:i4>
      </vt:variant>
      <vt:variant>
        <vt:i4>0</vt:i4>
      </vt:variant>
      <vt:variant>
        <vt:i4>5</vt:i4>
      </vt:variant>
      <vt:variant>
        <vt:lpwstr>https://eur-lex.europa.eu/legal-content/EN/TXT/?uri=uriserv%3AOJ.L_.2018.328.01.0001.01.ENG</vt:lpwstr>
      </vt:variant>
      <vt:variant>
        <vt:lpwstr/>
      </vt:variant>
      <vt:variant>
        <vt:i4>5111838</vt:i4>
      </vt:variant>
      <vt:variant>
        <vt:i4>183</vt:i4>
      </vt:variant>
      <vt:variant>
        <vt:i4>0</vt:i4>
      </vt:variant>
      <vt:variant>
        <vt:i4>5</vt:i4>
      </vt:variant>
      <vt:variant>
        <vt:lpwstr>https://eur-lex.europa.eu/legal-content/EN/TXT/?uri=OJ%3AJOL_2023_231_R_0001&amp;qid=1695186598766</vt:lpwstr>
      </vt:variant>
      <vt:variant>
        <vt:lpwstr/>
      </vt:variant>
      <vt:variant>
        <vt:i4>6488171</vt:i4>
      </vt:variant>
      <vt:variant>
        <vt:i4>180</vt:i4>
      </vt:variant>
      <vt:variant>
        <vt:i4>0</vt:i4>
      </vt:variant>
      <vt:variant>
        <vt:i4>5</vt:i4>
      </vt:variant>
      <vt:variant>
        <vt:lpwstr>https://eur-lex.europa.eu/legal-content/EN/TXT/?uri=CELEX%3A22017A1207%2801%29</vt:lpwstr>
      </vt:variant>
      <vt:variant>
        <vt:lpwstr/>
      </vt:variant>
      <vt:variant>
        <vt:i4>7012364</vt:i4>
      </vt:variant>
      <vt:variant>
        <vt:i4>177</vt:i4>
      </vt:variant>
      <vt:variant>
        <vt:i4>0</vt:i4>
      </vt:variant>
      <vt:variant>
        <vt:i4>5</vt:i4>
      </vt:variant>
      <vt:variant>
        <vt:lpwstr>https://eur-lex.europa.eu/legal-content/EN/TXT/?uri=OJ:L_202302122</vt:lpwstr>
      </vt:variant>
      <vt:variant>
        <vt:lpwstr/>
      </vt:variant>
      <vt:variant>
        <vt:i4>5832734</vt:i4>
      </vt:variant>
      <vt:variant>
        <vt:i4>174</vt:i4>
      </vt:variant>
      <vt:variant>
        <vt:i4>0</vt:i4>
      </vt:variant>
      <vt:variant>
        <vt:i4>5</vt:i4>
      </vt:variant>
      <vt:variant>
        <vt:lpwstr>https://eur-lex.europa.eu/legal-content/EN/TXT/PDF/?uri=CELEX:02018R2066-20220101&amp;from=EN</vt:lpwstr>
      </vt:variant>
      <vt:variant>
        <vt:lpwstr/>
      </vt:variant>
      <vt:variant>
        <vt:i4>6226031</vt:i4>
      </vt:variant>
      <vt:variant>
        <vt:i4>171</vt:i4>
      </vt:variant>
      <vt:variant>
        <vt:i4>0</vt:i4>
      </vt:variant>
      <vt:variant>
        <vt:i4>5</vt:i4>
      </vt:variant>
      <vt:variant>
        <vt:lpwstr>https://eur-lex.europa.eu/legal-content/EN/TXT/?uri=uriserv:OJ.L_.2018.334.01.0001.01.ENG</vt:lpwstr>
      </vt:variant>
      <vt:variant>
        <vt:lpwstr/>
      </vt:variant>
      <vt:variant>
        <vt:i4>5767197</vt:i4>
      </vt:variant>
      <vt:variant>
        <vt:i4>168</vt:i4>
      </vt:variant>
      <vt:variant>
        <vt:i4>0</vt:i4>
      </vt:variant>
      <vt:variant>
        <vt:i4>5</vt:i4>
      </vt:variant>
      <vt:variant>
        <vt:lpwstr>https://eur-lex.europa.eu/legal-content/EN/TXT/PDF/?uri=CELEX:02018R2067-20210101&amp;from=EN</vt:lpwstr>
      </vt:variant>
      <vt:variant>
        <vt:lpwstr/>
      </vt:variant>
      <vt:variant>
        <vt:i4>7798790</vt:i4>
      </vt:variant>
      <vt:variant>
        <vt:i4>165</vt:i4>
      </vt:variant>
      <vt:variant>
        <vt:i4>0</vt:i4>
      </vt:variant>
      <vt:variant>
        <vt:i4>5</vt:i4>
      </vt:variant>
      <vt:variant>
        <vt:lpwstr>https://eur-lex.europa.eu/legal-content/EN/TXT/?toc=OJ:L:2018:334:TOC&amp;uri=uriserv:OJ.L_.2018.334.01.0094.01.ENG</vt:lpwstr>
      </vt:variant>
      <vt:variant>
        <vt:lpwstr/>
      </vt:variant>
      <vt:variant>
        <vt:i4>5832734</vt:i4>
      </vt:variant>
      <vt:variant>
        <vt:i4>162</vt:i4>
      </vt:variant>
      <vt:variant>
        <vt:i4>0</vt:i4>
      </vt:variant>
      <vt:variant>
        <vt:i4>5</vt:i4>
      </vt:variant>
      <vt:variant>
        <vt:lpwstr>https://eur-lex.europa.eu/legal-content/EN/TXT/PDF/?uri=CELEX:02018R2066-20220101&amp;from=EN</vt:lpwstr>
      </vt:variant>
      <vt:variant>
        <vt:lpwstr/>
      </vt:variant>
      <vt:variant>
        <vt:i4>655452</vt:i4>
      </vt:variant>
      <vt:variant>
        <vt:i4>159</vt:i4>
      </vt:variant>
      <vt:variant>
        <vt:i4>0</vt:i4>
      </vt:variant>
      <vt:variant>
        <vt:i4>5</vt:i4>
      </vt:variant>
      <vt:variant>
        <vt:lpwstr>https://www.iosco.org/library/pubdocs/pdf/IOSCOPD740.pdf</vt:lpwstr>
      </vt:variant>
      <vt:variant>
        <vt:lpwstr/>
      </vt:variant>
      <vt:variant>
        <vt:i4>6619236</vt:i4>
      </vt:variant>
      <vt:variant>
        <vt:i4>156</vt:i4>
      </vt:variant>
      <vt:variant>
        <vt:i4>0</vt:i4>
      </vt:variant>
      <vt:variant>
        <vt:i4>5</vt:i4>
      </vt:variant>
      <vt:variant>
        <vt:lpwstr>https://www.esma.europa.eu/document/final-report-emission-allowances-and-associated-derivatives</vt:lpwstr>
      </vt:variant>
      <vt:variant>
        <vt:lpwstr/>
      </vt:variant>
      <vt:variant>
        <vt:i4>6815871</vt:i4>
      </vt:variant>
      <vt:variant>
        <vt:i4>153</vt:i4>
      </vt:variant>
      <vt:variant>
        <vt:i4>0</vt:i4>
      </vt:variant>
      <vt:variant>
        <vt:i4>5</vt:i4>
      </vt:variant>
      <vt:variant>
        <vt:lpwstr>https://eur-lex.europa.eu/legal-content/EN/TXT/?uri=celex%3A32014R0596</vt:lpwstr>
      </vt:variant>
      <vt:variant>
        <vt:lpwstr/>
      </vt:variant>
      <vt:variant>
        <vt:i4>6357051</vt:i4>
      </vt:variant>
      <vt:variant>
        <vt:i4>150</vt:i4>
      </vt:variant>
      <vt:variant>
        <vt:i4>0</vt:i4>
      </vt:variant>
      <vt:variant>
        <vt:i4>5</vt:i4>
      </vt:variant>
      <vt:variant>
        <vt:lpwstr>https://www.esma.europa.eu/sites/default/files/mar.pdf</vt:lpwstr>
      </vt:variant>
      <vt:variant>
        <vt:lpwstr/>
      </vt:variant>
      <vt:variant>
        <vt:i4>7340144</vt:i4>
      </vt:variant>
      <vt:variant>
        <vt:i4>147</vt:i4>
      </vt:variant>
      <vt:variant>
        <vt:i4>0</vt:i4>
      </vt:variant>
      <vt:variant>
        <vt:i4>5</vt:i4>
      </vt:variant>
      <vt:variant>
        <vt:lpwstr>https://eur-lex.europa.eu/legal-content/EN/TXT/?uri=celex%3A32014L0065</vt:lpwstr>
      </vt:variant>
      <vt:variant>
        <vt:lpwstr/>
      </vt:variant>
      <vt:variant>
        <vt:i4>1703943</vt:i4>
      </vt:variant>
      <vt:variant>
        <vt:i4>144</vt:i4>
      </vt:variant>
      <vt:variant>
        <vt:i4>0</vt:i4>
      </vt:variant>
      <vt:variant>
        <vt:i4>5</vt:i4>
      </vt:variant>
      <vt:variant>
        <vt:lpwstr>https://eur-lex.europa.eu/legal-content/EN/ALL/?uri=CELEX:52021SC0603</vt:lpwstr>
      </vt:variant>
      <vt:variant>
        <vt:lpwstr/>
      </vt:variant>
      <vt:variant>
        <vt:i4>3014704</vt:i4>
      </vt:variant>
      <vt:variant>
        <vt:i4>141</vt:i4>
      </vt:variant>
      <vt:variant>
        <vt:i4>0</vt:i4>
      </vt:variant>
      <vt:variant>
        <vt:i4>5</vt:i4>
      </vt:variant>
      <vt:variant>
        <vt:lpwstr>https://www.eurocontrol.int/sites/default/files/2023-06/eurocontrol-european-aviation-overview-20230602.pdf</vt:lpwstr>
      </vt:variant>
      <vt:variant>
        <vt:lpwstr/>
      </vt:variant>
      <vt:variant>
        <vt:i4>458821</vt:i4>
      </vt:variant>
      <vt:variant>
        <vt:i4>138</vt:i4>
      </vt:variant>
      <vt:variant>
        <vt:i4>0</vt:i4>
      </vt:variant>
      <vt:variant>
        <vt:i4>5</vt:i4>
      </vt:variant>
      <vt:variant>
        <vt:lpwstr>https://eur-lex.europa.eu/legal-content/EN/TXT/?uri=CELEX:32013D0377</vt:lpwstr>
      </vt:variant>
      <vt:variant>
        <vt:lpwstr/>
      </vt:variant>
      <vt:variant>
        <vt:i4>262192</vt:i4>
      </vt:variant>
      <vt:variant>
        <vt:i4>135</vt:i4>
      </vt:variant>
      <vt:variant>
        <vt:i4>0</vt:i4>
      </vt:variant>
      <vt:variant>
        <vt:i4>5</vt:i4>
      </vt:variant>
      <vt:variant>
        <vt:lpwstr>https://eur-lex.europa.eu/legal-content/EN/TXT/?uri=uriserv%3AOJ.C_.2023.172.01.0001.01.ENG&amp;toc=OJ%3AC%3A2023%3A172%3ATOC</vt:lpwstr>
      </vt:variant>
      <vt:variant>
        <vt:lpwstr/>
      </vt:variant>
      <vt:variant>
        <vt:i4>7602274</vt:i4>
      </vt:variant>
      <vt:variant>
        <vt:i4>132</vt:i4>
      </vt:variant>
      <vt:variant>
        <vt:i4>0</vt:i4>
      </vt:variant>
      <vt:variant>
        <vt:i4>5</vt:i4>
      </vt:variant>
      <vt:variant>
        <vt:lpwstr>https://eur-lex.europa.eu/legal-content/EN/TXT/?uri=CELEX%3A02018L2001-20220607</vt:lpwstr>
      </vt:variant>
      <vt:variant>
        <vt:lpwstr/>
      </vt:variant>
      <vt:variant>
        <vt:i4>5242982</vt:i4>
      </vt:variant>
      <vt:variant>
        <vt:i4>129</vt:i4>
      </vt:variant>
      <vt:variant>
        <vt:i4>0</vt:i4>
      </vt:variant>
      <vt:variant>
        <vt:i4>5</vt:i4>
      </vt:variant>
      <vt:variant>
        <vt:lpwstr>https://eur-lex.europa.eu/legal-content/EN/TXT/?uri=uriserv:OJ.L_.2018.328.01.0082.01.ENG</vt:lpwstr>
      </vt:variant>
      <vt:variant>
        <vt:lpwstr/>
      </vt:variant>
      <vt:variant>
        <vt:i4>5832734</vt:i4>
      </vt:variant>
      <vt:variant>
        <vt:i4>126</vt:i4>
      </vt:variant>
      <vt:variant>
        <vt:i4>0</vt:i4>
      </vt:variant>
      <vt:variant>
        <vt:i4>5</vt:i4>
      </vt:variant>
      <vt:variant>
        <vt:lpwstr>https://eur-lex.europa.eu/legal-content/EN/TXT/PDF/?uri=CELEX:02018R2066-20220101&amp;from=EN</vt:lpwstr>
      </vt:variant>
      <vt:variant>
        <vt:lpwstr/>
      </vt:variant>
      <vt:variant>
        <vt:i4>6553703</vt:i4>
      </vt:variant>
      <vt:variant>
        <vt:i4>123</vt:i4>
      </vt:variant>
      <vt:variant>
        <vt:i4>0</vt:i4>
      </vt:variant>
      <vt:variant>
        <vt:i4>5</vt:i4>
      </vt:variant>
      <vt:variant>
        <vt:lpwstr>https://eur-lex.europa.eu/legal-content/EN/ALL/?uri=CELEX%3A32020R1001</vt:lpwstr>
      </vt:variant>
      <vt:variant>
        <vt:lpwstr/>
      </vt:variant>
      <vt:variant>
        <vt:i4>7602288</vt:i4>
      </vt:variant>
      <vt:variant>
        <vt:i4>120</vt:i4>
      </vt:variant>
      <vt:variant>
        <vt:i4>0</vt:i4>
      </vt:variant>
      <vt:variant>
        <vt:i4>5</vt:i4>
      </vt:variant>
      <vt:variant>
        <vt:lpwstr>https://eur-lex.europa.eu/legal-content/EN/ALL/?uri=COM%3A2023%3A156%3AFIN</vt:lpwstr>
      </vt:variant>
      <vt:variant>
        <vt:lpwstr/>
      </vt:variant>
      <vt:variant>
        <vt:i4>1769549</vt:i4>
      </vt:variant>
      <vt:variant>
        <vt:i4>117</vt:i4>
      </vt:variant>
      <vt:variant>
        <vt:i4>0</vt:i4>
      </vt:variant>
      <vt:variant>
        <vt:i4>5</vt:i4>
      </vt:variant>
      <vt:variant>
        <vt:lpwstr>https://eur-lex.europa.eu/legal-content/en/TXT/?uri=CELEX:32019R0856</vt:lpwstr>
      </vt:variant>
      <vt:variant>
        <vt:lpwstr/>
      </vt:variant>
      <vt:variant>
        <vt:i4>8323183</vt:i4>
      </vt:variant>
      <vt:variant>
        <vt:i4>114</vt:i4>
      </vt:variant>
      <vt:variant>
        <vt:i4>0</vt:i4>
      </vt:variant>
      <vt:variant>
        <vt:i4>5</vt:i4>
      </vt:variant>
      <vt:variant>
        <vt:lpwstr>https://ec.europa.eu/commission/presscorner/detail/en/ip_23_3787</vt:lpwstr>
      </vt:variant>
      <vt:variant>
        <vt:lpwstr/>
      </vt:variant>
      <vt:variant>
        <vt:i4>1835109</vt:i4>
      </vt:variant>
      <vt:variant>
        <vt:i4>108</vt:i4>
      </vt:variant>
      <vt:variant>
        <vt:i4>0</vt:i4>
      </vt:variant>
      <vt:variant>
        <vt:i4>5</vt:i4>
      </vt:variant>
      <vt:variant>
        <vt:lpwstr>https://dashboard.tech.ec.europa.eu/qs_digit_dashboard_mt/public/sense/app/6e4815c8-1f4c-4664-b9ca-8454f77d758d/sheet/bac47ac8-b5c7-4cd1-87ad-9f8d6d238eae/state/analysis</vt:lpwstr>
      </vt:variant>
      <vt:variant>
        <vt:lpwstr/>
      </vt:variant>
      <vt:variant>
        <vt:i4>1769573</vt:i4>
      </vt:variant>
      <vt:variant>
        <vt:i4>105</vt:i4>
      </vt:variant>
      <vt:variant>
        <vt:i4>0</vt:i4>
      </vt:variant>
      <vt:variant>
        <vt:i4>5</vt:i4>
      </vt:variant>
      <vt:variant>
        <vt:lpwstr>https://cinea.ec.europa.eu/news-events/news/16-grants-eus-innovation-fund-awarded-projects-across-europe-2023-06-06_en</vt:lpwstr>
      </vt:variant>
      <vt:variant>
        <vt:lpwstr/>
      </vt:variant>
      <vt:variant>
        <vt:i4>8323105</vt:i4>
      </vt:variant>
      <vt:variant>
        <vt:i4>102</vt:i4>
      </vt:variant>
      <vt:variant>
        <vt:i4>0</vt:i4>
      </vt:variant>
      <vt:variant>
        <vt:i4>5</vt:i4>
      </vt:variant>
      <vt:variant>
        <vt:lpwstr>https://eur-lex.europa.eu/legal-content/EN/TXT/?uri=CELEX%3A52022DC0416</vt:lpwstr>
      </vt:variant>
      <vt:variant>
        <vt:lpwstr/>
      </vt:variant>
      <vt:variant>
        <vt:i4>8257596</vt:i4>
      </vt:variant>
      <vt:variant>
        <vt:i4>90</vt:i4>
      </vt:variant>
      <vt:variant>
        <vt:i4>0</vt:i4>
      </vt:variant>
      <vt:variant>
        <vt:i4>5</vt:i4>
      </vt:variant>
      <vt:variant>
        <vt:lpwstr>https://eur-lex.europa.eu/legal-content/EN/TXT/?uri=CELEX%3A52020XC0925%2801%29</vt:lpwstr>
      </vt:variant>
      <vt:variant>
        <vt:lpwstr/>
      </vt:variant>
      <vt:variant>
        <vt:i4>7471141</vt:i4>
      </vt:variant>
      <vt:variant>
        <vt:i4>87</vt:i4>
      </vt:variant>
      <vt:variant>
        <vt:i4>0</vt:i4>
      </vt:variant>
      <vt:variant>
        <vt:i4>5</vt:i4>
      </vt:variant>
      <vt:variant>
        <vt:lpwstr>https://eur-lex.europa.eu/legal-content/EN/ALL/?uri=CELEX%3A52012XC0605%2801%29</vt:lpwstr>
      </vt:variant>
      <vt:variant>
        <vt:lpwstr/>
      </vt:variant>
      <vt:variant>
        <vt:i4>2752533</vt:i4>
      </vt:variant>
      <vt:variant>
        <vt:i4>84</vt:i4>
      </vt:variant>
      <vt:variant>
        <vt:i4>0</vt:i4>
      </vt:variant>
      <vt:variant>
        <vt:i4>5</vt:i4>
      </vt:variant>
      <vt:variant>
        <vt:lpwstr>https://taxation-customs.ec.europa.eu/news/commission-adopts-detailed-reporting-rules-carbon-border-adjustment-mechanisms-transitional-phase-2023-08-17_en</vt:lpwstr>
      </vt:variant>
      <vt:variant>
        <vt:lpwstr>:~:text=On%2017%20August%202023%2C%20the,until%20the%20end%20of%202025.</vt:lpwstr>
      </vt:variant>
      <vt:variant>
        <vt:i4>131187</vt:i4>
      </vt:variant>
      <vt:variant>
        <vt:i4>81</vt:i4>
      </vt:variant>
      <vt:variant>
        <vt:i4>0</vt:i4>
      </vt:variant>
      <vt:variant>
        <vt:i4>5</vt:i4>
      </vt:variant>
      <vt:variant>
        <vt:lpwstr>https://eur-lex.europa.eu/eli/reg_impl/2019/1842/oj</vt:lpwstr>
      </vt:variant>
      <vt:variant>
        <vt:lpwstr/>
      </vt:variant>
      <vt:variant>
        <vt:i4>5242981</vt:i4>
      </vt:variant>
      <vt:variant>
        <vt:i4>78</vt:i4>
      </vt:variant>
      <vt:variant>
        <vt:i4>0</vt:i4>
      </vt:variant>
      <vt:variant>
        <vt:i4>5</vt:i4>
      </vt:variant>
      <vt:variant>
        <vt:lpwstr>https://eur-lex.europa.eu/eli/reg_impl/2021/447</vt:lpwstr>
      </vt:variant>
      <vt:variant>
        <vt:lpwstr/>
      </vt:variant>
      <vt:variant>
        <vt:i4>8192066</vt:i4>
      </vt:variant>
      <vt:variant>
        <vt:i4>75</vt:i4>
      </vt:variant>
      <vt:variant>
        <vt:i4>0</vt:i4>
      </vt:variant>
      <vt:variant>
        <vt:i4>5</vt:i4>
      </vt:variant>
      <vt:variant>
        <vt:lpwstr>https://eur-lex.europa.eu/legal-content/EN/TXT/?uri=uriserv%3AOJ.L_.2019.120.01.0020.01.ENG&amp;toc=OJ%3AL%3A2019%3A120%3AFULL</vt:lpwstr>
      </vt:variant>
      <vt:variant>
        <vt:lpwstr/>
      </vt:variant>
      <vt:variant>
        <vt:i4>7733258</vt:i4>
      </vt:variant>
      <vt:variant>
        <vt:i4>72</vt:i4>
      </vt:variant>
      <vt:variant>
        <vt:i4>0</vt:i4>
      </vt:variant>
      <vt:variant>
        <vt:i4>5</vt:i4>
      </vt:variant>
      <vt:variant>
        <vt:lpwstr>https://climate.ec.europa.eu/eu-action/eu-emissions-trading-system-eu-ets/auctioning_en</vt:lpwstr>
      </vt:variant>
      <vt:variant>
        <vt:lpwstr>documentation</vt:lpwstr>
      </vt:variant>
      <vt:variant>
        <vt:i4>4259934</vt:i4>
      </vt:variant>
      <vt:variant>
        <vt:i4>69</vt:i4>
      </vt:variant>
      <vt:variant>
        <vt:i4>0</vt:i4>
      </vt:variant>
      <vt:variant>
        <vt:i4>5</vt:i4>
      </vt:variant>
      <vt:variant>
        <vt:lpwstr>https://www.eex.com/en/market-data/environmentals/eu-ets-auctions</vt:lpwstr>
      </vt:variant>
      <vt:variant>
        <vt:lpwstr/>
      </vt:variant>
      <vt:variant>
        <vt:i4>7798872</vt:i4>
      </vt:variant>
      <vt:variant>
        <vt:i4>66</vt:i4>
      </vt:variant>
      <vt:variant>
        <vt:i4>0</vt:i4>
      </vt:variant>
      <vt:variant>
        <vt:i4>5</vt:i4>
      </vt:variant>
      <vt:variant>
        <vt:lpwstr>https://climate.ec.europa.eu/news-your-voice/news/revised-2023-auction-calendar-published-2023-06-21_en</vt:lpwstr>
      </vt:variant>
      <vt:variant>
        <vt:lpwstr/>
      </vt:variant>
      <vt:variant>
        <vt:i4>6946928</vt:i4>
      </vt:variant>
      <vt:variant>
        <vt:i4>63</vt:i4>
      </vt:variant>
      <vt:variant>
        <vt:i4>0</vt:i4>
      </vt:variant>
      <vt:variant>
        <vt:i4>5</vt:i4>
      </vt:variant>
      <vt:variant>
        <vt:lpwstr>https://eur-lex.europa.eu/legal-content/EN/TXT/?uri=celex%3A32010R1031</vt:lpwstr>
      </vt:variant>
      <vt:variant>
        <vt:lpwstr/>
      </vt:variant>
      <vt:variant>
        <vt:i4>5898244</vt:i4>
      </vt:variant>
      <vt:variant>
        <vt:i4>60</vt:i4>
      </vt:variant>
      <vt:variant>
        <vt:i4>0</vt:i4>
      </vt:variant>
      <vt:variant>
        <vt:i4>5</vt:i4>
      </vt:variant>
      <vt:variant>
        <vt:lpwstr>https://eur-lex.europa.eu/legal-content/EN/TXT/?uri=CELEX%3A32023D1575&amp;qid=1693214641229</vt:lpwstr>
      </vt:variant>
      <vt:variant>
        <vt:lpwstr/>
      </vt:variant>
      <vt:variant>
        <vt:i4>7012466</vt:i4>
      </vt:variant>
      <vt:variant>
        <vt:i4>54</vt:i4>
      </vt:variant>
      <vt:variant>
        <vt:i4>0</vt:i4>
      </vt:variant>
      <vt:variant>
        <vt:i4>5</vt:i4>
      </vt:variant>
      <vt:variant>
        <vt:lpwstr>https://eur-lex.europa.eu/legal-content/EN/TXT/?uri=celex%3A32015R0757</vt:lpwstr>
      </vt:variant>
      <vt:variant>
        <vt:lpwstr/>
      </vt:variant>
      <vt:variant>
        <vt:i4>5832800</vt:i4>
      </vt:variant>
      <vt:variant>
        <vt:i4>51</vt:i4>
      </vt:variant>
      <vt:variant>
        <vt:i4>0</vt:i4>
      </vt:variant>
      <vt:variant>
        <vt:i4>5</vt:i4>
      </vt:variant>
      <vt:variant>
        <vt:lpwstr>https://climate.ec.europa.eu/system/files/2023-03/swd_2023_54_en.pdf</vt:lpwstr>
      </vt:variant>
      <vt:variant>
        <vt:lpwstr/>
      </vt:variant>
      <vt:variant>
        <vt:i4>5701717</vt:i4>
      </vt:variant>
      <vt:variant>
        <vt:i4>45</vt:i4>
      </vt:variant>
      <vt:variant>
        <vt:i4>0</vt:i4>
      </vt:variant>
      <vt:variant>
        <vt:i4>5</vt:i4>
      </vt:variant>
      <vt:variant>
        <vt:lpwstr>https://eur-lex.europa.eu/eli/reg/2023/435/oj</vt:lpwstr>
      </vt:variant>
      <vt:variant>
        <vt:lpwstr/>
      </vt:variant>
      <vt:variant>
        <vt:i4>8192098</vt:i4>
      </vt:variant>
      <vt:variant>
        <vt:i4>42</vt:i4>
      </vt:variant>
      <vt:variant>
        <vt:i4>0</vt:i4>
      </vt:variant>
      <vt:variant>
        <vt:i4>5</vt:i4>
      </vt:variant>
      <vt:variant>
        <vt:lpwstr>https://eur-lex.europa.eu/legal-content/EN/TXT/?uri=COM%3A2022%3A230%3AFIN</vt:lpwstr>
      </vt:variant>
      <vt:variant>
        <vt:lpwstr/>
      </vt:variant>
      <vt:variant>
        <vt:i4>4587532</vt:i4>
      </vt:variant>
      <vt:variant>
        <vt:i4>36</vt:i4>
      </vt:variant>
      <vt:variant>
        <vt:i4>0</vt:i4>
      </vt:variant>
      <vt:variant>
        <vt:i4>5</vt:i4>
      </vt:variant>
      <vt:variant>
        <vt:lpwstr>https://eur-lex.europa.eu/legal-content/EN/TXT/?uri=CELEX%3A32023R0956&amp;qid=1692623128952</vt:lpwstr>
      </vt:variant>
      <vt:variant>
        <vt:lpwstr/>
      </vt:variant>
      <vt:variant>
        <vt:i4>5111813</vt:i4>
      </vt:variant>
      <vt:variant>
        <vt:i4>33</vt:i4>
      </vt:variant>
      <vt:variant>
        <vt:i4>0</vt:i4>
      </vt:variant>
      <vt:variant>
        <vt:i4>5</vt:i4>
      </vt:variant>
      <vt:variant>
        <vt:lpwstr>https://eur-lex.europa.eu/legal-content/EN/TXT/?uri=CELEX%3A32023R0955&amp;qid=1692622985398</vt:lpwstr>
      </vt:variant>
      <vt:variant>
        <vt:lpwstr/>
      </vt:variant>
      <vt:variant>
        <vt:i4>3604604</vt:i4>
      </vt:variant>
      <vt:variant>
        <vt:i4>30</vt:i4>
      </vt:variant>
      <vt:variant>
        <vt:i4>0</vt:i4>
      </vt:variant>
      <vt:variant>
        <vt:i4>5</vt:i4>
      </vt:variant>
      <vt:variant>
        <vt:lpwstr>https://eur-lex.europa.eu/eli/reg/2023/957</vt:lpwstr>
      </vt:variant>
      <vt:variant>
        <vt:lpwstr/>
      </vt:variant>
      <vt:variant>
        <vt:i4>7798900</vt:i4>
      </vt:variant>
      <vt:variant>
        <vt:i4>27</vt:i4>
      </vt:variant>
      <vt:variant>
        <vt:i4>0</vt:i4>
      </vt:variant>
      <vt:variant>
        <vt:i4>5</vt:i4>
      </vt:variant>
      <vt:variant>
        <vt:lpwstr>https://eur-lex.europa.eu/legal-content/EN/TXT/?uri=celex%3A32023L0958</vt:lpwstr>
      </vt:variant>
      <vt:variant>
        <vt:lpwstr/>
      </vt:variant>
      <vt:variant>
        <vt:i4>7929970</vt:i4>
      </vt:variant>
      <vt:variant>
        <vt:i4>24</vt:i4>
      </vt:variant>
      <vt:variant>
        <vt:i4>0</vt:i4>
      </vt:variant>
      <vt:variant>
        <vt:i4>5</vt:i4>
      </vt:variant>
      <vt:variant>
        <vt:lpwstr>https://eur-lex.europa.eu/legal-content/EN/TXT/?uri=celex%3A32023D0136</vt:lpwstr>
      </vt:variant>
      <vt:variant>
        <vt:lpwstr/>
      </vt:variant>
      <vt:variant>
        <vt:i4>65615</vt:i4>
      </vt:variant>
      <vt:variant>
        <vt:i4>21</vt:i4>
      </vt:variant>
      <vt:variant>
        <vt:i4>0</vt:i4>
      </vt:variant>
      <vt:variant>
        <vt:i4>5</vt:i4>
      </vt:variant>
      <vt:variant>
        <vt:lpwstr>https://eur-lex.europa.eu/legal-content/EN/TXT/?uri=CELEX%3A02015D1814-20230515&amp;qid=1692646293120</vt:lpwstr>
      </vt:variant>
      <vt:variant>
        <vt:lpwstr/>
      </vt:variant>
      <vt:variant>
        <vt:i4>7602292</vt:i4>
      </vt:variant>
      <vt:variant>
        <vt:i4>18</vt:i4>
      </vt:variant>
      <vt:variant>
        <vt:i4>0</vt:i4>
      </vt:variant>
      <vt:variant>
        <vt:i4>5</vt:i4>
      </vt:variant>
      <vt:variant>
        <vt:lpwstr>https://eur-lex.europa.eu/legal-content/EN/TXT/?uri=celex%3A32023D0852</vt:lpwstr>
      </vt:variant>
      <vt:variant>
        <vt:lpwstr/>
      </vt:variant>
      <vt:variant>
        <vt:i4>7536738</vt:i4>
      </vt:variant>
      <vt:variant>
        <vt:i4>15</vt:i4>
      </vt:variant>
      <vt:variant>
        <vt:i4>0</vt:i4>
      </vt:variant>
      <vt:variant>
        <vt:i4>5</vt:i4>
      </vt:variant>
      <vt:variant>
        <vt:lpwstr>https://eur-lex.europa.eu/legal-content/EN/TXT/?uri=CELEX%3A02003L0087-20230605</vt:lpwstr>
      </vt:variant>
      <vt:variant>
        <vt:lpwstr/>
      </vt:variant>
      <vt:variant>
        <vt:i4>7733364</vt:i4>
      </vt:variant>
      <vt:variant>
        <vt:i4>12</vt:i4>
      </vt:variant>
      <vt:variant>
        <vt:i4>0</vt:i4>
      </vt:variant>
      <vt:variant>
        <vt:i4>5</vt:i4>
      </vt:variant>
      <vt:variant>
        <vt:lpwstr>https://eur-lex.europa.eu/legal-content/EN/TXT/?uri=celex%3A32023L0959</vt:lpwstr>
      </vt:variant>
      <vt:variant>
        <vt:lpwstr/>
      </vt:variant>
      <vt:variant>
        <vt:i4>7536761</vt:i4>
      </vt:variant>
      <vt:variant>
        <vt:i4>9</vt:i4>
      </vt:variant>
      <vt:variant>
        <vt:i4>0</vt:i4>
      </vt:variant>
      <vt:variant>
        <vt:i4>5</vt:i4>
      </vt:variant>
      <vt:variant>
        <vt:lpwstr>https://eur-lex.europa.eu/legal-content/EN/TXT/?uri=celex%3A32003L0087</vt:lpwstr>
      </vt:variant>
      <vt:variant>
        <vt:lpwstr/>
      </vt:variant>
      <vt:variant>
        <vt:i4>1376353</vt:i4>
      </vt:variant>
      <vt:variant>
        <vt:i4>6</vt:i4>
      </vt:variant>
      <vt:variant>
        <vt:i4>0</vt:i4>
      </vt:variant>
      <vt:variant>
        <vt:i4>5</vt:i4>
      </vt:variant>
      <vt:variant>
        <vt:lpwstr>https://climate.ec.europa.eu/news-your-voice/news/delivering-european-green-deal-2021-07-14_en</vt:lpwstr>
      </vt:variant>
      <vt:variant>
        <vt:lpwstr/>
      </vt:variant>
      <vt:variant>
        <vt:i4>1966144</vt:i4>
      </vt:variant>
      <vt:variant>
        <vt:i4>3</vt:i4>
      </vt:variant>
      <vt:variant>
        <vt:i4>0</vt:i4>
      </vt:variant>
      <vt:variant>
        <vt:i4>5</vt:i4>
      </vt:variant>
      <vt:variant>
        <vt:lpwstr>https://eur-lex.europa.eu/legal-content/EN/TXT/?uri=CELEX:32021R1119</vt:lpwstr>
      </vt:variant>
      <vt:variant>
        <vt:lpwstr/>
      </vt:variant>
      <vt:variant>
        <vt:i4>4259910</vt:i4>
      </vt:variant>
      <vt:variant>
        <vt:i4>0</vt:i4>
      </vt:variant>
      <vt:variant>
        <vt:i4>0</vt:i4>
      </vt:variant>
      <vt:variant>
        <vt:i4>5</vt:i4>
      </vt:variant>
      <vt:variant>
        <vt:lpwstr>https://www.eea.europa.eu/data-and-maps/dashboards/emissions-trading-viewer-1</vt:lpwstr>
      </vt:variant>
      <vt:variant>
        <vt:lpwstr/>
      </vt:variant>
      <vt:variant>
        <vt:i4>2818133</vt:i4>
      </vt:variant>
      <vt:variant>
        <vt:i4>33</vt:i4>
      </vt:variant>
      <vt:variant>
        <vt:i4>0</vt:i4>
      </vt:variant>
      <vt:variant>
        <vt:i4>5</vt:i4>
      </vt:variant>
      <vt:variant>
        <vt:lpwstr>https://myintracomm-collab.ec.europa.eu/networks/dgtedit/Knowledge_base/clear-writing-tips/Lists/Posts/Post.aspx?ID=421</vt:lpwstr>
      </vt:variant>
      <vt:variant>
        <vt:lpwstr/>
      </vt:variant>
      <vt:variant>
        <vt:i4>7077890</vt:i4>
      </vt:variant>
      <vt:variant>
        <vt:i4>30</vt:i4>
      </vt:variant>
      <vt:variant>
        <vt:i4>0</vt:i4>
      </vt:variant>
      <vt:variant>
        <vt:i4>5</vt:i4>
      </vt:variant>
      <vt:variant>
        <vt:lpwstr>https://climate.ec.europa.eu/news-your-voice/news/promoting-innovative-cleantech-72-applications-innovation-funds-3rd-small-scale-call-2023-09-29_en</vt:lpwstr>
      </vt:variant>
      <vt:variant>
        <vt:lpwstr/>
      </vt:variant>
      <vt:variant>
        <vt:i4>2293785</vt:i4>
      </vt:variant>
      <vt:variant>
        <vt:i4>27</vt:i4>
      </vt:variant>
      <vt:variant>
        <vt:i4>0</vt:i4>
      </vt:variant>
      <vt:variant>
        <vt:i4>5</vt:i4>
      </vt:variant>
      <vt:variant>
        <vt:lpwstr>mailto:Johan.WICKSTROM@ec.europa.eu</vt:lpwstr>
      </vt:variant>
      <vt:variant>
        <vt:lpwstr/>
      </vt:variant>
      <vt:variant>
        <vt:i4>4849771</vt:i4>
      </vt:variant>
      <vt:variant>
        <vt:i4>24</vt:i4>
      </vt:variant>
      <vt:variant>
        <vt:i4>0</vt:i4>
      </vt:variant>
      <vt:variant>
        <vt:i4>5</vt:i4>
      </vt:variant>
      <vt:variant>
        <vt:lpwstr>mailto:Madalina.RADULESCU@ec.europa.eu</vt:lpwstr>
      </vt:variant>
      <vt:variant>
        <vt:lpwstr/>
      </vt:variant>
      <vt:variant>
        <vt:i4>4849771</vt:i4>
      </vt:variant>
      <vt:variant>
        <vt:i4>21</vt:i4>
      </vt:variant>
      <vt:variant>
        <vt:i4>0</vt:i4>
      </vt:variant>
      <vt:variant>
        <vt:i4>5</vt:i4>
      </vt:variant>
      <vt:variant>
        <vt:lpwstr>mailto:Madalina.RADULESCU@ec.europa.eu</vt:lpwstr>
      </vt:variant>
      <vt:variant>
        <vt:lpwstr/>
      </vt:variant>
      <vt:variant>
        <vt:i4>6357084</vt:i4>
      </vt:variant>
      <vt:variant>
        <vt:i4>18</vt:i4>
      </vt:variant>
      <vt:variant>
        <vt:i4>0</vt:i4>
      </vt:variant>
      <vt:variant>
        <vt:i4>5</vt:i4>
      </vt:variant>
      <vt:variant>
        <vt:lpwstr>mailto:Matthieu.MOULONGUET@ec.europa.eu</vt:lpwstr>
      </vt:variant>
      <vt:variant>
        <vt:lpwstr/>
      </vt:variant>
      <vt:variant>
        <vt:i4>4849771</vt:i4>
      </vt:variant>
      <vt:variant>
        <vt:i4>15</vt:i4>
      </vt:variant>
      <vt:variant>
        <vt:i4>0</vt:i4>
      </vt:variant>
      <vt:variant>
        <vt:i4>5</vt:i4>
      </vt:variant>
      <vt:variant>
        <vt:lpwstr>mailto:Madalina.RADULESCU@ec.europa.eu</vt:lpwstr>
      </vt:variant>
      <vt:variant>
        <vt:lpwstr/>
      </vt:variant>
      <vt:variant>
        <vt:i4>4194424</vt:i4>
      </vt:variant>
      <vt:variant>
        <vt:i4>12</vt:i4>
      </vt:variant>
      <vt:variant>
        <vt:i4>0</vt:i4>
      </vt:variant>
      <vt:variant>
        <vt:i4>5</vt:i4>
      </vt:variant>
      <vt:variant>
        <vt:lpwstr>mailto:Julia.ZIEMANN@ec.europa.eu</vt:lpwstr>
      </vt:variant>
      <vt:variant>
        <vt:lpwstr/>
      </vt:variant>
      <vt:variant>
        <vt:i4>6357084</vt:i4>
      </vt:variant>
      <vt:variant>
        <vt:i4>9</vt:i4>
      </vt:variant>
      <vt:variant>
        <vt:i4>0</vt:i4>
      </vt:variant>
      <vt:variant>
        <vt:i4>5</vt:i4>
      </vt:variant>
      <vt:variant>
        <vt:lpwstr>mailto:Matthieu.MOULONGUET@ec.europa.eu</vt:lpwstr>
      </vt:variant>
      <vt:variant>
        <vt:lpwstr/>
      </vt:variant>
      <vt:variant>
        <vt:i4>4849771</vt:i4>
      </vt:variant>
      <vt:variant>
        <vt:i4>6</vt:i4>
      </vt:variant>
      <vt:variant>
        <vt:i4>0</vt:i4>
      </vt:variant>
      <vt:variant>
        <vt:i4>5</vt:i4>
      </vt:variant>
      <vt:variant>
        <vt:lpwstr>mailto:Madalina.RADULESCU@ec.europa.eu</vt:lpwstr>
      </vt:variant>
      <vt:variant>
        <vt:lpwstr/>
      </vt:variant>
      <vt:variant>
        <vt:i4>4915305</vt:i4>
      </vt:variant>
      <vt:variant>
        <vt:i4>3</vt:i4>
      </vt:variant>
      <vt:variant>
        <vt:i4>0</vt:i4>
      </vt:variant>
      <vt:variant>
        <vt:i4>5</vt:i4>
      </vt:variant>
      <vt:variant>
        <vt:lpwstr>mailto:Dimitar.NIKOV@ec.europa.eu</vt:lpwstr>
      </vt:variant>
      <vt:variant>
        <vt:lpwstr/>
      </vt:variant>
      <vt:variant>
        <vt:i4>2097195</vt:i4>
      </vt:variant>
      <vt:variant>
        <vt:i4>0</vt:i4>
      </vt:variant>
      <vt:variant>
        <vt:i4>0</vt:i4>
      </vt:variant>
      <vt:variant>
        <vt:i4>5</vt:i4>
      </vt:variant>
      <vt:variant>
        <vt:lpwstr>https://myintracomm.ec.europa.eu/sg/Documents/commission_style_guide.pdf</vt:lpwstr>
      </vt:variant>
      <vt:variant>
        <vt:lpwstr>page=34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29</cp:revision>
  <cp:lastPrinted>2023-09-01T13:28:00Z</cp:lastPrinted>
  <dcterms:created xsi:type="dcterms:W3CDTF">2023-10-23T13:18:00Z</dcterms:created>
  <dcterms:modified xsi:type="dcterms:W3CDTF">2023-10-24T06:57:00Z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2023-06-13T13:15:14Z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84029d43-91c0-48c7-b802-7fd1b2cda836</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CP-006</vt:lpwstr>
  </property>
  <property fmtid="{D5CDD505-2E9C-101B-9397-08002B2CF9AE}" pid="14" name="Last edited using">
    <vt:lpwstr>LW 9.0, Build 20230317</vt:lpwstr>
  </property>
  <property fmtid="{D5CDD505-2E9C-101B-9397-08002B2CF9AE}" pid="15" name="Created using">
    <vt:lpwstr>LW 9.0, Build 20230317</vt:lpwstr>
  </property>
</Properties>
</file>