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8432C" w14:textId="1D16E7F9" w:rsidR="001A596D" w:rsidRDefault="00EC12B2" w:rsidP="00EC12B2">
      <w:pPr>
        <w:pStyle w:val="Pagedecouverture"/>
        <w:rPr>
          <w:noProof/>
        </w:rPr>
      </w:pPr>
      <w:bookmarkStart w:id="0" w:name="LW_BM_COVERPAGE"/>
      <w:r>
        <w:rPr>
          <w:noProof/>
        </w:rPr>
        <w:pict w14:anchorId="601F6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2E40EA4-BE44-46C7-90FE-3F436740AF5B" style="width:455.25pt;height:393pt">
            <v:imagedata r:id="rId10" o:title=""/>
          </v:shape>
        </w:pict>
      </w:r>
    </w:p>
    <w:bookmarkEnd w:id="0"/>
    <w:p w14:paraId="0814604A" w14:textId="4C1B0053" w:rsidR="00815519" w:rsidRPr="00815519" w:rsidRDefault="00815519" w:rsidP="00815519">
      <w:pPr>
        <w:pStyle w:val="Pagedecouverture"/>
        <w:rPr>
          <w:noProof/>
        </w:rPr>
        <w:sectPr w:rsidR="00815519" w:rsidRPr="00815519" w:rsidSect="00EC12B2">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14:paraId="21B9ED2C" w14:textId="332EA921" w:rsidR="00017D64" w:rsidRPr="00753CB7" w:rsidRDefault="00017D64" w:rsidP="00017D64">
      <w:pPr>
        <w:rPr>
          <w:b/>
          <w:noProof/>
        </w:rPr>
      </w:pPr>
      <w:bookmarkStart w:id="1" w:name="_GoBack"/>
      <w:bookmarkEnd w:id="1"/>
      <w:r w:rsidRPr="00753CB7">
        <w:rPr>
          <w:b/>
          <w:noProof/>
        </w:rPr>
        <w:lastRenderedPageBreak/>
        <w:t xml:space="preserve">Report on the additional period for fulfilling commitments under the Kyoto Protocol </w:t>
      </w:r>
    </w:p>
    <w:p w14:paraId="14F53B85" w14:textId="4C4E3077" w:rsidR="00EC783A" w:rsidRDefault="39AE072F" w:rsidP="00A34181">
      <w:pPr>
        <w:rPr>
          <w:noProof/>
        </w:rPr>
      </w:pPr>
      <w:r>
        <w:rPr>
          <w:noProof/>
        </w:rPr>
        <w:t xml:space="preserve">This Report and the accompanying Staff Working Document constitute the </w:t>
      </w:r>
      <w:r w:rsidR="37B00798">
        <w:rPr>
          <w:noProof/>
        </w:rPr>
        <w:t xml:space="preserve">European </w:t>
      </w:r>
      <w:r>
        <w:rPr>
          <w:noProof/>
        </w:rPr>
        <w:t xml:space="preserve">Union </w:t>
      </w:r>
      <w:r w:rsidR="00A64B15">
        <w:rPr>
          <w:noProof/>
        </w:rPr>
        <w:t>R</w:t>
      </w:r>
      <w:r>
        <w:rPr>
          <w:noProof/>
        </w:rPr>
        <w:t>eport on the a</w:t>
      </w:r>
      <w:r w:rsidRPr="00033D47">
        <w:rPr>
          <w:noProof/>
        </w:rPr>
        <w:t>dditional period for fulfilling commitments</w:t>
      </w:r>
      <w:r w:rsidR="75C0F2BE" w:rsidRPr="00D7296B">
        <w:rPr>
          <w:noProof/>
        </w:rPr>
        <w:t xml:space="preserve"> under Article 3, paragraph 1, of the Kyoto Protocol</w:t>
      </w:r>
      <w:r w:rsidR="0063758F">
        <w:rPr>
          <w:noProof/>
        </w:rPr>
        <w:t xml:space="preserve"> to the United Nations Framework Convention on Climate Change (‘the Kyoto Protocol’)</w:t>
      </w:r>
      <w:r w:rsidR="75C0F2BE" w:rsidRPr="00D7296B">
        <w:rPr>
          <w:noProof/>
        </w:rPr>
        <w:t>,</w:t>
      </w:r>
      <w:r w:rsidRPr="00033D47">
        <w:rPr>
          <w:noProof/>
        </w:rPr>
        <w:t xml:space="preserve"> </w:t>
      </w:r>
      <w:r>
        <w:rPr>
          <w:noProof/>
        </w:rPr>
        <w:t xml:space="preserve">for the </w:t>
      </w:r>
      <w:r w:rsidR="62F8875D">
        <w:rPr>
          <w:noProof/>
        </w:rPr>
        <w:t xml:space="preserve">second </w:t>
      </w:r>
      <w:r>
        <w:rPr>
          <w:noProof/>
        </w:rPr>
        <w:t xml:space="preserve">commitment period </w:t>
      </w:r>
      <w:r w:rsidR="49789F03">
        <w:rPr>
          <w:noProof/>
        </w:rPr>
        <w:t xml:space="preserve">(2013-2020) </w:t>
      </w:r>
      <w:r>
        <w:rPr>
          <w:noProof/>
        </w:rPr>
        <w:t>of the Kyoto Protocol</w:t>
      </w:r>
      <w:r w:rsidR="009D6322">
        <w:rPr>
          <w:noProof/>
        </w:rPr>
        <w:t xml:space="preserve"> </w:t>
      </w:r>
      <w:r w:rsidR="009D6322" w:rsidRPr="009428CF">
        <w:rPr>
          <w:noProof/>
          <w:szCs w:val="24"/>
        </w:rPr>
        <w:t>(hereinafter referred to as the true-up period)</w:t>
      </w:r>
      <w:r>
        <w:rPr>
          <w:noProof/>
        </w:rPr>
        <w:t xml:space="preserve">, as required under </w:t>
      </w:r>
      <w:r w:rsidRPr="007C0854">
        <w:rPr>
          <w:noProof/>
        </w:rPr>
        <w:t xml:space="preserve">Article 22 of </w:t>
      </w:r>
      <w:r w:rsidRPr="0AC35C75">
        <w:rPr>
          <w:noProof/>
        </w:rPr>
        <w:t>Regulation (EU) No 525/2013</w:t>
      </w:r>
      <w:r w:rsidR="00017D64" w:rsidRPr="0AC35C75">
        <w:rPr>
          <w:rStyle w:val="FootnoteReference"/>
          <w:noProof/>
        </w:rPr>
        <w:footnoteReference w:id="1"/>
      </w:r>
      <w:r w:rsidRPr="007C0854">
        <w:rPr>
          <w:bCs/>
          <w:noProof/>
        </w:rPr>
        <w:t>,</w:t>
      </w:r>
      <w:r w:rsidR="00672191">
        <w:rPr>
          <w:bCs/>
          <w:noProof/>
        </w:rPr>
        <w:t xml:space="preserve"> </w:t>
      </w:r>
      <w:bookmarkStart w:id="2" w:name="_Hlk144463641"/>
      <w:r w:rsidR="00672191" w:rsidRPr="00A64B15">
        <w:rPr>
          <w:noProof/>
          <w:szCs w:val="24"/>
        </w:rPr>
        <w:t>in accordance with the relevant decisions of the Conference of the Parties serving as the meeting of the Parties to the Kyoto Protocol</w:t>
      </w:r>
      <w:r w:rsidR="00017D64" w:rsidRPr="05754A62">
        <w:rPr>
          <w:rStyle w:val="FootnoteReference"/>
          <w:noProof/>
          <w:sz w:val="22"/>
          <w:szCs w:val="22"/>
          <w:lang w:val="en-US"/>
        </w:rPr>
        <w:footnoteReference w:id="2"/>
      </w:r>
      <w:r w:rsidR="00E15ACD">
        <w:rPr>
          <w:noProof/>
          <w:szCs w:val="24"/>
        </w:rPr>
        <w:t>.</w:t>
      </w:r>
      <w:r w:rsidR="47843EA1" w:rsidRPr="05754A62">
        <w:rPr>
          <w:noProof/>
          <w:sz w:val="22"/>
          <w:szCs w:val="22"/>
          <w:lang w:val="en-US"/>
        </w:rPr>
        <w:t xml:space="preserve"> </w:t>
      </w:r>
    </w:p>
    <w:bookmarkEnd w:id="2"/>
    <w:p w14:paraId="0D2D189B" w14:textId="329CDCEC" w:rsidR="00A34181" w:rsidRDefault="39AE072F" w:rsidP="00A34181">
      <w:pPr>
        <w:rPr>
          <w:noProof/>
        </w:rPr>
      </w:pPr>
      <w:r w:rsidRPr="00FC2F85">
        <w:rPr>
          <w:noProof/>
        </w:rPr>
        <w:t>They will be transmit</w:t>
      </w:r>
      <w:r>
        <w:rPr>
          <w:noProof/>
        </w:rPr>
        <w:t xml:space="preserve">ted to the </w:t>
      </w:r>
      <w:r w:rsidR="7DCED207">
        <w:rPr>
          <w:noProof/>
        </w:rPr>
        <w:t>Secretariat of the United Nations Framework Convention of Climate Change (</w:t>
      </w:r>
      <w:r>
        <w:rPr>
          <w:noProof/>
        </w:rPr>
        <w:t>UNFCCC</w:t>
      </w:r>
      <w:r w:rsidR="2D10DB48">
        <w:rPr>
          <w:noProof/>
        </w:rPr>
        <w:t>)</w:t>
      </w:r>
      <w:r w:rsidR="612E3F22">
        <w:rPr>
          <w:noProof/>
        </w:rPr>
        <w:t xml:space="preserve"> by 24 October 2023.</w:t>
      </w:r>
    </w:p>
    <w:p w14:paraId="5796D580" w14:textId="77777777" w:rsidR="00D94DC1" w:rsidRDefault="00D94DC1" w:rsidP="00017D64">
      <w:pPr>
        <w:rPr>
          <w:noProof/>
        </w:rPr>
      </w:pPr>
    </w:p>
    <w:p w14:paraId="5FE38F4A" w14:textId="74428862" w:rsidR="00017D64" w:rsidRDefault="39AE072F" w:rsidP="00017D64">
      <w:pPr>
        <w:autoSpaceDE w:val="0"/>
        <w:autoSpaceDN w:val="0"/>
        <w:adjustRightInd w:val="0"/>
        <w:spacing w:after="0"/>
        <w:rPr>
          <w:noProof/>
        </w:rPr>
      </w:pPr>
      <w:r>
        <w:rPr>
          <w:noProof/>
        </w:rPr>
        <w:t xml:space="preserve">The information contained in the </w:t>
      </w:r>
      <w:r w:rsidR="00430314">
        <w:rPr>
          <w:noProof/>
        </w:rPr>
        <w:t>R</w:t>
      </w:r>
      <w:r>
        <w:rPr>
          <w:noProof/>
        </w:rPr>
        <w:t>eport will facilitate the assessment of compliance of the</w:t>
      </w:r>
      <w:r w:rsidR="00430314">
        <w:rPr>
          <w:noProof/>
        </w:rPr>
        <w:t xml:space="preserve"> European</w:t>
      </w:r>
      <w:r>
        <w:rPr>
          <w:noProof/>
        </w:rPr>
        <w:t xml:space="preserve"> Union</w:t>
      </w:r>
      <w:r w:rsidR="00430314">
        <w:rPr>
          <w:noProof/>
        </w:rPr>
        <w:t xml:space="preserve"> (EU)</w:t>
      </w:r>
      <w:r>
        <w:rPr>
          <w:noProof/>
        </w:rPr>
        <w:t xml:space="preserve"> with its commitments under Article 3(1) of the Kyoto Protocol for the </w:t>
      </w:r>
      <w:r w:rsidR="01583AFF">
        <w:rPr>
          <w:noProof/>
        </w:rPr>
        <w:t xml:space="preserve">second </w:t>
      </w:r>
      <w:r>
        <w:rPr>
          <w:noProof/>
        </w:rPr>
        <w:t xml:space="preserve">commitment period. This assessment will be based on the comparison of the quantity of units </w:t>
      </w:r>
      <w:r w:rsidRPr="00FF7AD4">
        <w:rPr>
          <w:noProof/>
        </w:rPr>
        <w:t xml:space="preserve">valid for the </w:t>
      </w:r>
      <w:r w:rsidR="59420473" w:rsidRPr="00FF7AD4">
        <w:rPr>
          <w:noProof/>
        </w:rPr>
        <w:t>second</w:t>
      </w:r>
      <w:r w:rsidRPr="00FF7AD4">
        <w:rPr>
          <w:noProof/>
        </w:rPr>
        <w:t xml:space="preserve"> commitment</w:t>
      </w:r>
      <w:r>
        <w:rPr>
          <w:noProof/>
        </w:rPr>
        <w:t xml:space="preserve"> period retired by the end of </w:t>
      </w:r>
      <w:r w:rsidR="009D6322">
        <w:rPr>
          <w:noProof/>
        </w:rPr>
        <w:t>the true-up period</w:t>
      </w:r>
      <w:r>
        <w:rPr>
          <w:noProof/>
        </w:rPr>
        <w:t xml:space="preserve"> with the aggregate emissions for the </w:t>
      </w:r>
      <w:r w:rsidR="131E07D6">
        <w:rPr>
          <w:noProof/>
        </w:rPr>
        <w:t>second</w:t>
      </w:r>
      <w:r>
        <w:rPr>
          <w:noProof/>
        </w:rPr>
        <w:t xml:space="preserve"> commitment period.</w:t>
      </w:r>
      <w:r w:rsidR="04667000">
        <w:rPr>
          <w:noProof/>
        </w:rPr>
        <w:t xml:space="preserve"> The additional period for fulfi</w:t>
      </w:r>
      <w:r w:rsidR="4A7CC683">
        <w:rPr>
          <w:noProof/>
        </w:rPr>
        <w:t>l</w:t>
      </w:r>
      <w:r w:rsidR="04667000">
        <w:rPr>
          <w:noProof/>
        </w:rPr>
        <w:t>ling commitments ended on 9 September 2023.</w:t>
      </w:r>
    </w:p>
    <w:p w14:paraId="2BD65515" w14:textId="059AB1F0" w:rsidR="00855920" w:rsidRDefault="00855920" w:rsidP="00017D64">
      <w:pPr>
        <w:autoSpaceDE w:val="0"/>
        <w:autoSpaceDN w:val="0"/>
        <w:adjustRightInd w:val="0"/>
        <w:spacing w:after="0"/>
        <w:rPr>
          <w:noProof/>
        </w:rPr>
      </w:pPr>
    </w:p>
    <w:p w14:paraId="3851C6DA" w14:textId="1A39EFE3" w:rsidR="0096359E" w:rsidRDefault="0096359E" w:rsidP="606A7075">
      <w:pPr>
        <w:rPr>
          <w:noProof/>
        </w:rPr>
      </w:pPr>
      <w:bookmarkStart w:id="3" w:name="_Hlk144463802"/>
      <w:r>
        <w:rPr>
          <w:noProof/>
        </w:rPr>
        <w:t>The EU, its Member States and Iceland have agreed to fulfil their quantified emission limitation and reduction commitments under Article 3 of the Kyoto Protocol for the second commitment period to the Kyoto Protocol jointly, in accordance with the provisions of Article 4 thereof</w:t>
      </w:r>
      <w:r w:rsidR="00D00BA9">
        <w:rPr>
          <w:noProof/>
          <w:vertAlign w:val="superscript"/>
        </w:rPr>
        <w:footnoteReference w:id="3"/>
      </w:r>
      <w:r>
        <w:rPr>
          <w:noProof/>
        </w:rPr>
        <w:t xml:space="preserve">. </w:t>
      </w:r>
      <w:bookmarkStart w:id="4" w:name="_Hlk144468282"/>
      <w:bookmarkEnd w:id="3"/>
      <w:r>
        <w:rPr>
          <w:noProof/>
        </w:rPr>
        <w:t xml:space="preserve">The </w:t>
      </w:r>
      <w:r w:rsidR="002730D5">
        <w:rPr>
          <w:noProof/>
        </w:rPr>
        <w:t>EU</w:t>
      </w:r>
      <w:r>
        <w:rPr>
          <w:noProof/>
        </w:rPr>
        <w:t xml:space="preserve">, its Member States and Iceland agreed to a quantified emission reduction commitment that limits their average annual emissions of greenhouse gases during the second commitment period to 80 % of the sum of their base year emissions, which is reflected in the Doha Amendment. </w:t>
      </w:r>
    </w:p>
    <w:bookmarkEnd w:id="4"/>
    <w:p w14:paraId="34F23829" w14:textId="77777777" w:rsidR="00797E2C" w:rsidRDefault="00797E2C" w:rsidP="606A7075">
      <w:pPr>
        <w:rPr>
          <w:noProof/>
        </w:rPr>
      </w:pPr>
    </w:p>
    <w:p w14:paraId="62073416" w14:textId="264DDD92" w:rsidR="0020404A" w:rsidRDefault="131E07D6" w:rsidP="606A7075">
      <w:pPr>
        <w:rPr>
          <w:noProof/>
        </w:rPr>
      </w:pPr>
      <w:bookmarkStart w:id="5" w:name="_Hlk144468413"/>
      <w:r>
        <w:rPr>
          <w:noProof/>
        </w:rPr>
        <w:t>Council Decision (EU) 2015/133</w:t>
      </w:r>
      <w:r w:rsidR="70E84AC9">
        <w:rPr>
          <w:noProof/>
        </w:rPr>
        <w:t>9</w:t>
      </w:r>
      <w:r w:rsidR="004E18FD" w:rsidRPr="606A7075">
        <w:rPr>
          <w:rStyle w:val="FootnoteReference"/>
          <w:noProof/>
        </w:rPr>
        <w:footnoteReference w:id="4"/>
      </w:r>
      <w:r w:rsidRPr="008F2FCD">
        <w:rPr>
          <w:noProof/>
        </w:rPr>
        <w:t xml:space="preserve"> </w:t>
      </w:r>
      <w:r>
        <w:rPr>
          <w:noProof/>
        </w:rPr>
        <w:t>sets out the terms of the joint fulfilment</w:t>
      </w:r>
      <w:r w:rsidR="0EA62879">
        <w:rPr>
          <w:noProof/>
        </w:rPr>
        <w:t xml:space="preserve"> agreement</w:t>
      </w:r>
      <w:r>
        <w:rPr>
          <w:noProof/>
        </w:rPr>
        <w:t xml:space="preserve"> </w:t>
      </w:r>
      <w:r w:rsidR="4BDB478D">
        <w:rPr>
          <w:noProof/>
        </w:rPr>
        <w:t>as well as</w:t>
      </w:r>
      <w:r>
        <w:rPr>
          <w:noProof/>
        </w:rPr>
        <w:t xml:space="preserve"> the respective emission levels</w:t>
      </w:r>
      <w:r w:rsidR="5C45A5D6">
        <w:rPr>
          <w:noProof/>
        </w:rPr>
        <w:t xml:space="preserve"> of each Party to that agreement</w:t>
      </w:r>
      <w:r w:rsidR="79477283">
        <w:rPr>
          <w:noProof/>
        </w:rPr>
        <w:t>.</w:t>
      </w:r>
      <w:r w:rsidR="00FF7AD4" w:rsidRPr="606A7075">
        <w:rPr>
          <w:noProof/>
        </w:rPr>
        <w:t xml:space="preserve"> </w:t>
      </w:r>
      <w:bookmarkEnd w:id="5"/>
      <w:r w:rsidR="00C40D80">
        <w:rPr>
          <w:noProof/>
        </w:rPr>
        <w:t>The emission levels define the Member States’ and Iceland’s assigned amounts for the second commitment period. These emission levels have been determined on the basis of the existing Union legislation for the period 2013-2020 under the ‘Climate and Energy package’</w:t>
      </w:r>
      <w:r w:rsidR="00C40D80">
        <w:rPr>
          <w:rStyle w:val="FootnoteReference"/>
          <w:noProof/>
        </w:rPr>
        <w:footnoteReference w:id="5"/>
      </w:r>
      <w:r w:rsidR="00C40D80">
        <w:rPr>
          <w:noProof/>
        </w:rPr>
        <w:t>.</w:t>
      </w:r>
    </w:p>
    <w:p w14:paraId="67F5AC64" w14:textId="0DFFE5D0" w:rsidR="004F782C" w:rsidRDefault="007A5F32" w:rsidP="007A5F32">
      <w:pPr>
        <w:rPr>
          <w:noProof/>
        </w:rPr>
      </w:pPr>
      <w:r>
        <w:rPr>
          <w:noProof/>
        </w:rPr>
        <w:t xml:space="preserve">The joint assigned amount of the EU, its Member States and Iceland for the second commitment period of the Kyoto Protocol is equal to the percentage inscribed for the Union, its Member States and Iceland in the third column of Annex B to the Kyoto Protocol as replaced by the Doha Amendment (80 %) of its base year emissions multiplied by eight. </w:t>
      </w:r>
      <w:bookmarkStart w:id="6" w:name="_Hlk144393104"/>
    </w:p>
    <w:p w14:paraId="40E08F25" w14:textId="18B8DC3F" w:rsidR="00D06669" w:rsidRPr="00071B34" w:rsidRDefault="00D06669" w:rsidP="00D06669">
      <w:pPr>
        <w:rPr>
          <w:noProof/>
          <w:lang w:val="en-US"/>
        </w:rPr>
      </w:pPr>
      <w:r>
        <w:rPr>
          <w:noProof/>
          <w:lang w:val="en-US"/>
        </w:rPr>
        <w:t xml:space="preserve">In accordance </w:t>
      </w:r>
      <w:r>
        <w:rPr>
          <w:noProof/>
        </w:rPr>
        <w:t xml:space="preserve">with Article 4(4) of the Kyoto Protocol, the United Kingdom withdrawal </w:t>
      </w:r>
      <w:r w:rsidR="00430314">
        <w:rPr>
          <w:noProof/>
        </w:rPr>
        <w:t xml:space="preserve">from </w:t>
      </w:r>
      <w:r>
        <w:rPr>
          <w:noProof/>
        </w:rPr>
        <w:t>the EU on 1 February 2020 does not affect the commitments under the second commitment period.</w:t>
      </w:r>
    </w:p>
    <w:p w14:paraId="2D200806" w14:textId="77777777" w:rsidR="00D06669" w:rsidRPr="00D06669" w:rsidRDefault="00D06669" w:rsidP="007A5F32">
      <w:pPr>
        <w:rPr>
          <w:noProof/>
          <w:lang w:val="en-US"/>
        </w:rPr>
      </w:pPr>
    </w:p>
    <w:p w14:paraId="100CC4FA" w14:textId="35E6F4C1" w:rsidR="00C40D80" w:rsidRDefault="007A5F32" w:rsidP="606A7075">
      <w:pPr>
        <w:rPr>
          <w:noProof/>
        </w:rPr>
      </w:pPr>
      <w:r>
        <w:rPr>
          <w:noProof/>
        </w:rPr>
        <w:t>The</w:t>
      </w:r>
      <w:r w:rsidR="00E556F4">
        <w:rPr>
          <w:noProof/>
        </w:rPr>
        <w:t xml:space="preserve"> </w:t>
      </w:r>
      <w:r w:rsidRPr="00146F94">
        <w:rPr>
          <w:noProof/>
        </w:rPr>
        <w:t>joint assigned amount</w:t>
      </w:r>
      <w:r>
        <w:rPr>
          <w:noProof/>
        </w:rPr>
        <w:t xml:space="preserve"> resulting from this calculation is </w:t>
      </w:r>
      <w:r w:rsidR="00FD5083" w:rsidRPr="002A4FA4">
        <w:rPr>
          <w:rFonts w:cstheme="minorHAnsi"/>
          <w:noProof/>
        </w:rPr>
        <w:t>37 604 433 280 t</w:t>
      </w:r>
      <w:r w:rsidR="00FD5083">
        <w:rPr>
          <w:rFonts w:cstheme="minorHAnsi"/>
          <w:noProof/>
        </w:rPr>
        <w:t>onnes of</w:t>
      </w:r>
      <w:r w:rsidR="00FD5083" w:rsidRPr="002A4FA4">
        <w:rPr>
          <w:rFonts w:cstheme="minorHAnsi"/>
          <w:noProof/>
        </w:rPr>
        <w:t xml:space="preserve"> CO2</w:t>
      </w:r>
      <w:r w:rsidR="00E15ACD">
        <w:rPr>
          <w:rFonts w:cstheme="minorHAnsi"/>
          <w:noProof/>
        </w:rPr>
        <w:t>-</w:t>
      </w:r>
      <w:r w:rsidR="00FD5083" w:rsidRPr="002A4FA4">
        <w:rPr>
          <w:rFonts w:cstheme="minorHAnsi"/>
          <w:noProof/>
        </w:rPr>
        <w:t>eq</w:t>
      </w:r>
      <w:r w:rsidR="00FD5083">
        <w:rPr>
          <w:rStyle w:val="FootnoteReference"/>
          <w:rFonts w:cstheme="minorHAnsi"/>
          <w:noProof/>
        </w:rPr>
        <w:footnoteReference w:id="6"/>
      </w:r>
      <w:r>
        <w:rPr>
          <w:noProof/>
        </w:rPr>
        <w:t>. Th</w:t>
      </w:r>
      <w:r w:rsidR="00E556F4">
        <w:rPr>
          <w:noProof/>
        </w:rPr>
        <w:t>e</w:t>
      </w:r>
      <w:r>
        <w:rPr>
          <w:noProof/>
        </w:rPr>
        <w:t xml:space="preserve"> assigned amount of the EU is determined in line with the terms of the joint fulfilment agreement and equals </w:t>
      </w:r>
      <w:r w:rsidR="00FD5083">
        <w:rPr>
          <w:noProof/>
        </w:rPr>
        <w:t>15 813 089 338 tonnes of CO2</w:t>
      </w:r>
      <w:r w:rsidR="00E15ACD">
        <w:rPr>
          <w:noProof/>
        </w:rPr>
        <w:t>-</w:t>
      </w:r>
      <w:r w:rsidR="00FD5083">
        <w:rPr>
          <w:noProof/>
        </w:rPr>
        <w:t>eq</w:t>
      </w:r>
      <w:r w:rsidR="00FD5083">
        <w:rPr>
          <w:rStyle w:val="FootnoteReference"/>
          <w:noProof/>
        </w:rPr>
        <w:footnoteReference w:id="7"/>
      </w:r>
      <w:r w:rsidR="00FD5083">
        <w:rPr>
          <w:noProof/>
        </w:rPr>
        <w:t xml:space="preserve">. </w:t>
      </w:r>
      <w:r w:rsidR="0004261E">
        <w:rPr>
          <w:noProof/>
        </w:rPr>
        <w:t xml:space="preserve">The </w:t>
      </w:r>
      <w:r w:rsidR="0052470C">
        <w:rPr>
          <w:noProof/>
        </w:rPr>
        <w:t xml:space="preserve">agregated </w:t>
      </w:r>
      <w:r w:rsidR="0004261E">
        <w:rPr>
          <w:noProof/>
        </w:rPr>
        <w:t xml:space="preserve">assigned amounts of the Member States and Iceland </w:t>
      </w:r>
      <w:r w:rsidR="0052470C">
        <w:rPr>
          <w:noProof/>
        </w:rPr>
        <w:t>is 21 791 343 942</w:t>
      </w:r>
      <w:r w:rsidR="004B61A3">
        <w:rPr>
          <w:noProof/>
        </w:rPr>
        <w:t xml:space="preserve"> tonnes of CO2</w:t>
      </w:r>
      <w:r w:rsidR="00E15ACD">
        <w:rPr>
          <w:noProof/>
        </w:rPr>
        <w:t>-</w:t>
      </w:r>
      <w:r w:rsidR="004B61A3">
        <w:rPr>
          <w:noProof/>
        </w:rPr>
        <w:t>eq.</w:t>
      </w:r>
      <w:bookmarkEnd w:id="6"/>
    </w:p>
    <w:p w14:paraId="38CADAC1" w14:textId="77777777" w:rsidR="00FF2EEF" w:rsidRDefault="00FF2EEF" w:rsidP="00017D64">
      <w:pPr>
        <w:rPr>
          <w:noProof/>
        </w:rPr>
      </w:pPr>
    </w:p>
    <w:p w14:paraId="00B54876" w14:textId="54AE2B95" w:rsidR="00017D64" w:rsidRPr="00753CB7" w:rsidRDefault="00017D64" w:rsidP="00017D64">
      <w:pPr>
        <w:rPr>
          <w:b/>
          <w:noProof/>
        </w:rPr>
      </w:pPr>
      <w:r w:rsidRPr="00753CB7">
        <w:rPr>
          <w:b/>
          <w:noProof/>
        </w:rPr>
        <w:t>Retirement of Kyoto Units</w:t>
      </w:r>
    </w:p>
    <w:p w14:paraId="52810A16" w14:textId="589ECB76" w:rsidR="00B41AB5" w:rsidRDefault="39AE072F" w:rsidP="00EC50AE">
      <w:pPr>
        <w:rPr>
          <w:noProof/>
        </w:rPr>
      </w:pPr>
      <w:r w:rsidRPr="007C0854">
        <w:rPr>
          <w:noProof/>
        </w:rPr>
        <w:t>The K</w:t>
      </w:r>
      <w:r>
        <w:rPr>
          <w:noProof/>
        </w:rPr>
        <w:t xml:space="preserve">yoto </w:t>
      </w:r>
      <w:r w:rsidRPr="007C0854">
        <w:rPr>
          <w:noProof/>
        </w:rPr>
        <w:t>P</w:t>
      </w:r>
      <w:r>
        <w:rPr>
          <w:noProof/>
        </w:rPr>
        <w:t xml:space="preserve">rotocol was ratified by the </w:t>
      </w:r>
      <w:r w:rsidR="00430314">
        <w:rPr>
          <w:noProof/>
        </w:rPr>
        <w:t>EU</w:t>
      </w:r>
      <w:r>
        <w:rPr>
          <w:noProof/>
        </w:rPr>
        <w:t>, at that time the European Community, and its Member States</w:t>
      </w:r>
      <w:r w:rsidRPr="007C0854">
        <w:rPr>
          <w:noProof/>
        </w:rPr>
        <w:t xml:space="preserve"> on 31 May 2002. </w:t>
      </w:r>
      <w:r w:rsidR="25F3715A">
        <w:rPr>
          <w:noProof/>
        </w:rPr>
        <w:t xml:space="preserve">At the Doha Climate Change Conference in December 2012, parties to the Kyoto Protocol adopted the Doha Amendment, establishing a second commitment period of the Kyoto Protocol, starting on 1 January 2013 and ending on 31 December 2020 (‘the Doha Amendment’). </w:t>
      </w:r>
      <w:bookmarkStart w:id="7" w:name="_Hlk144276023"/>
      <w:r w:rsidR="421C87BD">
        <w:rPr>
          <w:noProof/>
        </w:rPr>
        <w:t xml:space="preserve">The Union, its Member States and Iceland </w:t>
      </w:r>
      <w:r w:rsidR="26CC4B26">
        <w:rPr>
          <w:noProof/>
        </w:rPr>
        <w:t xml:space="preserve">notified the terms of the agreement to fulfil jointly the commitments of the </w:t>
      </w:r>
      <w:r w:rsidR="00430314">
        <w:rPr>
          <w:noProof/>
        </w:rPr>
        <w:t>EU</w:t>
      </w:r>
      <w:r w:rsidR="26CC4B26">
        <w:rPr>
          <w:noProof/>
        </w:rPr>
        <w:t>, its Member States and Iceland under Article 3 of the Kyoto Protocol</w:t>
      </w:r>
      <w:r w:rsidR="0BDC6AE1">
        <w:rPr>
          <w:noProof/>
        </w:rPr>
        <w:t xml:space="preserve"> </w:t>
      </w:r>
      <w:r w:rsidR="0083CA45">
        <w:rPr>
          <w:noProof/>
        </w:rPr>
        <w:t>in</w:t>
      </w:r>
      <w:r w:rsidR="421C87BD">
        <w:rPr>
          <w:noProof/>
        </w:rPr>
        <w:t xml:space="preserve"> the second commitment period in accordance with the provisions of Article 4 thereof.</w:t>
      </w:r>
      <w:r w:rsidR="00FD7CD6">
        <w:rPr>
          <w:noProof/>
          <w:vertAlign w:val="superscript"/>
        </w:rPr>
        <w:footnoteReference w:id="8"/>
      </w:r>
      <w:r w:rsidR="421C87BD">
        <w:rPr>
          <w:noProof/>
          <w:vertAlign w:val="superscript"/>
        </w:rPr>
        <w:t xml:space="preserve"> </w:t>
      </w:r>
      <w:r w:rsidR="421C87BD">
        <w:rPr>
          <w:noProof/>
        </w:rPr>
        <w:t xml:space="preserve"> </w:t>
      </w:r>
      <w:r w:rsidRPr="007C0854">
        <w:rPr>
          <w:noProof/>
        </w:rPr>
        <w:t xml:space="preserve">At the time of </w:t>
      </w:r>
      <w:r w:rsidR="0083CA45">
        <w:rPr>
          <w:noProof/>
        </w:rPr>
        <w:t>agreement</w:t>
      </w:r>
      <w:r w:rsidRPr="007C0854">
        <w:rPr>
          <w:noProof/>
        </w:rPr>
        <w:t xml:space="preserve"> the following </w:t>
      </w:r>
      <w:r w:rsidR="421C87BD">
        <w:rPr>
          <w:noProof/>
        </w:rPr>
        <w:t>28</w:t>
      </w:r>
      <w:r w:rsidRPr="007C0854">
        <w:rPr>
          <w:noProof/>
        </w:rPr>
        <w:t xml:space="preserve"> </w:t>
      </w:r>
      <w:r>
        <w:rPr>
          <w:noProof/>
        </w:rPr>
        <w:t xml:space="preserve">countries </w:t>
      </w:r>
      <w:r w:rsidRPr="007C0854">
        <w:rPr>
          <w:noProof/>
        </w:rPr>
        <w:t xml:space="preserve">were </w:t>
      </w:r>
      <w:r>
        <w:rPr>
          <w:noProof/>
        </w:rPr>
        <w:t>Member States</w:t>
      </w:r>
      <w:r w:rsidRPr="007C0854">
        <w:rPr>
          <w:noProof/>
        </w:rPr>
        <w:t xml:space="preserve">: </w:t>
      </w:r>
      <w:r w:rsidR="0083CA45">
        <w:rPr>
          <w:noProof/>
        </w:rPr>
        <w:t>the Kingdom of Belgium, the Republic of Bulgaria, the Czech Republic, the Kingdom of Denmark, the Federal Republic of Germany, the Republic of Estonia, Ireland, the Hellenic Republic, the Kingdom of Spain, the French Republic, the Republic of Croatia, the Italian Republic, the Republic of Cyprus, the Republic of Latvia, the Republic of Lithuania, the Grand Duchy of Luxembourg, Hungary, the Republic of Malta, the Kingdom of the Netherlands, the Republic of Austria, the Republic of Poland, the Portuguese Republic, Romania, the Republic of Slovenia, the Slovak Republic, the Republic of Finland, the Kingdom of Sweden, and the United Kingdom of Great Britain and Northern Ireland.</w:t>
      </w:r>
      <w:r w:rsidRPr="007C0854">
        <w:rPr>
          <w:noProof/>
        </w:rPr>
        <w:t xml:space="preserve"> </w:t>
      </w:r>
    </w:p>
    <w:bookmarkEnd w:id="7"/>
    <w:p w14:paraId="1A76AD29" w14:textId="6DA7BFA7" w:rsidR="00B05A1B" w:rsidRDefault="39AE072F" w:rsidP="00504A66">
      <w:pPr>
        <w:rPr>
          <w:noProof/>
        </w:rPr>
      </w:pPr>
      <w:r>
        <w:rPr>
          <w:noProof/>
        </w:rPr>
        <w:t xml:space="preserve">The </w:t>
      </w:r>
      <w:r w:rsidR="00C02F1C">
        <w:rPr>
          <w:noProof/>
        </w:rPr>
        <w:t xml:space="preserve">total </w:t>
      </w:r>
      <w:r w:rsidR="00645E73">
        <w:rPr>
          <w:noProof/>
        </w:rPr>
        <w:t xml:space="preserve">cumulative </w:t>
      </w:r>
      <w:r w:rsidR="0010351D">
        <w:rPr>
          <w:noProof/>
        </w:rPr>
        <w:t>number</w:t>
      </w:r>
      <w:r w:rsidR="00504A66">
        <w:rPr>
          <w:noProof/>
        </w:rPr>
        <w:t xml:space="preserve"> of </w:t>
      </w:r>
      <w:bookmarkStart w:id="8" w:name="_Hlk144468780"/>
      <w:r w:rsidR="00504A66">
        <w:rPr>
          <w:noProof/>
        </w:rPr>
        <w:t xml:space="preserve">tonnes of CO2eq </w:t>
      </w:r>
      <w:bookmarkEnd w:id="8"/>
      <w:r w:rsidR="00504A66">
        <w:rPr>
          <w:noProof/>
        </w:rPr>
        <w:t xml:space="preserve">to be retired under </w:t>
      </w:r>
      <w:r w:rsidR="73DDD02C">
        <w:rPr>
          <w:noProof/>
        </w:rPr>
        <w:t xml:space="preserve">the joint </w:t>
      </w:r>
      <w:r w:rsidR="0028392D">
        <w:rPr>
          <w:noProof/>
        </w:rPr>
        <w:t>fulfilment</w:t>
      </w:r>
      <w:r w:rsidR="73DDD02C">
        <w:rPr>
          <w:noProof/>
        </w:rPr>
        <w:t xml:space="preserve"> </w:t>
      </w:r>
      <w:r>
        <w:rPr>
          <w:noProof/>
        </w:rPr>
        <w:t xml:space="preserve">is calculated as the sum of the quantity of </w:t>
      </w:r>
      <w:r w:rsidR="0028392D">
        <w:rPr>
          <w:noProof/>
        </w:rPr>
        <w:t>tonnes of CO2eq</w:t>
      </w:r>
      <w:r>
        <w:rPr>
          <w:noProof/>
        </w:rPr>
        <w:t xml:space="preserve"> in the </w:t>
      </w:r>
      <w:r w:rsidR="7A959BD7">
        <w:rPr>
          <w:noProof/>
        </w:rPr>
        <w:t xml:space="preserve">retirement accounts in the registries of the EU, the </w:t>
      </w:r>
      <w:r w:rsidR="45EE6979">
        <w:rPr>
          <w:noProof/>
        </w:rPr>
        <w:t>2</w:t>
      </w:r>
      <w:r w:rsidR="3B62700F">
        <w:rPr>
          <w:noProof/>
        </w:rPr>
        <w:t>7</w:t>
      </w:r>
      <w:r>
        <w:rPr>
          <w:noProof/>
        </w:rPr>
        <w:t xml:space="preserve"> Member States</w:t>
      </w:r>
      <w:r w:rsidR="316875E8">
        <w:rPr>
          <w:noProof/>
        </w:rPr>
        <w:t>, the U</w:t>
      </w:r>
      <w:r w:rsidR="0028392D">
        <w:rPr>
          <w:noProof/>
        </w:rPr>
        <w:t>nited</w:t>
      </w:r>
      <w:r w:rsidR="45EE6979">
        <w:rPr>
          <w:noProof/>
        </w:rPr>
        <w:t xml:space="preserve"> </w:t>
      </w:r>
      <w:r w:rsidR="0028392D">
        <w:rPr>
          <w:noProof/>
        </w:rPr>
        <w:t xml:space="preserve">Kingdom </w:t>
      </w:r>
      <w:r w:rsidR="45EE6979">
        <w:rPr>
          <w:noProof/>
        </w:rPr>
        <w:t>and Iceland</w:t>
      </w:r>
      <w:r w:rsidR="006D31C2">
        <w:rPr>
          <w:noProof/>
        </w:rPr>
        <w:t>,</w:t>
      </w:r>
      <w:r w:rsidR="002B26D6">
        <w:rPr>
          <w:noProof/>
        </w:rPr>
        <w:t xml:space="preserve"> and </w:t>
      </w:r>
      <w:r w:rsidR="006D31C2">
        <w:rPr>
          <w:noProof/>
        </w:rPr>
        <w:t>it amounts to</w:t>
      </w:r>
      <w:r w:rsidR="006D31C2" w:rsidRPr="006D31C2">
        <w:rPr>
          <w:noProof/>
        </w:rPr>
        <w:t xml:space="preserve"> 33,731,035,05</w:t>
      </w:r>
      <w:r w:rsidR="00C01910">
        <w:rPr>
          <w:noProof/>
        </w:rPr>
        <w:t>5</w:t>
      </w:r>
      <w:r w:rsidR="006D31C2">
        <w:rPr>
          <w:noProof/>
        </w:rPr>
        <w:t xml:space="preserve"> tonnes of CO2</w:t>
      </w:r>
      <w:r w:rsidR="00E15ACD">
        <w:rPr>
          <w:noProof/>
        </w:rPr>
        <w:t>-</w:t>
      </w:r>
      <w:r w:rsidR="006D31C2">
        <w:rPr>
          <w:noProof/>
        </w:rPr>
        <w:t>eq</w:t>
      </w:r>
      <w:r>
        <w:rPr>
          <w:noProof/>
        </w:rPr>
        <w:t>.</w:t>
      </w:r>
    </w:p>
    <w:p w14:paraId="4C17BD12" w14:textId="77777777" w:rsidR="00C22B5D" w:rsidRDefault="00C22B5D" w:rsidP="00017D64">
      <w:pPr>
        <w:rPr>
          <w:noProof/>
        </w:rPr>
      </w:pPr>
    </w:p>
    <w:p w14:paraId="6090C6A6" w14:textId="77777777" w:rsidR="00017D64" w:rsidRPr="00753CB7" w:rsidRDefault="00017D64" w:rsidP="00017D64">
      <w:pPr>
        <w:rPr>
          <w:b/>
          <w:noProof/>
        </w:rPr>
      </w:pPr>
      <w:r w:rsidRPr="00753CB7">
        <w:rPr>
          <w:b/>
          <w:noProof/>
        </w:rPr>
        <w:t>Carry-over of Kyoto Units</w:t>
      </w:r>
    </w:p>
    <w:p w14:paraId="2D21AC31" w14:textId="746E28C2" w:rsidR="00017D64" w:rsidRDefault="4F1FFE9C" w:rsidP="606A7075">
      <w:pPr>
        <w:rPr>
          <w:noProof/>
          <w:sz w:val="22"/>
          <w:szCs w:val="22"/>
        </w:rPr>
      </w:pPr>
      <w:r>
        <w:rPr>
          <w:noProof/>
        </w:rPr>
        <w:t xml:space="preserve">As there is no third commitment period foreseen under the Kyoto Protocol, the EU will not request </w:t>
      </w:r>
      <w:r w:rsidR="39AE072F">
        <w:rPr>
          <w:noProof/>
        </w:rPr>
        <w:t>to</w:t>
      </w:r>
      <w:r>
        <w:rPr>
          <w:noProof/>
        </w:rPr>
        <w:t xml:space="preserve"> carry-</w:t>
      </w:r>
      <w:r w:rsidR="39AE072F">
        <w:rPr>
          <w:noProof/>
        </w:rPr>
        <w:t xml:space="preserve">over </w:t>
      </w:r>
      <w:r w:rsidR="60E13A5D">
        <w:rPr>
          <w:noProof/>
        </w:rPr>
        <w:t>units</w:t>
      </w:r>
      <w:r w:rsidR="7995402B" w:rsidRPr="05754A62">
        <w:rPr>
          <w:noProof/>
          <w:sz w:val="22"/>
          <w:szCs w:val="22"/>
        </w:rPr>
        <w:t>.</w:t>
      </w:r>
    </w:p>
    <w:p w14:paraId="67E61E5F" w14:textId="0491099D" w:rsidR="0060699E" w:rsidRDefault="00017D64">
      <w:pPr>
        <w:rPr>
          <w:noProof/>
        </w:rPr>
      </w:pPr>
      <w:r>
        <w:rPr>
          <w:noProof/>
        </w:rPr>
        <w:t>The total quantity of units in the Member States</w:t>
      </w:r>
      <w:r w:rsidRPr="007C0854">
        <w:rPr>
          <w:noProof/>
        </w:rPr>
        <w:t xml:space="preserve"> </w:t>
      </w:r>
      <w:r>
        <w:rPr>
          <w:noProof/>
        </w:rPr>
        <w:t>holding accounts requested to be carried over by the Member States</w:t>
      </w:r>
      <w:r w:rsidRPr="007C0854">
        <w:rPr>
          <w:noProof/>
        </w:rPr>
        <w:t xml:space="preserve"> </w:t>
      </w:r>
      <w:r>
        <w:rPr>
          <w:noProof/>
        </w:rPr>
        <w:t>will be reported in the Member States' reports on the additional period for fulfilling commitments under the Kyoto Protocol.</w:t>
      </w:r>
    </w:p>
    <w:sectPr w:rsidR="0060699E" w:rsidSect="001A596D">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2725D" w14:textId="77777777" w:rsidR="00675AE7" w:rsidRDefault="00675AE7" w:rsidP="00017D64">
      <w:pPr>
        <w:spacing w:before="0" w:after="0"/>
      </w:pPr>
      <w:r>
        <w:separator/>
      </w:r>
    </w:p>
  </w:endnote>
  <w:endnote w:type="continuationSeparator" w:id="0">
    <w:p w14:paraId="2E12E919" w14:textId="77777777" w:rsidR="00675AE7" w:rsidRDefault="00675AE7" w:rsidP="00017D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205E" w14:textId="7CC2E0D0" w:rsidR="00815519" w:rsidRPr="00EC12B2" w:rsidRDefault="00815519" w:rsidP="00EC1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D3C6" w14:textId="24081214" w:rsidR="00815519" w:rsidRPr="00EC12B2" w:rsidRDefault="00EC12B2" w:rsidP="00EC12B2">
    <w:pPr>
      <w:pStyle w:val="FooterCoverPage"/>
      <w:rPr>
        <w:rFonts w:ascii="Arial" w:hAnsi="Arial" w:cs="Arial"/>
        <w:b/>
        <w:sz w:val="48"/>
      </w:rPr>
    </w:pPr>
    <w:r w:rsidRPr="00EC12B2">
      <w:rPr>
        <w:rFonts w:ascii="Arial" w:hAnsi="Arial" w:cs="Arial"/>
        <w:b/>
        <w:sz w:val="48"/>
      </w:rPr>
      <w:t>EN</w:t>
    </w:r>
    <w:r w:rsidRPr="00EC12B2">
      <w:rPr>
        <w:rFonts w:ascii="Arial" w:hAnsi="Arial" w:cs="Arial"/>
        <w:b/>
        <w:sz w:val="48"/>
      </w:rPr>
      <w:tab/>
    </w:r>
    <w:r w:rsidRPr="00EC12B2">
      <w:rPr>
        <w:rFonts w:ascii="Arial" w:hAnsi="Arial" w:cs="Arial"/>
        <w:b/>
        <w:sz w:val="48"/>
      </w:rPr>
      <w:tab/>
    </w:r>
    <w:r w:rsidRPr="00EC12B2">
      <w:tab/>
    </w:r>
    <w:r w:rsidRPr="00EC12B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3845" w14:textId="77777777" w:rsidR="00EC12B2" w:rsidRPr="00EC12B2" w:rsidRDefault="00EC12B2" w:rsidP="00EC12B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4DA6" w14:textId="77777777" w:rsidR="001A596D" w:rsidRDefault="001A59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6A208" w14:textId="77777777" w:rsidR="00815519" w:rsidRDefault="00815519">
    <w:pPr>
      <w:pStyle w:val="Footer"/>
      <w:jc w:val="center"/>
    </w:pPr>
  </w:p>
  <w:p w14:paraId="7A7E3045" w14:textId="45E64931" w:rsidR="00485BA8" w:rsidRDefault="00E15D9F" w:rsidP="00485BA8">
    <w:pPr>
      <w:pStyle w:val="Footer"/>
    </w:pPr>
    <w:r w:rsidRPr="00E15D9F">
      <w:rPr>
        <w:rFonts w:ascii="Arial" w:hAnsi="Arial" w:cs="Arial"/>
        <w:b/>
        <w:sz w:val="48"/>
      </w:rPr>
      <w:tab/>
    </w:r>
    <w:sdt>
      <w:sdtPr>
        <w:rPr>
          <w:rFonts w:ascii="Arial" w:hAnsi="Arial" w:cs="Arial"/>
          <w:b/>
          <w:sz w:val="48"/>
        </w:rPr>
        <w:id w:val="2146695549"/>
        <w:docPartObj>
          <w:docPartGallery w:val="Page Numbers (Bottom of Page)"/>
          <w:docPartUnique/>
        </w:docPartObj>
      </w:sdtPr>
      <w:sdtEndPr/>
      <w:sdtContent>
        <w:r w:rsidR="00815519" w:rsidRPr="00E15D9F">
          <w:rPr>
            <w:bCs/>
            <w:szCs w:val="24"/>
          </w:rPr>
          <w:fldChar w:fldCharType="begin"/>
        </w:r>
        <w:r w:rsidR="00815519" w:rsidRPr="00E15D9F">
          <w:rPr>
            <w:bCs/>
            <w:szCs w:val="24"/>
          </w:rPr>
          <w:instrText xml:space="preserve"> PAGE   \* MERGEFORMAT </w:instrText>
        </w:r>
        <w:r w:rsidR="00815519" w:rsidRPr="00E15D9F">
          <w:rPr>
            <w:bCs/>
            <w:szCs w:val="24"/>
          </w:rPr>
          <w:fldChar w:fldCharType="separate"/>
        </w:r>
        <w:r w:rsidR="00EC12B2">
          <w:rPr>
            <w:bCs/>
            <w:noProof/>
            <w:szCs w:val="24"/>
          </w:rPr>
          <w:t>2</w:t>
        </w:r>
        <w:r w:rsidR="00815519" w:rsidRPr="00E15D9F">
          <w:rPr>
            <w:bCs/>
            <w:szCs w:val="24"/>
          </w:rPr>
          <w:fldChar w:fldCharType="end"/>
        </w:r>
        <w:r w:rsidRPr="00485BA8">
          <w:rPr>
            <w:rFonts w:ascii="Arial" w:hAnsi="Arial" w:cs="Arial"/>
            <w:b/>
            <w:sz w:val="48"/>
          </w:rPr>
          <w:tab/>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82700" w14:textId="77777777" w:rsidR="001A596D" w:rsidRDefault="001A5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30B01" w14:textId="77777777" w:rsidR="00675AE7" w:rsidRDefault="00675AE7" w:rsidP="00017D64">
      <w:pPr>
        <w:spacing w:before="0" w:after="0"/>
      </w:pPr>
      <w:r>
        <w:separator/>
      </w:r>
    </w:p>
  </w:footnote>
  <w:footnote w:type="continuationSeparator" w:id="0">
    <w:p w14:paraId="727FEA70" w14:textId="77777777" w:rsidR="00675AE7" w:rsidRDefault="00675AE7" w:rsidP="00017D64">
      <w:pPr>
        <w:spacing w:before="0" w:after="0"/>
      </w:pPr>
      <w:r>
        <w:continuationSeparator/>
      </w:r>
    </w:p>
  </w:footnote>
  <w:footnote w:id="1">
    <w:p w14:paraId="7885C5B3" w14:textId="77777777" w:rsidR="00017D64" w:rsidRPr="00F5456F" w:rsidRDefault="00017D64" w:rsidP="00017D64">
      <w:pPr>
        <w:pStyle w:val="FootnoteText"/>
      </w:pPr>
      <w:r w:rsidRPr="006B2C75">
        <w:rPr>
          <w:rStyle w:val="FootnoteReference"/>
        </w:rPr>
        <w:footnoteRef/>
      </w:r>
      <w:r w:rsidRPr="006B2C75">
        <w:t xml:space="preserve"> </w:t>
      </w:r>
      <w:r w:rsidRPr="00F5456F">
        <w:rPr>
          <w:bCs/>
        </w:rPr>
        <w:t>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 OJ L 165, 18.6.2013, p. 13–40.</w:t>
      </w:r>
    </w:p>
  </w:footnote>
  <w:footnote w:id="2">
    <w:p w14:paraId="06854F2B" w14:textId="23B1EEFC" w:rsidR="05754A62" w:rsidRPr="00F5456F" w:rsidRDefault="05754A62" w:rsidP="05754A62">
      <w:pPr>
        <w:rPr>
          <w:sz w:val="20"/>
        </w:rPr>
      </w:pPr>
      <w:r w:rsidRPr="00F5456F">
        <w:rPr>
          <w:sz w:val="20"/>
        </w:rPr>
        <w:footnoteRef/>
      </w:r>
      <w:r w:rsidRPr="00F5456F">
        <w:rPr>
          <w:sz w:val="20"/>
        </w:rPr>
        <w:t xml:space="preserve"> Decisions 5/CMP.1, 13/CMP.1, 15/CMP.1, 22/CMP.1, 27/CMP.1, 1/CMP.8, 1/CMP.17, 3/CMP.11 and 4/CMP.11.</w:t>
      </w:r>
    </w:p>
  </w:footnote>
  <w:footnote w:id="3">
    <w:p w14:paraId="66D3FBC6" w14:textId="77777777" w:rsidR="00D00BA9" w:rsidRDefault="00D00BA9" w:rsidP="00D00BA9">
      <w:pPr>
        <w:pStyle w:val="FootnoteText"/>
      </w:pPr>
      <w:r w:rsidRPr="00F5456F">
        <w:footnoteRef/>
      </w:r>
      <w:r>
        <w:t xml:space="preserve"> FCCC/KP/CMP/2012/13/Add.1</w:t>
      </w:r>
    </w:p>
  </w:footnote>
  <w:footnote w:id="4">
    <w:p w14:paraId="3B987F4D" w14:textId="4534E4B0" w:rsidR="606A7075" w:rsidRPr="00F5456F" w:rsidRDefault="606A7075" w:rsidP="606A7075">
      <w:pPr>
        <w:rPr>
          <w:sz w:val="20"/>
        </w:rPr>
      </w:pPr>
      <w:r w:rsidRPr="00F5456F">
        <w:rPr>
          <w:sz w:val="20"/>
        </w:rPr>
        <w:footnoteRef/>
      </w:r>
      <w:r w:rsidRPr="00F5456F">
        <w:rPr>
          <w:sz w:val="20"/>
        </w:rPr>
        <w:t xml:space="preserve"> Council Decision (EU) 2015/1339 of 13 July 2015 on the conclusion, on behalf of the European Union, of the Doha Amendment to the Kyoto Protocol to the United Nations Framework Convention on Climate Change and the joint fulfilment of commitments thereunder, OJ L 207, 4.8.2015. p. 1-14.</w:t>
      </w:r>
    </w:p>
  </w:footnote>
  <w:footnote w:id="5">
    <w:p w14:paraId="6F4CB92D" w14:textId="3DEACA94" w:rsidR="00C40D80" w:rsidRPr="00FD5083" w:rsidRDefault="00C40D80" w:rsidP="00C40D80">
      <w:pPr>
        <w:pStyle w:val="FootnoteText"/>
        <w:rPr>
          <w:lang w:val="fr-BE"/>
        </w:rPr>
      </w:pPr>
      <w:r w:rsidRPr="00F5456F">
        <w:footnoteRef/>
      </w:r>
      <w:r>
        <w:t xml:space="preserve"> Directive 2009/29/EC of the European Parliament and of the Council amending Directive 2003/87/EC so as to improve and extend the greenhouse gas emission allowance trading scheme of the Community and Decision No 406/2009/EC of the European Parliament and of the Council of 23 April 2009 on the effort of Member States to reduce their greenhouse gas emissions to meet the Community’s greenhouse gas emission reduction commitments up to 2020, OJ L 140, 5.6. </w:t>
      </w:r>
      <w:r w:rsidRPr="00FD5083">
        <w:rPr>
          <w:lang w:val="fr-BE"/>
        </w:rPr>
        <w:t>2009.</w:t>
      </w:r>
    </w:p>
  </w:footnote>
  <w:footnote w:id="6">
    <w:p w14:paraId="4DDBDDC6" w14:textId="40E20767" w:rsidR="00FD5083" w:rsidRPr="00DE1164" w:rsidRDefault="00FD5083" w:rsidP="00FD5083">
      <w:pPr>
        <w:pStyle w:val="FootnoteText"/>
        <w:jc w:val="left"/>
        <w:rPr>
          <w:lang w:val="fr-BE"/>
        </w:rPr>
      </w:pPr>
      <w:r>
        <w:rPr>
          <w:rStyle w:val="FootnoteReference"/>
        </w:rPr>
        <w:footnoteRef/>
      </w:r>
      <w:r w:rsidRPr="00BD0481">
        <w:rPr>
          <w:lang w:val="fr-BE"/>
        </w:rPr>
        <w:t xml:space="preserve"> </w:t>
      </w:r>
      <w:hyperlink r:id="rId1" w:history="1">
        <w:r w:rsidRPr="00DE1164">
          <w:rPr>
            <w:rStyle w:val="Hyperlink"/>
            <w:color w:val="auto"/>
            <w:lang w:val="fr-BE"/>
          </w:rPr>
          <w:t>FCCC/IRR/2016/EU</w:t>
        </w:r>
      </w:hyperlink>
      <w:r w:rsidRPr="00DE1164">
        <w:rPr>
          <w:lang w:val="fr-BE"/>
        </w:rPr>
        <w:t xml:space="preserve"> </w:t>
      </w:r>
    </w:p>
  </w:footnote>
  <w:footnote w:id="7">
    <w:p w14:paraId="68509D26" w14:textId="0E55C8D9" w:rsidR="00FD5083" w:rsidRPr="00DE1164" w:rsidRDefault="00FD5083" w:rsidP="00FD5083">
      <w:pPr>
        <w:pStyle w:val="FootnoteText"/>
        <w:rPr>
          <w:lang w:val="fr-BE"/>
        </w:rPr>
      </w:pPr>
      <w:r w:rsidRPr="00DE1164">
        <w:rPr>
          <w:rStyle w:val="FootnoteReference"/>
        </w:rPr>
        <w:footnoteRef/>
      </w:r>
      <w:r w:rsidRPr="00DE1164">
        <w:rPr>
          <w:lang w:val="fr-BE"/>
        </w:rPr>
        <w:t xml:space="preserve"> </w:t>
      </w:r>
      <w:hyperlink r:id="rId2" w:history="1">
        <w:r w:rsidR="0025359A" w:rsidRPr="00DE1164">
          <w:rPr>
            <w:rStyle w:val="Hyperlink"/>
            <w:color w:val="auto"/>
            <w:lang w:val="fr-BE"/>
          </w:rPr>
          <w:t>FCCC/IRR/2016/EU</w:t>
        </w:r>
      </w:hyperlink>
    </w:p>
  </w:footnote>
  <w:footnote w:id="8">
    <w:p w14:paraId="305602FC" w14:textId="77777777" w:rsidR="00FD7CD6" w:rsidRPr="00FD5083" w:rsidRDefault="00FD7CD6" w:rsidP="00FD7CD6">
      <w:pPr>
        <w:pStyle w:val="FootnoteText"/>
        <w:rPr>
          <w:lang w:val="fr-BE"/>
        </w:rPr>
      </w:pPr>
      <w:r w:rsidRPr="00DE1164">
        <w:rPr>
          <w:rStyle w:val="FootnoteReference"/>
        </w:rPr>
        <w:footnoteRef/>
      </w:r>
      <w:r w:rsidRPr="00DE1164">
        <w:rPr>
          <w:lang w:val="fr-BE"/>
        </w:rPr>
        <w:t xml:space="preserve"> FCCC/KP/CM</w:t>
      </w:r>
      <w:r w:rsidRPr="00FD5083">
        <w:rPr>
          <w:lang w:val="fr-BE"/>
        </w:rPr>
        <w:t>P/2012/13/Add.1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0D735" w14:textId="77777777" w:rsidR="00EC12B2" w:rsidRPr="00EC12B2" w:rsidRDefault="00EC12B2" w:rsidP="00EC1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5C04C" w14:textId="77777777" w:rsidR="00EC12B2" w:rsidRPr="00EC12B2" w:rsidRDefault="00EC12B2" w:rsidP="00EC12B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2158B" w14:textId="77777777" w:rsidR="00EC12B2" w:rsidRPr="00EC12B2" w:rsidRDefault="00EC12B2" w:rsidP="00EC12B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CECC" w14:textId="77777777" w:rsidR="001A596D" w:rsidRDefault="001A59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FC8E" w14:textId="77777777" w:rsidR="001A596D" w:rsidRDefault="001A59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BCA5D" w14:textId="77777777" w:rsidR="001A596D" w:rsidRDefault="001A59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2E40EA4-BE44-46C7-90FE-3F436740AF5B"/>
    <w:docVar w:name="LW_COVERPAGE_TYPE" w:val="1"/>
    <w:docVar w:name="LW_CROSSREFERENCE" w:val="{SWD(2023) 348 final}"/>
    <w:docVar w:name="LW_DocType" w:val="NORMAL"/>
    <w:docVar w:name="LW_EMISSION" w:val="31.10.2023"/>
    <w:docVar w:name="LW_EMISSION_ISODATE" w:val="2023-10-31"/>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68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The European Union’s Report on the additional period for fulfilling commitments under the Kyoto Protocol (required under Article 22 of Regulation (EU) No 525/2013 of the European Parliament and of the Council of 21 May 2013 on a mechanism for monitoring and reporting greenhouse gas emissions and for reporting other information at the national and Union level relevant to climate change and repealing Decision No 280/2004/EC and Decision 13/CMP.1 of the Conference of the Parties to the Kyoto Protocol)&lt;/FMT&gt;"/>
    <w:docVar w:name="LW_TYPE.DOC.CP" w:val="REPORT FROM THE COMMISSION"/>
    <w:docVar w:name="LwApiVersions" w:val="LW4CoDe 1.23.2.0; LW 8.0, Build 20211117"/>
  </w:docVars>
  <w:rsids>
    <w:rsidRoot w:val="004A352B"/>
    <w:rsid w:val="00017D64"/>
    <w:rsid w:val="0004261E"/>
    <w:rsid w:val="00053C42"/>
    <w:rsid w:val="00074941"/>
    <w:rsid w:val="000D4796"/>
    <w:rsid w:val="000E2B4F"/>
    <w:rsid w:val="000F0219"/>
    <w:rsid w:val="0010351D"/>
    <w:rsid w:val="0012751F"/>
    <w:rsid w:val="00136C9B"/>
    <w:rsid w:val="00144CC0"/>
    <w:rsid w:val="00146F94"/>
    <w:rsid w:val="00152D57"/>
    <w:rsid w:val="00157F02"/>
    <w:rsid w:val="001A596D"/>
    <w:rsid w:val="001B5F56"/>
    <w:rsid w:val="001D7DE1"/>
    <w:rsid w:val="001F1C81"/>
    <w:rsid w:val="001F6220"/>
    <w:rsid w:val="00200F9F"/>
    <w:rsid w:val="0020404A"/>
    <w:rsid w:val="00210FA5"/>
    <w:rsid w:val="0025359A"/>
    <w:rsid w:val="0026073C"/>
    <w:rsid w:val="002730D5"/>
    <w:rsid w:val="0028392D"/>
    <w:rsid w:val="00291A27"/>
    <w:rsid w:val="002A2A1F"/>
    <w:rsid w:val="002B26D6"/>
    <w:rsid w:val="002C320F"/>
    <w:rsid w:val="00303855"/>
    <w:rsid w:val="0033701F"/>
    <w:rsid w:val="00372503"/>
    <w:rsid w:val="004134B7"/>
    <w:rsid w:val="00430314"/>
    <w:rsid w:val="00443C31"/>
    <w:rsid w:val="004524B0"/>
    <w:rsid w:val="00475728"/>
    <w:rsid w:val="00485BA8"/>
    <w:rsid w:val="00497E6C"/>
    <w:rsid w:val="004A3231"/>
    <w:rsid w:val="004A352B"/>
    <w:rsid w:val="004B61A3"/>
    <w:rsid w:val="004D408E"/>
    <w:rsid w:val="004E18FD"/>
    <w:rsid w:val="004F782C"/>
    <w:rsid w:val="00504A66"/>
    <w:rsid w:val="0052470C"/>
    <w:rsid w:val="005253E4"/>
    <w:rsid w:val="00534AF2"/>
    <w:rsid w:val="0053550B"/>
    <w:rsid w:val="005371AE"/>
    <w:rsid w:val="0055761F"/>
    <w:rsid w:val="005852E9"/>
    <w:rsid w:val="005A4E9A"/>
    <w:rsid w:val="005C3016"/>
    <w:rsid w:val="0063758F"/>
    <w:rsid w:val="00645E73"/>
    <w:rsid w:val="00672191"/>
    <w:rsid w:val="00675AE7"/>
    <w:rsid w:val="00685765"/>
    <w:rsid w:val="006B6243"/>
    <w:rsid w:val="006C5F25"/>
    <w:rsid w:val="006D31C2"/>
    <w:rsid w:val="007237BA"/>
    <w:rsid w:val="00726F91"/>
    <w:rsid w:val="007606C7"/>
    <w:rsid w:val="00761389"/>
    <w:rsid w:val="00765B1E"/>
    <w:rsid w:val="00776748"/>
    <w:rsid w:val="00776B1B"/>
    <w:rsid w:val="00776CAC"/>
    <w:rsid w:val="00777861"/>
    <w:rsid w:val="00787FE9"/>
    <w:rsid w:val="00794B34"/>
    <w:rsid w:val="00797E2C"/>
    <w:rsid w:val="007A5F32"/>
    <w:rsid w:val="007B695F"/>
    <w:rsid w:val="007D12F5"/>
    <w:rsid w:val="00803183"/>
    <w:rsid w:val="0080621A"/>
    <w:rsid w:val="00815519"/>
    <w:rsid w:val="008175A1"/>
    <w:rsid w:val="00823DB8"/>
    <w:rsid w:val="0083CA45"/>
    <w:rsid w:val="00855920"/>
    <w:rsid w:val="00864B09"/>
    <w:rsid w:val="00884DE4"/>
    <w:rsid w:val="0089662E"/>
    <w:rsid w:val="008973D6"/>
    <w:rsid w:val="008C242B"/>
    <w:rsid w:val="008D48BD"/>
    <w:rsid w:val="008D5635"/>
    <w:rsid w:val="008F2FCD"/>
    <w:rsid w:val="008F3AC6"/>
    <w:rsid w:val="008F6066"/>
    <w:rsid w:val="00903A38"/>
    <w:rsid w:val="0091321D"/>
    <w:rsid w:val="0093520C"/>
    <w:rsid w:val="009428CF"/>
    <w:rsid w:val="0096359E"/>
    <w:rsid w:val="00963BE4"/>
    <w:rsid w:val="009646F0"/>
    <w:rsid w:val="00966677"/>
    <w:rsid w:val="009734F9"/>
    <w:rsid w:val="00990915"/>
    <w:rsid w:val="009D5AD3"/>
    <w:rsid w:val="009D6322"/>
    <w:rsid w:val="00A14E3C"/>
    <w:rsid w:val="00A34181"/>
    <w:rsid w:val="00A35687"/>
    <w:rsid w:val="00A37476"/>
    <w:rsid w:val="00A43323"/>
    <w:rsid w:val="00A64B15"/>
    <w:rsid w:val="00A8686C"/>
    <w:rsid w:val="00B05A1B"/>
    <w:rsid w:val="00B14E61"/>
    <w:rsid w:val="00B41AB5"/>
    <w:rsid w:val="00B6179E"/>
    <w:rsid w:val="00B61A93"/>
    <w:rsid w:val="00B63660"/>
    <w:rsid w:val="00B6497F"/>
    <w:rsid w:val="00B763C7"/>
    <w:rsid w:val="00B81C3F"/>
    <w:rsid w:val="00B90556"/>
    <w:rsid w:val="00B966FF"/>
    <w:rsid w:val="00C01910"/>
    <w:rsid w:val="00C02F1C"/>
    <w:rsid w:val="00C14F20"/>
    <w:rsid w:val="00C161EB"/>
    <w:rsid w:val="00C22B5D"/>
    <w:rsid w:val="00C253F8"/>
    <w:rsid w:val="00C27729"/>
    <w:rsid w:val="00C40D80"/>
    <w:rsid w:val="00CA0CA8"/>
    <w:rsid w:val="00CB2074"/>
    <w:rsid w:val="00CD07DB"/>
    <w:rsid w:val="00CF0F7C"/>
    <w:rsid w:val="00D00BA9"/>
    <w:rsid w:val="00D03865"/>
    <w:rsid w:val="00D059CC"/>
    <w:rsid w:val="00D06669"/>
    <w:rsid w:val="00D403BB"/>
    <w:rsid w:val="00D4444A"/>
    <w:rsid w:val="00D45C9B"/>
    <w:rsid w:val="00D55E31"/>
    <w:rsid w:val="00D7296B"/>
    <w:rsid w:val="00D94DC1"/>
    <w:rsid w:val="00DC0AF7"/>
    <w:rsid w:val="00DC68A7"/>
    <w:rsid w:val="00DD32CF"/>
    <w:rsid w:val="00DE1164"/>
    <w:rsid w:val="00DE1ED1"/>
    <w:rsid w:val="00DF7A59"/>
    <w:rsid w:val="00E15ACD"/>
    <w:rsid w:val="00E15D9F"/>
    <w:rsid w:val="00E21A0B"/>
    <w:rsid w:val="00E24E13"/>
    <w:rsid w:val="00E45641"/>
    <w:rsid w:val="00E53433"/>
    <w:rsid w:val="00E556F4"/>
    <w:rsid w:val="00E64FFF"/>
    <w:rsid w:val="00E65EF2"/>
    <w:rsid w:val="00E66C4B"/>
    <w:rsid w:val="00E92E7E"/>
    <w:rsid w:val="00EC12B2"/>
    <w:rsid w:val="00EC50AE"/>
    <w:rsid w:val="00EC783A"/>
    <w:rsid w:val="00EF3613"/>
    <w:rsid w:val="00F03BB0"/>
    <w:rsid w:val="00F5456F"/>
    <w:rsid w:val="00F8565F"/>
    <w:rsid w:val="00FB7BEE"/>
    <w:rsid w:val="00FC77EE"/>
    <w:rsid w:val="00FD5083"/>
    <w:rsid w:val="00FD7CD6"/>
    <w:rsid w:val="00FE3A32"/>
    <w:rsid w:val="00FF2EEF"/>
    <w:rsid w:val="00FF3292"/>
    <w:rsid w:val="00FF7AD4"/>
    <w:rsid w:val="01583AFF"/>
    <w:rsid w:val="02452C87"/>
    <w:rsid w:val="02D6A13A"/>
    <w:rsid w:val="04240096"/>
    <w:rsid w:val="04667000"/>
    <w:rsid w:val="05754A62"/>
    <w:rsid w:val="0624DEDC"/>
    <w:rsid w:val="06DB2EC6"/>
    <w:rsid w:val="06FEF6D9"/>
    <w:rsid w:val="077367F4"/>
    <w:rsid w:val="07DF756A"/>
    <w:rsid w:val="083A5E72"/>
    <w:rsid w:val="090381C3"/>
    <w:rsid w:val="0A0B7E82"/>
    <w:rsid w:val="0AC35C75"/>
    <w:rsid w:val="0BDC6AE1"/>
    <w:rsid w:val="0EA62879"/>
    <w:rsid w:val="0EB781C9"/>
    <w:rsid w:val="10C6409F"/>
    <w:rsid w:val="11034D1E"/>
    <w:rsid w:val="115B0633"/>
    <w:rsid w:val="11A110EA"/>
    <w:rsid w:val="124588AB"/>
    <w:rsid w:val="131E07D6"/>
    <w:rsid w:val="13D79D0E"/>
    <w:rsid w:val="13EDFFDF"/>
    <w:rsid w:val="15EBF30C"/>
    <w:rsid w:val="17BE9E24"/>
    <w:rsid w:val="18BA5631"/>
    <w:rsid w:val="18CAFC74"/>
    <w:rsid w:val="1A2CE9E2"/>
    <w:rsid w:val="1B15653F"/>
    <w:rsid w:val="1BB0649B"/>
    <w:rsid w:val="1C78F25D"/>
    <w:rsid w:val="1D89D8C1"/>
    <w:rsid w:val="1D93ED77"/>
    <w:rsid w:val="1F1F63CE"/>
    <w:rsid w:val="1FF25790"/>
    <w:rsid w:val="205C3329"/>
    <w:rsid w:val="206381A7"/>
    <w:rsid w:val="216B7E66"/>
    <w:rsid w:val="2386651B"/>
    <w:rsid w:val="23DBB14F"/>
    <w:rsid w:val="240A973D"/>
    <w:rsid w:val="2458A1D3"/>
    <w:rsid w:val="24B7D321"/>
    <w:rsid w:val="25F3715A"/>
    <w:rsid w:val="2658AA21"/>
    <w:rsid w:val="26CC4B26"/>
    <w:rsid w:val="283FF8E1"/>
    <w:rsid w:val="290110CE"/>
    <w:rsid w:val="294F226F"/>
    <w:rsid w:val="2955AC19"/>
    <w:rsid w:val="29BE1591"/>
    <w:rsid w:val="2A0BF890"/>
    <w:rsid w:val="2A118FA7"/>
    <w:rsid w:val="2A4247B3"/>
    <w:rsid w:val="2D10DB48"/>
    <w:rsid w:val="2D15EAF6"/>
    <w:rsid w:val="2D493069"/>
    <w:rsid w:val="2DB7EAA8"/>
    <w:rsid w:val="2DCE7818"/>
    <w:rsid w:val="2E8F2BF7"/>
    <w:rsid w:val="3065314C"/>
    <w:rsid w:val="316875E8"/>
    <w:rsid w:val="318CE9C6"/>
    <w:rsid w:val="31CEF4D8"/>
    <w:rsid w:val="348BE0C9"/>
    <w:rsid w:val="37B00798"/>
    <w:rsid w:val="3994A19B"/>
    <w:rsid w:val="39AE072F"/>
    <w:rsid w:val="3B62700F"/>
    <w:rsid w:val="3BAD1DFC"/>
    <w:rsid w:val="3D6741B9"/>
    <w:rsid w:val="3DC2C5CC"/>
    <w:rsid w:val="40727E5A"/>
    <w:rsid w:val="40C67ABC"/>
    <w:rsid w:val="41CE8BB6"/>
    <w:rsid w:val="421814CA"/>
    <w:rsid w:val="421C87BD"/>
    <w:rsid w:val="43B036FC"/>
    <w:rsid w:val="43B169DA"/>
    <w:rsid w:val="45243D77"/>
    <w:rsid w:val="459354D6"/>
    <w:rsid w:val="45EE6979"/>
    <w:rsid w:val="45EF2BDB"/>
    <w:rsid w:val="472C43A9"/>
    <w:rsid w:val="472C6DF4"/>
    <w:rsid w:val="473574DC"/>
    <w:rsid w:val="47843EA1"/>
    <w:rsid w:val="49585351"/>
    <w:rsid w:val="495959C5"/>
    <w:rsid w:val="49789F03"/>
    <w:rsid w:val="4A7CC683"/>
    <w:rsid w:val="4B1B3458"/>
    <w:rsid w:val="4BDB478D"/>
    <w:rsid w:val="4C15EBDB"/>
    <w:rsid w:val="4D411CFC"/>
    <w:rsid w:val="4DE6900E"/>
    <w:rsid w:val="4F1FFE9C"/>
    <w:rsid w:val="4F7B7AA9"/>
    <w:rsid w:val="50D57C8B"/>
    <w:rsid w:val="51B1BDD7"/>
    <w:rsid w:val="5343DE02"/>
    <w:rsid w:val="53644C6A"/>
    <w:rsid w:val="544DEFAD"/>
    <w:rsid w:val="55E9C00E"/>
    <w:rsid w:val="593B527B"/>
    <w:rsid w:val="59420473"/>
    <w:rsid w:val="5B091F9E"/>
    <w:rsid w:val="5C45A5D6"/>
    <w:rsid w:val="5D7E21B1"/>
    <w:rsid w:val="5D928E4E"/>
    <w:rsid w:val="5EC22A9A"/>
    <w:rsid w:val="5FE6AC99"/>
    <w:rsid w:val="606A7075"/>
    <w:rsid w:val="60E13A5D"/>
    <w:rsid w:val="60FDB737"/>
    <w:rsid w:val="612E3F22"/>
    <w:rsid w:val="621124E5"/>
    <w:rsid w:val="62F8875D"/>
    <w:rsid w:val="654F009D"/>
    <w:rsid w:val="679C7D87"/>
    <w:rsid w:val="695016B0"/>
    <w:rsid w:val="6A1CA780"/>
    <w:rsid w:val="6A3A3DBC"/>
    <w:rsid w:val="6A77059F"/>
    <w:rsid w:val="6BC05958"/>
    <w:rsid w:val="6CC400B1"/>
    <w:rsid w:val="6CFED9CF"/>
    <w:rsid w:val="6D4ABC11"/>
    <w:rsid w:val="70DA5E8D"/>
    <w:rsid w:val="70E84AC9"/>
    <w:rsid w:val="713257C7"/>
    <w:rsid w:val="72CE2828"/>
    <w:rsid w:val="734BD262"/>
    <w:rsid w:val="738A1555"/>
    <w:rsid w:val="73DDD02C"/>
    <w:rsid w:val="73F3F11C"/>
    <w:rsid w:val="741FE122"/>
    <w:rsid w:val="75ADCFB0"/>
    <w:rsid w:val="75C0F2BE"/>
    <w:rsid w:val="77141F55"/>
    <w:rsid w:val="79477283"/>
    <w:rsid w:val="7995402B"/>
    <w:rsid w:val="79B5BF7D"/>
    <w:rsid w:val="7A959BD7"/>
    <w:rsid w:val="7ADDE404"/>
    <w:rsid w:val="7C1686A9"/>
    <w:rsid w:val="7D25E3BF"/>
    <w:rsid w:val="7DCED207"/>
    <w:rsid w:val="7E12DDA5"/>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480EEA"/>
  <w15:chartTrackingRefBased/>
  <w15:docId w15:val="{E316EF6B-F489-4A1D-83EC-19C2F46C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669"/>
    <w:pPr>
      <w:spacing w:before="120" w:after="12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7D64"/>
    <w:rPr>
      <w:b/>
      <w:bCs/>
    </w:rPr>
  </w:style>
  <w:style w:type="paragraph" w:styleId="FootnoteText">
    <w:name w:val="footnote text"/>
    <w:aliases w:val="Footnote"/>
    <w:basedOn w:val="Normal"/>
    <w:link w:val="FootnoteTextChar"/>
    <w:uiPriority w:val="99"/>
    <w:unhideWhenUsed/>
    <w:rsid w:val="00017D64"/>
    <w:pPr>
      <w:spacing w:before="0" w:after="0"/>
    </w:pPr>
    <w:rPr>
      <w:sz w:val="20"/>
    </w:rPr>
  </w:style>
  <w:style w:type="character" w:customStyle="1" w:styleId="FootnoteTextChar">
    <w:name w:val="Footnote Text Char"/>
    <w:aliases w:val="Footnote Char"/>
    <w:basedOn w:val="DefaultParagraphFont"/>
    <w:link w:val="FootnoteText"/>
    <w:uiPriority w:val="99"/>
    <w:rsid w:val="00017D6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unhideWhenUsed/>
    <w:rsid w:val="00017D64"/>
    <w:rPr>
      <w:vertAlign w:val="superscript"/>
    </w:rPr>
  </w:style>
  <w:style w:type="table" w:styleId="TableGrid">
    <w:name w:val="Table Grid"/>
    <w:basedOn w:val="TableNormal"/>
    <w:uiPriority w:val="39"/>
    <w:rsid w:val="00017D64"/>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D64"/>
    <w:pPr>
      <w:tabs>
        <w:tab w:val="center" w:pos="4513"/>
        <w:tab w:val="right" w:pos="9026"/>
      </w:tabs>
      <w:spacing w:before="0" w:after="0"/>
    </w:pPr>
  </w:style>
  <w:style w:type="character" w:customStyle="1" w:styleId="HeaderChar">
    <w:name w:val="Header Char"/>
    <w:basedOn w:val="DefaultParagraphFont"/>
    <w:link w:val="Header"/>
    <w:uiPriority w:val="99"/>
    <w:rsid w:val="00017D64"/>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017D64"/>
    <w:pPr>
      <w:tabs>
        <w:tab w:val="center" w:pos="4513"/>
        <w:tab w:val="right" w:pos="9026"/>
      </w:tabs>
      <w:spacing w:before="0" w:after="0"/>
    </w:pPr>
  </w:style>
  <w:style w:type="character" w:customStyle="1" w:styleId="FooterChar">
    <w:name w:val="Footer Char"/>
    <w:basedOn w:val="DefaultParagraphFont"/>
    <w:link w:val="Footer"/>
    <w:uiPriority w:val="99"/>
    <w:rsid w:val="00017D64"/>
    <w:rPr>
      <w:rFonts w:ascii="Times New Roman" w:eastAsia="Times New Roman" w:hAnsi="Times New Roman" w:cs="Times New Roman"/>
      <w:sz w:val="24"/>
      <w:szCs w:val="20"/>
      <w:lang w:eastAsia="en-GB"/>
    </w:rPr>
  </w:style>
  <w:style w:type="paragraph" w:customStyle="1" w:styleId="Text2">
    <w:name w:val="Text 2"/>
    <w:basedOn w:val="Normal"/>
    <w:rsid w:val="00D94DC1"/>
    <w:pPr>
      <w:tabs>
        <w:tab w:val="left" w:pos="2302"/>
      </w:tabs>
      <w:spacing w:before="0" w:after="240"/>
      <w:ind w:left="1202"/>
    </w:pPr>
    <w:rPr>
      <w:lang w:eastAsia="en-US"/>
    </w:rPr>
  </w:style>
  <w:style w:type="character" w:customStyle="1" w:styleId="FootnoteTextChar1">
    <w:name w:val="Footnote Text Char1"/>
    <w:aliases w:val="Footnote Text Char Char,Footnote Char1"/>
    <w:semiHidden/>
    <w:locked/>
    <w:rsid w:val="00D94DC1"/>
    <w:rPr>
      <w:lang w:eastAsia="en-US"/>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734F9"/>
    <w:pPr>
      <w:spacing w:after="0" w:line="240" w:lineRule="auto"/>
    </w:pPr>
    <w:rPr>
      <w:rFonts w:ascii="Times New Roman" w:eastAsia="Times New Roman" w:hAnsi="Times New Roman" w:cs="Times New Roman"/>
      <w:sz w:val="24"/>
      <w:szCs w:val="20"/>
      <w:lang w:eastAsia="en-GB"/>
    </w:rPr>
  </w:style>
  <w:style w:type="paragraph" w:styleId="NormalWeb">
    <w:name w:val="Normal (Web)"/>
    <w:basedOn w:val="Normal"/>
    <w:uiPriority w:val="99"/>
    <w:semiHidden/>
    <w:unhideWhenUsed/>
    <w:rsid w:val="00C40D80"/>
    <w:pPr>
      <w:spacing w:before="100" w:beforeAutospacing="1" w:after="100" w:afterAutospacing="1"/>
      <w:jc w:val="left"/>
    </w:pPr>
    <w:rPr>
      <w:szCs w:val="24"/>
    </w:rPr>
  </w:style>
  <w:style w:type="character" w:customStyle="1" w:styleId="Marker">
    <w:name w:val="Marker"/>
    <w:basedOn w:val="DefaultParagraphFont"/>
    <w:rsid w:val="001A596D"/>
    <w:rPr>
      <w:color w:val="0000FF"/>
      <w:shd w:val="clear" w:color="auto" w:fill="auto"/>
    </w:rPr>
  </w:style>
  <w:style w:type="paragraph" w:customStyle="1" w:styleId="Pagedecouverture">
    <w:name w:val="Page de couverture"/>
    <w:basedOn w:val="Normal"/>
    <w:next w:val="Normal"/>
    <w:rsid w:val="001A596D"/>
    <w:pPr>
      <w:spacing w:before="0" w:after="0"/>
    </w:pPr>
    <w:rPr>
      <w:rFonts w:eastAsiaTheme="minorHAnsi"/>
      <w:szCs w:val="22"/>
      <w:lang w:eastAsia="en-US"/>
    </w:rPr>
  </w:style>
  <w:style w:type="paragraph" w:customStyle="1" w:styleId="FooterCoverPage">
    <w:name w:val="Footer Cover Page"/>
    <w:basedOn w:val="Normal"/>
    <w:link w:val="FooterCoverPageChar"/>
    <w:rsid w:val="001A596D"/>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1A596D"/>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rsid w:val="001A596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1A596D"/>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rsid w:val="001A596D"/>
    <w:pPr>
      <w:tabs>
        <w:tab w:val="center" w:pos="4535"/>
        <w:tab w:val="right" w:pos="9071"/>
      </w:tabs>
      <w:spacing w:before="0"/>
    </w:pPr>
  </w:style>
  <w:style w:type="character" w:customStyle="1" w:styleId="HeaderCoverPageChar">
    <w:name w:val="Header Cover Page Char"/>
    <w:basedOn w:val="DefaultParagraphFont"/>
    <w:link w:val="HeaderCoverPage"/>
    <w:rsid w:val="001A596D"/>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rsid w:val="001A596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sid w:val="001A596D"/>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1A596D"/>
    <w:pPr>
      <w:spacing w:before="0"/>
      <w:jc w:val="right"/>
    </w:pPr>
    <w:rPr>
      <w:sz w:val="28"/>
    </w:rPr>
  </w:style>
  <w:style w:type="character" w:customStyle="1" w:styleId="HeaderSensitivityRightChar">
    <w:name w:val="Header Sensitivity Right Char"/>
    <w:basedOn w:val="DefaultParagraphFont"/>
    <w:link w:val="HeaderSensitivityRight"/>
    <w:rsid w:val="001A596D"/>
    <w:rPr>
      <w:rFonts w:ascii="Times New Roman" w:eastAsia="Times New Roman" w:hAnsi="Times New Roman" w:cs="Times New Roman"/>
      <w:sz w:val="28"/>
      <w:szCs w:val="20"/>
      <w:lang w:eastAsia="en-GB"/>
    </w:rPr>
  </w:style>
  <w:style w:type="paragraph" w:styleId="CommentSubject">
    <w:name w:val="annotation subject"/>
    <w:basedOn w:val="CommentText"/>
    <w:next w:val="CommentText"/>
    <w:link w:val="CommentSubjectChar"/>
    <w:uiPriority w:val="99"/>
    <w:semiHidden/>
    <w:unhideWhenUsed/>
    <w:rsid w:val="00430314"/>
    <w:rPr>
      <w:b/>
      <w:bCs/>
    </w:rPr>
  </w:style>
  <w:style w:type="character" w:customStyle="1" w:styleId="CommentSubjectChar">
    <w:name w:val="Comment Subject Char"/>
    <w:basedOn w:val="CommentTextChar"/>
    <w:link w:val="CommentSubject"/>
    <w:uiPriority w:val="99"/>
    <w:semiHidden/>
    <w:rsid w:val="00430314"/>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4D4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7313">
      <w:bodyDiv w:val="1"/>
      <w:marLeft w:val="0"/>
      <w:marRight w:val="0"/>
      <w:marTop w:val="0"/>
      <w:marBottom w:val="0"/>
      <w:divBdr>
        <w:top w:val="none" w:sz="0" w:space="0" w:color="auto"/>
        <w:left w:val="none" w:sz="0" w:space="0" w:color="auto"/>
        <w:bottom w:val="none" w:sz="0" w:space="0" w:color="auto"/>
        <w:right w:val="none" w:sz="0" w:space="0" w:color="auto"/>
      </w:divBdr>
    </w:div>
    <w:div w:id="520358428">
      <w:bodyDiv w:val="1"/>
      <w:marLeft w:val="0"/>
      <w:marRight w:val="0"/>
      <w:marTop w:val="0"/>
      <w:marBottom w:val="0"/>
      <w:divBdr>
        <w:top w:val="none" w:sz="0" w:space="0" w:color="auto"/>
        <w:left w:val="none" w:sz="0" w:space="0" w:color="auto"/>
        <w:bottom w:val="none" w:sz="0" w:space="0" w:color="auto"/>
        <w:right w:val="none" w:sz="0" w:space="0" w:color="auto"/>
      </w:divBdr>
    </w:div>
    <w:div w:id="708334172">
      <w:bodyDiv w:val="1"/>
      <w:marLeft w:val="0"/>
      <w:marRight w:val="0"/>
      <w:marTop w:val="0"/>
      <w:marBottom w:val="0"/>
      <w:divBdr>
        <w:top w:val="none" w:sz="0" w:space="0" w:color="auto"/>
        <w:left w:val="none" w:sz="0" w:space="0" w:color="auto"/>
        <w:bottom w:val="none" w:sz="0" w:space="0" w:color="auto"/>
        <w:right w:val="none" w:sz="0" w:space="0" w:color="auto"/>
      </w:divBdr>
    </w:div>
    <w:div w:id="911769342">
      <w:bodyDiv w:val="1"/>
      <w:marLeft w:val="0"/>
      <w:marRight w:val="0"/>
      <w:marTop w:val="0"/>
      <w:marBottom w:val="0"/>
      <w:divBdr>
        <w:top w:val="none" w:sz="0" w:space="0" w:color="auto"/>
        <w:left w:val="none" w:sz="0" w:space="0" w:color="auto"/>
        <w:bottom w:val="none" w:sz="0" w:space="0" w:color="auto"/>
        <w:right w:val="none" w:sz="0" w:space="0" w:color="auto"/>
      </w:divBdr>
    </w:div>
    <w:div w:id="935333236">
      <w:bodyDiv w:val="1"/>
      <w:marLeft w:val="0"/>
      <w:marRight w:val="0"/>
      <w:marTop w:val="0"/>
      <w:marBottom w:val="0"/>
      <w:divBdr>
        <w:top w:val="none" w:sz="0" w:space="0" w:color="auto"/>
        <w:left w:val="none" w:sz="0" w:space="0" w:color="auto"/>
        <w:bottom w:val="none" w:sz="0" w:space="0" w:color="auto"/>
        <w:right w:val="none" w:sz="0" w:space="0" w:color="auto"/>
      </w:divBdr>
    </w:div>
    <w:div w:id="11162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unfccc.int/process/transparency-and-reporting/reporting-and-review-under-the-kyoto-protocol/second-commitment-period/initial-reports" TargetMode="External"/><Relationship Id="rId1" Type="http://schemas.openxmlformats.org/officeDocument/2006/relationships/hyperlink" Target="https://unfccc.int/process/transparency-and-reporting/reporting-and-review-under-the-kyoto-protocol/second-commitment-period/initi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7" ma:contentTypeDescription="Create a new document." ma:contentTypeScope="" ma:versionID="b683ce4f1598d52c24c8f3c9503d1a67">
  <xsd:schema xmlns:xsd="http://www.w3.org/2001/XMLSchema" xmlns:xs="http://www.w3.org/2001/XMLSchema" xmlns:p="http://schemas.microsoft.com/office/2006/metadata/properties" xmlns:ns2="cce4269c-1bca-4c47-bcbd-0ca0cb14aa6e" xmlns:ns3="96a7f24e-e0df-4592-b6e0-4a62e251a0e5" targetNamespace="http://schemas.microsoft.com/office/2006/metadata/properties" ma:root="true" ma:fieldsID="c017da92ca50f07a6afdab6b51cb3145" ns2:_="" ns3:_="">
    <xsd:import namespace="cce4269c-1bca-4c47-bcbd-0ca0cb14aa6e"/>
    <xsd:import namespace="96a7f24e-e0df-4592-b6e0-4a62e251a0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1BC0F-9022-4755-A132-AEF5C6854D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A17A97-BEDA-4ACC-BD15-B89FEDF6E200}">
  <ds:schemaRefs>
    <ds:schemaRef ds:uri="http://schemas.microsoft.com/sharepoint/v3/contenttype/forms"/>
  </ds:schemaRefs>
</ds:datastoreItem>
</file>

<file path=customXml/itemProps3.xml><?xml version="1.0" encoding="utf-8"?>
<ds:datastoreItem xmlns:ds="http://schemas.openxmlformats.org/officeDocument/2006/customXml" ds:itemID="{93D79B45-51CD-4951-AF27-29F0200BB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B399A-094F-477B-B63A-41B280C3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4457</Characters>
  <Application>Microsoft Office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27</cp:revision>
  <cp:lastPrinted>2023-08-31T16:27:00Z</cp:lastPrinted>
  <dcterms:created xsi:type="dcterms:W3CDTF">2023-10-09T09:41:00Z</dcterms:created>
  <dcterms:modified xsi:type="dcterms:W3CDTF">2023-10-24T08:45:00Z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2023-08-24T08:03:59Z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c45c2c34-ae26-4365-970c-987e2b64c02f</vt:lpwstr>
  </property>
  <property fmtid="{D5CDD505-2E9C-101B-9397-08002B2CF9AE}" pid="8" name="MSIP_Label_6bd9ddd1-4d20-43f6-abfa-fc3c07406f94_ContentBits">
    <vt:lpwstr>0</vt:lpwstr>
  </property>
  <property fmtid="{D5CDD505-2E9C-101B-9397-08002B2CF9AE}" pid="9" name="ContentTypeId">
    <vt:lpwstr>0x0101008BA6791DDFFC024DAA4136D92359EB10</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CP-003</vt:lpwstr>
  </property>
  <property fmtid="{D5CDD505-2E9C-101B-9397-08002B2CF9AE}" pid="15" name="Last edited using">
    <vt:lpwstr>LW 9.0, Build 20230317</vt:lpwstr>
  </property>
  <property fmtid="{D5CDD505-2E9C-101B-9397-08002B2CF9AE}" pid="16" name="Created using">
    <vt:lpwstr>LW 9.0, Build 20230317</vt:lpwstr>
  </property>
</Properties>
</file>